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CA" w:rsidRPr="006D0ECA" w:rsidRDefault="006D0ECA" w:rsidP="006D0ECA">
      <w:pPr>
        <w:keepNext/>
        <w:keepLines/>
        <w:pageBreakBefore/>
        <w:spacing w:after="180" w:line="220" w:lineRule="atLeast"/>
        <w:ind w:left="1985" w:hanging="1985"/>
        <w:outlineLvl w:val="1"/>
        <w:rPr>
          <w:rFonts w:eastAsia="Arial"/>
          <w:b/>
          <w:color w:val="005172"/>
          <w:sz w:val="32"/>
          <w:szCs w:val="22"/>
          <w:lang w:val="es-419"/>
        </w:rPr>
      </w:pPr>
      <w:bookmarkStart w:id="0" w:name="_Toc3188226"/>
      <w:bookmarkStart w:id="1" w:name="_GoBack"/>
      <w:bookmarkEnd w:id="1"/>
      <w:r w:rsidRPr="006D0ECA">
        <w:rPr>
          <w:rFonts w:eastAsia="Arial"/>
          <w:b/>
          <w:color w:val="005172"/>
          <w:sz w:val="32"/>
          <w:szCs w:val="22"/>
          <w:lang w:val="es-419"/>
        </w:rPr>
        <w:t>Asignación de los ingresos y gastos en 2020/21, por Uniones</w:t>
      </w:r>
      <w:bookmarkEnd w:id="0"/>
    </w:p>
    <w:p w:rsidR="006D0ECA" w:rsidRPr="006D0ECA" w:rsidRDefault="006D0ECA" w:rsidP="006D0ECA">
      <w:pPr>
        <w:keepNext/>
        <w:spacing w:before="320" w:after="240" w:line="220" w:lineRule="atLeast"/>
        <w:outlineLvl w:val="2"/>
        <w:rPr>
          <w:rFonts w:eastAsia="Arial"/>
          <w:color w:val="005172"/>
          <w:sz w:val="32"/>
          <w:szCs w:val="22"/>
          <w:lang w:val="es-419"/>
        </w:rPr>
      </w:pPr>
      <w:r w:rsidRPr="006D0ECA">
        <w:rPr>
          <w:rFonts w:eastAsia="Arial"/>
          <w:color w:val="005172"/>
          <w:sz w:val="32"/>
          <w:szCs w:val="22"/>
          <w:lang w:val="es-419"/>
        </w:rPr>
        <w:t>Introducción</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 xml:space="preserve">De conformidad con el Reglamento Financiero y la Reglamentación Financiera (artículo 2.3) en el presente Anexo se expone el presupuesto por programas de la Organización para 2020/21, para cada Unión. Las Uniones comprenden las Uniones financiadas por contribuciones (París, Berna, la Clasificación Internacional de Patentes (CIP), Niza, Locarno y Viena) y el Convenio de la OMPI, y las cuatro Uniones de los sistemas internacionales de registro (PCT, Madrid, La Haya y Lisboa). </w:t>
      </w:r>
      <w:r>
        <w:rPr>
          <w:rFonts w:eastAsia="Arial"/>
          <w:sz w:val="18"/>
          <w:szCs w:val="22"/>
          <w:lang w:val="es-419"/>
        </w:rPr>
        <w:t>L</w:t>
      </w:r>
      <w:r w:rsidRPr="006D0ECA">
        <w:rPr>
          <w:rFonts w:eastAsia="Arial"/>
          <w:sz w:val="18"/>
          <w:szCs w:val="22"/>
          <w:lang w:val="es-419"/>
        </w:rPr>
        <w:t xml:space="preserve">a metodología para la asignación de los ingresos y gastos a las Uniones en el contexto del presupuesto por programas </w:t>
      </w:r>
      <w:r>
        <w:rPr>
          <w:rFonts w:eastAsia="Arial"/>
          <w:sz w:val="18"/>
          <w:szCs w:val="22"/>
          <w:lang w:val="es-419"/>
        </w:rPr>
        <w:t xml:space="preserve">de </w:t>
      </w:r>
      <w:r w:rsidRPr="006D0ECA">
        <w:rPr>
          <w:rFonts w:eastAsia="Arial"/>
          <w:sz w:val="18"/>
          <w:szCs w:val="22"/>
          <w:lang w:val="es-419"/>
        </w:rPr>
        <w:t>2020/21</w:t>
      </w:r>
      <w:r>
        <w:rPr>
          <w:rFonts w:eastAsia="Arial"/>
          <w:sz w:val="18"/>
          <w:szCs w:val="22"/>
          <w:lang w:val="es-419"/>
        </w:rPr>
        <w:t xml:space="preserve"> no ha sido objeto de cambios con respecto a la metodología empleada en el presupuesto por programas de 2018/19.</w:t>
      </w:r>
      <w:r w:rsidRPr="006D0ECA">
        <w:rPr>
          <w:rFonts w:eastAsia="Arial"/>
          <w:sz w:val="18"/>
          <w:szCs w:val="22"/>
          <w:lang w:val="es-419"/>
        </w:rPr>
        <w:t xml:space="preserve"> En cuanto a la asignación de gastos directos e indirectos por Unión, según la práctica anterior, los cálculos se han precisado para reflejar más adecuadamente la evolución de la labor de la Organización propiciada por los sistemas de PRI/GRI. En los cuadros 11, 12 y 13 se ofrece un panorama general de la asignación de los ingresos y gastos por Unión en 2020/21, las estimaciones de ingresos en 2020/21, por Unión, y el presupuesto de 2020/21, por programa y Unión.</w:t>
      </w:r>
    </w:p>
    <w:p w:rsidR="006D0ECA" w:rsidRPr="006D0ECA" w:rsidRDefault="006D0ECA" w:rsidP="006D0ECA">
      <w:pPr>
        <w:keepNext/>
        <w:spacing w:before="320" w:after="240" w:line="220" w:lineRule="atLeast"/>
        <w:outlineLvl w:val="2"/>
        <w:rPr>
          <w:rFonts w:eastAsia="Arial"/>
          <w:color w:val="005172"/>
          <w:sz w:val="32"/>
          <w:szCs w:val="22"/>
          <w:lang w:val="es-419"/>
        </w:rPr>
      </w:pPr>
      <w:r w:rsidRPr="006D0ECA">
        <w:rPr>
          <w:rFonts w:eastAsia="Arial"/>
          <w:color w:val="005172"/>
          <w:sz w:val="32"/>
          <w:szCs w:val="22"/>
          <w:lang w:val="es-419"/>
        </w:rPr>
        <w:t>Asignación de los ingresos por Unión</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La asignación de los ingresos a las Uniones se basa en la siguiente metodología:</w:t>
      </w:r>
    </w:p>
    <w:p w:rsidR="006D0ECA" w:rsidRDefault="006D0ECA" w:rsidP="00465BA1">
      <w:pPr>
        <w:pStyle w:val="ListParagraph"/>
        <w:numPr>
          <w:ilvl w:val="0"/>
          <w:numId w:val="18"/>
        </w:numPr>
        <w:tabs>
          <w:tab w:val="left" w:pos="851"/>
        </w:tabs>
        <w:spacing w:after="180" w:line="220" w:lineRule="atLeast"/>
        <w:ind w:left="851" w:hanging="567"/>
        <w:rPr>
          <w:rFonts w:ascii="Arial" w:eastAsia="Arial" w:hAnsi="Arial"/>
          <w:sz w:val="18"/>
          <w:szCs w:val="18"/>
          <w:lang w:val="es-419"/>
        </w:rPr>
      </w:pPr>
      <w:r w:rsidRPr="006D0ECA">
        <w:rPr>
          <w:rFonts w:ascii="Arial" w:eastAsia="Arial" w:hAnsi="Arial"/>
          <w:sz w:val="18"/>
          <w:szCs w:val="18"/>
          <w:lang w:val="es-419"/>
        </w:rPr>
        <w:t>Los ingresos procedentes de las contribuciones de los Estados miembros se asignan a las Uniones financiadas por contribuciones;</w:t>
      </w:r>
    </w:p>
    <w:p w:rsidR="006D0ECA" w:rsidRPr="006D0ECA" w:rsidRDefault="006D0ECA" w:rsidP="006D0ECA">
      <w:pPr>
        <w:pStyle w:val="ListParagraph"/>
        <w:tabs>
          <w:tab w:val="left" w:pos="851"/>
        </w:tabs>
        <w:spacing w:after="180" w:line="220" w:lineRule="atLeast"/>
        <w:ind w:left="851"/>
        <w:rPr>
          <w:rFonts w:ascii="Arial" w:eastAsia="Arial" w:hAnsi="Arial"/>
          <w:sz w:val="18"/>
          <w:szCs w:val="18"/>
          <w:lang w:val="es-419"/>
        </w:rPr>
      </w:pPr>
    </w:p>
    <w:p w:rsidR="006D0ECA" w:rsidRDefault="006D0ECA" w:rsidP="00465BA1">
      <w:pPr>
        <w:pStyle w:val="ListParagraph"/>
        <w:numPr>
          <w:ilvl w:val="0"/>
          <w:numId w:val="18"/>
        </w:numPr>
        <w:tabs>
          <w:tab w:val="left" w:pos="851"/>
        </w:tabs>
        <w:spacing w:after="180" w:line="220" w:lineRule="atLeast"/>
        <w:ind w:left="851" w:hanging="567"/>
        <w:rPr>
          <w:rFonts w:ascii="Arial" w:eastAsia="Arial" w:hAnsi="Arial"/>
          <w:sz w:val="18"/>
          <w:szCs w:val="18"/>
          <w:lang w:val="es-419"/>
        </w:rPr>
      </w:pPr>
      <w:r w:rsidRPr="006D0ECA">
        <w:rPr>
          <w:rFonts w:ascii="Arial" w:eastAsia="Arial" w:hAnsi="Arial"/>
          <w:sz w:val="18"/>
          <w:szCs w:val="18"/>
          <w:lang w:val="es-419"/>
        </w:rPr>
        <w:t>Los ingresos en concepto de tasas del Sistema del PCT y de los sistemas de registro de Madrid, La Haya y Lisboa se asignan a las Uniones respectivas;</w:t>
      </w:r>
    </w:p>
    <w:p w:rsidR="006D0ECA" w:rsidRPr="006D0ECA" w:rsidRDefault="006D0ECA" w:rsidP="006D0ECA">
      <w:pPr>
        <w:pStyle w:val="ListParagraph"/>
        <w:rPr>
          <w:rFonts w:ascii="Arial" w:eastAsia="Arial" w:hAnsi="Arial"/>
          <w:sz w:val="18"/>
          <w:szCs w:val="18"/>
          <w:lang w:val="es-419"/>
        </w:rPr>
      </w:pPr>
    </w:p>
    <w:p w:rsidR="006D0ECA" w:rsidRDefault="006D0ECA" w:rsidP="00465BA1">
      <w:pPr>
        <w:pStyle w:val="ListParagraph"/>
        <w:numPr>
          <w:ilvl w:val="0"/>
          <w:numId w:val="18"/>
        </w:numPr>
        <w:tabs>
          <w:tab w:val="left" w:pos="851"/>
        </w:tabs>
        <w:spacing w:after="180" w:line="220" w:lineRule="atLeast"/>
        <w:ind w:left="851" w:hanging="567"/>
        <w:rPr>
          <w:rFonts w:ascii="Arial" w:eastAsia="Arial" w:hAnsi="Arial"/>
          <w:sz w:val="18"/>
          <w:szCs w:val="18"/>
          <w:lang w:val="es-419"/>
        </w:rPr>
      </w:pPr>
      <w:r w:rsidRPr="006D0ECA">
        <w:rPr>
          <w:rFonts w:ascii="Arial" w:eastAsia="Arial" w:hAnsi="Arial"/>
          <w:sz w:val="18"/>
          <w:szCs w:val="18"/>
          <w:lang w:val="es-419"/>
        </w:rPr>
        <w:t>Los ingresos procedentes de las publicaciones se asignan a las Uniones financiadas por contribuciones, y a las Uniones del PCT y de Madrid sobre la base de los ingresos estimados en ese concepto para cada una de las Uniones;</w:t>
      </w:r>
    </w:p>
    <w:p w:rsidR="006D0ECA" w:rsidRPr="006D0ECA" w:rsidRDefault="006D0ECA" w:rsidP="006D0ECA">
      <w:pPr>
        <w:pStyle w:val="ListParagraph"/>
        <w:rPr>
          <w:rFonts w:ascii="Arial" w:eastAsia="Arial" w:hAnsi="Arial"/>
          <w:sz w:val="18"/>
          <w:szCs w:val="18"/>
          <w:lang w:val="es-419"/>
        </w:rPr>
      </w:pPr>
    </w:p>
    <w:p w:rsidR="006D0ECA" w:rsidRDefault="006D0ECA" w:rsidP="00465BA1">
      <w:pPr>
        <w:pStyle w:val="ListParagraph"/>
        <w:numPr>
          <w:ilvl w:val="0"/>
          <w:numId w:val="18"/>
        </w:numPr>
        <w:tabs>
          <w:tab w:val="left" w:pos="851"/>
        </w:tabs>
        <w:spacing w:after="180" w:line="220" w:lineRule="atLeast"/>
        <w:ind w:left="851" w:hanging="567"/>
        <w:rPr>
          <w:rFonts w:ascii="Arial" w:eastAsia="Arial" w:hAnsi="Arial"/>
          <w:sz w:val="18"/>
          <w:szCs w:val="18"/>
          <w:lang w:val="es-419"/>
        </w:rPr>
      </w:pPr>
      <w:r w:rsidRPr="006D0ECA">
        <w:rPr>
          <w:rFonts w:ascii="Arial" w:eastAsia="Arial" w:hAnsi="Arial"/>
          <w:sz w:val="18"/>
          <w:szCs w:val="18"/>
          <w:lang w:val="es-419"/>
        </w:rPr>
        <w:t>Los ingresos procedentes del Centro de Arbitraje y Mediación se asignan a las Uniones sobre la base de las estimac</w:t>
      </w:r>
      <w:r>
        <w:rPr>
          <w:rFonts w:ascii="Arial" w:eastAsia="Arial" w:hAnsi="Arial"/>
          <w:sz w:val="18"/>
          <w:szCs w:val="18"/>
          <w:lang w:val="es-419"/>
        </w:rPr>
        <w:t>iones del director del programa;</w:t>
      </w:r>
    </w:p>
    <w:p w:rsidR="006D0ECA" w:rsidRPr="006D0ECA" w:rsidRDefault="006D0ECA" w:rsidP="006D0ECA">
      <w:pPr>
        <w:pStyle w:val="ListParagraph"/>
        <w:rPr>
          <w:rFonts w:ascii="Arial" w:eastAsia="Arial" w:hAnsi="Arial"/>
          <w:sz w:val="18"/>
          <w:szCs w:val="18"/>
          <w:lang w:val="es-419"/>
        </w:rPr>
      </w:pPr>
    </w:p>
    <w:p w:rsidR="006D0ECA" w:rsidRDefault="006D0ECA" w:rsidP="00465BA1">
      <w:pPr>
        <w:pStyle w:val="ListParagraph"/>
        <w:numPr>
          <w:ilvl w:val="0"/>
          <w:numId w:val="18"/>
        </w:numPr>
        <w:tabs>
          <w:tab w:val="left" w:pos="851"/>
        </w:tabs>
        <w:spacing w:after="180" w:line="220" w:lineRule="atLeast"/>
        <w:ind w:left="851" w:hanging="567"/>
        <w:rPr>
          <w:rFonts w:ascii="Arial" w:eastAsia="Arial" w:hAnsi="Arial"/>
          <w:sz w:val="18"/>
          <w:szCs w:val="18"/>
          <w:lang w:val="es-419"/>
        </w:rPr>
      </w:pPr>
      <w:r w:rsidRPr="006D0ECA">
        <w:rPr>
          <w:rFonts w:ascii="Arial" w:eastAsia="Arial" w:hAnsi="Arial"/>
          <w:sz w:val="18"/>
          <w:szCs w:val="18"/>
          <w:lang w:val="es-419"/>
        </w:rPr>
        <w:t>Los ingresos diversos se asignan a partes iguales entre todas las Uniones; y</w:t>
      </w:r>
    </w:p>
    <w:p w:rsidR="006D0ECA" w:rsidRPr="006D0ECA" w:rsidRDefault="006D0ECA" w:rsidP="006D0ECA">
      <w:pPr>
        <w:pStyle w:val="ListParagraph"/>
        <w:rPr>
          <w:rFonts w:ascii="Arial" w:eastAsia="Arial" w:hAnsi="Arial"/>
          <w:sz w:val="18"/>
          <w:szCs w:val="18"/>
          <w:lang w:val="es-419"/>
        </w:rPr>
      </w:pPr>
    </w:p>
    <w:p w:rsidR="006D0ECA" w:rsidRPr="006D0ECA" w:rsidRDefault="006D0ECA" w:rsidP="00465BA1">
      <w:pPr>
        <w:pStyle w:val="ListParagraph"/>
        <w:numPr>
          <w:ilvl w:val="0"/>
          <w:numId w:val="18"/>
        </w:numPr>
        <w:tabs>
          <w:tab w:val="left" w:pos="851"/>
        </w:tabs>
        <w:spacing w:after="180" w:line="220" w:lineRule="atLeast"/>
        <w:ind w:left="851" w:hanging="567"/>
        <w:rPr>
          <w:rFonts w:ascii="Arial" w:eastAsia="Arial" w:hAnsi="Arial"/>
          <w:sz w:val="18"/>
          <w:szCs w:val="18"/>
          <w:lang w:val="es-419"/>
        </w:rPr>
      </w:pPr>
      <w:r w:rsidRPr="006D0ECA">
        <w:rPr>
          <w:rFonts w:ascii="Arial" w:eastAsia="Arial" w:hAnsi="Arial"/>
          <w:sz w:val="18"/>
          <w:szCs w:val="18"/>
          <w:lang w:val="es-419"/>
        </w:rPr>
        <w:t>Los ajustes de los ingresos con arreglo a las IPSAS sobre una base presupuestaria se asignan a partes iguales entre todas las Uniones.</w:t>
      </w:r>
    </w:p>
    <w:p w:rsidR="006D0ECA" w:rsidRPr="006D0ECA" w:rsidRDefault="006D0ECA" w:rsidP="006D0ECA">
      <w:pPr>
        <w:keepNext/>
        <w:spacing w:before="320" w:after="240" w:line="220" w:lineRule="atLeast"/>
        <w:outlineLvl w:val="2"/>
        <w:rPr>
          <w:rFonts w:eastAsia="Arial"/>
          <w:color w:val="005172"/>
          <w:sz w:val="32"/>
          <w:szCs w:val="22"/>
          <w:lang w:val="es-419"/>
        </w:rPr>
      </w:pPr>
      <w:r w:rsidRPr="006D0ECA">
        <w:rPr>
          <w:rFonts w:eastAsia="Arial"/>
          <w:color w:val="005172"/>
          <w:sz w:val="32"/>
          <w:szCs w:val="22"/>
          <w:lang w:val="es-419"/>
        </w:rPr>
        <w:t>Asignación de los gastos por Unión</w:t>
      </w:r>
    </w:p>
    <w:p w:rsidR="006D0ECA" w:rsidRPr="006D0ECA" w:rsidRDefault="006D0ECA" w:rsidP="006D0ECA">
      <w:pPr>
        <w:keepNext/>
        <w:spacing w:before="240" w:after="180" w:line="220" w:lineRule="atLeast"/>
        <w:outlineLvl w:val="2"/>
        <w:rPr>
          <w:rFonts w:ascii="Arial Bold" w:eastAsia="Arial" w:hAnsi="Arial Bold"/>
          <w:b/>
          <w:color w:val="005172"/>
          <w:szCs w:val="22"/>
          <w:lang w:val="es-419"/>
        </w:rPr>
      </w:pPr>
      <w:r w:rsidRPr="006D0ECA">
        <w:rPr>
          <w:rFonts w:ascii="Arial Bold" w:eastAsia="Arial" w:hAnsi="Arial Bold"/>
          <w:b/>
          <w:color w:val="005172"/>
          <w:szCs w:val="22"/>
          <w:lang w:val="es-419"/>
        </w:rPr>
        <w:t>Principios de la asignación</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 xml:space="preserve">Los gastos se asignan a las Uniones con arreglo a las cuatro categorías siguientes: </w:t>
      </w:r>
    </w:p>
    <w:p w:rsidR="006D0ECA" w:rsidRPr="006D0ECA" w:rsidRDefault="006D0ECA" w:rsidP="00465BA1">
      <w:pPr>
        <w:numPr>
          <w:ilvl w:val="3"/>
          <w:numId w:val="17"/>
        </w:numPr>
        <w:spacing w:after="180" w:line="220" w:lineRule="atLeast"/>
        <w:rPr>
          <w:rFonts w:eastAsia="Arial"/>
          <w:sz w:val="18"/>
          <w:szCs w:val="22"/>
          <w:lang w:val="es-419"/>
        </w:rPr>
      </w:pPr>
      <w:r w:rsidRPr="006D0ECA">
        <w:rPr>
          <w:rFonts w:eastAsia="Arial"/>
          <w:sz w:val="18"/>
          <w:szCs w:val="22"/>
          <w:lang w:val="es-419"/>
        </w:rPr>
        <w:t>“gastos directos por Unión” (p. ej., los gastos efectuados por el programa 5 (Sistema del PCT) constituyen un “gasto directo por Unión” de la Unión del PCT);</w:t>
      </w:r>
    </w:p>
    <w:p w:rsidR="006D0ECA" w:rsidRPr="006D0ECA" w:rsidRDefault="006D0ECA" w:rsidP="00465BA1">
      <w:pPr>
        <w:numPr>
          <w:ilvl w:val="3"/>
          <w:numId w:val="17"/>
        </w:numPr>
        <w:spacing w:after="180" w:line="220" w:lineRule="atLeast"/>
        <w:rPr>
          <w:rFonts w:eastAsia="Arial"/>
          <w:sz w:val="18"/>
          <w:szCs w:val="22"/>
          <w:lang w:val="es-419"/>
        </w:rPr>
      </w:pPr>
      <w:r w:rsidRPr="006D0ECA">
        <w:rPr>
          <w:rFonts w:eastAsia="Arial"/>
          <w:sz w:val="18"/>
          <w:szCs w:val="22"/>
          <w:lang w:val="es-419"/>
        </w:rPr>
        <w:t xml:space="preserve">“gastos indirectos por Unión” (p. ej., la parte de los gastos del programa 9 (Oficinas regionales en la sede y PMA) sufragados por la Unión del PCT es un “gasto indirecto por Unión”); </w:t>
      </w:r>
    </w:p>
    <w:p w:rsidR="006D0ECA" w:rsidRPr="006D0ECA" w:rsidRDefault="006D0ECA" w:rsidP="00465BA1">
      <w:pPr>
        <w:numPr>
          <w:ilvl w:val="3"/>
          <w:numId w:val="17"/>
        </w:numPr>
        <w:spacing w:after="180" w:line="220" w:lineRule="atLeast"/>
        <w:rPr>
          <w:rFonts w:eastAsia="Arial"/>
          <w:sz w:val="18"/>
          <w:szCs w:val="22"/>
          <w:lang w:val="es-419"/>
        </w:rPr>
      </w:pPr>
      <w:r w:rsidRPr="006D0ECA">
        <w:rPr>
          <w:rFonts w:eastAsia="Arial"/>
          <w:sz w:val="18"/>
          <w:szCs w:val="22"/>
          <w:lang w:val="es-419"/>
        </w:rPr>
        <w:t xml:space="preserve">“gastos administrativos directos” (p. ej., los gastos del programa 23 (Gestión y desarrollo de los recursos humanos) que se efectúen en concepto de recursos humanos relacionados con el apoyo prestado al programa 5 es un “gasto administrativo directo” de la Unión del PCT); y </w:t>
      </w:r>
    </w:p>
    <w:p w:rsidR="006D0ECA" w:rsidRPr="006D0ECA" w:rsidRDefault="006D0ECA" w:rsidP="00465BA1">
      <w:pPr>
        <w:numPr>
          <w:ilvl w:val="3"/>
          <w:numId w:val="17"/>
        </w:numPr>
        <w:spacing w:after="180" w:line="220" w:lineRule="atLeast"/>
        <w:rPr>
          <w:rFonts w:eastAsia="Arial"/>
          <w:sz w:val="18"/>
          <w:szCs w:val="22"/>
          <w:lang w:val="es-419"/>
        </w:rPr>
      </w:pPr>
      <w:r w:rsidRPr="006D0ECA">
        <w:rPr>
          <w:rFonts w:eastAsia="Arial"/>
          <w:sz w:val="18"/>
          <w:szCs w:val="22"/>
          <w:lang w:val="es-419"/>
        </w:rPr>
        <w:t>“gastos administrativos indirectos” (p. ej., la parte de los gastos del programa 23 que se efectúen en concepto de recursos humanos relacionados con el apoyo prestado al programa 9 sufragados por la Unión del PCT es un “gasto administrativo indirecto”).</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lastRenderedPageBreak/>
        <w:t>Los gastos directos por Unión se asignan a las Uniones íntegramente o sobre la base de las estimaciones del director de programa. Los gastos administrativos directos se asignan a las Uniones sobre la base de la parte correspondiente de la dotación de personal.</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indirectos por Unión y los gastos administrativos indirectos se asignan a las Uniones según el principio de la “capacidad de pago”. Si la Unión dispone de un nivel de reservas superior a su previsión mínima de reservas, se considera que puede prestar apoyo a actividades relacionadas indirectamente con la Unión. La “capacidad de pago” se calcula a partir de la diferencia entre los ingresos bienales previstos de la Unión y los gastos directos por Unión y gastos administrativos directos. La medida en que cada Unión puede proporcionar ese apoyo se calcula atendiendo al grado en que los ingresos de cada una de las Uniones superan sus gastos directos.</w:t>
      </w:r>
    </w:p>
    <w:p w:rsidR="006D0ECA" w:rsidRPr="006D0ECA" w:rsidRDefault="006D0ECA" w:rsidP="006D0ECA">
      <w:pPr>
        <w:spacing w:before="240" w:after="180" w:line="220" w:lineRule="atLeast"/>
        <w:outlineLvl w:val="2"/>
        <w:rPr>
          <w:rFonts w:ascii="Arial Bold" w:eastAsia="Arial" w:hAnsi="Arial Bold"/>
          <w:b/>
          <w:color w:val="005172"/>
          <w:szCs w:val="22"/>
          <w:lang w:val="es-419"/>
        </w:rPr>
      </w:pPr>
      <w:r w:rsidRPr="006D0ECA">
        <w:rPr>
          <w:rFonts w:ascii="Arial Bold" w:eastAsia="Arial" w:hAnsi="Arial Bold"/>
          <w:b/>
          <w:color w:val="005172"/>
          <w:szCs w:val="22"/>
          <w:lang w:val="es-419"/>
        </w:rPr>
        <w:t>Asignación de los gastos en 2020/21 por categoría de asignación</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En el cuadro que figura a continuación se resume la asignación de los gastos a las Uniones en 2020/21 sobre la base de cuatro categorías. Los gastos indirectos se asignan a la Unión del PCT y la Unión de Madrid teniendo en cuenta su “capacidad de pago”.</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Uniones financiadas por contribuciones</w:t>
            </w:r>
          </w:p>
        </w:tc>
        <w:tc>
          <w:tcPr>
            <w:tcW w:w="1000" w:type="pct"/>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 xml:space="preserve">Unión del PCT </w:t>
            </w:r>
          </w:p>
        </w:tc>
        <w:tc>
          <w:tcPr>
            <w:tcW w:w="1000" w:type="pct"/>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 xml:space="preserve">Unión de Madrid </w:t>
            </w:r>
          </w:p>
        </w:tc>
        <w:tc>
          <w:tcPr>
            <w:tcW w:w="1000" w:type="pct"/>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 xml:space="preserve">Unión de La Haya </w:t>
            </w:r>
          </w:p>
        </w:tc>
        <w:tc>
          <w:tcPr>
            <w:tcW w:w="1000" w:type="pct"/>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Unión de Lisboa</w:t>
            </w:r>
          </w:p>
        </w:tc>
      </w:tr>
      <w:tr w:rsidR="006D0ECA" w:rsidRPr="006D0ECA" w:rsidTr="006D0ECA">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Directos por Unión</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Directos por Unión</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Directos por Unión</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Directos por Unión</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Directos por Unión</w:t>
            </w:r>
          </w:p>
        </w:tc>
      </w:tr>
      <w:tr w:rsidR="006D0ECA" w:rsidRPr="006D0ECA" w:rsidTr="006D0ECA">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Administrativos directos</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Administrativos directos</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Administrativos directos</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Administrativos directos</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Administrativos directos</w:t>
            </w:r>
          </w:p>
        </w:tc>
      </w:tr>
      <w:tr w:rsidR="006D0ECA" w:rsidRPr="006D0ECA" w:rsidTr="006D0ECA">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Indirectos por Unión</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Indirectos por Unión</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Indirectos por Unión</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Indirectos por Unión</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Indirectos por Unión</w:t>
            </w:r>
          </w:p>
        </w:tc>
      </w:tr>
      <w:tr w:rsidR="006D0ECA" w:rsidRPr="006D0ECA" w:rsidTr="006D0ECA">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Administrativos indirectos</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Administrativos indirectos</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Administrativos indirectos</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Administrativos indirectos</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Administrativos indirectos</w:t>
            </w:r>
          </w:p>
        </w:tc>
      </w:tr>
      <w:tr w:rsidR="006D0ECA" w:rsidRPr="006D0ECA" w:rsidTr="006D0ECA">
        <w:tc>
          <w:tcPr>
            <w:tcW w:w="5000" w:type="pct"/>
            <w:gridSpan w:val="5"/>
            <w:shd w:val="clear" w:color="auto" w:fill="C6CFD7"/>
          </w:tcPr>
          <w:p w:rsidR="006D0ECA" w:rsidRPr="006D0ECA" w:rsidRDefault="006D0ECA" w:rsidP="00465BA1">
            <w:pPr>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Ajustes de los gastos con arreglo a las IPSAS</w:t>
            </w:r>
          </w:p>
        </w:tc>
      </w:tr>
    </w:tbl>
    <w:p w:rsidR="006D0ECA" w:rsidRPr="006D0ECA" w:rsidRDefault="006D0ECA" w:rsidP="006D0ECA">
      <w:pPr>
        <w:keepNext/>
        <w:spacing w:before="240" w:after="180" w:line="220" w:lineRule="atLeast"/>
        <w:outlineLvl w:val="2"/>
        <w:rPr>
          <w:rFonts w:ascii="Arial Bold" w:eastAsia="Arial" w:hAnsi="Arial Bold"/>
          <w:b/>
          <w:color w:val="005172"/>
          <w:szCs w:val="22"/>
          <w:lang w:val="es-419"/>
        </w:rPr>
      </w:pPr>
      <w:r w:rsidRPr="006D0ECA">
        <w:rPr>
          <w:rFonts w:ascii="Arial Bold" w:eastAsia="Arial" w:hAnsi="Arial Bold"/>
          <w:b/>
          <w:color w:val="005172"/>
          <w:szCs w:val="22"/>
          <w:lang w:val="es-419"/>
        </w:rPr>
        <w:t>Asignación de los gastos por resultados previstos</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Las actividades de la OMPI son ejecutadas por la Secretaría conforme a una estructura basada en programas. En el marco de los programas se llevan a cabo actividades que contribuyen al logro de los resultados previstos de la Organización.</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I.1 “Mayor cooperación entre los Estados miembros en la elaboración de marcos normativos internacionales de PI equilibrados”, ejecutadas por los programas siguientes: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1</w:t>
      </w:r>
      <w:r w:rsidRPr="006D0ECA">
        <w:rPr>
          <w:rFonts w:eastAsia="Arial"/>
          <w:sz w:val="18"/>
          <w:szCs w:val="22"/>
          <w:lang w:val="es-419"/>
        </w:rPr>
        <w:tab/>
        <w:t>(Derecho de patentes)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2</w:t>
      </w:r>
      <w:r w:rsidRPr="006D0ECA">
        <w:rPr>
          <w:rFonts w:eastAsia="Arial"/>
          <w:sz w:val="18"/>
          <w:szCs w:val="22"/>
          <w:lang w:val="es-419"/>
        </w:rPr>
        <w:tab/>
        <w:t>(Marcas, diseños industriales e indicaciones geográficas)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3 </w:t>
      </w:r>
      <w:r w:rsidRPr="006D0ECA">
        <w:rPr>
          <w:rFonts w:eastAsia="Arial"/>
          <w:sz w:val="18"/>
          <w:szCs w:val="22"/>
          <w:lang w:val="es-419"/>
        </w:rPr>
        <w:tab/>
        <w:t>(Derecho de autor y derechos conexos)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4</w:t>
      </w:r>
      <w:r w:rsidRPr="006D0ECA">
        <w:rPr>
          <w:rFonts w:eastAsia="Arial"/>
          <w:sz w:val="18"/>
          <w:szCs w:val="22"/>
          <w:lang w:val="es-419"/>
        </w:rPr>
        <w:tab/>
        <w:t>(Conocimientos tradicionales, expresiones culturales tradicionales y recursos genéticos)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18</w:t>
      </w:r>
      <w:r w:rsidRPr="006D0ECA">
        <w:rPr>
          <w:rFonts w:eastAsia="Arial"/>
          <w:sz w:val="18"/>
          <w:szCs w:val="22"/>
          <w:lang w:val="es-419"/>
        </w:rPr>
        <w:tab/>
        <w:t>(La PI y los desafíos mundiales)</w:t>
      </w:r>
    </w:p>
    <w:p w:rsidR="006D0ECA" w:rsidRPr="006D0ECA" w:rsidRDefault="006D0ECA" w:rsidP="006D0ECA">
      <w:pPr>
        <w:keepNext/>
        <w:spacing w:after="180" w:line="220" w:lineRule="atLeast"/>
        <w:rPr>
          <w:rFonts w:eastAsia="Arial"/>
          <w:sz w:val="18"/>
          <w:szCs w:val="22"/>
          <w:lang w:val="es-419"/>
        </w:rPr>
      </w:pPr>
      <w:r w:rsidRPr="006D0ECA">
        <w:rPr>
          <w:rFonts w:eastAsia="Arial"/>
          <w:sz w:val="18"/>
          <w:szCs w:val="22"/>
          <w:lang w:val="es-419"/>
        </w:rPr>
        <w:t>se contabilizan como “Gastos directos por Unión” y “Gastos indirectos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spacing w:line="200" w:lineRule="atLeast"/>
              <w:ind w:left="113"/>
              <w:jc w:val="center"/>
              <w:rPr>
                <w:rFonts w:ascii="Arial Narrow" w:hAnsi="Arial Narrow"/>
                <w:b/>
                <w:sz w:val="16"/>
                <w:lang w:val="es-419"/>
              </w:rPr>
            </w:pPr>
            <w:r w:rsidRPr="006D0ECA">
              <w:rPr>
                <w:rFonts w:ascii="Arial Narrow" w:hAnsi="Arial Narrow"/>
                <w:b/>
                <w:sz w:val="16"/>
                <w:lang w:val="es-419"/>
              </w:rPr>
              <w:t xml:space="preserve">Uniones financiadas por contribuciones </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del PCT</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1 - SCP</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(10%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 xml:space="preserve">Programa 1 - SCP </w:t>
            </w:r>
          </w:p>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i/>
                <w:sz w:val="16"/>
                <w:lang w:val="es-419"/>
              </w:rPr>
              <w:t>(90%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2 - SCT</w:t>
            </w:r>
          </w:p>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i/>
                <w:sz w:val="16"/>
                <w:lang w:val="es-419"/>
              </w:rPr>
              <w:t>(65%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2 - SCT</w:t>
            </w:r>
          </w:p>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i/>
                <w:sz w:val="16"/>
                <w:lang w:val="es-419"/>
              </w:rPr>
              <w:t>(15% - estimación del DP)</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2 - SCT</w:t>
            </w:r>
          </w:p>
          <w:p w:rsidR="006D0ECA" w:rsidRPr="006D0ECA" w:rsidRDefault="006D0ECA" w:rsidP="00465BA1">
            <w:pPr>
              <w:keepNext/>
              <w:keepLines/>
              <w:numPr>
                <w:ilvl w:val="0"/>
                <w:numId w:val="6"/>
              </w:numPr>
              <w:spacing w:line="200" w:lineRule="atLeast"/>
              <w:ind w:left="113"/>
              <w:jc w:val="center"/>
              <w:rPr>
                <w:rFonts w:ascii="Arial Narrow" w:hAnsi="Arial Narrow"/>
                <w:i/>
                <w:sz w:val="16"/>
                <w:lang w:val="es-419"/>
              </w:rPr>
            </w:pPr>
            <w:r w:rsidRPr="006D0ECA">
              <w:rPr>
                <w:rFonts w:ascii="Arial Narrow" w:hAnsi="Arial Narrow"/>
                <w:i/>
                <w:sz w:val="16"/>
                <w:lang w:val="es-419"/>
              </w:rPr>
              <w:t>(20% - estimación del DP)</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3 - SCCR</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4 - CIG</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5000" w:type="pct"/>
            <w:gridSpan w:val="5"/>
            <w:shd w:val="clear" w:color="auto" w:fill="C6CFD7"/>
          </w:tcPr>
          <w:p w:rsidR="006D0ECA" w:rsidRPr="006D0ECA" w:rsidRDefault="006D0ECA" w:rsidP="00465BA1">
            <w:pPr>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Gastos indirectos por Unión: Programa 1 (fortalecimiento de capacidades) y programa 18</w:t>
            </w: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keepNext/>
        <w:spacing w:after="180" w:line="220" w:lineRule="atLeast"/>
        <w:rPr>
          <w:rFonts w:eastAsia="Arial"/>
          <w:sz w:val="18"/>
          <w:szCs w:val="22"/>
          <w:lang w:val="es-419"/>
        </w:rPr>
      </w:pPr>
      <w:r w:rsidRPr="006D0ECA">
        <w:rPr>
          <w:rFonts w:eastAsia="Arial"/>
          <w:sz w:val="18"/>
          <w:szCs w:val="22"/>
          <w:lang w:val="es-419"/>
        </w:rPr>
        <w:lastRenderedPageBreak/>
        <w:t>Los gastos relativos a las actividades que contribuyen a la consecución del resultado previsto I.2 “Marcos de PI adaptados y equilibrados en el ámbito legislativo, regulador y de política” ejecutadas por los programas siguientes: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 </w:t>
      </w:r>
      <w:r w:rsidRPr="006D0ECA">
        <w:rPr>
          <w:rFonts w:eastAsia="Arial"/>
          <w:sz w:val="18"/>
          <w:szCs w:val="22"/>
          <w:lang w:val="es-419"/>
        </w:rPr>
        <w:tab/>
        <w:t>(Derecho de patentes)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2 </w:t>
      </w:r>
      <w:r w:rsidRPr="006D0ECA">
        <w:rPr>
          <w:rFonts w:eastAsia="Arial"/>
          <w:sz w:val="18"/>
          <w:szCs w:val="22"/>
          <w:lang w:val="es-419"/>
        </w:rPr>
        <w:tab/>
        <w:t xml:space="preserve">(Marcas, diseños industriales e indicaciones geográficas) </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3</w:t>
      </w:r>
      <w:r w:rsidRPr="006D0ECA">
        <w:rPr>
          <w:rFonts w:eastAsia="Arial"/>
          <w:sz w:val="18"/>
          <w:szCs w:val="22"/>
          <w:lang w:val="es-419"/>
        </w:rPr>
        <w:tab/>
        <w:t>(Derecho de autor y derechos conexos)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9 </w:t>
      </w:r>
      <w:r w:rsidRPr="006D0ECA">
        <w:rPr>
          <w:rFonts w:eastAsia="Arial"/>
          <w:sz w:val="18"/>
          <w:szCs w:val="22"/>
          <w:lang w:val="es-419"/>
        </w:rPr>
        <w:tab/>
        <w:t>(Oficinas regionales en la sede y PMA)</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10 </w:t>
      </w:r>
      <w:r w:rsidRPr="006D0ECA">
        <w:rPr>
          <w:rFonts w:eastAsia="Arial"/>
          <w:sz w:val="18"/>
          <w:szCs w:val="22"/>
          <w:lang w:val="es-419"/>
        </w:rPr>
        <w:tab/>
        <w:t>(Países con economías en transición y países desarrollados)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17 </w:t>
      </w:r>
      <w:r w:rsidRPr="006D0ECA">
        <w:rPr>
          <w:rFonts w:eastAsia="Arial"/>
          <w:sz w:val="18"/>
          <w:szCs w:val="22"/>
          <w:lang w:val="es-419"/>
        </w:rPr>
        <w:tab/>
        <w:t>(Fomentar el respeto por la PI)</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18 </w:t>
      </w:r>
      <w:r w:rsidRPr="006D0ECA">
        <w:rPr>
          <w:rFonts w:eastAsia="Arial"/>
          <w:sz w:val="18"/>
          <w:szCs w:val="22"/>
          <w:lang w:val="es-419"/>
        </w:rPr>
        <w:tab/>
        <w:t>(La PI y los desafíos mundiales)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20 </w:t>
      </w:r>
      <w:r w:rsidRPr="006D0ECA">
        <w:rPr>
          <w:rFonts w:eastAsia="Arial"/>
          <w:sz w:val="18"/>
          <w:szCs w:val="22"/>
          <w:lang w:val="es-419"/>
        </w:rPr>
        <w:tab/>
        <w:t>(Relaciones exteriores, alianzas y oficinas en el exterior)</w:t>
      </w:r>
    </w:p>
    <w:p w:rsidR="006D0ECA" w:rsidRPr="006D0ECA" w:rsidRDefault="006D0ECA" w:rsidP="006D0ECA">
      <w:pPr>
        <w:keepNext/>
        <w:spacing w:after="180" w:line="220" w:lineRule="atLeast"/>
        <w:rPr>
          <w:rFonts w:eastAsia="Arial"/>
          <w:sz w:val="18"/>
          <w:szCs w:val="22"/>
          <w:lang w:val="es-419"/>
        </w:rPr>
      </w:pPr>
      <w:r w:rsidRPr="006D0ECA">
        <w:rPr>
          <w:rFonts w:eastAsia="Arial"/>
          <w:sz w:val="18"/>
          <w:szCs w:val="22"/>
          <w:lang w:val="es-419"/>
        </w:rPr>
        <w:t>se contabilizan como “Gastos directos por Unión” y “Gastos indirectos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spacing w:line="200" w:lineRule="atLeast"/>
              <w:ind w:left="113"/>
              <w:jc w:val="center"/>
              <w:rPr>
                <w:rFonts w:ascii="Arial Narrow" w:hAnsi="Arial Narrow"/>
                <w:b/>
                <w:sz w:val="16"/>
                <w:lang w:val="es-419"/>
              </w:rPr>
            </w:pPr>
            <w:r w:rsidRPr="006D0ECA">
              <w:rPr>
                <w:rFonts w:ascii="Arial Narrow" w:hAnsi="Arial Narrow"/>
                <w:b/>
                <w:sz w:val="16"/>
                <w:lang w:val="es-419"/>
              </w:rPr>
              <w:t>Uniones financiadas por contribuciones</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del PCT</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Programa 1 - promoción del PLT &amp; Tratado de Budapest</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(10%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1 - promoción del PLT &amp; Tratado de Budapest</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(90%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2 – promoción del Tratado de Singapur</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(65%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2 – promoción del Tratado de Singapur</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(15% - estimación del DP)</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Programa 2 – promoción del Tratado de Singapur</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(20% - estimación del DP)</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Programa 3 - promoción de tratados (Beijing, Marrakech, WCT, WPPT, etc.)</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5000" w:type="pct"/>
            <w:gridSpan w:val="5"/>
            <w:shd w:val="clear" w:color="auto" w:fill="C6CFD7"/>
          </w:tcPr>
          <w:p w:rsidR="006D0ECA" w:rsidRPr="006D0ECA" w:rsidRDefault="006D0ECA" w:rsidP="00465BA1">
            <w:pPr>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Gastos indirectos por Unión: Programas 1 (asesoramiento legislativo), 9, 10, 17, 18 y 20</w:t>
            </w: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I.3 “Aumento de la seguridad y certidumbre para la protección de los emblemas de Estado y de los nombres y emblemas de organizaciones intergubernamentales internacionales”, ejecutadas por el programa 2 (Marcas, diseños industriales e indicaciones geográficas), se contabilizan como “Gastos 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spacing w:line="200" w:lineRule="atLeast"/>
              <w:ind w:left="113"/>
              <w:jc w:val="center"/>
              <w:rPr>
                <w:rFonts w:ascii="Arial Narrow" w:hAnsi="Arial Narrow"/>
                <w:b/>
                <w:sz w:val="16"/>
                <w:lang w:val="es-419"/>
              </w:rPr>
            </w:pPr>
            <w:r w:rsidRPr="006D0ECA">
              <w:rPr>
                <w:rFonts w:ascii="Arial Narrow" w:hAnsi="Arial Narrow"/>
                <w:b/>
                <w:sz w:val="16"/>
                <w:lang w:val="es-419"/>
              </w:rPr>
              <w:t>Uniones financiadas por contribuciones</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Borders>
              <w:bottom w:val="single" w:sz="18" w:space="0" w:color="C6CFD7"/>
            </w:tcBorders>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2 – artículo 6</w:t>
            </w:r>
            <w:r w:rsidRPr="006D0ECA">
              <w:rPr>
                <w:rFonts w:ascii="Arial Narrow" w:hAnsi="Arial Narrow"/>
                <w:i/>
                <w:sz w:val="16"/>
                <w:lang w:val="es-419"/>
              </w:rPr>
              <w:t>ter</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(20% - estimación del DP)</w:t>
            </w:r>
          </w:p>
        </w:tc>
        <w:tc>
          <w:tcPr>
            <w:tcW w:w="1000" w:type="pct"/>
            <w:tcBorders>
              <w:bottom w:val="single" w:sz="18" w:space="0" w:color="C6CFD7"/>
            </w:tcBorders>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Borders>
              <w:bottom w:val="single" w:sz="18" w:space="0" w:color="C6CFD7"/>
            </w:tcBorders>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2 - artículo 6</w:t>
            </w:r>
            <w:r w:rsidRPr="006D0ECA">
              <w:rPr>
                <w:rFonts w:ascii="Arial Narrow" w:hAnsi="Arial Narrow"/>
                <w:i/>
                <w:sz w:val="16"/>
                <w:lang w:val="es-419"/>
              </w:rPr>
              <w:t>ter</w:t>
            </w:r>
          </w:p>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sz w:val="16"/>
                <w:lang w:val="es-419"/>
              </w:rPr>
              <w:t>(65% - estimación del DP)</w:t>
            </w:r>
          </w:p>
        </w:tc>
        <w:tc>
          <w:tcPr>
            <w:tcW w:w="1000" w:type="pct"/>
            <w:tcBorders>
              <w:bottom w:val="single" w:sz="18" w:space="0" w:color="C6CFD7"/>
            </w:tcBorders>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2 - artículo 6</w:t>
            </w:r>
            <w:r w:rsidRPr="006D0ECA">
              <w:rPr>
                <w:rFonts w:ascii="Arial Narrow" w:hAnsi="Arial Narrow"/>
                <w:i/>
                <w:sz w:val="16"/>
                <w:lang w:val="es-419"/>
              </w:rPr>
              <w:t>ter</w:t>
            </w:r>
          </w:p>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sz w:val="16"/>
                <w:lang w:val="es-419"/>
              </w:rPr>
              <w:t>(15% - estimación del DP)</w:t>
            </w:r>
          </w:p>
        </w:tc>
        <w:tc>
          <w:tcPr>
            <w:tcW w:w="1000" w:type="pct"/>
            <w:tcBorders>
              <w:bottom w:val="single" w:sz="18" w:space="0" w:color="C6CFD7"/>
            </w:tcBorders>
          </w:tcPr>
          <w:p w:rsidR="006D0ECA" w:rsidRPr="006D0ECA" w:rsidRDefault="006D0ECA" w:rsidP="00465BA1">
            <w:pPr>
              <w:numPr>
                <w:ilvl w:val="0"/>
                <w:numId w:val="6"/>
              </w:numPr>
              <w:spacing w:line="200" w:lineRule="atLeast"/>
              <w:ind w:left="113"/>
              <w:rPr>
                <w:rFonts w:ascii="Arial Narrow" w:hAnsi="Arial Narrow"/>
                <w:sz w:val="16"/>
                <w:lang w:val="es-419"/>
              </w:rPr>
            </w:pP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keepNext/>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I.4 “Interés creciente en que la OMPI sea un foro de análisis de cuestiones relacionadas con la protección internacional de las patentes, los modelos de utilidad, los esquemas de trazado (topografías) de circuitos integrados y la información confidencial”, ejecutadas por el programa 1 (Derecho de patentes), se contabilizan como “Gastos 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spacing w:line="200" w:lineRule="atLeast"/>
              <w:ind w:left="113"/>
              <w:jc w:val="center"/>
              <w:rPr>
                <w:rFonts w:ascii="Arial Narrow" w:hAnsi="Arial Narrow"/>
                <w:b/>
                <w:sz w:val="16"/>
                <w:lang w:val="es-419"/>
              </w:rPr>
            </w:pPr>
            <w:r w:rsidRPr="006D0ECA">
              <w:rPr>
                <w:rFonts w:ascii="Arial Narrow" w:hAnsi="Arial Narrow"/>
                <w:b/>
                <w:sz w:val="16"/>
                <w:lang w:val="es-419"/>
              </w:rPr>
              <w:t>Uniones financiadas por contribuciones</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del PCT</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Borders>
              <w:bottom w:val="single" w:sz="18" w:space="0" w:color="C6CFD7"/>
            </w:tcBorders>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 información confidencial</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(10% - estimación del DP)</w:t>
            </w:r>
          </w:p>
        </w:tc>
        <w:tc>
          <w:tcPr>
            <w:tcW w:w="1000" w:type="pct"/>
            <w:tcBorders>
              <w:bottom w:val="single" w:sz="18" w:space="0" w:color="C6CFD7"/>
            </w:tcBorders>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1 - información confidencial</w:t>
            </w:r>
          </w:p>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sz w:val="16"/>
                <w:lang w:val="es-419"/>
              </w:rPr>
              <w:t>(90% - estimación del DP)</w:t>
            </w:r>
          </w:p>
        </w:tc>
        <w:tc>
          <w:tcPr>
            <w:tcW w:w="1000" w:type="pct"/>
            <w:tcBorders>
              <w:bottom w:val="single" w:sz="18" w:space="0" w:color="C6CFD7"/>
            </w:tcBorders>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Borders>
              <w:bottom w:val="single" w:sz="18" w:space="0" w:color="C6CFD7"/>
            </w:tcBorders>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Borders>
              <w:bottom w:val="single" w:sz="18" w:space="0" w:color="C6CFD7"/>
            </w:tcBorders>
          </w:tcPr>
          <w:p w:rsidR="006D0ECA" w:rsidRPr="006D0ECA" w:rsidRDefault="006D0ECA" w:rsidP="00465BA1">
            <w:pPr>
              <w:numPr>
                <w:ilvl w:val="0"/>
                <w:numId w:val="6"/>
              </w:numPr>
              <w:spacing w:line="200" w:lineRule="atLeast"/>
              <w:ind w:left="113"/>
              <w:rPr>
                <w:rFonts w:ascii="Arial Narrow" w:hAnsi="Arial Narrow"/>
                <w:sz w:val="16"/>
                <w:lang w:val="es-419"/>
              </w:rPr>
            </w:pP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200" w:line="276" w:lineRule="auto"/>
        <w:rPr>
          <w:rFonts w:eastAsia="Arial"/>
          <w:sz w:val="18"/>
          <w:szCs w:val="22"/>
          <w:lang w:val="es-419"/>
        </w:rPr>
      </w:pPr>
      <w:r w:rsidRPr="006D0ECA">
        <w:rPr>
          <w:rFonts w:eastAsia="Arial"/>
          <w:sz w:val="18"/>
          <w:szCs w:val="22"/>
          <w:lang w:val="es-419"/>
        </w:rPr>
        <w:br w:type="page"/>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lastRenderedPageBreak/>
        <w:t>Los gastos relativos a las actividades que contribuyen a la consecución del resultado previsto II.1 “Mayor y más eficaz utilización del Sistema del PCT para presentar solicitudes internacionales de patente”, ejecutadas por los programas siguientes: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5 </w:t>
      </w:r>
      <w:r w:rsidRPr="006D0ECA">
        <w:rPr>
          <w:rFonts w:eastAsia="Arial"/>
          <w:sz w:val="18"/>
          <w:szCs w:val="22"/>
          <w:lang w:val="es-419"/>
        </w:rPr>
        <w:tab/>
        <w:t>(PCT)</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9 </w:t>
      </w:r>
      <w:r w:rsidRPr="006D0ECA">
        <w:rPr>
          <w:rFonts w:eastAsia="Arial"/>
          <w:sz w:val="18"/>
          <w:szCs w:val="22"/>
          <w:lang w:val="es-419"/>
        </w:rPr>
        <w:tab/>
        <w:t>(Oficinas regionales en la sede y PMA)</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10 </w:t>
      </w:r>
      <w:r w:rsidRPr="006D0ECA">
        <w:rPr>
          <w:rFonts w:eastAsia="Arial"/>
          <w:sz w:val="18"/>
          <w:szCs w:val="22"/>
          <w:lang w:val="es-419"/>
        </w:rPr>
        <w:tab/>
        <w:t>(Países con economías en transición y países desarrollados)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20 </w:t>
      </w:r>
      <w:r w:rsidRPr="006D0ECA">
        <w:rPr>
          <w:rFonts w:eastAsia="Arial"/>
          <w:sz w:val="18"/>
          <w:szCs w:val="22"/>
          <w:lang w:val="es-419"/>
        </w:rPr>
        <w:tab/>
        <w:t>(Relaciones exteriores, alianzas y oficinas en el exterior)</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se contabilizan como “Gastos 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5"/>
        <w:gridCol w:w="2755"/>
        <w:gridCol w:w="1930"/>
        <w:gridCol w:w="1930"/>
        <w:gridCol w:w="1099"/>
      </w:tblGrid>
      <w:tr w:rsidR="006D0ECA" w:rsidRPr="006D0ECA" w:rsidTr="006D0ECA">
        <w:tc>
          <w:tcPr>
            <w:tcW w:w="999"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c>
          <w:tcPr>
            <w:tcW w:w="1429"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del PCT</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1"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1"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572"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999" w:type="pct"/>
            <w:tcBorders>
              <w:bottom w:val="single" w:sz="18" w:space="0" w:color="DCE2E7"/>
            </w:tcBorders>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429" w:type="pct"/>
            <w:tcBorders>
              <w:bottom w:val="single" w:sz="18" w:space="0" w:color="DCE2E7"/>
            </w:tcBorders>
          </w:tcPr>
          <w:p w:rsidR="006D0ECA" w:rsidRPr="006D0ECA" w:rsidRDefault="006D0ECA" w:rsidP="00465BA1">
            <w:pPr>
              <w:numPr>
                <w:ilvl w:val="0"/>
                <w:numId w:val="6"/>
              </w:numPr>
              <w:spacing w:line="200" w:lineRule="atLeast"/>
              <w:ind w:left="113" w:right="-274"/>
              <w:rPr>
                <w:rFonts w:ascii="Arial Narrow" w:hAnsi="Arial Narrow"/>
                <w:sz w:val="16"/>
                <w:lang w:val="es-419"/>
              </w:rPr>
            </w:pPr>
            <w:r w:rsidRPr="006D0ECA">
              <w:rPr>
                <w:rFonts w:ascii="Arial Narrow" w:hAnsi="Arial Narrow"/>
                <w:sz w:val="16"/>
                <w:lang w:val="es-419"/>
              </w:rPr>
              <w:t>Programa 5 – Asamblea del PCT, Grupo de Trabajo del PCT, actividades jurídicas y de promoción del PCT</w:t>
            </w:r>
          </w:p>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Programa 9 – Promoción del PCT</w:t>
            </w:r>
          </w:p>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Programa 10 – Promoción del PCT</w:t>
            </w:r>
          </w:p>
          <w:p w:rsidR="006D0ECA" w:rsidRPr="006D0ECA" w:rsidRDefault="006D0ECA" w:rsidP="00465BA1">
            <w:pPr>
              <w:numPr>
                <w:ilvl w:val="0"/>
                <w:numId w:val="6"/>
              </w:numPr>
              <w:spacing w:line="200" w:lineRule="atLeast"/>
              <w:ind w:left="113"/>
              <w:rPr>
                <w:rFonts w:ascii="Arial Narrow" w:hAnsi="Arial Narrow"/>
                <w:i/>
                <w:sz w:val="16"/>
                <w:lang w:val="es-419"/>
              </w:rPr>
            </w:pPr>
            <w:r w:rsidRPr="006D0ECA">
              <w:rPr>
                <w:rFonts w:ascii="Arial Narrow" w:hAnsi="Arial Narrow"/>
                <w:sz w:val="16"/>
                <w:lang w:val="es-419"/>
              </w:rPr>
              <w:t>Programa 20 – Promoción del PCT</w:t>
            </w:r>
          </w:p>
        </w:tc>
        <w:tc>
          <w:tcPr>
            <w:tcW w:w="1001" w:type="pct"/>
            <w:tcBorders>
              <w:bottom w:val="single" w:sz="18" w:space="0" w:color="DCE2E7"/>
            </w:tcBorders>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1" w:type="pct"/>
            <w:tcBorders>
              <w:bottom w:val="single" w:sz="18" w:space="0" w:color="DCE2E7"/>
            </w:tcBorders>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572" w:type="pct"/>
            <w:tcBorders>
              <w:bottom w:val="single" w:sz="18" w:space="0" w:color="DCE2E7"/>
            </w:tcBorders>
          </w:tcPr>
          <w:p w:rsidR="006D0ECA" w:rsidRPr="006D0ECA" w:rsidRDefault="006D0ECA" w:rsidP="00465BA1">
            <w:pPr>
              <w:numPr>
                <w:ilvl w:val="0"/>
                <w:numId w:val="6"/>
              </w:numPr>
              <w:spacing w:line="200" w:lineRule="atLeast"/>
              <w:ind w:left="113"/>
              <w:rPr>
                <w:rFonts w:ascii="Arial Narrow" w:hAnsi="Arial Narrow"/>
                <w:sz w:val="16"/>
                <w:lang w:val="es-419"/>
              </w:rPr>
            </w:pPr>
          </w:p>
        </w:tc>
      </w:tr>
    </w:tbl>
    <w:p w:rsidR="006D0ECA" w:rsidRPr="006D0ECA" w:rsidRDefault="006D0ECA" w:rsidP="006D0ECA">
      <w:pPr>
        <w:spacing w:after="180"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II.2 “Mejora de la productividad y de la calidad de los servicios en las operaciones del PCT”, ejecutadas por el programa 5 (PCT), se contabilizan como “Gastos directos por Unión” de la Unión del PCT.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b/>
                <w:sz w:val="16"/>
                <w:lang w:val="es-419"/>
              </w:rPr>
            </w:pPr>
            <w:r w:rsidRPr="006D0ECA">
              <w:rPr>
                <w:rFonts w:ascii="Arial Narrow" w:hAnsi="Arial Narrow"/>
                <w:b/>
                <w:sz w:val="16"/>
                <w:lang w:val="es-419"/>
              </w:rPr>
              <w:t>Unión del PCT</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Borders>
              <w:bottom w:val="single" w:sz="18" w:space="0" w:color="C6CFD7"/>
            </w:tcBorders>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Borders>
              <w:bottom w:val="single" w:sz="18" w:space="0" w:color="C6CFD7"/>
            </w:tcBorders>
          </w:tcPr>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sz w:val="16"/>
                <w:lang w:val="es-419"/>
              </w:rPr>
              <w:t>Programa 5 – Servicios de tramitación, traducción e información del PCT</w:t>
            </w:r>
          </w:p>
        </w:tc>
        <w:tc>
          <w:tcPr>
            <w:tcW w:w="1000" w:type="pct"/>
            <w:tcBorders>
              <w:bottom w:val="single" w:sz="18" w:space="0" w:color="C6CFD7"/>
            </w:tcBorders>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Borders>
              <w:bottom w:val="single" w:sz="18" w:space="0" w:color="C6CFD7"/>
            </w:tcBorders>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Borders>
              <w:bottom w:val="single" w:sz="18" w:space="0" w:color="C6CFD7"/>
            </w:tcBorders>
          </w:tcPr>
          <w:p w:rsidR="006D0ECA" w:rsidRPr="006D0ECA" w:rsidRDefault="006D0ECA" w:rsidP="00465BA1">
            <w:pPr>
              <w:numPr>
                <w:ilvl w:val="0"/>
                <w:numId w:val="6"/>
              </w:numPr>
              <w:spacing w:line="200" w:lineRule="atLeast"/>
              <w:ind w:left="113"/>
              <w:rPr>
                <w:rFonts w:ascii="Arial Narrow" w:hAnsi="Arial Narrow"/>
                <w:sz w:val="16"/>
                <w:lang w:val="es-419"/>
              </w:rPr>
            </w:pP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II.3 “Mayor y más eficaz utilización del Sistema de La Haya, entre otros por los países en desarrollo y los PMA”, ejecutadas por los programas siguientes: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9 </w:t>
      </w:r>
      <w:r w:rsidRPr="006D0ECA">
        <w:rPr>
          <w:rFonts w:eastAsia="Arial"/>
          <w:sz w:val="18"/>
          <w:szCs w:val="22"/>
          <w:lang w:val="es-419"/>
        </w:rPr>
        <w:tab/>
        <w:t>(Oficinas regionales en la sede y PMA)</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10 </w:t>
      </w:r>
      <w:r w:rsidRPr="006D0ECA">
        <w:rPr>
          <w:rFonts w:eastAsia="Arial"/>
          <w:sz w:val="18"/>
          <w:szCs w:val="22"/>
          <w:lang w:val="es-419"/>
        </w:rPr>
        <w:tab/>
        <w:t>(Países con economías en transición y países desarrollados)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20 </w:t>
      </w:r>
      <w:r w:rsidRPr="006D0ECA">
        <w:rPr>
          <w:rFonts w:eastAsia="Arial"/>
          <w:sz w:val="18"/>
          <w:szCs w:val="22"/>
          <w:lang w:val="es-419"/>
        </w:rPr>
        <w:tab/>
        <w:t>(Relaciones exteriores y oficinas en el exterior)</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31 </w:t>
      </w:r>
      <w:r w:rsidRPr="006D0ECA">
        <w:rPr>
          <w:rFonts w:eastAsia="Arial"/>
          <w:sz w:val="18"/>
          <w:szCs w:val="22"/>
          <w:lang w:val="es-419"/>
        </w:rPr>
        <w:tab/>
        <w:t>(Sistema de La Haya)</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se contabilizan como “Gastos directos por Unión” y “Gastos indirectos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jc w:val="center"/>
              <w:rPr>
                <w:rFonts w:ascii="Arial Narrow" w:hAnsi="Arial Narrow"/>
                <w:sz w:val="16"/>
                <w:lang w:val="es-419"/>
              </w:rPr>
            </w:pPr>
            <w:r w:rsidRPr="006D0ECA">
              <w:rPr>
                <w:rFonts w:ascii="Arial Narrow" w:hAnsi="Arial Narrow"/>
                <w:sz w:val="16"/>
                <w:lang w:val="es-419"/>
              </w:rPr>
              <w:t>Programa 31 – Grupo de Trabajo del Sistema de La Haya, las actividades jurídicas y de promoción del Sistema de La Haya</w:t>
            </w:r>
          </w:p>
          <w:p w:rsidR="006D0ECA" w:rsidRPr="006D0ECA" w:rsidRDefault="006D0ECA" w:rsidP="00465BA1">
            <w:pPr>
              <w:numPr>
                <w:ilvl w:val="0"/>
                <w:numId w:val="6"/>
              </w:numPr>
              <w:spacing w:line="200" w:lineRule="atLeast"/>
              <w:jc w:val="center"/>
              <w:rPr>
                <w:rFonts w:ascii="Arial Narrow" w:hAnsi="Arial Narrow"/>
                <w:sz w:val="16"/>
                <w:lang w:val="es-419"/>
              </w:rPr>
            </w:pPr>
            <w:r w:rsidRPr="006D0ECA">
              <w:rPr>
                <w:rFonts w:ascii="Arial Narrow" w:hAnsi="Arial Narrow"/>
                <w:sz w:val="16"/>
                <w:lang w:val="es-419"/>
              </w:rPr>
              <w:t>Programa 9 – Promoción del Sistema de La Haya</w:t>
            </w:r>
          </w:p>
          <w:p w:rsidR="006D0ECA" w:rsidRPr="006D0ECA" w:rsidRDefault="006D0ECA" w:rsidP="00465BA1">
            <w:pPr>
              <w:numPr>
                <w:ilvl w:val="0"/>
                <w:numId w:val="6"/>
              </w:numPr>
              <w:spacing w:line="200" w:lineRule="atLeast"/>
              <w:jc w:val="center"/>
              <w:rPr>
                <w:rFonts w:ascii="Arial Narrow" w:hAnsi="Arial Narrow"/>
                <w:sz w:val="16"/>
                <w:lang w:val="es-419"/>
              </w:rPr>
            </w:pPr>
            <w:r w:rsidRPr="006D0ECA">
              <w:rPr>
                <w:rFonts w:ascii="Arial Narrow" w:hAnsi="Arial Narrow"/>
                <w:sz w:val="16"/>
                <w:lang w:val="es-419"/>
              </w:rPr>
              <w:t>Programa 10 – Promoción del Sistema de La Haya</w:t>
            </w:r>
          </w:p>
          <w:p w:rsidR="006D0ECA" w:rsidRPr="006D0ECA" w:rsidRDefault="006D0ECA" w:rsidP="00465BA1">
            <w:pPr>
              <w:numPr>
                <w:ilvl w:val="0"/>
                <w:numId w:val="6"/>
              </w:numPr>
              <w:spacing w:line="200" w:lineRule="atLeast"/>
              <w:jc w:val="center"/>
              <w:rPr>
                <w:rFonts w:ascii="Arial Narrow" w:hAnsi="Arial Narrow"/>
                <w:sz w:val="16"/>
                <w:lang w:val="es-419"/>
              </w:rPr>
            </w:pPr>
            <w:r w:rsidRPr="006D0ECA">
              <w:rPr>
                <w:rFonts w:ascii="Arial Narrow" w:hAnsi="Arial Narrow"/>
                <w:sz w:val="16"/>
                <w:lang w:val="es-419"/>
              </w:rPr>
              <w:t>Programa 20 – Promoción del Sistema de La Haya</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rPr>
          <w:trHeight w:val="29"/>
        </w:trPr>
        <w:tc>
          <w:tcPr>
            <w:tcW w:w="5000" w:type="pct"/>
            <w:gridSpan w:val="5"/>
            <w:shd w:val="clear" w:color="auto" w:fill="C6CFD7"/>
          </w:tcPr>
          <w:p w:rsidR="006D0ECA" w:rsidRPr="006D0ECA" w:rsidRDefault="006D0ECA" w:rsidP="00465BA1">
            <w:pPr>
              <w:numPr>
                <w:ilvl w:val="0"/>
                <w:numId w:val="6"/>
              </w:numPr>
              <w:spacing w:line="200" w:lineRule="atLeast"/>
              <w:ind w:left="113"/>
              <w:jc w:val="center"/>
              <w:rPr>
                <w:rFonts w:ascii="Arial Narrow" w:hAnsi="Arial Narrow"/>
                <w:sz w:val="16"/>
                <w:lang w:val="es-419"/>
              </w:rPr>
            </w:pP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II.4 “Mejora de la productividad y de la calidad de los servicios en las operaciones del Sistema de La Haya”, ejecutadas por el programa 31 (Sistema de La Haya), se contabilizan como “Gastos directos por Unión” de la Unión de La Haya.</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keepLines/>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keepNext/>
              <w:keepLines/>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keepNext/>
              <w:keepLines/>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keepNext/>
              <w:keepLines/>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Borders>
              <w:bottom w:val="single" w:sz="18" w:space="0" w:color="C6CFD7"/>
            </w:tcBorders>
            <w:shd w:val="clear" w:color="auto" w:fill="auto"/>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Borders>
              <w:bottom w:val="single" w:sz="18" w:space="0" w:color="C6CFD7"/>
            </w:tcBorders>
            <w:shd w:val="clear" w:color="auto" w:fill="auto"/>
          </w:tcPr>
          <w:p w:rsidR="006D0ECA" w:rsidRPr="006D0ECA" w:rsidRDefault="006D0ECA" w:rsidP="00465BA1">
            <w:pPr>
              <w:keepNext/>
              <w:keepLines/>
              <w:numPr>
                <w:ilvl w:val="0"/>
                <w:numId w:val="6"/>
              </w:numPr>
              <w:spacing w:line="200" w:lineRule="atLeast"/>
              <w:ind w:left="113"/>
              <w:jc w:val="center"/>
              <w:rPr>
                <w:rFonts w:ascii="Arial Narrow" w:hAnsi="Arial Narrow"/>
                <w:i/>
                <w:sz w:val="16"/>
                <w:lang w:val="es-419"/>
              </w:rPr>
            </w:pPr>
          </w:p>
        </w:tc>
        <w:tc>
          <w:tcPr>
            <w:tcW w:w="1000" w:type="pct"/>
            <w:tcBorders>
              <w:bottom w:val="single" w:sz="18" w:space="0" w:color="C6CFD7"/>
            </w:tcBorders>
            <w:shd w:val="clear" w:color="auto" w:fill="auto"/>
          </w:tcPr>
          <w:p w:rsidR="006D0ECA" w:rsidRPr="006D0ECA" w:rsidRDefault="006D0ECA" w:rsidP="00465BA1">
            <w:pPr>
              <w:keepNext/>
              <w:keepLines/>
              <w:numPr>
                <w:ilvl w:val="0"/>
                <w:numId w:val="6"/>
              </w:numPr>
              <w:spacing w:line="200" w:lineRule="atLeast"/>
              <w:ind w:left="113"/>
              <w:jc w:val="center"/>
              <w:rPr>
                <w:rFonts w:ascii="Arial Narrow" w:hAnsi="Arial Narrow"/>
                <w:i/>
                <w:sz w:val="16"/>
                <w:lang w:val="es-419"/>
              </w:rPr>
            </w:pPr>
          </w:p>
        </w:tc>
        <w:tc>
          <w:tcPr>
            <w:tcW w:w="1000" w:type="pct"/>
            <w:tcBorders>
              <w:bottom w:val="single" w:sz="18" w:space="0" w:color="C6CFD7"/>
            </w:tcBorders>
            <w:shd w:val="clear" w:color="auto" w:fill="auto"/>
          </w:tcPr>
          <w:p w:rsidR="006D0ECA" w:rsidRPr="006D0ECA" w:rsidRDefault="006D0ECA" w:rsidP="00465BA1">
            <w:pPr>
              <w:keepNext/>
              <w:keepLines/>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Programa 31 – Servicios de tramitación e información del Sistema de La Haya</w:t>
            </w:r>
          </w:p>
        </w:tc>
        <w:tc>
          <w:tcPr>
            <w:tcW w:w="1000" w:type="pct"/>
            <w:tcBorders>
              <w:bottom w:val="single" w:sz="18" w:space="0" w:color="C6CFD7"/>
            </w:tcBorders>
            <w:shd w:val="clear" w:color="auto" w:fill="auto"/>
          </w:tcPr>
          <w:p w:rsidR="006D0ECA" w:rsidRPr="006D0ECA" w:rsidRDefault="006D0ECA" w:rsidP="00465BA1">
            <w:pPr>
              <w:numPr>
                <w:ilvl w:val="0"/>
                <w:numId w:val="6"/>
              </w:numPr>
              <w:spacing w:line="200" w:lineRule="atLeast"/>
              <w:ind w:left="113"/>
              <w:rPr>
                <w:rFonts w:ascii="Arial Narrow" w:hAnsi="Arial Narrow"/>
                <w:sz w:val="16"/>
                <w:lang w:val="es-419"/>
              </w:rPr>
            </w:pP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II.5 “Mayor y más eficaz utilización del Sistema de Madrid, entre otros por los países en desarrollo y los PMA”, ejecutadas por los programas siguientes: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6 </w:t>
      </w:r>
      <w:r w:rsidRPr="006D0ECA">
        <w:rPr>
          <w:rFonts w:eastAsia="Arial"/>
          <w:sz w:val="18"/>
          <w:szCs w:val="22"/>
          <w:lang w:val="es-419"/>
        </w:rPr>
        <w:tab/>
        <w:t>(Sistema de Madrid)</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9 </w:t>
      </w:r>
      <w:r w:rsidRPr="006D0ECA">
        <w:rPr>
          <w:rFonts w:eastAsia="Arial"/>
          <w:sz w:val="18"/>
          <w:szCs w:val="22"/>
          <w:lang w:val="es-419"/>
        </w:rPr>
        <w:tab/>
        <w:t>(Oficinas regionales en la sede y PMA)</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10 </w:t>
      </w:r>
      <w:r w:rsidRPr="006D0ECA">
        <w:rPr>
          <w:rFonts w:eastAsia="Arial"/>
          <w:sz w:val="18"/>
          <w:szCs w:val="22"/>
          <w:lang w:val="es-419"/>
        </w:rPr>
        <w:tab/>
        <w:t>(Países con economías en transición y países desarrollados)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20 </w:t>
      </w:r>
      <w:r w:rsidRPr="006D0ECA">
        <w:rPr>
          <w:rFonts w:eastAsia="Arial"/>
          <w:sz w:val="18"/>
          <w:szCs w:val="22"/>
          <w:lang w:val="es-419"/>
        </w:rPr>
        <w:tab/>
        <w:t>(Relaciones exteriores y oficinas en el exterior)</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se contabilizan como “Gastos 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jc w:val="center"/>
              <w:rPr>
                <w:rFonts w:ascii="Arial Narrow" w:hAnsi="Arial Narrow"/>
                <w:sz w:val="16"/>
                <w:lang w:val="es-419"/>
              </w:rPr>
            </w:pPr>
            <w:r w:rsidRPr="006D0ECA">
              <w:rPr>
                <w:rFonts w:ascii="Arial Narrow" w:hAnsi="Arial Narrow"/>
                <w:sz w:val="16"/>
                <w:lang w:val="es-419"/>
              </w:rPr>
              <w:t>Programa 6 – Asamblea de la Unión de Madrid, Grupo de Trabajo del Sistema de Madrid, actividades jurídicas y de promoción del Sistema de Madrid</w:t>
            </w:r>
          </w:p>
          <w:p w:rsidR="006D0ECA" w:rsidRPr="006D0ECA" w:rsidRDefault="006D0ECA" w:rsidP="00465BA1">
            <w:pPr>
              <w:numPr>
                <w:ilvl w:val="0"/>
                <w:numId w:val="6"/>
              </w:numPr>
              <w:spacing w:line="200" w:lineRule="atLeast"/>
              <w:jc w:val="center"/>
              <w:rPr>
                <w:rFonts w:ascii="Arial Narrow" w:hAnsi="Arial Narrow"/>
                <w:sz w:val="16"/>
                <w:lang w:val="es-419"/>
              </w:rPr>
            </w:pPr>
            <w:r w:rsidRPr="006D0ECA">
              <w:rPr>
                <w:rFonts w:ascii="Arial Narrow" w:hAnsi="Arial Narrow"/>
                <w:sz w:val="16"/>
                <w:lang w:val="es-419"/>
              </w:rPr>
              <w:t>Programa 9 – Promoción del Sistema de Madrid</w:t>
            </w:r>
          </w:p>
          <w:p w:rsidR="006D0ECA" w:rsidRPr="006D0ECA" w:rsidRDefault="006D0ECA" w:rsidP="00465BA1">
            <w:pPr>
              <w:numPr>
                <w:ilvl w:val="0"/>
                <w:numId w:val="6"/>
              </w:numPr>
              <w:spacing w:line="200" w:lineRule="atLeast"/>
              <w:jc w:val="center"/>
              <w:rPr>
                <w:rFonts w:ascii="Arial Narrow" w:hAnsi="Arial Narrow"/>
                <w:sz w:val="16"/>
                <w:lang w:val="es-419"/>
              </w:rPr>
            </w:pPr>
            <w:r w:rsidRPr="006D0ECA">
              <w:rPr>
                <w:rFonts w:ascii="Arial Narrow" w:hAnsi="Arial Narrow"/>
                <w:sz w:val="16"/>
                <w:lang w:val="es-419"/>
              </w:rPr>
              <w:t>Programa 10 – Promoción del Sistema de Madrid</w:t>
            </w:r>
          </w:p>
          <w:p w:rsidR="006D0ECA" w:rsidRPr="006D0ECA" w:rsidRDefault="006D0ECA" w:rsidP="00465BA1">
            <w:pPr>
              <w:numPr>
                <w:ilvl w:val="0"/>
                <w:numId w:val="6"/>
              </w:numPr>
              <w:spacing w:line="200" w:lineRule="atLeast"/>
              <w:jc w:val="center"/>
              <w:rPr>
                <w:rFonts w:ascii="Arial Narrow" w:hAnsi="Arial Narrow"/>
                <w:i/>
                <w:sz w:val="16"/>
                <w:lang w:val="es-419"/>
              </w:rPr>
            </w:pPr>
            <w:r w:rsidRPr="006D0ECA">
              <w:rPr>
                <w:rFonts w:ascii="Arial Narrow" w:hAnsi="Arial Narrow"/>
                <w:sz w:val="16"/>
                <w:lang w:val="es-419"/>
              </w:rPr>
              <w:t>Programa 20 – Promoción del Sistema de Madrid</w:t>
            </w:r>
          </w:p>
        </w:tc>
        <w:tc>
          <w:tcPr>
            <w:tcW w:w="1000" w:type="pct"/>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5000" w:type="pct"/>
            <w:gridSpan w:val="5"/>
            <w:shd w:val="clear" w:color="auto" w:fill="C6CFD7"/>
          </w:tcPr>
          <w:p w:rsidR="006D0ECA" w:rsidRPr="006D0ECA" w:rsidRDefault="006D0ECA" w:rsidP="00465BA1">
            <w:pPr>
              <w:numPr>
                <w:ilvl w:val="0"/>
                <w:numId w:val="6"/>
              </w:numPr>
              <w:spacing w:line="200" w:lineRule="atLeast"/>
              <w:ind w:left="113"/>
              <w:jc w:val="center"/>
              <w:rPr>
                <w:rFonts w:ascii="Arial Narrow" w:hAnsi="Arial Narrow"/>
                <w:sz w:val="16"/>
                <w:lang w:val="es-419"/>
              </w:rPr>
            </w:pP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II.6 “Mejora de la productividad y de la calidad de los servicios en las operaciones del Sistema de Madrid”, ejecutadas por el programa 6 (Sistema de Madrid), se contabilizan como “Gastos directos por Unión” de la Unión de Madrid.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Borders>
              <w:bottom w:val="single" w:sz="18" w:space="0" w:color="C6CFD7"/>
            </w:tcBorders>
            <w:shd w:val="clear" w:color="auto" w:fill="auto"/>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Borders>
              <w:bottom w:val="single" w:sz="18" w:space="0" w:color="C6CFD7"/>
            </w:tcBorders>
            <w:shd w:val="clear" w:color="auto" w:fill="auto"/>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Borders>
              <w:bottom w:val="single" w:sz="18" w:space="0" w:color="C6CFD7"/>
            </w:tcBorders>
            <w:shd w:val="clear" w:color="auto" w:fill="auto"/>
          </w:tcPr>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sz w:val="16"/>
                <w:lang w:val="es-419"/>
              </w:rPr>
              <w:t xml:space="preserve">Programa 6 – Servicios de tramitación, traducción e información del Sistema de Madrid </w:t>
            </w:r>
            <w:r w:rsidRPr="006D0ECA">
              <w:rPr>
                <w:rFonts w:ascii="Arial Narrow" w:hAnsi="Arial Narrow"/>
                <w:sz w:val="16"/>
                <w:vertAlign w:val="superscript"/>
                <w:lang w:val="es-419"/>
              </w:rPr>
              <w:footnoteReference w:id="1"/>
            </w:r>
          </w:p>
        </w:tc>
        <w:tc>
          <w:tcPr>
            <w:tcW w:w="1000" w:type="pct"/>
            <w:tcBorders>
              <w:bottom w:val="single" w:sz="18" w:space="0" w:color="C6CFD7"/>
            </w:tcBorders>
            <w:shd w:val="clear" w:color="auto" w:fill="auto"/>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Borders>
              <w:bottom w:val="single" w:sz="18" w:space="0" w:color="C6CFD7"/>
            </w:tcBorders>
            <w:shd w:val="clear" w:color="auto" w:fill="auto"/>
          </w:tcPr>
          <w:p w:rsidR="006D0ECA" w:rsidRPr="006D0ECA" w:rsidRDefault="006D0ECA" w:rsidP="00465BA1">
            <w:pPr>
              <w:numPr>
                <w:ilvl w:val="0"/>
                <w:numId w:val="6"/>
              </w:numPr>
              <w:spacing w:line="200" w:lineRule="atLeast"/>
              <w:ind w:left="113"/>
              <w:rPr>
                <w:rFonts w:ascii="Arial Narrow" w:hAnsi="Arial Narrow"/>
                <w:sz w:val="16"/>
                <w:lang w:val="es-419"/>
              </w:rPr>
            </w:pP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2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II.7 “Las controversias nacionales e internacionales en materia de PI se evitan o resuelven cada vez con más frecuencia mediante procedimientos de mediación, arbitraje y demás métodos de solución extrajudicial de controversias” y al resultado previsto II.8 “Protección eficaz de la propiedad intelectual en los gTLD y los ccTLD”, ejecutadas por los programas siguientes: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7 </w:t>
      </w:r>
      <w:r w:rsidRPr="006D0ECA">
        <w:rPr>
          <w:rFonts w:eastAsia="Arial"/>
          <w:sz w:val="18"/>
          <w:szCs w:val="22"/>
          <w:lang w:val="es-419"/>
        </w:rPr>
        <w:tab/>
        <w:t>(Centro de Arbitraje y Mediación de la OMPI)</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9 </w:t>
      </w:r>
      <w:r w:rsidRPr="006D0ECA">
        <w:rPr>
          <w:rFonts w:eastAsia="Arial"/>
          <w:sz w:val="18"/>
          <w:szCs w:val="22"/>
          <w:lang w:val="es-419"/>
        </w:rPr>
        <w:tab/>
        <w:t>(Oficinas regionales en la sede y PMA)</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10 </w:t>
      </w:r>
      <w:r w:rsidRPr="006D0ECA">
        <w:rPr>
          <w:rFonts w:eastAsia="Arial"/>
          <w:sz w:val="18"/>
          <w:szCs w:val="22"/>
          <w:lang w:val="es-419"/>
        </w:rPr>
        <w:tab/>
        <w:t>(Países con economías en transición y países desarrollados)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20</w:t>
      </w:r>
      <w:r w:rsidRPr="006D0ECA">
        <w:rPr>
          <w:rFonts w:eastAsia="Arial"/>
          <w:sz w:val="18"/>
          <w:szCs w:val="22"/>
          <w:lang w:val="es-419"/>
        </w:rPr>
        <w:tab/>
        <w:t>(Relaciones exteriores, alianzas y oficinas en el exterior)</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se contabilizan como “Gastos 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lastRenderedPageBreak/>
              <w:t>Uniones financiadas por contribuciones</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del PCT</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Pr>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Programa 7 – servicios de solución extrajudicial de controversias</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(18%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7 – servicios de solución extrajudicial de controversias</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(17%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7 – servicios de solución extrajudicial de controversias</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(46%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7 – servicios de solución extrajudicial de controversias</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(19% - estimación del DP)</w:t>
            </w:r>
          </w:p>
        </w:tc>
        <w:tc>
          <w:tcPr>
            <w:tcW w:w="1000" w:type="pct"/>
          </w:tcPr>
          <w:p w:rsidR="006D0ECA" w:rsidRPr="006D0ECA" w:rsidRDefault="006D0ECA" w:rsidP="006D0ECA">
            <w:pPr>
              <w:keepNext/>
              <w:keepLines/>
              <w:spacing w:line="200" w:lineRule="atLeast"/>
              <w:ind w:left="113"/>
              <w:jc w:val="center"/>
              <w:rPr>
                <w:rFonts w:ascii="Arial Narrow" w:hAnsi="Arial Narrow"/>
                <w:i/>
                <w:sz w:val="16"/>
                <w:lang w:val="es-419"/>
              </w:rPr>
            </w:pPr>
          </w:p>
        </w:tc>
      </w:tr>
      <w:tr w:rsidR="006D0ECA" w:rsidRPr="006D0ECA" w:rsidTr="006D0ECA">
        <w:tc>
          <w:tcPr>
            <w:tcW w:w="1000" w:type="pct"/>
            <w:gridSpan w:val="5"/>
            <w:shd w:val="clear" w:color="auto" w:fill="C6CFD7"/>
          </w:tcPr>
          <w:p w:rsidR="006D0ECA" w:rsidRPr="006D0ECA" w:rsidRDefault="006D0ECA" w:rsidP="00465BA1">
            <w:pPr>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Gastos indirectos por Unión: Programas 9, 10 y 20</w:t>
            </w: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II.9 “Mayor y más eficaz utilización del Sistema de Lisboa, entre otros por los países en desarrollo y los PMA”, ejecutadas por el programa 32 (Sistema de Lisboa), se contabilizan como “Gastos directos por Unión” de la Unión de Lisboa ejecutados por los programas siguientes: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9 </w:t>
      </w:r>
      <w:r w:rsidRPr="006D0ECA">
        <w:rPr>
          <w:rFonts w:eastAsia="Arial"/>
          <w:sz w:val="18"/>
          <w:szCs w:val="22"/>
          <w:lang w:val="es-419"/>
        </w:rPr>
        <w:tab/>
        <w:t>(Oficinas regionales en la sede y PMA)</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10 </w:t>
      </w:r>
      <w:r w:rsidRPr="006D0ECA">
        <w:rPr>
          <w:rFonts w:eastAsia="Arial"/>
          <w:sz w:val="18"/>
          <w:szCs w:val="22"/>
          <w:lang w:val="es-419"/>
        </w:rPr>
        <w:tab/>
        <w:t>(Países con economías en transición y países desarrollados)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20</w:t>
      </w:r>
      <w:r w:rsidRPr="006D0ECA">
        <w:rPr>
          <w:rFonts w:eastAsia="Arial"/>
          <w:sz w:val="18"/>
          <w:szCs w:val="22"/>
          <w:lang w:val="es-419"/>
        </w:rPr>
        <w:tab/>
        <w:t>(Relaciones exteriores, alianzas y oficinas en el exterior)</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32</w:t>
      </w:r>
      <w:r w:rsidRPr="006D0ECA">
        <w:rPr>
          <w:rFonts w:eastAsia="Arial"/>
          <w:sz w:val="18"/>
          <w:szCs w:val="22"/>
          <w:lang w:val="es-419"/>
        </w:rPr>
        <w:tab/>
        <w:t>(Sistema de Lisboa)</w:t>
      </w:r>
    </w:p>
    <w:p w:rsidR="006D0ECA" w:rsidRPr="006D0ECA" w:rsidRDefault="006D0ECA" w:rsidP="006D0ECA">
      <w:pPr>
        <w:tabs>
          <w:tab w:val="left" w:pos="1928"/>
        </w:tabs>
        <w:spacing w:after="180" w:line="220" w:lineRule="atLeast"/>
        <w:contextualSpacing/>
        <w:rPr>
          <w:rFonts w:eastAsia="Arial"/>
          <w:sz w:val="18"/>
          <w:szCs w:val="22"/>
          <w:lang w:val="es-419"/>
        </w:rPr>
      </w:pPr>
    </w:p>
    <w:p w:rsidR="006D0ECA" w:rsidRPr="006D0ECA" w:rsidRDefault="006D0ECA" w:rsidP="006D0ECA">
      <w:pPr>
        <w:tabs>
          <w:tab w:val="left" w:pos="1928"/>
        </w:tabs>
        <w:spacing w:after="180" w:line="220" w:lineRule="atLeast"/>
        <w:contextualSpacing/>
        <w:rPr>
          <w:rFonts w:eastAsia="Arial"/>
          <w:sz w:val="18"/>
          <w:szCs w:val="22"/>
          <w:lang w:val="es-419"/>
        </w:rPr>
      </w:pPr>
      <w:r w:rsidRPr="006D0ECA">
        <w:rPr>
          <w:rFonts w:eastAsia="Arial"/>
          <w:sz w:val="18"/>
          <w:szCs w:val="22"/>
          <w:lang w:val="es-419"/>
        </w:rPr>
        <w:t>se contabilizan como “Gastos 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3856"/>
      </w:tblGrid>
      <w:tr w:rsidR="006D0ECA" w:rsidRPr="006D0ECA" w:rsidTr="006D0ECA">
        <w:tc>
          <w:tcPr>
            <w:tcW w:w="1000" w:type="pct"/>
            <w:shd w:val="clear" w:color="auto" w:fill="C6CFD7"/>
          </w:tcPr>
          <w:p w:rsidR="006D0ECA" w:rsidRPr="006D0ECA" w:rsidRDefault="006D0ECA" w:rsidP="006D0ECA">
            <w:pPr>
              <w:keepNext/>
              <w:keepLines/>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keepNext/>
              <w:keepLines/>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keepNext/>
              <w:keepLines/>
              <w:spacing w:line="200" w:lineRule="atLeast"/>
              <w:ind w:left="113"/>
              <w:jc w:val="center"/>
              <w:rPr>
                <w:rFonts w:ascii="Arial Narrow" w:hAnsi="Arial Narrow"/>
                <w:sz w:val="16"/>
                <w:lang w:val="es-419"/>
              </w:rPr>
            </w:pPr>
          </w:p>
        </w:tc>
        <w:tc>
          <w:tcPr>
            <w:tcW w:w="2000" w:type="pct"/>
            <w:shd w:val="clear" w:color="auto" w:fill="C6CFD7"/>
          </w:tcPr>
          <w:p w:rsidR="006D0ECA" w:rsidRPr="006D0ECA" w:rsidRDefault="006D0ECA" w:rsidP="006D0ECA">
            <w:pPr>
              <w:keepNext/>
              <w:keepLines/>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Lisboa</w:t>
            </w:r>
          </w:p>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r>
      <w:tr w:rsidR="006D0ECA" w:rsidRPr="006D0ECA" w:rsidTr="006D0ECA">
        <w:tc>
          <w:tcPr>
            <w:tcW w:w="1000" w:type="pct"/>
            <w:tcBorders>
              <w:bottom w:val="single" w:sz="18" w:space="0" w:color="C6CFD7"/>
            </w:tcBorders>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Borders>
              <w:bottom w:val="single" w:sz="18" w:space="0" w:color="C6CFD7"/>
            </w:tcBorders>
          </w:tcPr>
          <w:p w:rsidR="006D0ECA" w:rsidRPr="006D0ECA" w:rsidRDefault="006D0ECA" w:rsidP="00465BA1">
            <w:pPr>
              <w:keepNext/>
              <w:keepLines/>
              <w:numPr>
                <w:ilvl w:val="0"/>
                <w:numId w:val="6"/>
              </w:numPr>
              <w:spacing w:line="200" w:lineRule="atLeast"/>
              <w:ind w:left="113"/>
              <w:jc w:val="center"/>
              <w:rPr>
                <w:rFonts w:ascii="Arial Narrow" w:hAnsi="Arial Narrow"/>
                <w:i/>
                <w:sz w:val="16"/>
                <w:lang w:val="es-419"/>
              </w:rPr>
            </w:pPr>
          </w:p>
        </w:tc>
        <w:tc>
          <w:tcPr>
            <w:tcW w:w="1000" w:type="pct"/>
            <w:tcBorders>
              <w:bottom w:val="single" w:sz="18" w:space="0" w:color="C6CFD7"/>
            </w:tcBorders>
          </w:tcPr>
          <w:p w:rsidR="006D0ECA" w:rsidRPr="006D0ECA" w:rsidRDefault="006D0ECA" w:rsidP="00465BA1">
            <w:pPr>
              <w:keepNext/>
              <w:keepLines/>
              <w:numPr>
                <w:ilvl w:val="0"/>
                <w:numId w:val="6"/>
              </w:numPr>
              <w:spacing w:line="200" w:lineRule="atLeast"/>
              <w:ind w:left="113"/>
              <w:jc w:val="center"/>
              <w:rPr>
                <w:rFonts w:ascii="Arial Narrow" w:hAnsi="Arial Narrow"/>
                <w:i/>
                <w:sz w:val="16"/>
                <w:lang w:val="es-419"/>
              </w:rPr>
            </w:pPr>
          </w:p>
        </w:tc>
        <w:tc>
          <w:tcPr>
            <w:tcW w:w="2000" w:type="pct"/>
            <w:tcBorders>
              <w:bottom w:val="single" w:sz="18" w:space="0" w:color="C6CFD7"/>
            </w:tcBorders>
          </w:tcPr>
          <w:p w:rsidR="006D0ECA" w:rsidRPr="006D0ECA" w:rsidRDefault="006D0ECA" w:rsidP="00465BA1">
            <w:pPr>
              <w:keepNext/>
              <w:keepLines/>
              <w:numPr>
                <w:ilvl w:val="0"/>
                <w:numId w:val="6"/>
              </w:numPr>
              <w:spacing w:line="200" w:lineRule="atLeast"/>
              <w:jc w:val="center"/>
              <w:rPr>
                <w:rFonts w:ascii="Arial Narrow" w:hAnsi="Arial Narrow"/>
                <w:sz w:val="16"/>
                <w:lang w:val="es-419"/>
              </w:rPr>
            </w:pPr>
            <w:r w:rsidRPr="006D0ECA">
              <w:rPr>
                <w:rFonts w:ascii="Arial Narrow" w:hAnsi="Arial Narrow"/>
                <w:sz w:val="16"/>
                <w:lang w:val="es-419"/>
              </w:rPr>
              <w:t>Programa 32 – Tramitación y desarrollo de TI del Sistema de Lisboa, Grupo de Trabajo del Sistema de Lisboa, promoción</w:t>
            </w:r>
          </w:p>
          <w:p w:rsidR="006D0ECA" w:rsidRPr="006D0ECA" w:rsidRDefault="006D0ECA" w:rsidP="00465BA1">
            <w:pPr>
              <w:keepNext/>
              <w:keepLines/>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Programa 9 - Promoción del Sistema de Lisboa</w:t>
            </w:r>
          </w:p>
          <w:p w:rsidR="006D0ECA" w:rsidRPr="006D0ECA" w:rsidRDefault="006D0ECA" w:rsidP="00465BA1">
            <w:pPr>
              <w:keepNext/>
              <w:keepLines/>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Programa 10 - Promoción del Sistema de Lisboa</w:t>
            </w:r>
          </w:p>
          <w:p w:rsidR="006D0ECA" w:rsidRPr="006D0ECA" w:rsidRDefault="006D0ECA" w:rsidP="00465BA1">
            <w:pPr>
              <w:keepNext/>
              <w:keepLines/>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Programa 20 - Promoción del Sistema de Lisboa</w:t>
            </w: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 xml:space="preserve">Los gastos relativos a las actividades que contribuyen a la consecución del resultado previsto II.10 “Mejora de la productividad y de la calidad de los servicios en las operaciones del Sistema de Lisboa”, ejecutadas por el programa 32 (Sistema de Lisboa), se contabilizan como “Gastos directos por Unión” de la Unión de Lisboa. </w:t>
      </w:r>
    </w:p>
    <w:tbl>
      <w:tblPr>
        <w:tblStyle w:val="TableGrid7"/>
        <w:tblW w:w="9639" w:type="dxa"/>
        <w:tblBorders>
          <w:top w:val="none" w:sz="0" w:space="0" w:color="auto"/>
          <w:left w:val="none" w:sz="0" w:space="0" w:color="auto"/>
          <w:bottom w:val="single" w:sz="12" w:space="0" w:color="AAB8C4"/>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1928"/>
        <w:gridCol w:w="1928"/>
        <w:gridCol w:w="1777"/>
        <w:gridCol w:w="2078"/>
      </w:tblGrid>
      <w:tr w:rsidR="006D0ECA" w:rsidRPr="006D0ECA" w:rsidTr="006D0ECA">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922"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78"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Lisboa</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Pr>
          <w:p w:rsidR="006D0ECA" w:rsidRPr="006D0ECA" w:rsidRDefault="006D0ECA" w:rsidP="006D0ECA">
            <w:pPr>
              <w:spacing w:line="200" w:lineRule="atLeast"/>
              <w:jc w:val="center"/>
              <w:rPr>
                <w:rFonts w:ascii="Arial Narrow" w:hAnsi="Arial Narrow"/>
                <w:i/>
                <w:sz w:val="16"/>
                <w:lang w:val="es-419"/>
              </w:rPr>
            </w:pPr>
          </w:p>
        </w:tc>
        <w:tc>
          <w:tcPr>
            <w:tcW w:w="1000" w:type="pct"/>
          </w:tcPr>
          <w:p w:rsidR="006D0ECA" w:rsidRPr="006D0ECA" w:rsidRDefault="006D0ECA" w:rsidP="006D0ECA">
            <w:pPr>
              <w:spacing w:line="200" w:lineRule="atLeast"/>
              <w:jc w:val="center"/>
              <w:rPr>
                <w:rFonts w:ascii="Arial Narrow" w:hAnsi="Arial Narrow"/>
                <w:i/>
                <w:sz w:val="16"/>
                <w:lang w:val="es-419"/>
              </w:rPr>
            </w:pPr>
          </w:p>
        </w:tc>
        <w:tc>
          <w:tcPr>
            <w:tcW w:w="922" w:type="pct"/>
          </w:tcPr>
          <w:p w:rsidR="006D0ECA" w:rsidRPr="006D0ECA" w:rsidRDefault="006D0ECA" w:rsidP="006D0ECA">
            <w:pPr>
              <w:spacing w:line="200" w:lineRule="atLeast"/>
              <w:jc w:val="center"/>
              <w:rPr>
                <w:rFonts w:ascii="Arial Narrow" w:hAnsi="Arial Narrow"/>
                <w:i/>
                <w:sz w:val="16"/>
                <w:lang w:val="es-419"/>
              </w:rPr>
            </w:pPr>
          </w:p>
        </w:tc>
        <w:tc>
          <w:tcPr>
            <w:tcW w:w="1078" w:type="pct"/>
          </w:tcPr>
          <w:p w:rsidR="006D0ECA" w:rsidRPr="006D0ECA" w:rsidRDefault="006D0ECA" w:rsidP="006D0ECA">
            <w:pPr>
              <w:spacing w:line="200" w:lineRule="atLeast"/>
              <w:jc w:val="center"/>
              <w:rPr>
                <w:rFonts w:ascii="Arial Narrow" w:hAnsi="Arial Narrow"/>
                <w:sz w:val="16"/>
                <w:lang w:val="es-419"/>
              </w:rPr>
            </w:pPr>
            <w:r w:rsidRPr="006D0ECA">
              <w:rPr>
                <w:rFonts w:ascii="Arial Narrow" w:hAnsi="Arial Narrow"/>
                <w:sz w:val="16"/>
                <w:lang w:val="es-419"/>
              </w:rPr>
              <w:t>Programa 32 – Tramitación y desarrollo de TI del Sistema de Lisboa, Grupo de Trabajo del Sistema de Lisboa, promoción</w:t>
            </w:r>
          </w:p>
        </w:tc>
      </w:tr>
    </w:tbl>
    <w:p w:rsidR="006D0ECA" w:rsidRPr="006D0ECA" w:rsidRDefault="006D0ECA" w:rsidP="006D0ECA">
      <w:pPr>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III.2 “Aumento de las capacidades en recursos humanos para hacer frente a la gran diversidad de exigencias que supone la utilización eficaz de la PI para fomentar el desarrollo en los países en desarrollo, PMA y países con economías en transición”, ejecutadas por los programas siguientes: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2 </w:t>
      </w:r>
      <w:r w:rsidRPr="006D0ECA">
        <w:rPr>
          <w:rFonts w:eastAsia="Arial"/>
          <w:sz w:val="18"/>
          <w:szCs w:val="22"/>
          <w:lang w:val="es-419"/>
        </w:rPr>
        <w:tab/>
        <w:t>(Marcas, diseños industriales e indicaciones geográficas)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3 </w:t>
      </w:r>
      <w:r w:rsidRPr="006D0ECA">
        <w:rPr>
          <w:rFonts w:eastAsia="Arial"/>
          <w:sz w:val="18"/>
          <w:szCs w:val="22"/>
          <w:lang w:val="es-419"/>
        </w:rPr>
        <w:tab/>
        <w:t>(Derecho de autor y derechos conexos)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4</w:t>
      </w:r>
      <w:r w:rsidRPr="006D0ECA">
        <w:rPr>
          <w:rFonts w:eastAsia="Arial"/>
          <w:sz w:val="18"/>
          <w:szCs w:val="22"/>
          <w:lang w:val="es-419"/>
        </w:rPr>
        <w:tab/>
        <w:t>(Conocimientos tradicionales, expresiones culturales tradicionales y recursos genéticos)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8</w:t>
      </w:r>
      <w:r w:rsidRPr="006D0ECA">
        <w:rPr>
          <w:rFonts w:eastAsia="Arial"/>
          <w:sz w:val="18"/>
          <w:szCs w:val="22"/>
          <w:lang w:val="es-419"/>
        </w:rPr>
        <w:tab/>
        <w:t>(Coordinación de la Agenda para el Desarrollo)</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9 </w:t>
      </w:r>
      <w:r w:rsidRPr="006D0ECA">
        <w:rPr>
          <w:rFonts w:eastAsia="Arial"/>
          <w:sz w:val="18"/>
          <w:szCs w:val="22"/>
          <w:lang w:val="es-419"/>
        </w:rPr>
        <w:tab/>
        <w:t>(Oficinas regionales en la sede y PMA)</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10 </w:t>
      </w:r>
      <w:r w:rsidRPr="006D0ECA">
        <w:rPr>
          <w:rFonts w:eastAsia="Arial"/>
          <w:sz w:val="18"/>
          <w:szCs w:val="22"/>
          <w:lang w:val="es-419"/>
        </w:rPr>
        <w:tab/>
        <w:t>(Países con economías en transición y países desarrollados)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11 </w:t>
      </w:r>
      <w:r w:rsidRPr="006D0ECA">
        <w:rPr>
          <w:rFonts w:eastAsia="Arial"/>
          <w:sz w:val="18"/>
          <w:szCs w:val="22"/>
          <w:lang w:val="es-419"/>
        </w:rPr>
        <w:tab/>
        <w:t>(Academia)</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14 </w:t>
      </w:r>
      <w:r w:rsidRPr="006D0ECA">
        <w:rPr>
          <w:rFonts w:eastAsia="Arial"/>
          <w:sz w:val="18"/>
          <w:szCs w:val="22"/>
          <w:lang w:val="es-419"/>
        </w:rPr>
        <w:tab/>
        <w:t>(Información y conocimientos)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17 </w:t>
      </w:r>
      <w:r w:rsidRPr="006D0ECA">
        <w:rPr>
          <w:rFonts w:eastAsia="Arial"/>
          <w:sz w:val="18"/>
          <w:szCs w:val="22"/>
          <w:lang w:val="es-419"/>
        </w:rPr>
        <w:tab/>
        <w:t>(Fomentar el respeto por la PI)</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18 </w:t>
      </w:r>
      <w:r w:rsidRPr="006D0ECA">
        <w:rPr>
          <w:rFonts w:eastAsia="Arial"/>
          <w:sz w:val="18"/>
          <w:szCs w:val="22"/>
          <w:lang w:val="es-419"/>
        </w:rPr>
        <w:tab/>
        <w:t>(La PI y los desafíos mundiales)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20 </w:t>
      </w:r>
      <w:r w:rsidRPr="006D0ECA">
        <w:rPr>
          <w:rFonts w:eastAsia="Arial"/>
          <w:sz w:val="18"/>
          <w:szCs w:val="22"/>
          <w:lang w:val="es-419"/>
        </w:rPr>
        <w:tab/>
        <w:t>(Relaciones exteriores y oficinas en el exterior)</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30 </w:t>
      </w:r>
      <w:r w:rsidRPr="006D0ECA">
        <w:rPr>
          <w:rFonts w:eastAsia="Arial"/>
          <w:sz w:val="18"/>
          <w:szCs w:val="22"/>
          <w:lang w:val="es-419"/>
        </w:rPr>
        <w:tab/>
        <w:t>(Pymes)</w:t>
      </w:r>
    </w:p>
    <w:p w:rsidR="006D0ECA" w:rsidRPr="006D0ECA" w:rsidRDefault="006D0ECA" w:rsidP="006D0ECA">
      <w:pPr>
        <w:keepNext/>
        <w:spacing w:after="180" w:line="220" w:lineRule="atLeast"/>
        <w:rPr>
          <w:rFonts w:eastAsia="Arial"/>
          <w:sz w:val="18"/>
          <w:szCs w:val="22"/>
          <w:lang w:val="es-419"/>
        </w:rPr>
      </w:pPr>
      <w:r w:rsidRPr="006D0ECA">
        <w:rPr>
          <w:rFonts w:eastAsia="Arial"/>
          <w:sz w:val="18"/>
          <w:szCs w:val="22"/>
          <w:lang w:val="es-419"/>
        </w:rPr>
        <w:lastRenderedPageBreak/>
        <w:t>se contabilizan como “Gastos directos por Unión” y “Gastos indirectos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Uniones financiadas por contribuciones</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r>
      <w:tr w:rsidR="006D0ECA" w:rsidRPr="006D0ECA" w:rsidTr="006D0ECA">
        <w:tc>
          <w:tcPr>
            <w:tcW w:w="1000" w:type="pct"/>
          </w:tcPr>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Programa 2 – Fortalecimiento de capacidades (marcas, DD.II., II.GG.)</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(20% - estimación del DP)</w:t>
            </w:r>
          </w:p>
        </w:tc>
        <w:tc>
          <w:tcPr>
            <w:tcW w:w="1000" w:type="pct"/>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2 - Fortalecimiento de capacidades (marcas, DD.II., II.GG.)</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(65%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2 - Fortalecimiento de capacidades (marcas, DD.II., II.GG.)</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(15% - estimación del DP)</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1000" w:type="pct"/>
          </w:tcPr>
          <w:p w:rsidR="006D0ECA" w:rsidRPr="006D0ECA" w:rsidRDefault="006D0ECA" w:rsidP="006D0ECA">
            <w:pPr>
              <w:keepNext/>
              <w:spacing w:line="200" w:lineRule="atLeast"/>
              <w:ind w:left="113"/>
              <w:jc w:val="center"/>
              <w:rPr>
                <w:rFonts w:ascii="Arial Narrow" w:hAnsi="Arial Narrow"/>
                <w:i/>
                <w:sz w:val="16"/>
                <w:lang w:val="es-419"/>
              </w:rPr>
            </w:pPr>
            <w:r w:rsidRPr="006D0ECA">
              <w:rPr>
                <w:rFonts w:ascii="Arial Narrow" w:hAnsi="Arial Narrow"/>
                <w:sz w:val="16"/>
                <w:lang w:val="es-419"/>
              </w:rPr>
              <w:t>Programa 3 – ABC</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1000" w:type="pct"/>
          </w:tcPr>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Programa 4 – Fortalecimiento de capacidades (CC.TT., ECT &amp; RR.GG.)</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5000" w:type="pct"/>
            <w:gridSpan w:val="5"/>
            <w:shd w:val="clear" w:color="auto" w:fill="C6CFD7"/>
          </w:tcPr>
          <w:p w:rsidR="006D0ECA" w:rsidRPr="006D0ECA" w:rsidRDefault="006D0ECA" w:rsidP="00465BA1">
            <w:pPr>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Gastos indirectos por Unión: Programa 3 (desarrollo del derecho de autor), 8, 9, 10, 11, 17, 18, 20 y 30</w:t>
            </w: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III.4 “Fortalecimiento de los mecanismos de cooperación con instituciones de países en desarrollo, PMA y países con economías en transición. conforme a sus necesidades”, ejecutadas por los programas siguientes:</w:t>
      </w:r>
    </w:p>
    <w:p w:rsidR="006D0ECA" w:rsidRPr="006D0ECA" w:rsidRDefault="006D0ECA" w:rsidP="006D0ECA">
      <w:pPr>
        <w:tabs>
          <w:tab w:val="left" w:pos="1701"/>
        </w:tabs>
        <w:spacing w:after="180" w:line="220" w:lineRule="atLeast"/>
        <w:ind w:left="1701" w:hanging="1021"/>
        <w:contextualSpacing/>
        <w:rPr>
          <w:rFonts w:eastAsia="Arial"/>
          <w:sz w:val="18"/>
          <w:szCs w:val="22"/>
          <w:lang w:val="es-419"/>
        </w:rPr>
      </w:pPr>
      <w:r w:rsidRPr="006D0ECA">
        <w:rPr>
          <w:rFonts w:eastAsia="Arial"/>
          <w:sz w:val="18"/>
          <w:szCs w:val="22"/>
          <w:lang w:val="es-419"/>
        </w:rPr>
        <w:t xml:space="preserve">Programa 3 </w:t>
      </w:r>
      <w:r w:rsidRPr="006D0ECA">
        <w:rPr>
          <w:rFonts w:eastAsia="Arial"/>
          <w:sz w:val="18"/>
          <w:szCs w:val="22"/>
          <w:lang w:val="es-419"/>
        </w:rPr>
        <w:tab/>
        <w:t>(Derecho de autor y derechos conexos</w:t>
      </w:r>
    </w:p>
    <w:p w:rsidR="006D0ECA" w:rsidRPr="006D0ECA" w:rsidRDefault="006D0ECA" w:rsidP="006D0ECA">
      <w:pPr>
        <w:tabs>
          <w:tab w:val="left" w:pos="1701"/>
        </w:tabs>
        <w:spacing w:after="180" w:line="220" w:lineRule="atLeast"/>
        <w:ind w:left="1701" w:hanging="1021"/>
        <w:contextualSpacing/>
        <w:rPr>
          <w:rFonts w:eastAsia="Arial"/>
          <w:sz w:val="18"/>
          <w:szCs w:val="22"/>
          <w:lang w:val="es-419"/>
        </w:rPr>
      </w:pPr>
      <w:r w:rsidRPr="006D0ECA">
        <w:rPr>
          <w:rFonts w:eastAsia="Arial"/>
          <w:sz w:val="18"/>
          <w:szCs w:val="22"/>
          <w:lang w:val="es-419"/>
        </w:rPr>
        <w:t xml:space="preserve">Programa 9 </w:t>
      </w:r>
      <w:r w:rsidRPr="006D0ECA">
        <w:rPr>
          <w:rFonts w:eastAsia="Arial"/>
          <w:sz w:val="18"/>
          <w:szCs w:val="22"/>
          <w:lang w:val="es-419"/>
        </w:rPr>
        <w:tab/>
        <w:t>(Oficinas regionales en la sede y PMA)</w:t>
      </w:r>
    </w:p>
    <w:p w:rsidR="006D0ECA" w:rsidRPr="006D0ECA" w:rsidRDefault="006D0ECA" w:rsidP="006D0ECA">
      <w:pPr>
        <w:tabs>
          <w:tab w:val="left" w:pos="1701"/>
        </w:tabs>
        <w:spacing w:after="180" w:line="220" w:lineRule="atLeast"/>
        <w:ind w:left="1701" w:hanging="1021"/>
        <w:contextualSpacing/>
        <w:rPr>
          <w:rFonts w:eastAsia="Arial"/>
          <w:sz w:val="18"/>
          <w:szCs w:val="22"/>
          <w:lang w:val="es-419"/>
        </w:rPr>
      </w:pPr>
      <w:r w:rsidRPr="006D0ECA">
        <w:rPr>
          <w:rFonts w:eastAsia="Arial"/>
          <w:sz w:val="18"/>
          <w:szCs w:val="22"/>
          <w:lang w:val="es-419"/>
        </w:rPr>
        <w:t>Programa 10 (Países con economías en transición y países desarrollados)</w:t>
      </w:r>
    </w:p>
    <w:p w:rsidR="006D0ECA" w:rsidRPr="006D0ECA" w:rsidRDefault="006D0ECA" w:rsidP="006D0ECA">
      <w:pPr>
        <w:tabs>
          <w:tab w:val="left" w:pos="1701"/>
        </w:tabs>
        <w:spacing w:after="180" w:line="220" w:lineRule="atLeast"/>
        <w:ind w:left="1701" w:hanging="1021"/>
        <w:contextualSpacing/>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se contabilizan como “Gastos directos por Unión” y “Gastos indirectos por Unión” según se indica a continuación.</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Uniones financiadas por contribuciones</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r>
      <w:tr w:rsidR="006D0ECA" w:rsidRPr="006D0ECA" w:rsidTr="006D0ECA">
        <w:trPr>
          <w:gridAfter w:val="2"/>
          <w:wAfter w:w="2000" w:type="pct"/>
        </w:trPr>
        <w:tc>
          <w:tcPr>
            <w:tcW w:w="1000" w:type="pct"/>
          </w:tcPr>
          <w:p w:rsidR="006D0ECA" w:rsidRPr="006D0ECA" w:rsidRDefault="006D0ECA" w:rsidP="006D0ECA">
            <w:pPr>
              <w:keepNext/>
              <w:spacing w:line="200" w:lineRule="atLeast"/>
              <w:ind w:left="113"/>
              <w:jc w:val="center"/>
              <w:rPr>
                <w:rFonts w:ascii="Arial Narrow" w:hAnsi="Arial Narrow"/>
                <w:i/>
                <w:sz w:val="14"/>
                <w:lang w:val="es-419"/>
              </w:rPr>
            </w:pPr>
            <w:r w:rsidRPr="006D0ECA">
              <w:rPr>
                <w:rFonts w:ascii="Arial Narrow" w:hAnsi="Arial Narrow"/>
                <w:sz w:val="16"/>
                <w:lang w:val="es-419"/>
              </w:rPr>
              <w:t>Programa 3 – Fortalecimiento de capacidades de OGC</w:t>
            </w:r>
          </w:p>
        </w:tc>
        <w:tc>
          <w:tcPr>
            <w:tcW w:w="1000" w:type="pct"/>
          </w:tcPr>
          <w:p w:rsidR="006D0ECA" w:rsidRPr="006D0ECA" w:rsidRDefault="006D0ECA" w:rsidP="006D0ECA">
            <w:pPr>
              <w:keepNext/>
              <w:spacing w:line="200" w:lineRule="atLeast"/>
              <w:jc w:val="center"/>
              <w:rPr>
                <w:rFonts w:ascii="Arial Narrow" w:hAnsi="Arial Narrow"/>
                <w:i/>
                <w:sz w:val="16"/>
                <w:lang w:val="es-419"/>
              </w:rPr>
            </w:pPr>
          </w:p>
        </w:tc>
        <w:tc>
          <w:tcPr>
            <w:tcW w:w="1000" w:type="pct"/>
          </w:tcPr>
          <w:p w:rsidR="006D0ECA" w:rsidRPr="006D0ECA" w:rsidRDefault="006D0ECA" w:rsidP="006D0ECA">
            <w:pPr>
              <w:keepNext/>
              <w:spacing w:line="200" w:lineRule="atLeast"/>
              <w:rPr>
                <w:rFonts w:ascii="Arial Narrow" w:hAnsi="Arial Narrow"/>
                <w:sz w:val="16"/>
                <w:lang w:val="es-419"/>
              </w:rPr>
            </w:pPr>
          </w:p>
        </w:tc>
      </w:tr>
    </w:tbl>
    <w:p w:rsidR="006D0ECA" w:rsidRPr="006D0ECA" w:rsidRDefault="006D0ECA" w:rsidP="006D0ECA">
      <w:pPr>
        <w:keepNext/>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IV.1 “Sistema actualizado y aceptado mundialmente de clasificaciones internacionales y normas técnicas de la OMPI para facilitar el acceso, el uso y la difusión de información de PI entre las partes interesadas de todo el mundo”, ejecutadas por el programa 12 (Clasificaciones internacionales y normas técnicas), se contabilizan como “Gastos 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keepLines/>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Uniones financiadas por contribuciones</w:t>
            </w:r>
          </w:p>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del PCT</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Borders>
              <w:bottom w:val="single" w:sz="18" w:space="0" w:color="C6CFD7"/>
            </w:tcBorders>
          </w:tcPr>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Programa 12 – Clas. Int. y normas técnicas de la OMPI</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(9% - estimación del DP)</w:t>
            </w:r>
          </w:p>
        </w:tc>
        <w:tc>
          <w:tcPr>
            <w:tcW w:w="1000" w:type="pct"/>
            <w:tcBorders>
              <w:bottom w:val="single" w:sz="18" w:space="0" w:color="C6CFD7"/>
            </w:tcBorders>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 xml:space="preserve">Programa 12 – Clas. Int. y normas técnicas de la OMPI  </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(70% - estimación del DP)</w:t>
            </w:r>
          </w:p>
        </w:tc>
        <w:tc>
          <w:tcPr>
            <w:tcW w:w="1000" w:type="pct"/>
            <w:tcBorders>
              <w:bottom w:val="single" w:sz="18" w:space="0" w:color="C6CFD7"/>
            </w:tcBorders>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 xml:space="preserve">Programa 12 – Clas. Int. y normas técnicas de la OMPI </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(20% - estimación del DP)</w:t>
            </w:r>
          </w:p>
        </w:tc>
        <w:tc>
          <w:tcPr>
            <w:tcW w:w="1000" w:type="pct"/>
            <w:tcBorders>
              <w:bottom w:val="single" w:sz="18" w:space="0" w:color="C6CFD7"/>
            </w:tcBorders>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12 – Clas. Int. y normas técnicas de la OMPI</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(1% - estimación del DP)</w:t>
            </w:r>
          </w:p>
        </w:tc>
        <w:tc>
          <w:tcPr>
            <w:tcW w:w="1000" w:type="pct"/>
            <w:tcBorders>
              <w:bottom w:val="single" w:sz="18" w:space="0" w:color="C6CFD7"/>
            </w:tcBorders>
          </w:tcPr>
          <w:p w:rsidR="006D0ECA" w:rsidRPr="006D0ECA" w:rsidRDefault="006D0ECA" w:rsidP="00465BA1">
            <w:pPr>
              <w:numPr>
                <w:ilvl w:val="0"/>
                <w:numId w:val="6"/>
              </w:numPr>
              <w:spacing w:line="200" w:lineRule="atLeast"/>
              <w:ind w:left="113"/>
              <w:rPr>
                <w:rFonts w:ascii="Arial Narrow" w:hAnsi="Arial Narrow"/>
                <w:sz w:val="16"/>
                <w:lang w:val="es-419"/>
              </w:rPr>
            </w:pP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keepNext/>
        <w:spacing w:after="180" w:line="220" w:lineRule="atLeast"/>
        <w:rPr>
          <w:rFonts w:eastAsia="Arial"/>
          <w:sz w:val="18"/>
          <w:szCs w:val="22"/>
          <w:lang w:val="es-419"/>
        </w:rPr>
      </w:pPr>
      <w:r w:rsidRPr="006D0ECA">
        <w:rPr>
          <w:rFonts w:eastAsia="Arial"/>
          <w:sz w:val="18"/>
          <w:szCs w:val="22"/>
          <w:lang w:val="es-419"/>
        </w:rPr>
        <w:lastRenderedPageBreak/>
        <w:t>Los gastos relativos a las actividades que contribuyen a la consecución del resultado previsto IV.2 “Mejora del acceso y uso de información de PI por parte de instituciones de PI y el público para fomentar la innovación y la creatividad”, ejecutadas por los programas siguientes: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4</w:t>
      </w:r>
      <w:r w:rsidRPr="006D0ECA">
        <w:rPr>
          <w:rFonts w:eastAsia="Arial"/>
          <w:sz w:val="18"/>
          <w:szCs w:val="22"/>
          <w:lang w:val="es-419"/>
        </w:rPr>
        <w:tab/>
        <w:t>(Conocimientos tradicionales, expresiones culturales tradicionales y recursos genéticos)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9 </w:t>
      </w:r>
      <w:r w:rsidRPr="006D0ECA">
        <w:rPr>
          <w:rFonts w:eastAsia="Arial"/>
          <w:sz w:val="18"/>
          <w:szCs w:val="22"/>
          <w:lang w:val="es-419"/>
        </w:rPr>
        <w:tab/>
        <w:t>(Oficinas regionales en la sede y PMA)</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13</w:t>
      </w:r>
      <w:r w:rsidRPr="006D0ECA">
        <w:rPr>
          <w:rFonts w:eastAsia="Arial"/>
          <w:sz w:val="18"/>
          <w:szCs w:val="22"/>
          <w:lang w:val="es-419"/>
        </w:rPr>
        <w:tab/>
        <w:t>(Bases mundiales de datos)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14 </w:t>
      </w:r>
      <w:r w:rsidRPr="006D0ECA">
        <w:rPr>
          <w:rFonts w:eastAsia="Arial"/>
          <w:sz w:val="18"/>
          <w:szCs w:val="22"/>
          <w:lang w:val="es-419"/>
        </w:rPr>
        <w:tab/>
        <w:t>(Información y conocimientos)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20 </w:t>
      </w:r>
      <w:r w:rsidRPr="006D0ECA">
        <w:rPr>
          <w:rFonts w:eastAsia="Arial"/>
          <w:sz w:val="18"/>
          <w:szCs w:val="22"/>
          <w:lang w:val="es-419"/>
        </w:rPr>
        <w:tab/>
        <w:t>(Relaciones exteriores y oficinas en el exterior)</w:t>
      </w:r>
    </w:p>
    <w:p w:rsidR="006D0ECA" w:rsidRPr="006D0ECA" w:rsidRDefault="006D0ECA" w:rsidP="006D0ECA">
      <w:pPr>
        <w:keepNext/>
        <w:spacing w:after="180" w:line="220" w:lineRule="atLeast"/>
        <w:rPr>
          <w:rFonts w:eastAsia="Arial"/>
          <w:sz w:val="18"/>
          <w:szCs w:val="22"/>
          <w:lang w:val="es-419"/>
        </w:rPr>
      </w:pPr>
      <w:r w:rsidRPr="006D0ECA">
        <w:rPr>
          <w:rFonts w:eastAsia="Arial"/>
          <w:sz w:val="18"/>
          <w:szCs w:val="22"/>
          <w:lang w:val="es-419"/>
        </w:rPr>
        <w:t>se contabilizan como “Gastos directos por Unión” y “Gastos indirectos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Uniones financiadas por contribuciones</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del PCT</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Programa 4 – Bases de datos de CC.TT., ECT y RR.GG</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13 – Infraestructura de bases mundiales de datos, herramientas de búsqueda y traducción automática</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(59,4%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13 – Infraestructura de bases mundiales de datos, herramientas de búsqueda y traducción automática</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(31,7%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13 – Infraestructura de bases mundiales de datos, herramientas de búsqueda y traducción automática</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(8,9%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sz w:val="16"/>
                <w:lang w:val="es-419"/>
              </w:rPr>
            </w:pP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14 – Difusión de datos mundiales de PI</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(59,4% - porcentaje de ingresos)</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14 – Difusión de datos mundiales de PI</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(31,7% - porcentaje de ingresos)</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14 – Difusión de datos mundiales de PI</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(8,9% - porcentaje de ingresos)</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1000" w:type="pct"/>
          </w:tcPr>
          <w:p w:rsidR="006D0ECA" w:rsidRPr="006D0ECA" w:rsidRDefault="006D0ECA" w:rsidP="006D0ECA">
            <w:pPr>
              <w:keepNext/>
              <w:spacing w:line="200" w:lineRule="atLeast"/>
              <w:ind w:left="113"/>
              <w:jc w:val="center"/>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5000" w:type="pct"/>
            <w:gridSpan w:val="5"/>
            <w:shd w:val="clear" w:color="auto" w:fill="C6CFD7"/>
          </w:tcPr>
          <w:p w:rsidR="006D0ECA" w:rsidRPr="006D0ECA" w:rsidRDefault="006D0ECA" w:rsidP="00465BA1">
            <w:pPr>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Gastos indirectos por Unión: Programas 9, 13, 14 (WIPO Lex) y 20</w:t>
            </w: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IV.3 “Amplia cobertura geográfica en cuanto al contenido y al uso de las bases mundiales de datos de la OMPI en materia de PI”, ejecutadas por el programa 13 (Bases mundiales de datos), se contabilizan como “Gastos 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del PCT</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keepNext/>
              <w:spacing w:line="200" w:lineRule="atLeast"/>
              <w:ind w:left="113"/>
              <w:jc w:val="center"/>
              <w:rPr>
                <w:rFonts w:ascii="Arial Narrow" w:hAnsi="Arial Narrow"/>
                <w:sz w:val="16"/>
                <w:lang w:val="es-419"/>
              </w:rPr>
            </w:pPr>
          </w:p>
        </w:tc>
      </w:tr>
      <w:tr w:rsidR="006D0ECA" w:rsidRPr="006D0ECA" w:rsidTr="006D0ECA">
        <w:tc>
          <w:tcPr>
            <w:tcW w:w="1000" w:type="pct"/>
            <w:tcBorders>
              <w:bottom w:val="single" w:sz="18" w:space="0" w:color="C6CFD7"/>
            </w:tcBorders>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Borders>
              <w:bottom w:val="single" w:sz="18" w:space="0" w:color="C6CFD7"/>
            </w:tcBorders>
          </w:tcPr>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Programa 13 – Ampliación de la cobertura de las bases mundiales de datos</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(59,4% - estimación del DP)</w:t>
            </w:r>
          </w:p>
        </w:tc>
        <w:tc>
          <w:tcPr>
            <w:tcW w:w="1000" w:type="pct"/>
            <w:tcBorders>
              <w:bottom w:val="single" w:sz="18" w:space="0" w:color="C6CFD7"/>
            </w:tcBorders>
          </w:tcPr>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Programa 13 Ampliación de la cobertura de las bases mundiales de datos</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(31,7% - estimación del DP)</w:t>
            </w:r>
          </w:p>
        </w:tc>
        <w:tc>
          <w:tcPr>
            <w:tcW w:w="1000" w:type="pct"/>
            <w:tcBorders>
              <w:bottom w:val="single" w:sz="18" w:space="0" w:color="C6CFD7"/>
            </w:tcBorders>
          </w:tcPr>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Programa 13 – Ampliación de la cobertura de las bases mundiales de datos</w:t>
            </w:r>
          </w:p>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i/>
                <w:sz w:val="16"/>
                <w:lang w:val="es-419"/>
              </w:rPr>
              <w:t>(8,9% - estimación del DP)</w:t>
            </w:r>
          </w:p>
        </w:tc>
        <w:tc>
          <w:tcPr>
            <w:tcW w:w="1000" w:type="pct"/>
            <w:tcBorders>
              <w:bottom w:val="single" w:sz="18" w:space="0" w:color="C6CFD7"/>
            </w:tcBorders>
          </w:tcPr>
          <w:p w:rsidR="006D0ECA" w:rsidRPr="006D0ECA" w:rsidRDefault="006D0ECA" w:rsidP="00465BA1">
            <w:pPr>
              <w:keepNext/>
              <w:numPr>
                <w:ilvl w:val="0"/>
                <w:numId w:val="6"/>
              </w:numPr>
              <w:spacing w:line="200" w:lineRule="atLeast"/>
              <w:ind w:left="113"/>
              <w:rPr>
                <w:rFonts w:ascii="Arial Narrow" w:hAnsi="Arial Narrow"/>
                <w:sz w:val="16"/>
                <w:lang w:val="es-419"/>
              </w:rPr>
            </w:pP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las actividades que contribuyen a la consecución del resultado previsto IV.4 “Mejora de la infraestructura técnica y de conocimientos de las Oficinas y demás instituciones de PI que les permita prestar mejores servicios (más baratos, más rápidos y de mejor calidad) a los sectores interesados y mejores resultados en la administración de la PI”, ejecutadas por los programas siguientes: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3 </w:t>
      </w:r>
      <w:r w:rsidRPr="006D0ECA">
        <w:rPr>
          <w:rFonts w:eastAsia="Arial"/>
          <w:sz w:val="18"/>
          <w:szCs w:val="22"/>
          <w:lang w:val="es-419"/>
        </w:rPr>
        <w:tab/>
        <w:t>(Derecho de autor y derechos conexos)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9 </w:t>
      </w:r>
      <w:r w:rsidRPr="006D0ECA">
        <w:rPr>
          <w:rFonts w:eastAsia="Arial"/>
          <w:sz w:val="18"/>
          <w:szCs w:val="22"/>
          <w:lang w:val="es-419"/>
        </w:rPr>
        <w:tab/>
        <w:t>(Oficinas regionales en la sede y PMA)</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13</w:t>
      </w:r>
      <w:r w:rsidRPr="006D0ECA">
        <w:rPr>
          <w:rFonts w:eastAsia="Arial"/>
          <w:sz w:val="18"/>
          <w:szCs w:val="22"/>
          <w:lang w:val="es-419"/>
        </w:rPr>
        <w:tab/>
        <w:t>(Bases mundiales de datos)</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15 </w:t>
      </w:r>
      <w:r w:rsidRPr="006D0ECA">
        <w:rPr>
          <w:rFonts w:eastAsia="Arial"/>
          <w:sz w:val="18"/>
          <w:szCs w:val="22"/>
          <w:lang w:val="es-419"/>
        </w:rPr>
        <w:tab/>
        <w:t>(Soluciones operativas para las Oficinas de PI)</w:t>
      </w:r>
    </w:p>
    <w:p w:rsidR="006D0ECA" w:rsidRPr="006D0ECA" w:rsidRDefault="006D0ECA" w:rsidP="006D0ECA">
      <w:pPr>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20 </w:t>
      </w:r>
      <w:r w:rsidRPr="006D0ECA">
        <w:rPr>
          <w:rFonts w:eastAsia="Arial"/>
          <w:sz w:val="18"/>
          <w:szCs w:val="22"/>
          <w:lang w:val="es-419"/>
        </w:rPr>
        <w:tab/>
        <w:t>(Relaciones exteriores y oficinas en el exterior)</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se contabilizan como “Gastos directos por Unión” y “Gastos indirectos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keepLines/>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Uniones financiadas por contribuciones</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del PCT</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Madrid</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Unión de La Haya</w:t>
            </w:r>
          </w:p>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Programa 3 - sistemas de gestión de datos</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13 – Sistemas de ROC en las oficinas nacionales</w:t>
            </w:r>
          </w:p>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i/>
                <w:sz w:val="16"/>
                <w:lang w:val="es-419"/>
              </w:rPr>
              <w:t>(59,4%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13 – Sistemas de ROC en las oficinas nacionales</w:t>
            </w:r>
          </w:p>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i/>
                <w:sz w:val="16"/>
                <w:lang w:val="es-419"/>
              </w:rPr>
              <w:t>(31,7% - estimación del DP)</w:t>
            </w:r>
          </w:p>
        </w:tc>
        <w:tc>
          <w:tcPr>
            <w:tcW w:w="1000" w:type="pct"/>
          </w:tcPr>
          <w:p w:rsidR="006D0ECA" w:rsidRPr="006D0ECA" w:rsidRDefault="006D0ECA" w:rsidP="006D0ECA">
            <w:pPr>
              <w:spacing w:line="200" w:lineRule="atLeast"/>
              <w:ind w:left="113"/>
              <w:jc w:val="center"/>
              <w:rPr>
                <w:rFonts w:ascii="Arial Narrow" w:hAnsi="Arial Narrow"/>
                <w:sz w:val="16"/>
                <w:lang w:val="es-419"/>
              </w:rPr>
            </w:pPr>
            <w:r w:rsidRPr="006D0ECA">
              <w:rPr>
                <w:rFonts w:ascii="Arial Narrow" w:hAnsi="Arial Narrow"/>
                <w:sz w:val="16"/>
                <w:lang w:val="es-419"/>
              </w:rPr>
              <w:t>Programa 13 – Sistemas de ROC en las oficinas nacionales</w:t>
            </w:r>
          </w:p>
          <w:p w:rsidR="006D0ECA" w:rsidRPr="006D0ECA" w:rsidRDefault="006D0ECA" w:rsidP="00465BA1">
            <w:pPr>
              <w:numPr>
                <w:ilvl w:val="0"/>
                <w:numId w:val="6"/>
              </w:numPr>
              <w:spacing w:line="200" w:lineRule="atLeast"/>
              <w:ind w:left="113"/>
              <w:jc w:val="center"/>
              <w:rPr>
                <w:rFonts w:ascii="Arial Narrow" w:hAnsi="Arial Narrow"/>
                <w:i/>
                <w:sz w:val="16"/>
                <w:lang w:val="es-419"/>
              </w:rPr>
            </w:pPr>
            <w:r w:rsidRPr="006D0ECA">
              <w:rPr>
                <w:rFonts w:ascii="Arial Narrow" w:hAnsi="Arial Narrow"/>
                <w:i/>
                <w:sz w:val="16"/>
                <w:lang w:val="es-419"/>
              </w:rPr>
              <w:t>(8,9% - estimación del DP)</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5000" w:type="pct"/>
            <w:gridSpan w:val="5"/>
            <w:shd w:val="clear" w:color="auto" w:fill="C6CFD7"/>
          </w:tcPr>
          <w:p w:rsidR="006D0ECA" w:rsidRPr="006D0ECA" w:rsidRDefault="006D0ECA" w:rsidP="00465BA1">
            <w:pPr>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Gastos indirectos por Unión: Programas 9, 15 y 20</w:t>
            </w: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keepNext/>
        <w:keepLines/>
        <w:spacing w:after="180" w:line="220" w:lineRule="atLeast"/>
        <w:rPr>
          <w:rFonts w:eastAsia="Arial"/>
          <w:sz w:val="18"/>
          <w:szCs w:val="22"/>
          <w:lang w:val="es-419"/>
        </w:rPr>
      </w:pPr>
      <w:r w:rsidRPr="006D0ECA">
        <w:rPr>
          <w:rFonts w:eastAsia="Arial"/>
          <w:sz w:val="18"/>
          <w:szCs w:val="22"/>
          <w:lang w:val="es-419"/>
        </w:rPr>
        <w:lastRenderedPageBreak/>
        <w:t>Los gastos relativos a las actividades que contribuyen a la consecución del resultado previsto VII.1 “Plataformas y herramientas de PI utilizadas para la transferencia de conocimientos y la difusión y adaptación de tecnología de los países desarrollados a los países en desarrollo, en particular, a los menos adelantados, con el fin de atender los desafíos mundiales”, ejecutadas por los programas siguientes: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3 </w:t>
      </w:r>
      <w:r w:rsidRPr="006D0ECA">
        <w:rPr>
          <w:rFonts w:eastAsia="Arial"/>
          <w:sz w:val="18"/>
          <w:szCs w:val="22"/>
          <w:lang w:val="es-419"/>
        </w:rPr>
        <w:tab/>
        <w:t>(Derecho de autor y derechos conexos)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Programa 4</w:t>
      </w:r>
      <w:r w:rsidRPr="006D0ECA">
        <w:rPr>
          <w:rFonts w:eastAsia="Arial"/>
          <w:sz w:val="18"/>
          <w:szCs w:val="22"/>
          <w:lang w:val="es-419"/>
        </w:rPr>
        <w:tab/>
        <w:t>(Conocimientos tradicionales, expresiones culturales tradicionales y recursos genéticos)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18 </w:t>
      </w:r>
      <w:r w:rsidRPr="006D0ECA">
        <w:rPr>
          <w:rFonts w:eastAsia="Arial"/>
          <w:sz w:val="18"/>
          <w:szCs w:val="22"/>
          <w:lang w:val="es-419"/>
        </w:rPr>
        <w:tab/>
        <w:t>(La PI y los desafíos mundiales)</w:t>
      </w:r>
    </w:p>
    <w:p w:rsidR="006D0ECA" w:rsidRPr="006D0ECA" w:rsidRDefault="006D0ECA" w:rsidP="006D0ECA">
      <w:pPr>
        <w:keepNext/>
        <w:tabs>
          <w:tab w:val="left" w:pos="1928"/>
        </w:tabs>
        <w:spacing w:after="180" w:line="220" w:lineRule="atLeast"/>
        <w:ind w:left="1927" w:hanging="1247"/>
        <w:contextualSpacing/>
        <w:rPr>
          <w:rFonts w:eastAsia="Arial"/>
          <w:sz w:val="18"/>
          <w:szCs w:val="22"/>
          <w:lang w:val="es-419"/>
        </w:rPr>
      </w:pPr>
      <w:r w:rsidRPr="006D0ECA">
        <w:rPr>
          <w:rFonts w:eastAsia="Arial"/>
          <w:sz w:val="18"/>
          <w:szCs w:val="22"/>
          <w:lang w:val="es-419"/>
        </w:rPr>
        <w:t xml:space="preserve">Programa 20 </w:t>
      </w:r>
      <w:r w:rsidRPr="006D0ECA">
        <w:rPr>
          <w:rFonts w:eastAsia="Arial"/>
          <w:sz w:val="18"/>
          <w:szCs w:val="22"/>
          <w:lang w:val="es-419"/>
        </w:rPr>
        <w:tab/>
        <w:t>(Relaciones exteriores y oficinas en el exterior)</w:t>
      </w:r>
    </w:p>
    <w:p w:rsidR="006D0ECA" w:rsidRPr="006D0ECA" w:rsidRDefault="006D0ECA" w:rsidP="006D0ECA">
      <w:pPr>
        <w:keepNext/>
        <w:spacing w:after="180" w:line="220" w:lineRule="atLeast"/>
        <w:rPr>
          <w:rFonts w:eastAsia="Arial"/>
          <w:sz w:val="18"/>
          <w:szCs w:val="22"/>
          <w:lang w:val="es-419"/>
        </w:rPr>
      </w:pPr>
      <w:r w:rsidRPr="006D0ECA">
        <w:rPr>
          <w:rFonts w:eastAsia="Arial"/>
          <w:sz w:val="18"/>
          <w:szCs w:val="22"/>
          <w:lang w:val="es-419"/>
        </w:rPr>
        <w:t>se contabilizan como “Gastos directos por Unión” y “Gastos indirectos por Unión” según se indica a continuación.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6D0ECA" w:rsidRPr="006D0ECA" w:rsidTr="006D0ECA">
        <w:tc>
          <w:tcPr>
            <w:tcW w:w="1000" w:type="pct"/>
            <w:shd w:val="clear" w:color="auto" w:fill="C6CFD7"/>
          </w:tcPr>
          <w:p w:rsidR="006D0ECA" w:rsidRPr="006D0ECA" w:rsidRDefault="006D0ECA" w:rsidP="006D0ECA">
            <w:pPr>
              <w:keepNext/>
              <w:spacing w:before="40" w:after="20" w:line="200" w:lineRule="atLeast"/>
              <w:ind w:left="113"/>
              <w:jc w:val="center"/>
              <w:rPr>
                <w:rFonts w:ascii="Arial Narrow" w:hAnsi="Arial Narrow"/>
                <w:b/>
                <w:sz w:val="16"/>
                <w:lang w:val="es-419"/>
              </w:rPr>
            </w:pPr>
            <w:r w:rsidRPr="006D0ECA">
              <w:rPr>
                <w:rFonts w:ascii="Arial Narrow" w:hAnsi="Arial Narrow"/>
                <w:b/>
                <w:sz w:val="16"/>
                <w:lang w:val="es-419"/>
              </w:rPr>
              <w:t>Uniones financiadas por contribuciones</w:t>
            </w:r>
          </w:p>
          <w:p w:rsidR="006D0ECA" w:rsidRPr="006D0ECA" w:rsidRDefault="006D0ECA" w:rsidP="006D0ECA">
            <w:pPr>
              <w:keepNext/>
              <w:spacing w:line="200" w:lineRule="atLeast"/>
              <w:ind w:left="113"/>
              <w:jc w:val="center"/>
              <w:rPr>
                <w:rFonts w:ascii="Arial Narrow" w:hAnsi="Arial Narrow"/>
                <w:sz w:val="16"/>
                <w:lang w:val="es-419"/>
              </w:rPr>
            </w:pPr>
            <w:r w:rsidRPr="006D0ECA">
              <w:rPr>
                <w:rFonts w:ascii="Arial Narrow" w:hAnsi="Arial Narrow"/>
                <w:sz w:val="16"/>
                <w:lang w:val="es-419"/>
              </w:rPr>
              <w:t>Gastos directos por Unión</w:t>
            </w: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c>
          <w:tcPr>
            <w:tcW w:w="1000" w:type="pct"/>
            <w:shd w:val="clear" w:color="auto" w:fill="C6CFD7"/>
          </w:tcPr>
          <w:p w:rsidR="006D0ECA" w:rsidRPr="006D0ECA" w:rsidRDefault="006D0ECA" w:rsidP="006D0ECA">
            <w:pPr>
              <w:spacing w:line="200" w:lineRule="atLeast"/>
              <w:ind w:left="113"/>
              <w:jc w:val="center"/>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i/>
                <w:sz w:val="16"/>
                <w:lang w:val="es-419"/>
              </w:rPr>
            </w:pPr>
            <w:r w:rsidRPr="006D0ECA">
              <w:rPr>
                <w:rFonts w:ascii="Arial Narrow" w:hAnsi="Arial Narrow"/>
                <w:sz w:val="16"/>
                <w:lang w:val="es-419"/>
              </w:rPr>
              <w:t>Programa 3 Servicio de libros del ABC, edición inclusiva del ABC</w:t>
            </w:r>
          </w:p>
        </w:tc>
        <w:tc>
          <w:tcPr>
            <w:tcW w:w="1000" w:type="pct"/>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ind w:left="113"/>
              <w:jc w:val="center"/>
              <w:rPr>
                <w:rFonts w:ascii="Arial Narrow" w:hAnsi="Arial Narrow"/>
                <w:i/>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1000" w:type="pct"/>
          </w:tcPr>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Programa 4  -  Apoyo a las bases de datos WIPO Re:Search y WIPO Green</w:t>
            </w: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c>
          <w:tcPr>
            <w:tcW w:w="1000" w:type="pct"/>
          </w:tcPr>
          <w:p w:rsidR="006D0ECA" w:rsidRPr="006D0ECA" w:rsidRDefault="006D0ECA" w:rsidP="00465BA1">
            <w:pPr>
              <w:numPr>
                <w:ilvl w:val="0"/>
                <w:numId w:val="6"/>
              </w:numPr>
              <w:spacing w:line="200" w:lineRule="atLeast"/>
              <w:ind w:left="113"/>
              <w:rPr>
                <w:rFonts w:ascii="Arial Narrow" w:hAnsi="Arial Narrow"/>
                <w:sz w:val="16"/>
                <w:lang w:val="es-419"/>
              </w:rPr>
            </w:pPr>
          </w:p>
        </w:tc>
      </w:tr>
      <w:tr w:rsidR="006D0ECA" w:rsidRPr="006D0ECA" w:rsidTr="006D0ECA">
        <w:tc>
          <w:tcPr>
            <w:tcW w:w="5000" w:type="pct"/>
            <w:gridSpan w:val="5"/>
            <w:shd w:val="clear" w:color="auto" w:fill="C6CFD7"/>
          </w:tcPr>
          <w:p w:rsidR="006D0ECA" w:rsidRPr="006D0ECA" w:rsidRDefault="006D0ECA" w:rsidP="00465BA1">
            <w:pPr>
              <w:numPr>
                <w:ilvl w:val="0"/>
                <w:numId w:val="6"/>
              </w:numPr>
              <w:spacing w:line="200" w:lineRule="atLeast"/>
              <w:ind w:left="113"/>
              <w:jc w:val="center"/>
              <w:rPr>
                <w:rFonts w:ascii="Arial Narrow" w:hAnsi="Arial Narrow"/>
                <w:sz w:val="16"/>
                <w:lang w:val="es-419"/>
              </w:rPr>
            </w:pPr>
            <w:r w:rsidRPr="006D0ECA">
              <w:rPr>
                <w:rFonts w:ascii="Arial Narrow" w:hAnsi="Arial Narrow"/>
                <w:sz w:val="16"/>
                <w:lang w:val="es-419"/>
              </w:rPr>
              <w:t>Gastos indirectos por Unión: Programas 18 y 20</w:t>
            </w:r>
          </w:p>
        </w:tc>
      </w:tr>
    </w:tbl>
    <w:p w:rsidR="006D0ECA" w:rsidRPr="006D0ECA" w:rsidRDefault="006D0ECA" w:rsidP="006D0ECA">
      <w:pPr>
        <w:spacing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 xml:space="preserve">Los gastos relativos a las actividades que contribuyen a la consecución de los resultados previstos III.1, III.3, III.6, V.1, V.2, VI.1, VI.2, VIII.1, VIII.2, VIII.4 y VIII.5 se contabilizan como “Gastos indirectos por Unión” sobre la base del principio de la “capacidad de pago”. </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los resultados previstos I.1, I.2. III.2, IV.2, VIII.1, VIII.3 con actividades ejecutadas por el programa 21, y al resultado previsto VIII.5, con actividades ejecutadas por los programas 21 y 24, se contabilizan de la misma manera que los gastos correspondientes a actividades administrativas y de gestión.</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Los gastos relativos a actividades que contribuyen a la meta estratégica IX “Estructura eficiente de apoyo administrativo y financiero que facilite la ejecución de los programas de la OMPI” (resultados previstos IX. 1-IX.5), ejecutadas por los programas que se mencionan a continuación, se contabilizan como  “gastos administrativos directos” de todas las Uniones, como sigue: a) asignación directa a las Uniones de costos administrativos como, por ejemplo, la parte del costo del hospedaje de servidores en el Centro Internacional de Cálculos Electrónicos de las Naciones Unidas (CICE) y la parte del costo de la Sección de Ingresos de la División de Finanzas; y b) asignación a las Uniones de los restantes costos “administrativos directos” con arreglo a la parte correspondiente de la dotación de personal. Los gastos relacionados con la administración que no se contabilizan como “gastos administrativos directos” se contabilizan como “gastos administrativos indirectos” con arreglo al principio de la “capacidad de pago”:</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9639"/>
      </w:tblGrid>
      <w:tr w:rsidR="006D0ECA" w:rsidRPr="006D0ECA" w:rsidTr="006D0ECA">
        <w:tc>
          <w:tcPr>
            <w:tcW w:w="5000" w:type="pct"/>
            <w:shd w:val="clear" w:color="auto" w:fill="C6CFD7"/>
          </w:tcPr>
          <w:p w:rsidR="006D0ECA" w:rsidRPr="006D0ECA" w:rsidRDefault="006D0ECA" w:rsidP="006D0ECA">
            <w:pPr>
              <w:keepNext/>
              <w:keepLines/>
              <w:spacing w:line="200" w:lineRule="atLeast"/>
              <w:ind w:left="113"/>
              <w:jc w:val="center"/>
              <w:rPr>
                <w:rFonts w:ascii="Arial Narrow" w:hAnsi="Arial Narrow"/>
                <w:sz w:val="16"/>
                <w:lang w:val="es-419"/>
              </w:rPr>
            </w:pPr>
            <w:r w:rsidRPr="006D0ECA">
              <w:rPr>
                <w:rFonts w:ascii="Arial Narrow" w:hAnsi="Arial Narrow"/>
                <w:sz w:val="16"/>
                <w:lang w:val="es-419"/>
              </w:rPr>
              <w:t>Administrativos directos /Administrativos indirectos</w:t>
            </w:r>
          </w:p>
        </w:tc>
      </w:tr>
      <w:tr w:rsidR="006D0ECA" w:rsidRPr="006D0ECA" w:rsidTr="006D0ECA">
        <w:tc>
          <w:tcPr>
            <w:tcW w:w="5000" w:type="pct"/>
          </w:tcPr>
          <w:p w:rsidR="006D0ECA" w:rsidRPr="006D0ECA" w:rsidRDefault="006D0ECA" w:rsidP="00465BA1">
            <w:pPr>
              <w:keepNext/>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Programa 21 (Gestión ejecutiva)</w:t>
            </w:r>
          </w:p>
        </w:tc>
      </w:tr>
      <w:tr w:rsidR="006D0ECA" w:rsidRPr="006D0ECA" w:rsidTr="006D0ECA">
        <w:tc>
          <w:tcPr>
            <w:tcW w:w="5000" w:type="pct"/>
          </w:tcPr>
          <w:p w:rsidR="006D0ECA" w:rsidRPr="006D0ECA" w:rsidRDefault="006D0ECA" w:rsidP="00465BA1">
            <w:pPr>
              <w:keepNext/>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Programa 22 (Gestión de programas y recursos)</w:t>
            </w:r>
          </w:p>
        </w:tc>
      </w:tr>
      <w:tr w:rsidR="006D0ECA" w:rsidRPr="006D0ECA" w:rsidTr="006D0ECA">
        <w:tc>
          <w:tcPr>
            <w:tcW w:w="5000" w:type="pct"/>
          </w:tcPr>
          <w:p w:rsidR="006D0ECA" w:rsidRPr="006D0ECA" w:rsidRDefault="006D0ECA" w:rsidP="00465BA1">
            <w:pPr>
              <w:keepNext/>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Programa 23 (Gestión y desarrollo de los recursos humanos)</w:t>
            </w:r>
          </w:p>
        </w:tc>
      </w:tr>
      <w:tr w:rsidR="006D0ECA" w:rsidRPr="006D0ECA" w:rsidTr="006D0ECA">
        <w:tc>
          <w:tcPr>
            <w:tcW w:w="5000" w:type="pct"/>
          </w:tcPr>
          <w:p w:rsidR="006D0ECA" w:rsidRPr="006D0ECA" w:rsidRDefault="006D0ECA" w:rsidP="00465BA1">
            <w:pPr>
              <w:keepNext/>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Programa 24 (Servicios generales de apoyo)</w:t>
            </w:r>
          </w:p>
        </w:tc>
      </w:tr>
      <w:tr w:rsidR="006D0ECA" w:rsidRPr="006D0ECA" w:rsidTr="006D0ECA">
        <w:tc>
          <w:tcPr>
            <w:tcW w:w="5000" w:type="pct"/>
          </w:tcPr>
          <w:p w:rsidR="006D0ECA" w:rsidRPr="006D0ECA" w:rsidRDefault="006D0ECA" w:rsidP="00465BA1">
            <w:pPr>
              <w:keepNext/>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Programa 25 (Tecnología de la información y las telecomunicaciones)</w:t>
            </w:r>
          </w:p>
        </w:tc>
      </w:tr>
      <w:tr w:rsidR="006D0ECA" w:rsidRPr="006D0ECA" w:rsidTr="006D0ECA">
        <w:tc>
          <w:tcPr>
            <w:tcW w:w="5000" w:type="pct"/>
          </w:tcPr>
          <w:p w:rsidR="006D0ECA" w:rsidRPr="006D0ECA" w:rsidRDefault="006D0ECA" w:rsidP="00465BA1">
            <w:pPr>
              <w:keepNext/>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Programa 26 (Supervisión interna)</w:t>
            </w:r>
          </w:p>
        </w:tc>
      </w:tr>
      <w:tr w:rsidR="006D0ECA" w:rsidRPr="006D0ECA" w:rsidTr="006D0ECA">
        <w:tc>
          <w:tcPr>
            <w:tcW w:w="5000" w:type="pct"/>
          </w:tcPr>
          <w:p w:rsidR="006D0ECA" w:rsidRPr="006D0ECA" w:rsidRDefault="006D0ECA" w:rsidP="00465BA1">
            <w:pPr>
              <w:keepNext/>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Programa 27 (Servicios de conferencias y lingüísticos)</w:t>
            </w:r>
          </w:p>
        </w:tc>
      </w:tr>
      <w:tr w:rsidR="006D0ECA" w:rsidRPr="006D0ECA" w:rsidTr="006D0ECA">
        <w:tc>
          <w:tcPr>
            <w:tcW w:w="5000" w:type="pct"/>
            <w:tcBorders>
              <w:bottom w:val="single" w:sz="18" w:space="0" w:color="C6CFD7"/>
            </w:tcBorders>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Programa 28 (Aseguramiento de la información, seguridad y vigilancia)</w:t>
            </w:r>
          </w:p>
        </w:tc>
      </w:tr>
    </w:tbl>
    <w:p w:rsidR="006D0ECA" w:rsidRPr="006D0ECA" w:rsidRDefault="006D0ECA" w:rsidP="006D0ECA">
      <w:pPr>
        <w:keepNext/>
        <w:spacing w:before="320" w:after="240" w:line="220" w:lineRule="atLeast"/>
        <w:outlineLvl w:val="2"/>
        <w:rPr>
          <w:rFonts w:eastAsia="Arial"/>
          <w:b/>
          <w:color w:val="005172"/>
          <w:szCs w:val="22"/>
          <w:lang w:val="es-419"/>
        </w:rPr>
      </w:pPr>
      <w:r w:rsidRPr="006D0ECA">
        <w:rPr>
          <w:rFonts w:eastAsia="Arial"/>
          <w:b/>
          <w:color w:val="005172"/>
          <w:szCs w:val="22"/>
          <w:lang w:val="es-419"/>
        </w:rPr>
        <w:t>Asignación de los ajustes conforme a las IPSAS, por Unión</w:t>
      </w:r>
    </w:p>
    <w:p w:rsidR="006D0ECA" w:rsidRPr="006D0ECA" w:rsidRDefault="006D0ECA" w:rsidP="006D0ECA">
      <w:pPr>
        <w:spacing w:after="180" w:line="220" w:lineRule="atLeast"/>
        <w:rPr>
          <w:rFonts w:eastAsia="Arial"/>
          <w:sz w:val="18"/>
          <w:szCs w:val="22"/>
          <w:lang w:val="es-419"/>
        </w:rPr>
      </w:pPr>
      <w:r w:rsidRPr="006D0ECA">
        <w:rPr>
          <w:rFonts w:eastAsia="Arial"/>
          <w:sz w:val="18"/>
          <w:szCs w:val="22"/>
          <w:lang w:val="es-419"/>
        </w:rPr>
        <w:t xml:space="preserve">Se realiza una distribución proporcional entre las Uniones de los ajustes en los gastos conforme a las IPSAS sobre la base de la proporción de gastos relativos. Entre los ajustes conforme a las IPSAS figuran las prestaciones a los empleados después de la separación del servicio, la depreciación de los edificios y el equipo, la amortización y capitalización del </w:t>
      </w:r>
      <w:r w:rsidRPr="006D0ECA">
        <w:rPr>
          <w:rFonts w:eastAsia="Arial"/>
          <w:i/>
          <w:sz w:val="18"/>
          <w:szCs w:val="22"/>
          <w:lang w:val="es-419"/>
        </w:rPr>
        <w:t>software</w:t>
      </w:r>
      <w:r w:rsidRPr="006D0ECA">
        <w:rPr>
          <w:rFonts w:eastAsia="Arial"/>
          <w:sz w:val="18"/>
          <w:szCs w:val="22"/>
          <w:lang w:val="es-419"/>
        </w:rPr>
        <w:t xml:space="preserve"> y los derechos de superficie sobre las parcelas.</w:t>
      </w:r>
    </w:p>
    <w:p w:rsidR="006D0ECA" w:rsidRPr="006D0ECA" w:rsidRDefault="006D0ECA" w:rsidP="006D0ECA">
      <w:pPr>
        <w:keepNext/>
        <w:keepLines/>
        <w:spacing w:before="240" w:after="60" w:line="220" w:lineRule="atLeast"/>
        <w:jc w:val="center"/>
        <w:rPr>
          <w:rFonts w:eastAsia="Arial"/>
          <w:b/>
          <w:color w:val="005172"/>
          <w:sz w:val="18"/>
          <w:szCs w:val="22"/>
          <w:lang w:val="es-419"/>
        </w:rPr>
      </w:pPr>
      <w:r w:rsidRPr="006D0ECA">
        <w:rPr>
          <w:rFonts w:eastAsia="Arial"/>
          <w:b/>
          <w:color w:val="005172"/>
          <w:sz w:val="18"/>
          <w:szCs w:val="22"/>
          <w:lang w:val="es-419"/>
        </w:rPr>
        <w:lastRenderedPageBreak/>
        <w:t>Cuadro 11: Marco hipotético por Unión</w:t>
      </w:r>
    </w:p>
    <w:p w:rsidR="006D0ECA" w:rsidRPr="006D0ECA" w:rsidRDefault="006D0ECA" w:rsidP="006D0ECA">
      <w:pPr>
        <w:keepNext/>
        <w:keepLines/>
        <w:spacing w:before="60" w:after="180" w:line="220" w:lineRule="atLeast"/>
        <w:jc w:val="center"/>
        <w:rPr>
          <w:rFonts w:eastAsia="Arial"/>
          <w:i/>
          <w:sz w:val="18"/>
          <w:szCs w:val="22"/>
          <w:lang w:val="es-419"/>
        </w:rPr>
      </w:pPr>
      <w:r w:rsidRPr="006D0ECA">
        <w:rPr>
          <w:rFonts w:eastAsia="Arial"/>
          <w:i/>
          <w:sz w:val="18"/>
          <w:szCs w:val="22"/>
          <w:lang w:val="es-419"/>
        </w:rPr>
        <w:t>(en miles de francos suizos)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335"/>
        <w:gridCol w:w="732"/>
        <w:gridCol w:w="486"/>
        <w:gridCol w:w="733"/>
        <w:gridCol w:w="486"/>
        <w:gridCol w:w="733"/>
        <w:gridCol w:w="484"/>
        <w:gridCol w:w="733"/>
        <w:gridCol w:w="484"/>
        <w:gridCol w:w="731"/>
        <w:gridCol w:w="447"/>
        <w:gridCol w:w="733"/>
        <w:gridCol w:w="522"/>
      </w:tblGrid>
      <w:tr w:rsidR="006D0ECA" w:rsidRPr="006D0ECA" w:rsidTr="006D0ECA">
        <w:tc>
          <w:tcPr>
            <w:tcW w:w="2335" w:type="dxa"/>
            <w:shd w:val="clear" w:color="auto" w:fill="C6CFD7"/>
          </w:tcPr>
          <w:p w:rsidR="006D0ECA" w:rsidRPr="006D0ECA" w:rsidRDefault="006D0ECA" w:rsidP="006D0ECA">
            <w:pPr>
              <w:keepNext/>
              <w:spacing w:before="40" w:after="20" w:line="200" w:lineRule="atLeast"/>
              <w:ind w:left="113"/>
              <w:rPr>
                <w:rFonts w:ascii="Arial Narrow" w:hAnsi="Arial Narrow"/>
                <w:b/>
                <w:sz w:val="16"/>
                <w:lang w:val="es-419"/>
              </w:rPr>
            </w:pPr>
          </w:p>
        </w:tc>
        <w:tc>
          <w:tcPr>
            <w:tcW w:w="1218" w:type="dxa"/>
            <w:gridSpan w:val="2"/>
            <w:tcBorders>
              <w:bottom w:val="single" w:sz="4" w:space="0" w:color="72899D"/>
            </w:tcBorders>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Uniones financiadas por contribuciones</w:t>
            </w:r>
          </w:p>
        </w:tc>
        <w:tc>
          <w:tcPr>
            <w:tcW w:w="1219" w:type="dxa"/>
            <w:gridSpan w:val="2"/>
            <w:tcBorders>
              <w:bottom w:val="single" w:sz="4" w:space="0" w:color="72899D"/>
            </w:tcBorders>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Unión del PCT</w:t>
            </w:r>
          </w:p>
        </w:tc>
        <w:tc>
          <w:tcPr>
            <w:tcW w:w="1217" w:type="dxa"/>
            <w:gridSpan w:val="2"/>
            <w:tcBorders>
              <w:bottom w:val="single" w:sz="4" w:space="0" w:color="72899D"/>
            </w:tcBorders>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Unión de Madrid</w:t>
            </w:r>
          </w:p>
        </w:tc>
        <w:tc>
          <w:tcPr>
            <w:tcW w:w="1217" w:type="dxa"/>
            <w:gridSpan w:val="2"/>
            <w:tcBorders>
              <w:bottom w:val="single" w:sz="4" w:space="0" w:color="72899D"/>
            </w:tcBorders>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Unión de La Haya</w:t>
            </w:r>
          </w:p>
        </w:tc>
        <w:tc>
          <w:tcPr>
            <w:tcW w:w="1178" w:type="dxa"/>
            <w:gridSpan w:val="2"/>
            <w:tcBorders>
              <w:bottom w:val="single" w:sz="4" w:space="0" w:color="72899D"/>
            </w:tcBorders>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Unión de Lisboa</w:t>
            </w:r>
          </w:p>
        </w:tc>
        <w:tc>
          <w:tcPr>
            <w:tcW w:w="1255" w:type="dxa"/>
            <w:gridSpan w:val="2"/>
            <w:tcBorders>
              <w:bottom w:val="single" w:sz="4" w:space="0" w:color="72899D"/>
            </w:tcBorders>
            <w:shd w:val="clear" w:color="auto" w:fill="C6CFD7"/>
          </w:tcPr>
          <w:p w:rsidR="006D0ECA" w:rsidRPr="006D0ECA" w:rsidRDefault="006D0ECA" w:rsidP="006D0ECA">
            <w:pPr>
              <w:spacing w:before="40" w:after="20" w:line="200" w:lineRule="atLeast"/>
              <w:ind w:left="113"/>
              <w:rPr>
                <w:rFonts w:ascii="Arial Narrow" w:hAnsi="Arial Narrow"/>
                <w:b/>
                <w:sz w:val="16"/>
                <w:lang w:val="es-419"/>
              </w:rPr>
            </w:pPr>
            <w:r w:rsidRPr="006D0ECA">
              <w:rPr>
                <w:rFonts w:ascii="Arial Narrow" w:hAnsi="Arial Narrow"/>
                <w:b/>
                <w:sz w:val="16"/>
                <w:lang w:val="es-419"/>
              </w:rPr>
              <w:t>Total</w:t>
            </w:r>
          </w:p>
        </w:tc>
      </w:tr>
      <w:tr w:rsidR="006D0ECA" w:rsidRPr="006D0ECA" w:rsidTr="006D0ECA">
        <w:tc>
          <w:tcPr>
            <w:tcW w:w="2335" w:type="dxa"/>
            <w:tcBorders>
              <w:bottom w:val="single" w:sz="4" w:space="0" w:color="C6CFD7"/>
            </w:tcBorders>
          </w:tcPr>
          <w:p w:rsidR="006D0ECA" w:rsidRPr="006D0ECA" w:rsidRDefault="006D0ECA" w:rsidP="00465BA1">
            <w:pPr>
              <w:keepNext/>
              <w:numPr>
                <w:ilvl w:val="0"/>
                <w:numId w:val="9"/>
              </w:numPr>
              <w:spacing w:line="200" w:lineRule="atLeast"/>
              <w:ind w:left="113"/>
              <w:rPr>
                <w:rFonts w:ascii="Arial Narrow" w:hAnsi="Arial Narrow"/>
                <w:b/>
                <w:sz w:val="16"/>
                <w:lang w:val="es-419"/>
              </w:rPr>
            </w:pPr>
            <w:r w:rsidRPr="006D0ECA">
              <w:rPr>
                <w:rFonts w:ascii="Arial Narrow" w:hAnsi="Arial Narrow"/>
                <w:b/>
                <w:sz w:val="16"/>
                <w:lang w:val="es-419"/>
              </w:rPr>
              <w:t>Ingresos 2020/21</w:t>
            </w:r>
          </w:p>
        </w:tc>
        <w:tc>
          <w:tcPr>
            <w:tcW w:w="732"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b/>
                <w:bCs/>
                <w:sz w:val="16"/>
                <w:szCs w:val="16"/>
                <w:lang w:val="fr-CH" w:eastAsia="fr-CH"/>
              </w:rPr>
              <w:t>36.084</w:t>
            </w:r>
          </w:p>
        </w:tc>
        <w:tc>
          <w:tcPr>
            <w:tcW w:w="486"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p>
        </w:tc>
        <w:tc>
          <w:tcPr>
            <w:tcW w:w="733"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r w:rsidRPr="006D0ECA">
              <w:rPr>
                <w:rFonts w:ascii="Arial Narrow" w:hAnsi="Arial Narrow" w:cs="Times New Roman"/>
                <w:b/>
                <w:bCs/>
                <w:sz w:val="16"/>
                <w:szCs w:val="16"/>
                <w:lang w:val="fr-CH" w:eastAsia="fr-CH"/>
              </w:rPr>
              <w:t>667.565</w:t>
            </w:r>
          </w:p>
        </w:tc>
        <w:tc>
          <w:tcPr>
            <w:tcW w:w="486"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p>
        </w:tc>
        <w:tc>
          <w:tcPr>
            <w:tcW w:w="733"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r w:rsidRPr="006D0ECA">
              <w:rPr>
                <w:rFonts w:ascii="Arial Narrow" w:hAnsi="Arial Narrow" w:cs="Times New Roman"/>
                <w:b/>
                <w:bCs/>
                <w:sz w:val="16"/>
                <w:szCs w:val="16"/>
                <w:lang w:val="fr-CH" w:eastAsia="fr-CH"/>
              </w:rPr>
              <w:t>164.345</w:t>
            </w:r>
          </w:p>
        </w:tc>
        <w:tc>
          <w:tcPr>
            <w:tcW w:w="484"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p>
        </w:tc>
        <w:tc>
          <w:tcPr>
            <w:tcW w:w="733"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r w:rsidRPr="006D0ECA">
              <w:rPr>
                <w:rFonts w:ascii="Arial Narrow" w:hAnsi="Arial Narrow" w:cs="Times New Roman"/>
                <w:b/>
                <w:bCs/>
                <w:sz w:val="16"/>
                <w:szCs w:val="16"/>
                <w:lang w:val="fr-CH" w:eastAsia="fr-CH"/>
              </w:rPr>
              <w:t>13.995</w:t>
            </w:r>
          </w:p>
        </w:tc>
        <w:tc>
          <w:tcPr>
            <w:tcW w:w="484"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p>
        </w:tc>
        <w:tc>
          <w:tcPr>
            <w:tcW w:w="731"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r w:rsidRPr="006D0ECA">
              <w:rPr>
                <w:rFonts w:ascii="Arial Narrow" w:hAnsi="Arial Narrow" w:cs="Times New Roman"/>
                <w:b/>
                <w:bCs/>
                <w:sz w:val="16"/>
                <w:szCs w:val="16"/>
                <w:lang w:val="fr-CH" w:eastAsia="fr-CH"/>
              </w:rPr>
              <w:t>779</w:t>
            </w:r>
          </w:p>
        </w:tc>
        <w:tc>
          <w:tcPr>
            <w:tcW w:w="447"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p>
        </w:tc>
        <w:tc>
          <w:tcPr>
            <w:tcW w:w="733"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r w:rsidRPr="006D0ECA">
              <w:rPr>
                <w:rFonts w:ascii="Arial Narrow" w:hAnsi="Arial Narrow" w:cs="Times New Roman"/>
                <w:b/>
                <w:bCs/>
                <w:sz w:val="16"/>
                <w:szCs w:val="16"/>
                <w:lang w:val="fr-CH" w:eastAsia="fr-CH"/>
              </w:rPr>
              <w:t>882.768</w:t>
            </w:r>
          </w:p>
        </w:tc>
        <w:tc>
          <w:tcPr>
            <w:tcW w:w="522"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b/>
                <w:sz w:val="16"/>
                <w:lang w:val="es-419"/>
              </w:rPr>
            </w:pPr>
          </w:p>
        </w:tc>
      </w:tr>
      <w:tr w:rsidR="006D0ECA" w:rsidRPr="006D0ECA" w:rsidTr="006D0ECA">
        <w:tc>
          <w:tcPr>
            <w:tcW w:w="2335" w:type="dxa"/>
            <w:tcBorders>
              <w:top w:val="single" w:sz="4" w:space="0" w:color="C6CFD7"/>
            </w:tcBorders>
          </w:tcPr>
          <w:p w:rsidR="006D0ECA" w:rsidRPr="006D0ECA" w:rsidRDefault="006D0ECA" w:rsidP="00465BA1">
            <w:pPr>
              <w:keepNext/>
              <w:numPr>
                <w:ilvl w:val="0"/>
                <w:numId w:val="9"/>
              </w:numPr>
              <w:spacing w:line="200" w:lineRule="atLeast"/>
              <w:ind w:left="113"/>
              <w:rPr>
                <w:rFonts w:ascii="Arial Narrow" w:hAnsi="Arial Narrow"/>
                <w:b/>
                <w:sz w:val="16"/>
                <w:lang w:val="es-419"/>
              </w:rPr>
            </w:pPr>
            <w:r w:rsidRPr="006D0ECA">
              <w:rPr>
                <w:rFonts w:ascii="Arial Narrow" w:hAnsi="Arial Narrow"/>
                <w:b/>
                <w:sz w:val="16"/>
                <w:lang w:val="es-419"/>
              </w:rPr>
              <w:t>Gastos 2020/21</w:t>
            </w:r>
          </w:p>
        </w:tc>
        <w:tc>
          <w:tcPr>
            <w:tcW w:w="732"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486"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486"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484"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484"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1"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447"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522" w:type="dxa"/>
            <w:tcBorders>
              <w:top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r>
      <w:tr w:rsidR="006D0ECA" w:rsidRPr="006D0ECA" w:rsidTr="006D0ECA">
        <w:tc>
          <w:tcPr>
            <w:tcW w:w="2335" w:type="dxa"/>
          </w:tcPr>
          <w:p w:rsidR="006D0ECA" w:rsidRPr="006D0ECA" w:rsidRDefault="006D0ECA" w:rsidP="006D0ECA">
            <w:pPr>
              <w:spacing w:line="200" w:lineRule="atLeast"/>
              <w:ind w:left="340"/>
              <w:rPr>
                <w:rFonts w:ascii="Arial Narrow" w:hAnsi="Arial Narrow"/>
                <w:i/>
                <w:sz w:val="16"/>
                <w:lang w:val="es-419"/>
              </w:rPr>
            </w:pPr>
            <w:r w:rsidRPr="006D0ECA">
              <w:rPr>
                <w:rFonts w:ascii="Arial Narrow" w:hAnsi="Arial Narrow"/>
                <w:i/>
                <w:sz w:val="16"/>
                <w:lang w:val="es-419"/>
              </w:rPr>
              <w:t>Directos por Unión</w:t>
            </w:r>
          </w:p>
        </w:tc>
        <w:tc>
          <w:tcPr>
            <w:tcW w:w="732"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25.761</w:t>
            </w:r>
          </w:p>
        </w:tc>
        <w:tc>
          <w:tcPr>
            <w:tcW w:w="486" w:type="dxa"/>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242.701</w:t>
            </w:r>
          </w:p>
        </w:tc>
        <w:tc>
          <w:tcPr>
            <w:tcW w:w="486" w:type="dxa"/>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79.150</w:t>
            </w:r>
          </w:p>
        </w:tc>
        <w:tc>
          <w:tcPr>
            <w:tcW w:w="484" w:type="dxa"/>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19.900</w:t>
            </w:r>
          </w:p>
        </w:tc>
        <w:tc>
          <w:tcPr>
            <w:tcW w:w="484" w:type="dxa"/>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1"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1.591</w:t>
            </w:r>
          </w:p>
        </w:tc>
        <w:tc>
          <w:tcPr>
            <w:tcW w:w="447" w:type="dxa"/>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369.104</w:t>
            </w:r>
          </w:p>
        </w:tc>
        <w:tc>
          <w:tcPr>
            <w:tcW w:w="522" w:type="dxa"/>
            <w:vAlign w:val="bottom"/>
          </w:tcPr>
          <w:p w:rsidR="006D0ECA" w:rsidRPr="006D0ECA" w:rsidRDefault="006D0ECA" w:rsidP="006D0ECA">
            <w:pPr>
              <w:spacing w:line="200" w:lineRule="atLeast"/>
              <w:ind w:right="113"/>
              <w:jc w:val="right"/>
              <w:rPr>
                <w:rFonts w:ascii="Arial Narrow" w:hAnsi="Arial Narrow"/>
                <w:sz w:val="16"/>
                <w:lang w:val="es-419"/>
              </w:rPr>
            </w:pPr>
          </w:p>
        </w:tc>
      </w:tr>
      <w:tr w:rsidR="006D0ECA" w:rsidRPr="006D0ECA" w:rsidTr="006D0ECA">
        <w:tc>
          <w:tcPr>
            <w:tcW w:w="2335" w:type="dxa"/>
          </w:tcPr>
          <w:p w:rsidR="006D0ECA" w:rsidRPr="006D0ECA" w:rsidRDefault="006D0ECA" w:rsidP="006D0ECA">
            <w:pPr>
              <w:spacing w:line="200" w:lineRule="atLeast"/>
              <w:ind w:left="340"/>
              <w:rPr>
                <w:rFonts w:ascii="Arial Narrow" w:hAnsi="Arial Narrow"/>
                <w:i/>
                <w:sz w:val="16"/>
                <w:lang w:val="es-419"/>
              </w:rPr>
            </w:pPr>
            <w:r w:rsidRPr="006D0ECA">
              <w:rPr>
                <w:rFonts w:ascii="Arial Narrow" w:hAnsi="Arial Narrow"/>
                <w:i/>
                <w:sz w:val="16"/>
                <w:lang w:val="es-419"/>
              </w:rPr>
              <w:t>Administrativos directos</w:t>
            </w:r>
          </w:p>
        </w:tc>
        <w:tc>
          <w:tcPr>
            <w:tcW w:w="732"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12.750</w:t>
            </w:r>
          </w:p>
        </w:tc>
        <w:tc>
          <w:tcPr>
            <w:tcW w:w="486"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 </w:t>
            </w:r>
          </w:p>
        </w:tc>
        <w:tc>
          <w:tcPr>
            <w:tcW w:w="733"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117.630</w:t>
            </w:r>
          </w:p>
        </w:tc>
        <w:tc>
          <w:tcPr>
            <w:tcW w:w="486"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 </w:t>
            </w:r>
          </w:p>
        </w:tc>
        <w:tc>
          <w:tcPr>
            <w:tcW w:w="733"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56.206</w:t>
            </w:r>
          </w:p>
        </w:tc>
        <w:tc>
          <w:tcPr>
            <w:tcW w:w="484"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 </w:t>
            </w:r>
          </w:p>
        </w:tc>
        <w:tc>
          <w:tcPr>
            <w:tcW w:w="733"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11.786</w:t>
            </w:r>
          </w:p>
        </w:tc>
        <w:tc>
          <w:tcPr>
            <w:tcW w:w="484"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 </w:t>
            </w:r>
          </w:p>
        </w:tc>
        <w:tc>
          <w:tcPr>
            <w:tcW w:w="731"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846</w:t>
            </w:r>
          </w:p>
        </w:tc>
        <w:tc>
          <w:tcPr>
            <w:tcW w:w="447"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 </w:t>
            </w:r>
          </w:p>
        </w:tc>
        <w:tc>
          <w:tcPr>
            <w:tcW w:w="733"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199.218</w:t>
            </w:r>
          </w:p>
        </w:tc>
        <w:tc>
          <w:tcPr>
            <w:tcW w:w="522" w:type="dxa"/>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es-419" w:eastAsia="fr-CH"/>
              </w:rPr>
              <w:t> </w:t>
            </w:r>
          </w:p>
        </w:tc>
      </w:tr>
      <w:tr w:rsidR="006D0ECA" w:rsidRPr="006D0ECA" w:rsidTr="006D0ECA">
        <w:tc>
          <w:tcPr>
            <w:tcW w:w="2335" w:type="dxa"/>
            <w:tcBorders>
              <w:bottom w:val="single" w:sz="4" w:space="0" w:color="C6CFD7"/>
            </w:tcBorders>
          </w:tcPr>
          <w:p w:rsidR="006D0ECA" w:rsidRPr="006D0ECA" w:rsidRDefault="006D0ECA"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Subtotal, directos</w:t>
            </w:r>
          </w:p>
        </w:tc>
        <w:tc>
          <w:tcPr>
            <w:tcW w:w="732"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38.511</w:t>
            </w:r>
          </w:p>
        </w:tc>
        <w:tc>
          <w:tcPr>
            <w:tcW w:w="486"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360.332</w:t>
            </w:r>
          </w:p>
        </w:tc>
        <w:tc>
          <w:tcPr>
            <w:tcW w:w="486"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135.357</w:t>
            </w:r>
          </w:p>
        </w:tc>
        <w:tc>
          <w:tcPr>
            <w:tcW w:w="484"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31.686</w:t>
            </w:r>
          </w:p>
        </w:tc>
        <w:tc>
          <w:tcPr>
            <w:tcW w:w="484"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1"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2.437</w:t>
            </w:r>
          </w:p>
        </w:tc>
        <w:tc>
          <w:tcPr>
            <w:tcW w:w="447"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c>
          <w:tcPr>
            <w:tcW w:w="733"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fr-CH" w:eastAsia="fr-CH"/>
              </w:rPr>
              <w:t>568.322</w:t>
            </w:r>
          </w:p>
        </w:tc>
        <w:tc>
          <w:tcPr>
            <w:tcW w:w="522" w:type="dxa"/>
            <w:tcBorders>
              <w:bottom w:val="single" w:sz="4" w:space="0" w:color="C6CFD7"/>
            </w:tcBorders>
            <w:vAlign w:val="bottom"/>
          </w:tcPr>
          <w:p w:rsidR="006D0ECA" w:rsidRPr="006D0ECA" w:rsidRDefault="006D0ECA" w:rsidP="006D0ECA">
            <w:pPr>
              <w:spacing w:line="200" w:lineRule="atLeast"/>
              <w:ind w:right="113"/>
              <w:jc w:val="right"/>
              <w:rPr>
                <w:rFonts w:ascii="Arial Narrow" w:hAnsi="Arial Narrow"/>
                <w:sz w:val="16"/>
                <w:lang w:val="es-419"/>
              </w:rPr>
            </w:pPr>
          </w:p>
        </w:tc>
      </w:tr>
      <w:tr w:rsidR="003E6FB0" w:rsidRPr="006D0ECA" w:rsidTr="00E07857">
        <w:tc>
          <w:tcPr>
            <w:tcW w:w="2335" w:type="dxa"/>
            <w:tcBorders>
              <w:top w:val="single" w:sz="4" w:space="0" w:color="C6CFD7"/>
            </w:tcBorders>
          </w:tcPr>
          <w:p w:rsidR="003E6FB0" w:rsidRPr="006D0ECA" w:rsidRDefault="003E6FB0" w:rsidP="003E6FB0">
            <w:pPr>
              <w:spacing w:line="200" w:lineRule="atLeast"/>
              <w:ind w:left="340"/>
              <w:rPr>
                <w:rFonts w:ascii="Arial Narrow" w:hAnsi="Arial Narrow"/>
                <w:i/>
                <w:sz w:val="16"/>
                <w:lang w:val="es-419"/>
              </w:rPr>
            </w:pPr>
            <w:r w:rsidRPr="006D0ECA">
              <w:rPr>
                <w:rFonts w:ascii="Arial Narrow" w:hAnsi="Arial Narrow"/>
                <w:i/>
                <w:sz w:val="16"/>
                <w:lang w:val="es-419"/>
              </w:rPr>
              <w:t>Indirectos por Unión</w:t>
            </w:r>
          </w:p>
        </w:tc>
        <w:tc>
          <w:tcPr>
            <w:tcW w:w="732"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86"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3" w:type="dxa"/>
            <w:shd w:val="clear" w:color="auto" w:fill="auto"/>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120.651</w:t>
            </w:r>
          </w:p>
        </w:tc>
        <w:tc>
          <w:tcPr>
            <w:tcW w:w="486"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3" w:type="dxa"/>
            <w:shd w:val="clear" w:color="auto" w:fill="auto"/>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11.384</w:t>
            </w:r>
          </w:p>
        </w:tc>
        <w:tc>
          <w:tcPr>
            <w:tcW w:w="484"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3"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84"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1"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47"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3" w:type="dxa"/>
            <w:shd w:val="clear" w:color="auto" w:fill="auto"/>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132.035</w:t>
            </w:r>
          </w:p>
        </w:tc>
        <w:tc>
          <w:tcPr>
            <w:tcW w:w="522" w:type="dxa"/>
            <w:tcBorders>
              <w:top w:val="single" w:sz="4" w:space="0" w:color="C6CFD7"/>
            </w:tcBorders>
            <w:vAlign w:val="bottom"/>
          </w:tcPr>
          <w:p w:rsidR="003E6FB0" w:rsidRPr="006D0ECA" w:rsidRDefault="003E6FB0" w:rsidP="003E6FB0">
            <w:pPr>
              <w:spacing w:line="200" w:lineRule="atLeast"/>
              <w:ind w:right="113"/>
              <w:jc w:val="right"/>
              <w:rPr>
                <w:rFonts w:ascii="Arial Narrow" w:hAnsi="Arial Narrow"/>
                <w:sz w:val="16"/>
                <w:lang w:val="es-419"/>
              </w:rPr>
            </w:pPr>
          </w:p>
        </w:tc>
      </w:tr>
      <w:tr w:rsidR="003E6FB0" w:rsidRPr="006D0ECA" w:rsidTr="00E07857">
        <w:tc>
          <w:tcPr>
            <w:tcW w:w="2335" w:type="dxa"/>
          </w:tcPr>
          <w:p w:rsidR="003E6FB0" w:rsidRPr="006D0ECA" w:rsidRDefault="003E6FB0" w:rsidP="003E6FB0">
            <w:pPr>
              <w:spacing w:line="200" w:lineRule="atLeast"/>
              <w:ind w:left="340"/>
              <w:rPr>
                <w:rFonts w:ascii="Arial Narrow" w:hAnsi="Arial Narrow"/>
                <w:i/>
                <w:sz w:val="16"/>
                <w:lang w:val="es-419"/>
              </w:rPr>
            </w:pPr>
            <w:r w:rsidRPr="006D0ECA">
              <w:rPr>
                <w:rFonts w:ascii="Arial Narrow" w:hAnsi="Arial Narrow"/>
                <w:i/>
                <w:sz w:val="16"/>
                <w:lang w:val="es-419"/>
              </w:rPr>
              <w:t>Administrativos indirectos</w:t>
            </w:r>
          </w:p>
        </w:tc>
        <w:tc>
          <w:tcPr>
            <w:tcW w:w="732"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86" w:type="dxa"/>
            <w:shd w:val="clear" w:color="auto" w:fill="auto"/>
            <w:vAlign w:val="bottom"/>
          </w:tcPr>
          <w:p w:rsidR="003E6FB0" w:rsidRPr="00D350B5" w:rsidRDefault="003E6FB0" w:rsidP="003E6FB0">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33" w:type="dxa"/>
            <w:shd w:val="clear" w:color="auto" w:fill="auto"/>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62.178</w:t>
            </w:r>
          </w:p>
        </w:tc>
        <w:tc>
          <w:tcPr>
            <w:tcW w:w="486" w:type="dxa"/>
            <w:shd w:val="clear" w:color="auto" w:fill="auto"/>
            <w:vAlign w:val="bottom"/>
          </w:tcPr>
          <w:p w:rsidR="003E6FB0" w:rsidRPr="00D350B5" w:rsidRDefault="003E6FB0" w:rsidP="003E6FB0">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33" w:type="dxa"/>
            <w:shd w:val="clear" w:color="auto" w:fill="auto"/>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5.867</w:t>
            </w:r>
          </w:p>
        </w:tc>
        <w:tc>
          <w:tcPr>
            <w:tcW w:w="484" w:type="dxa"/>
            <w:shd w:val="clear" w:color="auto" w:fill="auto"/>
            <w:vAlign w:val="bottom"/>
          </w:tcPr>
          <w:p w:rsidR="003E6FB0" w:rsidRPr="00D350B5" w:rsidRDefault="003E6FB0" w:rsidP="003E6FB0">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33"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84" w:type="dxa"/>
            <w:shd w:val="clear" w:color="auto" w:fill="auto"/>
            <w:vAlign w:val="bottom"/>
          </w:tcPr>
          <w:p w:rsidR="003E6FB0" w:rsidRPr="00D350B5" w:rsidRDefault="003E6FB0" w:rsidP="003E6FB0">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31" w:type="dxa"/>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47" w:type="dxa"/>
            <w:shd w:val="clear" w:color="auto" w:fill="auto"/>
            <w:vAlign w:val="bottom"/>
          </w:tcPr>
          <w:p w:rsidR="003E6FB0" w:rsidRPr="00D350B5" w:rsidRDefault="003E6FB0" w:rsidP="003E6FB0">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33" w:type="dxa"/>
            <w:shd w:val="clear" w:color="auto" w:fill="auto"/>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68.044</w:t>
            </w:r>
          </w:p>
        </w:tc>
        <w:tc>
          <w:tcPr>
            <w:tcW w:w="522" w:type="dxa"/>
            <w:vAlign w:val="bottom"/>
          </w:tcPr>
          <w:p w:rsidR="003E6FB0" w:rsidRPr="006D0ECA" w:rsidRDefault="003E6FB0" w:rsidP="003E6FB0">
            <w:pPr>
              <w:spacing w:line="200" w:lineRule="atLeast"/>
              <w:ind w:right="113"/>
              <w:jc w:val="right"/>
              <w:rPr>
                <w:rFonts w:ascii="Arial Narrow" w:hAnsi="Arial Narrow"/>
                <w:sz w:val="16"/>
                <w:lang w:val="es-419"/>
              </w:rPr>
            </w:pPr>
          </w:p>
        </w:tc>
      </w:tr>
      <w:tr w:rsidR="003E6FB0" w:rsidRPr="006D0ECA" w:rsidTr="00E07857">
        <w:tc>
          <w:tcPr>
            <w:tcW w:w="2335" w:type="dxa"/>
            <w:tcBorders>
              <w:bottom w:val="single" w:sz="4" w:space="0" w:color="C6CFD7"/>
            </w:tcBorders>
          </w:tcPr>
          <w:p w:rsidR="003E6FB0" w:rsidRPr="006D0ECA" w:rsidRDefault="003E6FB0"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Subtotal, indirectos</w:t>
            </w:r>
          </w:p>
        </w:tc>
        <w:tc>
          <w:tcPr>
            <w:tcW w:w="732" w:type="dxa"/>
            <w:tcBorders>
              <w:bottom w:val="single" w:sz="4" w:space="0" w:color="B2A1C7" w:themeColor="accent4" w:themeTint="99"/>
            </w:tcBorders>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86" w:type="dxa"/>
            <w:tcBorders>
              <w:bottom w:val="single" w:sz="4" w:space="0" w:color="B2A1C7" w:themeColor="accent4" w:themeTint="99"/>
            </w:tcBorders>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3" w:type="dxa"/>
            <w:tcBorders>
              <w:bottom w:val="single" w:sz="4" w:space="0" w:color="B2A1C7" w:themeColor="accent4" w:themeTint="99"/>
            </w:tcBorders>
            <w:shd w:val="clear" w:color="auto" w:fill="auto"/>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182.828</w:t>
            </w:r>
          </w:p>
        </w:tc>
        <w:tc>
          <w:tcPr>
            <w:tcW w:w="486" w:type="dxa"/>
            <w:tcBorders>
              <w:bottom w:val="single" w:sz="4" w:space="0" w:color="B2A1C7" w:themeColor="accent4" w:themeTint="99"/>
            </w:tcBorders>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3" w:type="dxa"/>
            <w:tcBorders>
              <w:bottom w:val="single" w:sz="4" w:space="0" w:color="B2A1C7" w:themeColor="accent4" w:themeTint="99"/>
            </w:tcBorders>
            <w:shd w:val="clear" w:color="auto" w:fill="auto"/>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17.251</w:t>
            </w:r>
          </w:p>
        </w:tc>
        <w:tc>
          <w:tcPr>
            <w:tcW w:w="484" w:type="dxa"/>
            <w:tcBorders>
              <w:bottom w:val="single" w:sz="4" w:space="0" w:color="B2A1C7" w:themeColor="accent4" w:themeTint="99"/>
            </w:tcBorders>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3" w:type="dxa"/>
            <w:tcBorders>
              <w:bottom w:val="single" w:sz="4" w:space="0" w:color="B2A1C7" w:themeColor="accent4" w:themeTint="99"/>
            </w:tcBorders>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84" w:type="dxa"/>
            <w:tcBorders>
              <w:bottom w:val="single" w:sz="4" w:space="0" w:color="B2A1C7" w:themeColor="accent4" w:themeTint="99"/>
            </w:tcBorders>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1" w:type="dxa"/>
            <w:tcBorders>
              <w:bottom w:val="single" w:sz="4" w:space="0" w:color="B2A1C7" w:themeColor="accent4" w:themeTint="99"/>
            </w:tcBorders>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47" w:type="dxa"/>
            <w:tcBorders>
              <w:bottom w:val="single" w:sz="4" w:space="0" w:color="B2A1C7" w:themeColor="accent4" w:themeTint="99"/>
            </w:tcBorders>
            <w:shd w:val="clear" w:color="auto" w:fill="auto"/>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3" w:type="dxa"/>
            <w:tcBorders>
              <w:bottom w:val="single" w:sz="4" w:space="0" w:color="B2A1C7" w:themeColor="accent4" w:themeTint="99"/>
            </w:tcBorders>
            <w:shd w:val="clear" w:color="auto" w:fill="auto"/>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200.079</w:t>
            </w:r>
          </w:p>
        </w:tc>
        <w:tc>
          <w:tcPr>
            <w:tcW w:w="522" w:type="dxa"/>
            <w:tcBorders>
              <w:bottom w:val="single" w:sz="4" w:space="0" w:color="C6CFD7"/>
            </w:tcBorders>
            <w:vAlign w:val="bottom"/>
          </w:tcPr>
          <w:p w:rsidR="003E6FB0" w:rsidRPr="006D0ECA" w:rsidRDefault="003E6FB0" w:rsidP="003E6FB0">
            <w:pPr>
              <w:spacing w:line="200" w:lineRule="atLeast"/>
              <w:ind w:right="113"/>
              <w:jc w:val="right"/>
              <w:rPr>
                <w:rFonts w:ascii="Arial Narrow" w:hAnsi="Arial Narrow"/>
                <w:sz w:val="16"/>
                <w:lang w:val="es-419"/>
              </w:rPr>
            </w:pPr>
            <w:r w:rsidRPr="006D0ECA">
              <w:rPr>
                <w:rFonts w:ascii="Arial Narrow" w:hAnsi="Arial Narrow" w:cs="Times New Roman"/>
                <w:sz w:val="16"/>
                <w:szCs w:val="16"/>
                <w:lang w:val="es-419" w:eastAsia="fr-CH"/>
              </w:rPr>
              <w:t> </w:t>
            </w:r>
          </w:p>
        </w:tc>
      </w:tr>
      <w:tr w:rsidR="003E6FB0" w:rsidRPr="006D0ECA" w:rsidTr="00E07857">
        <w:tc>
          <w:tcPr>
            <w:tcW w:w="2335" w:type="dxa"/>
            <w:tcBorders>
              <w:top w:val="single" w:sz="4" w:space="0" w:color="C6CFD7"/>
              <w:bottom w:val="single" w:sz="18" w:space="0" w:color="C6CFD7"/>
            </w:tcBorders>
          </w:tcPr>
          <w:p w:rsidR="003E6FB0" w:rsidRPr="006D0ECA" w:rsidRDefault="003E6FB0" w:rsidP="00465BA1">
            <w:pPr>
              <w:numPr>
                <w:ilvl w:val="0"/>
                <w:numId w:val="9"/>
              </w:numPr>
              <w:spacing w:line="200" w:lineRule="atLeast"/>
              <w:ind w:left="113"/>
              <w:rPr>
                <w:rFonts w:ascii="Arial Narrow" w:hAnsi="Arial Narrow"/>
                <w:b/>
                <w:sz w:val="16"/>
                <w:lang w:val="es-419"/>
              </w:rPr>
            </w:pPr>
            <w:r w:rsidRPr="006D0ECA">
              <w:rPr>
                <w:rFonts w:ascii="Arial Narrow" w:hAnsi="Arial Narrow"/>
                <w:b/>
                <w:sz w:val="16"/>
                <w:lang w:val="es-419"/>
              </w:rPr>
              <w:t>Total, gastos 2020/21</w:t>
            </w:r>
          </w:p>
        </w:tc>
        <w:tc>
          <w:tcPr>
            <w:tcW w:w="732"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line="200" w:lineRule="atLeast"/>
              <w:ind w:right="113"/>
              <w:jc w:val="right"/>
              <w:rPr>
                <w:rFonts w:ascii="Arial Narrow" w:hAnsi="Arial Narrow" w:cs="Times New Roman"/>
                <w:b/>
                <w:sz w:val="16"/>
                <w:szCs w:val="16"/>
                <w:lang w:val="fr-CH" w:eastAsia="fr-CH"/>
              </w:rPr>
            </w:pPr>
            <w:r w:rsidRPr="003E6FB0">
              <w:rPr>
                <w:rFonts w:ascii="Arial Narrow" w:hAnsi="Arial Narrow" w:cs="Times New Roman"/>
                <w:b/>
                <w:sz w:val="16"/>
                <w:szCs w:val="16"/>
                <w:lang w:val="fr-CH" w:eastAsia="fr-CH"/>
              </w:rPr>
              <w:t>38.511</w:t>
            </w:r>
          </w:p>
        </w:tc>
        <w:tc>
          <w:tcPr>
            <w:tcW w:w="486"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line="200" w:lineRule="atLeast"/>
              <w:ind w:right="113"/>
              <w:rPr>
                <w:rFonts w:ascii="Arial Narrow" w:hAnsi="Arial Narrow" w:cs="Times New Roman"/>
                <w:b/>
                <w:sz w:val="16"/>
                <w:szCs w:val="16"/>
                <w:lang w:val="fr-CH" w:eastAsia="fr-CH"/>
              </w:rPr>
            </w:pPr>
            <w:r w:rsidRPr="003E6FB0">
              <w:rPr>
                <w:rFonts w:ascii="Arial Narrow" w:hAnsi="Arial Narrow" w:cs="Times New Roman"/>
                <w:b/>
                <w:sz w:val="16"/>
                <w:szCs w:val="16"/>
                <w:lang w:val="fr-CH" w:eastAsia="fr-CH"/>
              </w:rPr>
              <w:t> </w:t>
            </w:r>
          </w:p>
        </w:tc>
        <w:tc>
          <w:tcPr>
            <w:tcW w:w="733"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line="200" w:lineRule="atLeast"/>
              <w:ind w:right="113"/>
              <w:jc w:val="right"/>
              <w:rPr>
                <w:rFonts w:ascii="Arial Narrow" w:hAnsi="Arial Narrow" w:cs="Times New Roman"/>
                <w:b/>
                <w:sz w:val="16"/>
                <w:szCs w:val="16"/>
                <w:lang w:val="fr-CH" w:eastAsia="fr-CH"/>
              </w:rPr>
            </w:pPr>
            <w:r w:rsidRPr="003E6FB0">
              <w:rPr>
                <w:rFonts w:ascii="Arial Narrow" w:hAnsi="Arial Narrow" w:cs="Times New Roman"/>
                <w:b/>
                <w:sz w:val="16"/>
                <w:szCs w:val="16"/>
                <w:lang w:val="fr-CH" w:eastAsia="fr-CH"/>
              </w:rPr>
              <w:t>543.160</w:t>
            </w:r>
          </w:p>
        </w:tc>
        <w:tc>
          <w:tcPr>
            <w:tcW w:w="486"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line="200" w:lineRule="atLeast"/>
              <w:ind w:right="113"/>
              <w:jc w:val="right"/>
              <w:rPr>
                <w:rFonts w:ascii="Arial Narrow" w:hAnsi="Arial Narrow" w:cs="Times New Roman"/>
                <w:b/>
                <w:sz w:val="16"/>
                <w:szCs w:val="16"/>
                <w:lang w:val="fr-CH" w:eastAsia="fr-CH"/>
              </w:rPr>
            </w:pPr>
            <w:r w:rsidRPr="003E6FB0">
              <w:rPr>
                <w:rFonts w:ascii="Arial Narrow" w:hAnsi="Arial Narrow" w:cs="Times New Roman"/>
                <w:b/>
                <w:sz w:val="16"/>
                <w:szCs w:val="16"/>
                <w:lang w:val="fr-CH" w:eastAsia="fr-CH"/>
              </w:rPr>
              <w:t>152.607</w:t>
            </w:r>
          </w:p>
        </w:tc>
        <w:tc>
          <w:tcPr>
            <w:tcW w:w="484"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line="200" w:lineRule="atLeast"/>
              <w:ind w:right="113"/>
              <w:jc w:val="right"/>
              <w:rPr>
                <w:rFonts w:ascii="Arial Narrow" w:eastAsia="Times New Roman" w:hAnsi="Arial Narrow" w:cs="Times New Roman"/>
                <w:b/>
                <w:bCs/>
                <w:sz w:val="16"/>
                <w:szCs w:val="16"/>
                <w:lang w:val="es-419" w:eastAsia="fr-CH"/>
              </w:rPr>
            </w:pPr>
            <w:r w:rsidRPr="003E6FB0">
              <w:rPr>
                <w:rFonts w:ascii="Arial Narrow" w:hAnsi="Arial Narrow" w:cs="Times New Roman"/>
                <w:b/>
                <w:sz w:val="16"/>
                <w:szCs w:val="16"/>
                <w:lang w:val="fr-CH" w:eastAsia="fr-CH"/>
              </w:rPr>
              <w:t>31.686</w:t>
            </w:r>
          </w:p>
        </w:tc>
        <w:tc>
          <w:tcPr>
            <w:tcW w:w="484"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1"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line="200" w:lineRule="atLeast"/>
              <w:ind w:right="113"/>
              <w:jc w:val="right"/>
              <w:rPr>
                <w:rFonts w:ascii="Arial Narrow" w:eastAsia="Times New Roman" w:hAnsi="Arial Narrow" w:cs="Times New Roman"/>
                <w:b/>
                <w:bCs/>
                <w:sz w:val="16"/>
                <w:szCs w:val="16"/>
                <w:lang w:val="es-419" w:eastAsia="fr-CH"/>
              </w:rPr>
            </w:pPr>
            <w:r w:rsidRPr="003E6FB0">
              <w:rPr>
                <w:rFonts w:ascii="Arial Narrow" w:hAnsi="Arial Narrow" w:cs="Times New Roman"/>
                <w:b/>
                <w:sz w:val="16"/>
                <w:szCs w:val="16"/>
                <w:lang w:val="fr-CH" w:eastAsia="fr-CH"/>
              </w:rPr>
              <w:t>2.437</w:t>
            </w:r>
          </w:p>
        </w:tc>
        <w:tc>
          <w:tcPr>
            <w:tcW w:w="447"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4" w:space="0" w:color="B2A1C7" w:themeColor="accent4" w:themeTint="99"/>
              <w:bottom w:val="single" w:sz="18" w:space="0" w:color="B2A1C7" w:themeColor="accent4" w:themeTint="99"/>
            </w:tcBorders>
            <w:shd w:val="clear" w:color="auto" w:fill="auto"/>
            <w:vAlign w:val="bottom"/>
          </w:tcPr>
          <w:p w:rsidR="003E6FB0" w:rsidRPr="003E6FB0" w:rsidRDefault="003E6FB0" w:rsidP="003E6FB0">
            <w:pPr>
              <w:spacing w:line="200" w:lineRule="atLeast"/>
              <w:ind w:right="113"/>
              <w:jc w:val="right"/>
              <w:rPr>
                <w:rFonts w:ascii="Arial Narrow" w:hAnsi="Arial Narrow" w:cs="Times New Roman"/>
                <w:b/>
                <w:sz w:val="16"/>
                <w:szCs w:val="16"/>
                <w:lang w:val="fr-CH" w:eastAsia="fr-CH"/>
              </w:rPr>
            </w:pPr>
            <w:r w:rsidRPr="003E6FB0">
              <w:rPr>
                <w:rFonts w:ascii="Arial Narrow" w:hAnsi="Arial Narrow" w:cs="Times New Roman"/>
                <w:b/>
                <w:sz w:val="16"/>
                <w:szCs w:val="16"/>
                <w:lang w:val="fr-CH" w:eastAsia="fr-CH"/>
              </w:rPr>
              <w:t>768.401</w:t>
            </w:r>
          </w:p>
        </w:tc>
        <w:tc>
          <w:tcPr>
            <w:tcW w:w="522" w:type="dxa"/>
            <w:tcBorders>
              <w:top w:val="single" w:sz="4" w:space="0" w:color="C6CFD7"/>
              <w:bottom w:val="single" w:sz="18" w:space="0" w:color="C6CFD7"/>
            </w:tcBorders>
            <w:vAlign w:val="bottom"/>
          </w:tcPr>
          <w:p w:rsidR="003E6FB0" w:rsidRPr="006D0ECA" w:rsidRDefault="003E6FB0" w:rsidP="003E6FB0">
            <w:pPr>
              <w:spacing w:line="200" w:lineRule="atLeast"/>
              <w:ind w:right="113"/>
              <w:jc w:val="right"/>
              <w:rPr>
                <w:rFonts w:ascii="Arial Narrow" w:hAnsi="Arial Narrow"/>
                <w:b/>
                <w:sz w:val="16"/>
                <w:lang w:val="es-419"/>
              </w:rPr>
            </w:pPr>
          </w:p>
        </w:tc>
      </w:tr>
      <w:tr w:rsidR="003E6FB0" w:rsidRPr="006D0ECA" w:rsidTr="006D0ECA">
        <w:tc>
          <w:tcPr>
            <w:tcW w:w="2335" w:type="dxa"/>
            <w:tcBorders>
              <w:top w:val="single" w:sz="18" w:space="0" w:color="C6CFD7"/>
              <w:bottom w:val="single" w:sz="4" w:space="0" w:color="C6CFD7"/>
            </w:tcBorders>
          </w:tcPr>
          <w:p w:rsidR="003E6FB0" w:rsidRPr="006D0ECA" w:rsidRDefault="003E6FB0"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Estimación del ajuste IPSAS aplicado al presupuesto</w:t>
            </w:r>
          </w:p>
        </w:tc>
        <w:tc>
          <w:tcPr>
            <w:tcW w:w="732" w:type="dxa"/>
            <w:tcBorders>
              <w:top w:val="single" w:sz="18" w:space="0" w:color="C6CFD7"/>
              <w:bottom w:val="single" w:sz="4" w:space="0" w:color="C6CFD7"/>
            </w:tcBorders>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928</w:t>
            </w:r>
          </w:p>
        </w:tc>
        <w:tc>
          <w:tcPr>
            <w:tcW w:w="486" w:type="dxa"/>
            <w:tcBorders>
              <w:top w:val="single" w:sz="18" w:space="0" w:color="C6CFD7"/>
              <w:bottom w:val="single" w:sz="4" w:space="0" w:color="C6CFD7"/>
            </w:tcBorders>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p>
        </w:tc>
        <w:tc>
          <w:tcPr>
            <w:tcW w:w="733" w:type="dxa"/>
            <w:tcBorders>
              <w:top w:val="single" w:sz="18" w:space="0" w:color="C6CFD7"/>
              <w:bottom w:val="single" w:sz="4" w:space="0" w:color="C6CFD7"/>
            </w:tcBorders>
            <w:vAlign w:val="bottom"/>
          </w:tcPr>
          <w:p w:rsidR="003E6FB0" w:rsidRPr="003E6FB0" w:rsidRDefault="003E6FB0" w:rsidP="003E6FB0">
            <w:pPr>
              <w:spacing w:line="200" w:lineRule="atLeast"/>
              <w:ind w:right="113"/>
              <w:jc w:val="right"/>
              <w:rPr>
                <w:rFonts w:ascii="Arial Narrow" w:hAnsi="Arial Narrow" w:cs="Times New Roman"/>
                <w:sz w:val="16"/>
                <w:szCs w:val="16"/>
                <w:lang w:val="es-419" w:eastAsia="fr-CH"/>
              </w:rPr>
            </w:pPr>
            <w:r w:rsidRPr="003E6FB0">
              <w:rPr>
                <w:rFonts w:ascii="Arial Narrow" w:hAnsi="Arial Narrow" w:cs="Times New Roman"/>
                <w:sz w:val="16"/>
                <w:szCs w:val="16"/>
                <w:lang w:val="es-419" w:eastAsia="fr-CH"/>
              </w:rPr>
              <w:t>13.090</w:t>
            </w:r>
          </w:p>
        </w:tc>
        <w:tc>
          <w:tcPr>
            <w:tcW w:w="486"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eastAsia="Times New Roman" w:hAnsi="Arial Narrow" w:cs="Times New Roman"/>
                <w:sz w:val="16"/>
                <w:szCs w:val="16"/>
                <w:lang w:val="es-419" w:eastAsia="fr-CH"/>
              </w:rPr>
            </w:pPr>
          </w:p>
        </w:tc>
        <w:tc>
          <w:tcPr>
            <w:tcW w:w="733" w:type="dxa"/>
            <w:tcBorders>
              <w:top w:val="single" w:sz="18" w:space="0" w:color="C6CFD7"/>
              <w:bottom w:val="single" w:sz="4" w:space="0" w:color="C6CFD7"/>
            </w:tcBorders>
            <w:vAlign w:val="bottom"/>
          </w:tcPr>
          <w:p w:rsidR="003E6FB0" w:rsidRPr="003E6FB0" w:rsidRDefault="003E6FB0" w:rsidP="003E6FB0">
            <w:pPr>
              <w:spacing w:line="200" w:lineRule="atLeast"/>
              <w:ind w:right="113"/>
              <w:jc w:val="right"/>
              <w:rPr>
                <w:rFonts w:ascii="Arial Narrow" w:hAnsi="Arial Narrow" w:cs="Times New Roman"/>
                <w:sz w:val="16"/>
                <w:szCs w:val="16"/>
                <w:lang w:val="es-419" w:eastAsia="fr-CH"/>
              </w:rPr>
            </w:pPr>
            <w:r w:rsidRPr="003E6FB0">
              <w:rPr>
                <w:rFonts w:ascii="Arial Narrow" w:hAnsi="Arial Narrow" w:cs="Times New Roman"/>
                <w:sz w:val="16"/>
                <w:szCs w:val="16"/>
                <w:lang w:val="es-419" w:eastAsia="fr-CH"/>
              </w:rPr>
              <w:t>3.678</w:t>
            </w:r>
          </w:p>
        </w:tc>
        <w:tc>
          <w:tcPr>
            <w:tcW w:w="484"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eastAsia="Times New Roman" w:hAnsi="Arial Narrow" w:cs="Times New Roman"/>
                <w:sz w:val="16"/>
                <w:szCs w:val="16"/>
                <w:lang w:val="es-419" w:eastAsia="fr-CH"/>
              </w:rPr>
            </w:pPr>
          </w:p>
        </w:tc>
        <w:tc>
          <w:tcPr>
            <w:tcW w:w="733" w:type="dxa"/>
            <w:tcBorders>
              <w:top w:val="single" w:sz="18" w:space="0" w:color="C6CFD7"/>
              <w:bottom w:val="single" w:sz="4" w:space="0" w:color="C6CFD7"/>
            </w:tcBorders>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764</w:t>
            </w:r>
          </w:p>
        </w:tc>
        <w:tc>
          <w:tcPr>
            <w:tcW w:w="484"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eastAsia="Times New Roman" w:hAnsi="Arial Narrow" w:cs="Times New Roman"/>
                <w:sz w:val="16"/>
                <w:szCs w:val="16"/>
                <w:lang w:val="es-419" w:eastAsia="fr-CH"/>
              </w:rPr>
            </w:pPr>
          </w:p>
        </w:tc>
        <w:tc>
          <w:tcPr>
            <w:tcW w:w="731" w:type="dxa"/>
            <w:tcBorders>
              <w:top w:val="single" w:sz="18" w:space="0" w:color="C6CFD7"/>
              <w:bottom w:val="single" w:sz="4"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sidRPr="003E6FB0">
              <w:rPr>
                <w:rFonts w:ascii="Arial Narrow" w:hAnsi="Arial Narrow" w:cs="Times New Roman"/>
                <w:b/>
                <w:sz w:val="16"/>
                <w:szCs w:val="16"/>
                <w:lang w:val="es-419" w:eastAsia="fr-CH"/>
              </w:rPr>
              <w:t>59</w:t>
            </w:r>
          </w:p>
        </w:tc>
        <w:tc>
          <w:tcPr>
            <w:tcW w:w="447"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eastAsia="Times New Roman" w:hAnsi="Arial Narrow" w:cs="Times New Roman"/>
                <w:sz w:val="16"/>
                <w:szCs w:val="16"/>
                <w:lang w:val="es-419" w:eastAsia="fr-CH"/>
              </w:rPr>
            </w:pPr>
          </w:p>
        </w:tc>
        <w:tc>
          <w:tcPr>
            <w:tcW w:w="733" w:type="dxa"/>
            <w:tcBorders>
              <w:top w:val="single" w:sz="18" w:space="0" w:color="C6CFD7"/>
              <w:bottom w:val="single" w:sz="4" w:space="0" w:color="C6CFD7"/>
            </w:tcBorders>
            <w:vAlign w:val="bottom"/>
          </w:tcPr>
          <w:p w:rsidR="003E6FB0" w:rsidRPr="003E6FB0" w:rsidRDefault="003E6FB0" w:rsidP="003E6FB0">
            <w:pPr>
              <w:spacing w:line="200" w:lineRule="atLeast"/>
              <w:ind w:right="113"/>
              <w:jc w:val="right"/>
              <w:rPr>
                <w:rFonts w:ascii="Arial Narrow" w:hAnsi="Arial Narrow" w:cs="Times New Roman"/>
                <w:sz w:val="16"/>
                <w:szCs w:val="16"/>
                <w:lang w:val="fr-CH" w:eastAsia="fr-CH"/>
              </w:rPr>
            </w:pPr>
            <w:r w:rsidRPr="003E6FB0">
              <w:rPr>
                <w:rFonts w:ascii="Arial Narrow" w:hAnsi="Arial Narrow" w:cs="Times New Roman"/>
                <w:sz w:val="16"/>
                <w:szCs w:val="16"/>
                <w:lang w:val="fr-CH" w:eastAsia="fr-CH"/>
              </w:rPr>
              <w:t>18</w:t>
            </w:r>
            <w:r>
              <w:rPr>
                <w:rFonts w:ascii="Arial Narrow" w:hAnsi="Arial Narrow" w:cs="Times New Roman"/>
                <w:sz w:val="16"/>
                <w:szCs w:val="16"/>
                <w:lang w:val="fr-CH" w:eastAsia="fr-CH"/>
              </w:rPr>
              <w:t>.</w:t>
            </w:r>
            <w:r w:rsidRPr="003E6FB0">
              <w:rPr>
                <w:rFonts w:ascii="Arial Narrow" w:hAnsi="Arial Narrow" w:cs="Times New Roman"/>
                <w:sz w:val="16"/>
                <w:szCs w:val="16"/>
                <w:lang w:val="fr-CH" w:eastAsia="fr-CH"/>
              </w:rPr>
              <w:t>518</w:t>
            </w:r>
          </w:p>
        </w:tc>
        <w:tc>
          <w:tcPr>
            <w:tcW w:w="522" w:type="dxa"/>
            <w:tcBorders>
              <w:top w:val="single" w:sz="18" w:space="0" w:color="C6CFD7"/>
              <w:bottom w:val="single" w:sz="4" w:space="0" w:color="C6CFD7"/>
            </w:tcBorders>
            <w:vAlign w:val="bottom"/>
          </w:tcPr>
          <w:p w:rsidR="003E6FB0" w:rsidRPr="006D0ECA" w:rsidRDefault="003E6FB0" w:rsidP="003E6FB0">
            <w:pPr>
              <w:spacing w:line="200" w:lineRule="atLeast"/>
              <w:ind w:right="113"/>
              <w:jc w:val="right"/>
              <w:rPr>
                <w:rFonts w:ascii="Arial Narrow" w:hAnsi="Arial Narrow"/>
                <w:sz w:val="16"/>
                <w:lang w:val="es-419"/>
              </w:rPr>
            </w:pPr>
          </w:p>
        </w:tc>
      </w:tr>
      <w:tr w:rsidR="003E6FB0" w:rsidRPr="006D0ECA" w:rsidTr="006D0ECA">
        <w:tc>
          <w:tcPr>
            <w:tcW w:w="2335" w:type="dxa"/>
            <w:tcBorders>
              <w:top w:val="single" w:sz="4" w:space="0" w:color="C6CFD7"/>
              <w:bottom w:val="single" w:sz="18" w:space="0" w:color="C6CFD7"/>
            </w:tcBorders>
          </w:tcPr>
          <w:p w:rsidR="003E6FB0" w:rsidRPr="006D0ECA" w:rsidRDefault="003E6FB0" w:rsidP="00465BA1">
            <w:pPr>
              <w:numPr>
                <w:ilvl w:val="0"/>
                <w:numId w:val="9"/>
              </w:numPr>
              <w:spacing w:line="200" w:lineRule="atLeast"/>
              <w:ind w:left="113"/>
              <w:rPr>
                <w:rFonts w:ascii="Arial Narrow" w:hAnsi="Arial Narrow"/>
                <w:b/>
                <w:sz w:val="16"/>
                <w:lang w:val="es-419"/>
              </w:rPr>
            </w:pPr>
            <w:r w:rsidRPr="006D0ECA">
              <w:rPr>
                <w:rFonts w:ascii="Arial Narrow" w:hAnsi="Arial Narrow"/>
                <w:b/>
                <w:sz w:val="16"/>
                <w:lang w:val="es-419"/>
              </w:rPr>
              <w:t>Total de gastos tras el ajuste IPSAS</w:t>
            </w:r>
          </w:p>
        </w:tc>
        <w:tc>
          <w:tcPr>
            <w:tcW w:w="732" w:type="dxa"/>
            <w:tcBorders>
              <w:top w:val="single" w:sz="4"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sidRPr="003E6FB0">
              <w:rPr>
                <w:rFonts w:ascii="Arial Narrow" w:hAnsi="Arial Narrow" w:cs="Times New Roman"/>
                <w:b/>
                <w:sz w:val="16"/>
                <w:szCs w:val="16"/>
                <w:lang w:val="es-419" w:eastAsia="fr-CH"/>
              </w:rPr>
              <w:t>39.439</w:t>
            </w:r>
          </w:p>
        </w:tc>
        <w:tc>
          <w:tcPr>
            <w:tcW w:w="486" w:type="dxa"/>
            <w:tcBorders>
              <w:top w:val="single" w:sz="4" w:space="0" w:color="C6CFD7"/>
              <w:bottom w:val="single" w:sz="18" w:space="0" w:color="C6CFD7"/>
            </w:tcBorders>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sidRPr="003E6FB0">
              <w:rPr>
                <w:rFonts w:ascii="Arial Narrow" w:hAnsi="Arial Narrow" w:cs="Times New Roman"/>
                <w:b/>
                <w:sz w:val="16"/>
                <w:szCs w:val="16"/>
                <w:lang w:val="es-419" w:eastAsia="fr-CH"/>
              </w:rPr>
              <w:t>556.250</w:t>
            </w:r>
          </w:p>
        </w:tc>
        <w:tc>
          <w:tcPr>
            <w:tcW w:w="486" w:type="dxa"/>
            <w:tcBorders>
              <w:top w:val="single" w:sz="4" w:space="0" w:color="C6CFD7"/>
              <w:bottom w:val="single" w:sz="18" w:space="0" w:color="C6CFD7"/>
            </w:tcBorders>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sidRPr="003E6FB0">
              <w:rPr>
                <w:rFonts w:ascii="Arial Narrow" w:hAnsi="Arial Narrow" w:cs="Times New Roman"/>
                <w:b/>
                <w:sz w:val="16"/>
                <w:szCs w:val="16"/>
                <w:lang w:val="es-419" w:eastAsia="fr-CH"/>
              </w:rPr>
              <w:t>156.285</w:t>
            </w:r>
          </w:p>
        </w:tc>
        <w:tc>
          <w:tcPr>
            <w:tcW w:w="484" w:type="dxa"/>
            <w:tcBorders>
              <w:top w:val="single" w:sz="4" w:space="0" w:color="C6CFD7"/>
              <w:bottom w:val="single" w:sz="18" w:space="0" w:color="C6CFD7"/>
            </w:tcBorders>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sidRPr="003E6FB0">
              <w:rPr>
                <w:rFonts w:ascii="Arial Narrow" w:hAnsi="Arial Narrow" w:cs="Times New Roman"/>
                <w:b/>
                <w:sz w:val="16"/>
                <w:szCs w:val="16"/>
                <w:lang w:val="es-419" w:eastAsia="fr-CH"/>
              </w:rPr>
              <w:t>32.450</w:t>
            </w:r>
          </w:p>
        </w:tc>
        <w:tc>
          <w:tcPr>
            <w:tcW w:w="484" w:type="dxa"/>
            <w:tcBorders>
              <w:top w:val="single" w:sz="4" w:space="0" w:color="C6CFD7"/>
              <w:bottom w:val="single" w:sz="18" w:space="0" w:color="C6CFD7"/>
            </w:tcBorders>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1" w:type="dxa"/>
            <w:tcBorders>
              <w:top w:val="single" w:sz="4"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Pr>
                <w:rFonts w:ascii="Arial Narrow" w:hAnsi="Arial Narrow" w:cs="Times New Roman"/>
                <w:b/>
                <w:sz w:val="16"/>
                <w:szCs w:val="16"/>
                <w:lang w:val="es-419" w:eastAsia="fr-CH"/>
              </w:rPr>
              <w:t>2.</w:t>
            </w:r>
            <w:r w:rsidRPr="003E6FB0">
              <w:rPr>
                <w:rFonts w:ascii="Arial Narrow" w:hAnsi="Arial Narrow" w:cs="Times New Roman"/>
                <w:b/>
                <w:sz w:val="16"/>
                <w:szCs w:val="16"/>
                <w:lang w:val="es-419" w:eastAsia="fr-CH"/>
              </w:rPr>
              <w:t>496</w:t>
            </w:r>
          </w:p>
        </w:tc>
        <w:tc>
          <w:tcPr>
            <w:tcW w:w="447" w:type="dxa"/>
            <w:tcBorders>
              <w:top w:val="single" w:sz="4" w:space="0" w:color="C6CFD7"/>
              <w:bottom w:val="single" w:sz="18" w:space="0" w:color="C6CFD7"/>
            </w:tcBorders>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fr-CH" w:eastAsia="fr-CH"/>
              </w:rPr>
            </w:pPr>
            <w:r w:rsidRPr="003E6FB0">
              <w:rPr>
                <w:rFonts w:ascii="Arial Narrow" w:hAnsi="Arial Narrow" w:cs="Times New Roman"/>
                <w:b/>
                <w:sz w:val="16"/>
                <w:szCs w:val="16"/>
                <w:lang w:val="fr-CH" w:eastAsia="fr-CH"/>
              </w:rPr>
              <w:t>786</w:t>
            </w:r>
            <w:r>
              <w:rPr>
                <w:rFonts w:ascii="Arial Narrow" w:hAnsi="Arial Narrow" w:cs="Times New Roman"/>
                <w:b/>
                <w:sz w:val="16"/>
                <w:szCs w:val="16"/>
                <w:lang w:val="fr-CH" w:eastAsia="fr-CH"/>
              </w:rPr>
              <w:t>.</w:t>
            </w:r>
            <w:r w:rsidRPr="003E6FB0">
              <w:rPr>
                <w:rFonts w:ascii="Arial Narrow" w:hAnsi="Arial Narrow" w:cs="Times New Roman"/>
                <w:b/>
                <w:sz w:val="16"/>
                <w:szCs w:val="16"/>
                <w:lang w:val="fr-CH" w:eastAsia="fr-CH"/>
              </w:rPr>
              <w:t>919</w:t>
            </w:r>
          </w:p>
        </w:tc>
        <w:tc>
          <w:tcPr>
            <w:tcW w:w="522" w:type="dxa"/>
            <w:tcBorders>
              <w:top w:val="single" w:sz="4" w:space="0" w:color="C6CFD7"/>
              <w:bottom w:val="single" w:sz="18" w:space="0" w:color="C6CFD7"/>
            </w:tcBorders>
            <w:vAlign w:val="bottom"/>
          </w:tcPr>
          <w:p w:rsidR="003E6FB0" w:rsidRPr="006D0ECA" w:rsidRDefault="003E6FB0" w:rsidP="003E6FB0">
            <w:pPr>
              <w:spacing w:line="200" w:lineRule="atLeast"/>
              <w:ind w:right="113"/>
              <w:jc w:val="right"/>
              <w:rPr>
                <w:rFonts w:ascii="Arial Narrow" w:hAnsi="Arial Narrow"/>
                <w:b/>
                <w:sz w:val="16"/>
                <w:lang w:val="es-419"/>
              </w:rPr>
            </w:pPr>
            <w:r w:rsidRPr="003E6FB0">
              <w:rPr>
                <w:rFonts w:ascii="Arial Narrow" w:hAnsi="Arial Narrow" w:cs="Times New Roman"/>
                <w:b/>
                <w:bCs/>
                <w:sz w:val="16"/>
                <w:szCs w:val="16"/>
                <w:lang w:val="es-419" w:eastAsia="fr-CH"/>
              </w:rPr>
              <w:t> </w:t>
            </w:r>
          </w:p>
        </w:tc>
      </w:tr>
      <w:tr w:rsidR="003E6FB0" w:rsidRPr="006D0ECA" w:rsidTr="006D0ECA">
        <w:tc>
          <w:tcPr>
            <w:tcW w:w="2335" w:type="dxa"/>
            <w:tcBorders>
              <w:top w:val="single" w:sz="18" w:space="0" w:color="C6CFD7"/>
              <w:bottom w:val="single" w:sz="18" w:space="0" w:color="C6CFD7"/>
            </w:tcBorders>
          </w:tcPr>
          <w:p w:rsidR="003E6FB0" w:rsidRPr="006D0ECA" w:rsidRDefault="003E6FB0" w:rsidP="00465BA1">
            <w:pPr>
              <w:numPr>
                <w:ilvl w:val="0"/>
                <w:numId w:val="9"/>
              </w:numPr>
              <w:spacing w:line="200" w:lineRule="atLeast"/>
              <w:ind w:left="113"/>
              <w:rPr>
                <w:rFonts w:ascii="Arial Narrow" w:hAnsi="Arial Narrow"/>
                <w:b/>
                <w:sz w:val="16"/>
                <w:lang w:val="es-419"/>
              </w:rPr>
            </w:pPr>
            <w:r w:rsidRPr="006D0ECA">
              <w:rPr>
                <w:rFonts w:ascii="Arial Narrow" w:hAnsi="Arial Narrow"/>
                <w:b/>
                <w:sz w:val="16"/>
                <w:lang w:val="es-419"/>
              </w:rPr>
              <w:t>Resultado de explotación</w:t>
            </w:r>
          </w:p>
        </w:tc>
        <w:tc>
          <w:tcPr>
            <w:tcW w:w="732" w:type="dxa"/>
            <w:tcBorders>
              <w:top w:val="single" w:sz="18"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sidRPr="003E6FB0">
              <w:rPr>
                <w:rFonts w:ascii="Arial Narrow" w:hAnsi="Arial Narrow" w:cs="Times New Roman"/>
                <w:b/>
                <w:sz w:val="16"/>
                <w:szCs w:val="16"/>
                <w:lang w:val="es-419" w:eastAsia="fr-CH"/>
              </w:rPr>
              <w:t>(3.355)</w:t>
            </w:r>
          </w:p>
        </w:tc>
        <w:tc>
          <w:tcPr>
            <w:tcW w:w="486" w:type="dxa"/>
            <w:tcBorders>
              <w:top w:val="single" w:sz="18" w:space="0" w:color="C6CFD7"/>
              <w:bottom w:val="single" w:sz="18" w:space="0" w:color="C6CFD7"/>
            </w:tcBorders>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sidRPr="003E6FB0">
              <w:rPr>
                <w:rFonts w:ascii="Arial Narrow" w:hAnsi="Arial Narrow" w:cs="Times New Roman"/>
                <w:b/>
                <w:sz w:val="16"/>
                <w:szCs w:val="16"/>
                <w:lang w:val="es-419" w:eastAsia="fr-CH"/>
              </w:rPr>
              <w:t>111.315</w:t>
            </w:r>
          </w:p>
        </w:tc>
        <w:tc>
          <w:tcPr>
            <w:tcW w:w="486" w:type="dxa"/>
            <w:tcBorders>
              <w:top w:val="single" w:sz="18" w:space="0" w:color="C6CFD7"/>
              <w:bottom w:val="single" w:sz="18" w:space="0" w:color="C6CFD7"/>
            </w:tcBorders>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sidRPr="003E6FB0">
              <w:rPr>
                <w:rFonts w:ascii="Arial Narrow" w:hAnsi="Arial Narrow" w:cs="Times New Roman"/>
                <w:b/>
                <w:sz w:val="16"/>
                <w:szCs w:val="16"/>
                <w:lang w:val="es-419" w:eastAsia="fr-CH"/>
              </w:rPr>
              <w:t>8.060</w:t>
            </w:r>
          </w:p>
        </w:tc>
        <w:tc>
          <w:tcPr>
            <w:tcW w:w="484" w:type="dxa"/>
            <w:tcBorders>
              <w:top w:val="single" w:sz="18" w:space="0" w:color="C6CFD7"/>
              <w:bottom w:val="single" w:sz="18" w:space="0" w:color="C6CFD7"/>
            </w:tcBorders>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sidRPr="003E6FB0">
              <w:rPr>
                <w:rFonts w:ascii="Arial Narrow" w:hAnsi="Arial Narrow" w:cs="Times New Roman"/>
                <w:b/>
                <w:sz w:val="16"/>
                <w:szCs w:val="16"/>
                <w:lang w:val="es-419" w:eastAsia="fr-CH"/>
              </w:rPr>
              <w:t>(18</w:t>
            </w:r>
            <w:r>
              <w:rPr>
                <w:rFonts w:ascii="Arial Narrow" w:hAnsi="Arial Narrow" w:cs="Times New Roman"/>
                <w:b/>
                <w:sz w:val="16"/>
                <w:szCs w:val="16"/>
                <w:lang w:val="es-419" w:eastAsia="fr-CH"/>
              </w:rPr>
              <w:t>.</w:t>
            </w:r>
            <w:r w:rsidRPr="003E6FB0">
              <w:rPr>
                <w:rFonts w:ascii="Arial Narrow" w:hAnsi="Arial Narrow" w:cs="Times New Roman"/>
                <w:b/>
                <w:sz w:val="16"/>
                <w:szCs w:val="16"/>
                <w:lang w:val="es-419" w:eastAsia="fr-CH"/>
              </w:rPr>
              <w:t>455)</w:t>
            </w:r>
          </w:p>
        </w:tc>
        <w:tc>
          <w:tcPr>
            <w:tcW w:w="484" w:type="dxa"/>
            <w:tcBorders>
              <w:top w:val="single" w:sz="18" w:space="0" w:color="C6CFD7"/>
              <w:bottom w:val="single" w:sz="18" w:space="0" w:color="C6CFD7"/>
            </w:tcBorders>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1" w:type="dxa"/>
            <w:tcBorders>
              <w:top w:val="single" w:sz="18"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es-419" w:eastAsia="fr-CH"/>
              </w:rPr>
            </w:pPr>
            <w:r>
              <w:rPr>
                <w:rFonts w:ascii="Arial Narrow" w:hAnsi="Arial Narrow" w:cs="Times New Roman"/>
                <w:b/>
                <w:sz w:val="16"/>
                <w:szCs w:val="16"/>
                <w:lang w:val="es-419" w:eastAsia="fr-CH"/>
              </w:rPr>
              <w:t>(1.</w:t>
            </w:r>
            <w:r w:rsidRPr="003E6FB0">
              <w:rPr>
                <w:rFonts w:ascii="Arial Narrow" w:hAnsi="Arial Narrow" w:cs="Times New Roman"/>
                <w:b/>
                <w:sz w:val="16"/>
                <w:szCs w:val="16"/>
                <w:lang w:val="es-419" w:eastAsia="fr-CH"/>
              </w:rPr>
              <w:t>717)</w:t>
            </w:r>
          </w:p>
        </w:tc>
        <w:tc>
          <w:tcPr>
            <w:tcW w:w="447" w:type="dxa"/>
            <w:tcBorders>
              <w:top w:val="single" w:sz="18" w:space="0" w:color="C6CFD7"/>
              <w:bottom w:val="single" w:sz="18" w:space="0" w:color="C6CFD7"/>
            </w:tcBorders>
            <w:vAlign w:val="bottom"/>
          </w:tcPr>
          <w:p w:rsidR="003E6FB0" w:rsidRPr="003E6FB0" w:rsidRDefault="003E6FB0" w:rsidP="003E6FB0">
            <w:pPr>
              <w:spacing w:before="60" w:after="20"/>
              <w:rPr>
                <w:rFonts w:ascii="Arial Narrow" w:eastAsia="Times New Roman" w:hAnsi="Arial Narrow" w:cs="Times New Roman"/>
                <w:b/>
                <w:bCs/>
                <w:sz w:val="16"/>
                <w:szCs w:val="16"/>
                <w:lang w:val="es-419" w:eastAsia="fr-CH"/>
              </w:rPr>
            </w:pPr>
            <w:r w:rsidRPr="003E6FB0">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3E6FB0" w:rsidRPr="003E6FB0" w:rsidRDefault="003E6FB0" w:rsidP="003E6FB0">
            <w:pPr>
              <w:spacing w:line="200" w:lineRule="atLeast"/>
              <w:ind w:right="113"/>
              <w:jc w:val="right"/>
              <w:rPr>
                <w:rFonts w:ascii="Arial Narrow" w:hAnsi="Arial Narrow" w:cs="Times New Roman"/>
                <w:b/>
                <w:sz w:val="16"/>
                <w:szCs w:val="16"/>
                <w:lang w:val="fr-CH" w:eastAsia="fr-CH"/>
              </w:rPr>
            </w:pPr>
            <w:r w:rsidRPr="003E6FB0">
              <w:rPr>
                <w:rFonts w:ascii="Arial Narrow" w:hAnsi="Arial Narrow" w:cs="Times New Roman"/>
                <w:b/>
                <w:sz w:val="16"/>
                <w:szCs w:val="16"/>
                <w:lang w:val="fr-CH" w:eastAsia="fr-CH"/>
              </w:rPr>
              <w:t>95</w:t>
            </w:r>
            <w:r>
              <w:rPr>
                <w:rFonts w:ascii="Arial Narrow" w:hAnsi="Arial Narrow" w:cs="Times New Roman"/>
                <w:b/>
                <w:sz w:val="16"/>
                <w:szCs w:val="16"/>
                <w:lang w:val="fr-CH" w:eastAsia="fr-CH"/>
              </w:rPr>
              <w:t>.</w:t>
            </w:r>
            <w:r w:rsidRPr="003E6FB0">
              <w:rPr>
                <w:rFonts w:ascii="Arial Narrow" w:hAnsi="Arial Narrow" w:cs="Times New Roman"/>
                <w:b/>
                <w:sz w:val="16"/>
                <w:szCs w:val="16"/>
                <w:lang w:val="fr-CH" w:eastAsia="fr-CH"/>
              </w:rPr>
              <w:t>849</w:t>
            </w:r>
          </w:p>
        </w:tc>
        <w:tc>
          <w:tcPr>
            <w:tcW w:w="522" w:type="dxa"/>
            <w:tcBorders>
              <w:top w:val="single" w:sz="18" w:space="0" w:color="C6CFD7"/>
              <w:bottom w:val="single" w:sz="18" w:space="0" w:color="C6CFD7"/>
            </w:tcBorders>
            <w:vAlign w:val="bottom"/>
          </w:tcPr>
          <w:p w:rsidR="003E6FB0" w:rsidRPr="006D0ECA" w:rsidRDefault="003E6FB0" w:rsidP="003E6FB0">
            <w:pPr>
              <w:spacing w:line="200" w:lineRule="atLeast"/>
              <w:ind w:right="113"/>
              <w:jc w:val="right"/>
              <w:rPr>
                <w:rFonts w:ascii="Arial Narrow" w:hAnsi="Arial Narrow"/>
                <w:b/>
                <w:sz w:val="16"/>
                <w:lang w:val="es-419"/>
              </w:rPr>
            </w:pPr>
            <w:r w:rsidRPr="003E6FB0">
              <w:rPr>
                <w:rFonts w:ascii="Arial Narrow" w:hAnsi="Arial Narrow" w:cs="Times New Roman"/>
                <w:b/>
                <w:bCs/>
                <w:sz w:val="16"/>
                <w:szCs w:val="16"/>
                <w:lang w:val="es-419" w:eastAsia="fr-CH"/>
              </w:rPr>
              <w:t> </w:t>
            </w:r>
          </w:p>
        </w:tc>
      </w:tr>
      <w:tr w:rsidR="003E6FB0" w:rsidRPr="003E6FB0" w:rsidTr="006D0ECA">
        <w:tc>
          <w:tcPr>
            <w:tcW w:w="2335" w:type="dxa"/>
            <w:tcBorders>
              <w:top w:val="single" w:sz="18" w:space="0" w:color="C6CFD7"/>
              <w:bottom w:val="single" w:sz="4" w:space="0" w:color="C6CFD7"/>
            </w:tcBorders>
          </w:tcPr>
          <w:p w:rsidR="003E6FB0" w:rsidRPr="006D0ECA" w:rsidRDefault="003E6FB0" w:rsidP="00465BA1">
            <w:pPr>
              <w:numPr>
                <w:ilvl w:val="0"/>
                <w:numId w:val="6"/>
              </w:numPr>
              <w:spacing w:line="200" w:lineRule="atLeast"/>
              <w:ind w:left="113"/>
              <w:rPr>
                <w:rFonts w:ascii="Arial Narrow" w:hAnsi="Arial Narrow"/>
                <w:sz w:val="16"/>
                <w:lang w:val="es-419"/>
              </w:rPr>
            </w:pPr>
            <w:r w:rsidRPr="006D0ECA">
              <w:rPr>
                <w:rFonts w:ascii="Arial Narrow" w:hAnsi="Arial Narrow"/>
                <w:sz w:val="16"/>
                <w:lang w:val="es-419"/>
              </w:rPr>
              <w:t>Fondos de reserva y de operaciones (FRO), objetivo*</w:t>
            </w:r>
          </w:p>
        </w:tc>
        <w:tc>
          <w:tcPr>
            <w:tcW w:w="732" w:type="dxa"/>
            <w:tcBorders>
              <w:top w:val="single" w:sz="18" w:space="0" w:color="C6CFD7"/>
              <w:bottom w:val="single" w:sz="4" w:space="0" w:color="C6CFD7"/>
            </w:tcBorders>
            <w:vAlign w:val="bottom"/>
          </w:tcPr>
          <w:p w:rsidR="003E6FB0" w:rsidRPr="00D350B5" w:rsidRDefault="003E6FB0" w:rsidP="003E6FB0">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19.255</w:t>
            </w:r>
          </w:p>
        </w:tc>
        <w:tc>
          <w:tcPr>
            <w:tcW w:w="486" w:type="dxa"/>
            <w:tcBorders>
              <w:top w:val="single" w:sz="18" w:space="0" w:color="C6CFD7"/>
              <w:bottom w:val="single" w:sz="4" w:space="0" w:color="C6CFD7"/>
            </w:tcBorders>
            <w:vAlign w:val="bottom"/>
          </w:tcPr>
          <w:p w:rsidR="003E6FB0" w:rsidRPr="00066474" w:rsidRDefault="003E6FB0" w:rsidP="003E6FB0">
            <w:pPr>
              <w:spacing w:before="60" w:after="20"/>
              <w:jc w:val="right"/>
              <w:rPr>
                <w:rFonts w:ascii="Arial Narrow" w:hAnsi="Arial Narrow"/>
                <w:sz w:val="14"/>
                <w:lang w:val="fr-CH"/>
              </w:rPr>
            </w:pPr>
            <w:r w:rsidRPr="00066474">
              <w:rPr>
                <w:rFonts w:ascii="Arial Narrow" w:hAnsi="Arial Narrow"/>
                <w:sz w:val="14"/>
                <w:lang w:val="fr-CH"/>
              </w:rPr>
              <w:t>50%</w:t>
            </w:r>
          </w:p>
        </w:tc>
        <w:tc>
          <w:tcPr>
            <w:tcW w:w="733"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eastAsia="Times New Roman" w:hAnsi="Arial Narrow" w:cs="Times New Roman"/>
                <w:sz w:val="16"/>
                <w:szCs w:val="16"/>
                <w:lang w:val="es-419" w:eastAsia="fr-CH"/>
              </w:rPr>
            </w:pPr>
            <w:r w:rsidRPr="003E6FB0">
              <w:rPr>
                <w:rFonts w:ascii="Arial Narrow" w:eastAsia="Times New Roman" w:hAnsi="Arial Narrow" w:cs="Times New Roman"/>
                <w:sz w:val="16"/>
                <w:szCs w:val="16"/>
                <w:lang w:val="es-419" w:eastAsia="fr-CH"/>
              </w:rPr>
              <w:t>135.790</w:t>
            </w:r>
          </w:p>
        </w:tc>
        <w:tc>
          <w:tcPr>
            <w:tcW w:w="486"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hAnsi="Arial Narrow"/>
                <w:sz w:val="14"/>
                <w:lang w:val="es-419"/>
              </w:rPr>
            </w:pPr>
            <w:r w:rsidRPr="003E6FB0">
              <w:rPr>
                <w:rFonts w:ascii="Arial Narrow" w:hAnsi="Arial Narrow"/>
                <w:sz w:val="14"/>
                <w:lang w:val="es-419"/>
              </w:rPr>
              <w:t>25%</w:t>
            </w:r>
          </w:p>
        </w:tc>
        <w:tc>
          <w:tcPr>
            <w:tcW w:w="733"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eastAsia="Times New Roman" w:hAnsi="Arial Narrow" w:cs="Times New Roman"/>
                <w:sz w:val="16"/>
                <w:szCs w:val="16"/>
                <w:lang w:val="es-419" w:eastAsia="fr-CH"/>
              </w:rPr>
            </w:pPr>
            <w:r w:rsidRPr="003E6FB0">
              <w:rPr>
                <w:rFonts w:ascii="Arial Narrow" w:eastAsia="Times New Roman" w:hAnsi="Arial Narrow" w:cs="Times New Roman"/>
                <w:sz w:val="16"/>
                <w:szCs w:val="16"/>
                <w:lang w:val="es-419" w:eastAsia="fr-CH"/>
              </w:rPr>
              <w:t>38</w:t>
            </w:r>
            <w:r>
              <w:rPr>
                <w:rFonts w:ascii="Arial Narrow" w:eastAsia="Times New Roman" w:hAnsi="Arial Narrow" w:cs="Times New Roman"/>
                <w:sz w:val="16"/>
                <w:szCs w:val="16"/>
                <w:lang w:val="es-419" w:eastAsia="fr-CH"/>
              </w:rPr>
              <w:t>.</w:t>
            </w:r>
            <w:r w:rsidRPr="003E6FB0">
              <w:rPr>
                <w:rFonts w:ascii="Arial Narrow" w:eastAsia="Times New Roman" w:hAnsi="Arial Narrow" w:cs="Times New Roman"/>
                <w:sz w:val="16"/>
                <w:szCs w:val="16"/>
                <w:lang w:val="es-419" w:eastAsia="fr-CH"/>
              </w:rPr>
              <w:t>152</w:t>
            </w:r>
          </w:p>
        </w:tc>
        <w:tc>
          <w:tcPr>
            <w:tcW w:w="484"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hAnsi="Arial Narrow"/>
                <w:sz w:val="14"/>
                <w:lang w:val="es-419"/>
              </w:rPr>
            </w:pPr>
            <w:r w:rsidRPr="003E6FB0">
              <w:rPr>
                <w:rFonts w:ascii="Arial Narrow" w:hAnsi="Arial Narrow"/>
                <w:sz w:val="14"/>
                <w:lang w:val="es-419"/>
              </w:rPr>
              <w:t>25%</w:t>
            </w:r>
          </w:p>
        </w:tc>
        <w:tc>
          <w:tcPr>
            <w:tcW w:w="733"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eastAsia="Times New Roman" w:hAnsi="Arial Narrow" w:cs="Times New Roman"/>
                <w:sz w:val="16"/>
                <w:szCs w:val="16"/>
                <w:lang w:val="es-419" w:eastAsia="fr-CH"/>
              </w:rPr>
            </w:pPr>
            <w:r w:rsidRPr="003E6FB0">
              <w:rPr>
                <w:rFonts w:ascii="Arial Narrow" w:eastAsia="Times New Roman" w:hAnsi="Arial Narrow" w:cs="Times New Roman"/>
                <w:sz w:val="16"/>
                <w:szCs w:val="16"/>
                <w:lang w:val="es-419" w:eastAsia="fr-CH"/>
              </w:rPr>
              <w:t>4</w:t>
            </w:r>
            <w:r>
              <w:rPr>
                <w:rFonts w:ascii="Arial Narrow" w:eastAsia="Times New Roman" w:hAnsi="Arial Narrow" w:cs="Times New Roman"/>
                <w:sz w:val="16"/>
                <w:szCs w:val="16"/>
                <w:lang w:val="es-419" w:eastAsia="fr-CH"/>
              </w:rPr>
              <w:t>.</w:t>
            </w:r>
            <w:r w:rsidRPr="003E6FB0">
              <w:rPr>
                <w:rFonts w:ascii="Arial Narrow" w:eastAsia="Times New Roman" w:hAnsi="Arial Narrow" w:cs="Times New Roman"/>
                <w:sz w:val="16"/>
                <w:szCs w:val="16"/>
                <w:lang w:val="es-419" w:eastAsia="fr-CH"/>
              </w:rPr>
              <w:t>753</w:t>
            </w:r>
          </w:p>
        </w:tc>
        <w:tc>
          <w:tcPr>
            <w:tcW w:w="484"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hAnsi="Arial Narrow"/>
                <w:sz w:val="14"/>
                <w:lang w:val="es-419"/>
              </w:rPr>
            </w:pPr>
            <w:r w:rsidRPr="003E6FB0">
              <w:rPr>
                <w:rFonts w:ascii="Arial Narrow" w:hAnsi="Arial Narrow"/>
                <w:sz w:val="14"/>
                <w:lang w:val="es-419"/>
              </w:rPr>
              <w:t>15%</w:t>
            </w:r>
          </w:p>
        </w:tc>
        <w:tc>
          <w:tcPr>
            <w:tcW w:w="731" w:type="dxa"/>
            <w:tcBorders>
              <w:top w:val="single" w:sz="18" w:space="0" w:color="C6CFD7"/>
              <w:bottom w:val="single" w:sz="4" w:space="0" w:color="C6CFD7"/>
            </w:tcBorders>
            <w:vAlign w:val="bottom"/>
          </w:tcPr>
          <w:p w:rsidR="003E6FB0" w:rsidRPr="003E6FB0" w:rsidRDefault="003E6FB0" w:rsidP="003E6FB0">
            <w:pPr>
              <w:spacing w:before="60" w:after="20"/>
              <w:jc w:val="right"/>
              <w:rPr>
                <w:rFonts w:ascii="Arial Narrow" w:eastAsia="Times New Roman" w:hAnsi="Arial Narrow" w:cs="Times New Roman"/>
                <w:sz w:val="16"/>
                <w:szCs w:val="16"/>
                <w:lang w:val="es-419" w:eastAsia="fr-CH"/>
              </w:rPr>
            </w:pPr>
            <w:r w:rsidRPr="003E6FB0">
              <w:rPr>
                <w:rFonts w:ascii="Arial Narrow" w:eastAsia="Times New Roman" w:hAnsi="Arial Narrow" w:cs="Times New Roman"/>
                <w:sz w:val="16"/>
                <w:szCs w:val="16"/>
                <w:lang w:val="es-419" w:eastAsia="fr-CH"/>
              </w:rPr>
              <w:t>-</w:t>
            </w:r>
          </w:p>
        </w:tc>
        <w:tc>
          <w:tcPr>
            <w:tcW w:w="447" w:type="dxa"/>
            <w:tcBorders>
              <w:top w:val="single" w:sz="18" w:space="0" w:color="C6CFD7"/>
              <w:bottom w:val="single" w:sz="4" w:space="0" w:color="C6CFD7"/>
            </w:tcBorders>
            <w:vAlign w:val="bottom"/>
          </w:tcPr>
          <w:p w:rsidR="003E6FB0" w:rsidRPr="003E6FB0" w:rsidRDefault="003E6FB0" w:rsidP="003E6FB0">
            <w:pPr>
              <w:spacing w:line="200" w:lineRule="atLeast"/>
              <w:ind w:right="113"/>
              <w:jc w:val="right"/>
              <w:rPr>
                <w:rFonts w:ascii="Arial Narrow" w:hAnsi="Arial Narrow"/>
                <w:sz w:val="16"/>
                <w:lang w:val="es-419"/>
              </w:rPr>
            </w:pPr>
            <w:r>
              <w:rPr>
                <w:rFonts w:ascii="Arial Narrow" w:hAnsi="Arial Narrow"/>
                <w:sz w:val="16"/>
                <w:lang w:val="es-419"/>
              </w:rPr>
              <w:t>N.d</w:t>
            </w:r>
            <w:r w:rsidRPr="003E6FB0">
              <w:rPr>
                <w:rFonts w:ascii="Arial Narrow" w:hAnsi="Arial Narrow"/>
                <w:sz w:val="16"/>
                <w:lang w:val="es-419"/>
              </w:rPr>
              <w:t xml:space="preserve"> </w:t>
            </w:r>
          </w:p>
        </w:tc>
        <w:tc>
          <w:tcPr>
            <w:tcW w:w="733" w:type="dxa"/>
            <w:tcBorders>
              <w:top w:val="single" w:sz="18" w:space="0" w:color="C6CFD7"/>
              <w:bottom w:val="single" w:sz="4" w:space="0" w:color="C6CFD7"/>
            </w:tcBorders>
            <w:vAlign w:val="bottom"/>
          </w:tcPr>
          <w:p w:rsidR="003E6FB0" w:rsidRPr="003E6FB0" w:rsidRDefault="003E6FB0" w:rsidP="003E6FB0">
            <w:pPr>
              <w:spacing w:line="200" w:lineRule="atLeast"/>
              <w:ind w:right="113"/>
              <w:jc w:val="right"/>
              <w:rPr>
                <w:rFonts w:ascii="Arial Narrow" w:hAnsi="Arial Narrow"/>
                <w:sz w:val="16"/>
                <w:lang w:val="es-419"/>
              </w:rPr>
            </w:pPr>
            <w:r w:rsidRPr="003E6FB0">
              <w:rPr>
                <w:rFonts w:ascii="Arial Narrow" w:hAnsi="Arial Narrow"/>
                <w:sz w:val="16"/>
                <w:lang w:val="es-419"/>
              </w:rPr>
              <w:t>197.950</w:t>
            </w:r>
          </w:p>
        </w:tc>
        <w:tc>
          <w:tcPr>
            <w:tcW w:w="522" w:type="dxa"/>
            <w:tcBorders>
              <w:top w:val="single" w:sz="18" w:space="0" w:color="C6CFD7"/>
              <w:bottom w:val="single" w:sz="4" w:space="0" w:color="C6CFD7"/>
            </w:tcBorders>
            <w:vAlign w:val="bottom"/>
          </w:tcPr>
          <w:p w:rsidR="003E6FB0" w:rsidRPr="003E6FB0" w:rsidRDefault="003E6FB0" w:rsidP="003E6FB0">
            <w:pPr>
              <w:spacing w:line="200" w:lineRule="atLeast"/>
              <w:ind w:right="113"/>
              <w:jc w:val="right"/>
              <w:rPr>
                <w:rFonts w:ascii="Arial Narrow" w:hAnsi="Arial Narrow"/>
                <w:sz w:val="16"/>
                <w:lang w:val="es-419"/>
              </w:rPr>
            </w:pPr>
            <w:r w:rsidRPr="003E6FB0">
              <w:rPr>
                <w:rFonts w:ascii="Arial Narrow" w:hAnsi="Arial Narrow"/>
                <w:sz w:val="16"/>
                <w:lang w:val="es-419"/>
              </w:rPr>
              <w:t>25,8%</w:t>
            </w:r>
          </w:p>
        </w:tc>
      </w:tr>
    </w:tbl>
    <w:p w:rsidR="006D0ECA" w:rsidRPr="006D0ECA" w:rsidRDefault="006D0ECA" w:rsidP="006D0ECA">
      <w:pPr>
        <w:spacing w:before="60" w:after="180" w:line="220" w:lineRule="atLeast"/>
        <w:rPr>
          <w:rFonts w:eastAsia="Arial"/>
          <w:sz w:val="15"/>
          <w:szCs w:val="22"/>
          <w:lang w:val="es-419"/>
        </w:rPr>
      </w:pPr>
      <w:r w:rsidRPr="006D0ECA">
        <w:rPr>
          <w:rFonts w:eastAsia="Arial"/>
          <w:sz w:val="15"/>
          <w:szCs w:val="22"/>
          <w:lang w:val="es-419"/>
        </w:rPr>
        <w:t>*En lo relativo a los FRO, los objetivos se calculan aplicando los factores PGBE (porcentaje del gasto bienal estimado), con arreglo a la política revisada en materia de reservas (WO/PBC/23/8), al gasto bienal para cada Unión.</w:t>
      </w:r>
    </w:p>
    <w:p w:rsidR="006D0ECA" w:rsidRPr="006D0ECA" w:rsidRDefault="006D0ECA" w:rsidP="006D0ECA">
      <w:pPr>
        <w:keepNext/>
        <w:keepLines/>
        <w:spacing w:before="240" w:after="60" w:line="220" w:lineRule="atLeast"/>
        <w:jc w:val="center"/>
        <w:rPr>
          <w:rFonts w:eastAsia="Arial"/>
          <w:b/>
          <w:color w:val="005172"/>
          <w:sz w:val="18"/>
          <w:szCs w:val="22"/>
          <w:lang w:val="es-419"/>
        </w:rPr>
      </w:pPr>
      <w:r w:rsidRPr="006D0ECA">
        <w:rPr>
          <w:rFonts w:eastAsia="Arial"/>
          <w:b/>
          <w:color w:val="005172"/>
          <w:sz w:val="18"/>
          <w:szCs w:val="22"/>
          <w:lang w:val="es-419"/>
        </w:rPr>
        <w:t>Cuadro 12: Estimaciones de ingresos por Unión</w:t>
      </w:r>
    </w:p>
    <w:p w:rsidR="006D0ECA" w:rsidRPr="006D0ECA" w:rsidRDefault="006D0ECA" w:rsidP="006D0ECA">
      <w:pPr>
        <w:keepNext/>
        <w:keepLines/>
        <w:spacing w:before="60" w:after="180" w:line="220" w:lineRule="atLeast"/>
        <w:jc w:val="center"/>
        <w:rPr>
          <w:rFonts w:eastAsia="Arial"/>
          <w:i/>
          <w:sz w:val="18"/>
          <w:szCs w:val="22"/>
          <w:lang w:val="es-419"/>
        </w:rPr>
      </w:pPr>
      <w:r w:rsidRPr="006D0ECA">
        <w:rPr>
          <w:rFonts w:eastAsia="Arial"/>
          <w:i/>
          <w:sz w:val="18"/>
          <w:szCs w:val="22"/>
          <w:lang w:val="es-419"/>
        </w:rPr>
        <w:t>(en miles de francos suizos)</w:t>
      </w:r>
    </w:p>
    <w:tbl>
      <w:tblPr>
        <w:tblW w:w="9638" w:type="dxa"/>
        <w:tblCellMar>
          <w:left w:w="70" w:type="dxa"/>
          <w:right w:w="70" w:type="dxa"/>
        </w:tblCellMar>
        <w:tblLook w:val="04A0" w:firstRow="1" w:lastRow="0" w:firstColumn="1" w:lastColumn="0" w:noHBand="0" w:noVBand="1"/>
      </w:tblPr>
      <w:tblGrid>
        <w:gridCol w:w="220"/>
        <w:gridCol w:w="1515"/>
        <w:gridCol w:w="722"/>
        <w:gridCol w:w="601"/>
        <w:gridCol w:w="722"/>
        <w:gridCol w:w="594"/>
        <w:gridCol w:w="722"/>
        <w:gridCol w:w="594"/>
        <w:gridCol w:w="722"/>
        <w:gridCol w:w="594"/>
        <w:gridCol w:w="722"/>
        <w:gridCol w:w="594"/>
        <w:gridCol w:w="722"/>
        <w:gridCol w:w="594"/>
      </w:tblGrid>
      <w:tr w:rsidR="006D0ECA" w:rsidRPr="006D0ECA" w:rsidTr="006D0ECA">
        <w:trPr>
          <w:trHeight w:val="325"/>
        </w:trPr>
        <w:tc>
          <w:tcPr>
            <w:tcW w:w="220" w:type="dxa"/>
            <w:tcBorders>
              <w:top w:val="nil"/>
              <w:left w:val="nil"/>
              <w:bottom w:val="nil"/>
              <w:right w:val="nil"/>
            </w:tcBorders>
            <w:shd w:val="clear" w:color="000000" w:fill="C7CFD8"/>
            <w:noWrap/>
            <w:vAlign w:val="center"/>
            <w:hideMark/>
          </w:tcPr>
          <w:p w:rsidR="006D0ECA" w:rsidRPr="006D0ECA" w:rsidRDefault="006D0ECA" w:rsidP="006D0ECA">
            <w:pPr>
              <w:keepNext/>
              <w:rPr>
                <w:rFonts w:ascii="Arial Narrow" w:hAnsi="Arial Narrow" w:cs="Times New Roman"/>
                <w:b/>
                <w:sz w:val="16"/>
                <w:szCs w:val="16"/>
                <w:lang w:val="es-419" w:eastAsia="fr-CH"/>
              </w:rPr>
            </w:pPr>
            <w:r w:rsidRPr="006D0ECA">
              <w:rPr>
                <w:rFonts w:ascii="Arial Narrow" w:hAnsi="Arial Narrow" w:cs="Times New Roman"/>
                <w:b/>
                <w:sz w:val="16"/>
                <w:szCs w:val="16"/>
                <w:lang w:val="es-419" w:eastAsia="fr-CH"/>
              </w:rPr>
              <w:t> </w:t>
            </w:r>
          </w:p>
        </w:tc>
        <w:tc>
          <w:tcPr>
            <w:tcW w:w="1515" w:type="dxa"/>
            <w:tcBorders>
              <w:top w:val="nil"/>
              <w:left w:val="nil"/>
              <w:bottom w:val="nil"/>
              <w:right w:val="nil"/>
            </w:tcBorders>
            <w:shd w:val="clear" w:color="000000" w:fill="C7CFD8"/>
            <w:noWrap/>
            <w:vAlign w:val="center"/>
            <w:hideMark/>
          </w:tcPr>
          <w:p w:rsidR="006D0ECA" w:rsidRPr="006D0ECA" w:rsidRDefault="006D0ECA" w:rsidP="006D0ECA">
            <w:pPr>
              <w:keepNext/>
              <w:rPr>
                <w:rFonts w:ascii="Arial Narrow" w:hAnsi="Arial Narrow" w:cs="Times New Roman"/>
                <w:b/>
                <w:sz w:val="16"/>
                <w:szCs w:val="16"/>
                <w:lang w:val="es-419" w:eastAsia="fr-CH"/>
              </w:rPr>
            </w:pPr>
            <w:r w:rsidRPr="006D0ECA">
              <w:rPr>
                <w:rFonts w:ascii="Arial Narrow" w:hAnsi="Arial Narrow" w:cs="Times New Roman"/>
                <w:b/>
                <w:sz w:val="16"/>
                <w:szCs w:val="16"/>
                <w:lang w:val="es-419" w:eastAsia="fr-CH"/>
              </w:rPr>
              <w:t> </w:t>
            </w:r>
          </w:p>
        </w:tc>
        <w:tc>
          <w:tcPr>
            <w:tcW w:w="1323" w:type="dxa"/>
            <w:gridSpan w:val="2"/>
            <w:tcBorders>
              <w:top w:val="nil"/>
              <w:left w:val="nil"/>
              <w:bottom w:val="single" w:sz="4" w:space="0" w:color="748B9E"/>
              <w:right w:val="nil"/>
            </w:tcBorders>
            <w:shd w:val="clear" w:color="000000" w:fill="C7CFD8"/>
            <w:noWrap/>
            <w:hideMark/>
          </w:tcPr>
          <w:p w:rsidR="006D0ECA" w:rsidRPr="006D0ECA" w:rsidRDefault="006D0ECA" w:rsidP="006D0ECA">
            <w:pPr>
              <w:keepNext/>
              <w:spacing w:before="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Uniones financiadas por contribuciones</w:t>
            </w:r>
          </w:p>
        </w:tc>
        <w:tc>
          <w:tcPr>
            <w:tcW w:w="1316" w:type="dxa"/>
            <w:gridSpan w:val="2"/>
            <w:tcBorders>
              <w:top w:val="nil"/>
              <w:left w:val="nil"/>
              <w:bottom w:val="single" w:sz="4" w:space="0" w:color="748B9E"/>
              <w:right w:val="nil"/>
            </w:tcBorders>
            <w:shd w:val="clear" w:color="000000" w:fill="C7CFD8"/>
            <w:noWrap/>
            <w:hideMark/>
          </w:tcPr>
          <w:p w:rsidR="006D0ECA" w:rsidRPr="006D0ECA" w:rsidRDefault="006D0ECA" w:rsidP="006D0ECA">
            <w:pPr>
              <w:keepNext/>
              <w:spacing w:before="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Unión del PCT</w:t>
            </w:r>
          </w:p>
        </w:tc>
        <w:tc>
          <w:tcPr>
            <w:tcW w:w="1316" w:type="dxa"/>
            <w:gridSpan w:val="2"/>
            <w:tcBorders>
              <w:top w:val="nil"/>
              <w:left w:val="nil"/>
              <w:bottom w:val="single" w:sz="4" w:space="0" w:color="748B9E"/>
              <w:right w:val="nil"/>
            </w:tcBorders>
            <w:shd w:val="clear" w:color="000000" w:fill="C7CFD8"/>
            <w:noWrap/>
            <w:hideMark/>
          </w:tcPr>
          <w:p w:rsidR="006D0ECA" w:rsidRPr="006D0ECA" w:rsidRDefault="006D0ECA" w:rsidP="006D0ECA">
            <w:pPr>
              <w:keepNext/>
              <w:spacing w:before="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Unión de Madrid</w:t>
            </w:r>
          </w:p>
        </w:tc>
        <w:tc>
          <w:tcPr>
            <w:tcW w:w="1316" w:type="dxa"/>
            <w:gridSpan w:val="2"/>
            <w:tcBorders>
              <w:top w:val="nil"/>
              <w:left w:val="nil"/>
              <w:bottom w:val="single" w:sz="4" w:space="0" w:color="748B9E"/>
              <w:right w:val="nil"/>
            </w:tcBorders>
            <w:shd w:val="clear" w:color="000000" w:fill="C7CFD8"/>
            <w:noWrap/>
            <w:hideMark/>
          </w:tcPr>
          <w:p w:rsidR="006D0ECA" w:rsidRPr="006D0ECA" w:rsidRDefault="006D0ECA" w:rsidP="006D0ECA">
            <w:pPr>
              <w:keepNext/>
              <w:spacing w:before="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Unión de La Haya</w:t>
            </w:r>
          </w:p>
        </w:tc>
        <w:tc>
          <w:tcPr>
            <w:tcW w:w="1316" w:type="dxa"/>
            <w:gridSpan w:val="2"/>
            <w:tcBorders>
              <w:top w:val="nil"/>
              <w:left w:val="nil"/>
              <w:bottom w:val="single" w:sz="4" w:space="0" w:color="748B9E"/>
              <w:right w:val="nil"/>
            </w:tcBorders>
            <w:shd w:val="clear" w:color="000000" w:fill="C7CFD8"/>
            <w:noWrap/>
            <w:hideMark/>
          </w:tcPr>
          <w:p w:rsidR="006D0ECA" w:rsidRPr="006D0ECA" w:rsidRDefault="006D0ECA" w:rsidP="006D0ECA">
            <w:pPr>
              <w:keepNext/>
              <w:spacing w:before="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Unión de Lisboa</w:t>
            </w:r>
          </w:p>
        </w:tc>
        <w:tc>
          <w:tcPr>
            <w:tcW w:w="1316" w:type="dxa"/>
            <w:gridSpan w:val="2"/>
            <w:tcBorders>
              <w:top w:val="nil"/>
              <w:left w:val="nil"/>
              <w:bottom w:val="single" w:sz="4" w:space="0" w:color="748B9E"/>
              <w:right w:val="nil"/>
            </w:tcBorders>
            <w:shd w:val="clear" w:color="000000" w:fill="C7CFD8"/>
            <w:noWrap/>
            <w:hideMark/>
          </w:tcPr>
          <w:p w:rsidR="006D0ECA" w:rsidRPr="006D0ECA" w:rsidRDefault="006D0ECA" w:rsidP="006D0ECA">
            <w:pPr>
              <w:keepNext/>
              <w:spacing w:before="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Total</w:t>
            </w:r>
          </w:p>
        </w:tc>
      </w:tr>
      <w:tr w:rsidR="006D0ECA" w:rsidRPr="006D0ECA" w:rsidTr="006D0ECA">
        <w:trPr>
          <w:trHeight w:val="240"/>
        </w:trPr>
        <w:tc>
          <w:tcPr>
            <w:tcW w:w="220" w:type="dxa"/>
            <w:tcBorders>
              <w:top w:val="nil"/>
              <w:left w:val="nil"/>
              <w:bottom w:val="nil"/>
              <w:right w:val="nil"/>
            </w:tcBorders>
            <w:shd w:val="clear" w:color="000000" w:fill="C7CFD8"/>
            <w:noWrap/>
            <w:vAlign w:val="bottom"/>
            <w:hideMark/>
          </w:tcPr>
          <w:p w:rsidR="006D0ECA" w:rsidRPr="006D0ECA" w:rsidRDefault="006D0ECA" w:rsidP="006D0ECA">
            <w:pPr>
              <w:keepNext/>
              <w:rPr>
                <w:rFonts w:ascii="Arial Narrow" w:hAnsi="Arial Narrow" w:cs="Times New Roman"/>
                <w:b/>
                <w:sz w:val="16"/>
                <w:szCs w:val="16"/>
                <w:lang w:val="es-419" w:eastAsia="fr-CH"/>
              </w:rPr>
            </w:pPr>
            <w:r w:rsidRPr="006D0ECA">
              <w:rPr>
                <w:rFonts w:ascii="Arial Narrow" w:hAnsi="Arial Narrow" w:cs="Times New Roman"/>
                <w:b/>
                <w:sz w:val="16"/>
                <w:szCs w:val="16"/>
                <w:lang w:val="es-419" w:eastAsia="fr-CH"/>
              </w:rPr>
              <w:t> </w:t>
            </w:r>
          </w:p>
        </w:tc>
        <w:tc>
          <w:tcPr>
            <w:tcW w:w="1515" w:type="dxa"/>
            <w:tcBorders>
              <w:top w:val="nil"/>
              <w:left w:val="nil"/>
              <w:bottom w:val="nil"/>
              <w:right w:val="nil"/>
            </w:tcBorders>
            <w:shd w:val="clear" w:color="000000" w:fill="C7CFD8"/>
            <w:noWrap/>
            <w:vAlign w:val="bottom"/>
            <w:hideMark/>
          </w:tcPr>
          <w:p w:rsidR="006D0ECA" w:rsidRPr="006D0ECA" w:rsidRDefault="006D0ECA" w:rsidP="006D0ECA">
            <w:pPr>
              <w:keepNext/>
              <w:rPr>
                <w:rFonts w:ascii="Arial Narrow" w:hAnsi="Arial Narrow" w:cs="Times New Roman"/>
                <w:b/>
                <w:sz w:val="16"/>
                <w:szCs w:val="16"/>
                <w:lang w:val="es-419" w:eastAsia="fr-CH"/>
              </w:rPr>
            </w:pPr>
            <w:r w:rsidRPr="006D0ECA">
              <w:rPr>
                <w:rFonts w:ascii="Arial Narrow" w:hAnsi="Arial Narrow" w:cs="Times New Roman"/>
                <w:b/>
                <w:sz w:val="16"/>
                <w:szCs w:val="16"/>
                <w:lang w:val="es-419" w:eastAsia="fr-CH"/>
              </w:rPr>
              <w:t> </w:t>
            </w:r>
          </w:p>
        </w:tc>
        <w:tc>
          <w:tcPr>
            <w:tcW w:w="722" w:type="dxa"/>
            <w:tcBorders>
              <w:top w:val="nil"/>
              <w:left w:val="nil"/>
              <w:bottom w:val="nil"/>
              <w:right w:val="nil"/>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Importe</w:t>
            </w:r>
          </w:p>
        </w:tc>
        <w:tc>
          <w:tcPr>
            <w:tcW w:w="601" w:type="dxa"/>
            <w:tcBorders>
              <w:top w:val="nil"/>
              <w:left w:val="nil"/>
              <w:bottom w:val="nil"/>
              <w:right w:val="single" w:sz="4" w:space="0" w:color="748B9E"/>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w:t>
            </w:r>
          </w:p>
        </w:tc>
        <w:tc>
          <w:tcPr>
            <w:tcW w:w="722" w:type="dxa"/>
            <w:tcBorders>
              <w:top w:val="nil"/>
              <w:left w:val="nil"/>
              <w:bottom w:val="nil"/>
              <w:right w:val="nil"/>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Importe</w:t>
            </w:r>
          </w:p>
        </w:tc>
        <w:tc>
          <w:tcPr>
            <w:tcW w:w="594" w:type="dxa"/>
            <w:tcBorders>
              <w:top w:val="nil"/>
              <w:left w:val="nil"/>
              <w:bottom w:val="nil"/>
              <w:right w:val="single" w:sz="4" w:space="0" w:color="748B9E"/>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w:t>
            </w:r>
          </w:p>
        </w:tc>
        <w:tc>
          <w:tcPr>
            <w:tcW w:w="722" w:type="dxa"/>
            <w:tcBorders>
              <w:top w:val="nil"/>
              <w:left w:val="nil"/>
              <w:bottom w:val="nil"/>
              <w:right w:val="nil"/>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Importe</w:t>
            </w:r>
          </w:p>
        </w:tc>
        <w:tc>
          <w:tcPr>
            <w:tcW w:w="594" w:type="dxa"/>
            <w:tcBorders>
              <w:top w:val="nil"/>
              <w:left w:val="nil"/>
              <w:bottom w:val="nil"/>
              <w:right w:val="single" w:sz="4" w:space="0" w:color="748B9E"/>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w:t>
            </w:r>
          </w:p>
        </w:tc>
        <w:tc>
          <w:tcPr>
            <w:tcW w:w="722" w:type="dxa"/>
            <w:tcBorders>
              <w:top w:val="nil"/>
              <w:left w:val="nil"/>
              <w:bottom w:val="nil"/>
              <w:right w:val="nil"/>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Importe</w:t>
            </w:r>
          </w:p>
        </w:tc>
        <w:tc>
          <w:tcPr>
            <w:tcW w:w="594" w:type="dxa"/>
            <w:tcBorders>
              <w:top w:val="nil"/>
              <w:left w:val="nil"/>
              <w:bottom w:val="nil"/>
              <w:right w:val="single" w:sz="4" w:space="0" w:color="748B9E"/>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w:t>
            </w:r>
          </w:p>
        </w:tc>
        <w:tc>
          <w:tcPr>
            <w:tcW w:w="722" w:type="dxa"/>
            <w:tcBorders>
              <w:top w:val="nil"/>
              <w:left w:val="nil"/>
              <w:bottom w:val="nil"/>
              <w:right w:val="nil"/>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Importe</w:t>
            </w:r>
          </w:p>
        </w:tc>
        <w:tc>
          <w:tcPr>
            <w:tcW w:w="594" w:type="dxa"/>
            <w:tcBorders>
              <w:top w:val="nil"/>
              <w:left w:val="nil"/>
              <w:bottom w:val="nil"/>
              <w:right w:val="single" w:sz="4" w:space="0" w:color="748B9E"/>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w:t>
            </w:r>
          </w:p>
        </w:tc>
        <w:tc>
          <w:tcPr>
            <w:tcW w:w="722" w:type="dxa"/>
            <w:tcBorders>
              <w:top w:val="nil"/>
              <w:left w:val="nil"/>
              <w:bottom w:val="nil"/>
              <w:right w:val="nil"/>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Importe</w:t>
            </w:r>
          </w:p>
        </w:tc>
        <w:tc>
          <w:tcPr>
            <w:tcW w:w="594" w:type="dxa"/>
            <w:tcBorders>
              <w:top w:val="nil"/>
              <w:left w:val="nil"/>
              <w:bottom w:val="nil"/>
              <w:right w:val="nil"/>
            </w:tcBorders>
            <w:shd w:val="clear" w:color="000000" w:fill="C7CFD8"/>
            <w:noWrap/>
            <w:hideMark/>
          </w:tcPr>
          <w:p w:rsidR="006D0ECA" w:rsidRPr="006D0ECA" w:rsidRDefault="006D0ECA" w:rsidP="006D0ECA">
            <w:pPr>
              <w:keepNext/>
              <w:spacing w:before="60" w:after="60"/>
              <w:jc w:val="center"/>
              <w:rPr>
                <w:rFonts w:ascii="Arial Narrow" w:hAnsi="Arial Narrow" w:cs="Times New Roman"/>
                <w:b/>
                <w:bCs/>
                <w:sz w:val="16"/>
                <w:szCs w:val="16"/>
                <w:lang w:val="es-419" w:eastAsia="fr-CH"/>
              </w:rPr>
            </w:pPr>
            <w:r w:rsidRPr="006D0ECA">
              <w:rPr>
                <w:rFonts w:ascii="Arial Narrow" w:eastAsia="Arial" w:hAnsi="Arial Narrow"/>
                <w:b/>
                <w:sz w:val="16"/>
                <w:szCs w:val="16"/>
                <w:lang w:val="es-419"/>
              </w:rPr>
              <w:t>%</w:t>
            </w:r>
          </w:p>
        </w:tc>
      </w:tr>
      <w:tr w:rsidR="006D0ECA" w:rsidRPr="006D0ECA" w:rsidTr="006D0ECA">
        <w:trPr>
          <w:trHeight w:val="254"/>
        </w:trPr>
        <w:tc>
          <w:tcPr>
            <w:tcW w:w="1735" w:type="dxa"/>
            <w:gridSpan w:val="2"/>
            <w:tcBorders>
              <w:top w:val="nil"/>
              <w:left w:val="nil"/>
              <w:right w:val="nil"/>
            </w:tcBorders>
            <w:shd w:val="clear" w:color="auto" w:fill="auto"/>
            <w:noWrap/>
            <w:hideMark/>
          </w:tcPr>
          <w:p w:rsidR="006D0ECA" w:rsidRPr="006D0ECA" w:rsidRDefault="006D0ECA" w:rsidP="006D0ECA">
            <w:pPr>
              <w:keepNext/>
              <w:spacing w:before="60"/>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Ingresos en valores devengados</w:t>
            </w:r>
          </w:p>
        </w:tc>
        <w:tc>
          <w:tcPr>
            <w:tcW w:w="722"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b/>
                <w:bCs/>
                <w:sz w:val="16"/>
                <w:szCs w:val="16"/>
                <w:lang w:val="es-419" w:eastAsia="fr-CH"/>
              </w:rPr>
            </w:pPr>
          </w:p>
        </w:tc>
        <w:tc>
          <w:tcPr>
            <w:tcW w:w="601"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c>
          <w:tcPr>
            <w:tcW w:w="722"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c>
          <w:tcPr>
            <w:tcW w:w="594"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c>
          <w:tcPr>
            <w:tcW w:w="722"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c>
          <w:tcPr>
            <w:tcW w:w="594"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c>
          <w:tcPr>
            <w:tcW w:w="722"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c>
          <w:tcPr>
            <w:tcW w:w="594"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c>
          <w:tcPr>
            <w:tcW w:w="722"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c>
          <w:tcPr>
            <w:tcW w:w="594"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c>
          <w:tcPr>
            <w:tcW w:w="722"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c>
          <w:tcPr>
            <w:tcW w:w="594" w:type="dxa"/>
            <w:tcBorders>
              <w:top w:val="nil"/>
              <w:left w:val="nil"/>
              <w:right w:val="nil"/>
            </w:tcBorders>
            <w:shd w:val="clear" w:color="auto" w:fill="auto"/>
            <w:noWrap/>
            <w:hideMark/>
          </w:tcPr>
          <w:p w:rsidR="006D0ECA" w:rsidRPr="006D0ECA" w:rsidRDefault="006D0ECA" w:rsidP="006D0ECA">
            <w:pPr>
              <w:keepNext/>
              <w:spacing w:before="60"/>
              <w:jc w:val="right"/>
              <w:rPr>
                <w:rFonts w:ascii="Arial Narrow" w:hAnsi="Arial Narrow" w:cs="Times New Roman"/>
                <w:sz w:val="16"/>
                <w:szCs w:val="16"/>
                <w:lang w:val="es-419" w:eastAsia="fr-CH"/>
              </w:rPr>
            </w:pPr>
          </w:p>
        </w:tc>
      </w:tr>
      <w:tr w:rsidR="006D0ECA" w:rsidRPr="006D0ECA" w:rsidTr="006D0ECA">
        <w:trPr>
          <w:trHeight w:val="254"/>
        </w:trPr>
        <w:tc>
          <w:tcPr>
            <w:tcW w:w="220" w:type="dxa"/>
            <w:tcBorders>
              <w:left w:val="nil"/>
              <w:bottom w:val="nil"/>
              <w:right w:val="nil"/>
            </w:tcBorders>
            <w:shd w:val="clear" w:color="auto" w:fill="auto"/>
            <w:noWrap/>
            <w:vAlign w:val="bottom"/>
            <w:hideMark/>
          </w:tcPr>
          <w:p w:rsidR="006D0ECA" w:rsidRPr="006D0ECA" w:rsidRDefault="006D0ECA" w:rsidP="006D0ECA">
            <w:pPr>
              <w:rPr>
                <w:rFonts w:ascii="Arial Narrow" w:hAnsi="Arial Narrow" w:cs="Times New Roman"/>
                <w:sz w:val="16"/>
                <w:szCs w:val="16"/>
                <w:lang w:val="es-419" w:eastAsia="fr-CH"/>
              </w:rPr>
            </w:pPr>
          </w:p>
        </w:tc>
        <w:tc>
          <w:tcPr>
            <w:tcW w:w="1515" w:type="dxa"/>
            <w:tcBorders>
              <w:left w:val="nil"/>
              <w:bottom w:val="nil"/>
              <w:right w:val="nil"/>
            </w:tcBorders>
            <w:shd w:val="clear" w:color="auto" w:fill="auto"/>
            <w:noWrap/>
            <w:hideMark/>
          </w:tcPr>
          <w:p w:rsidR="006D0ECA" w:rsidRPr="006D0ECA" w:rsidRDefault="006D0ECA" w:rsidP="006D0ECA">
            <w:pPr>
              <w:spacing w:before="60"/>
              <w:rPr>
                <w:rFonts w:ascii="Arial Narrow" w:hAnsi="Arial Narrow" w:cs="Times New Roman"/>
                <w:i/>
                <w:sz w:val="16"/>
                <w:szCs w:val="16"/>
                <w:lang w:val="es-419" w:eastAsia="fr-CH"/>
              </w:rPr>
            </w:pPr>
            <w:r w:rsidRPr="006D0ECA">
              <w:rPr>
                <w:rFonts w:ascii="Arial Narrow" w:hAnsi="Arial Narrow" w:cs="Times New Roman"/>
                <w:i/>
                <w:sz w:val="16"/>
                <w:szCs w:val="16"/>
                <w:lang w:val="es-419" w:eastAsia="fr-CH"/>
              </w:rPr>
              <w:t>Tasas</w:t>
            </w:r>
          </w:p>
        </w:tc>
        <w:tc>
          <w:tcPr>
            <w:tcW w:w="722"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fr-CH" w:eastAsia="fr-CH"/>
              </w:rPr>
              <w:t xml:space="preserve">            -   </w:t>
            </w:r>
          </w:p>
        </w:tc>
        <w:tc>
          <w:tcPr>
            <w:tcW w:w="601"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fr-CH" w:eastAsia="fr-CH"/>
              </w:rPr>
              <w:t xml:space="preserve">          -   </w:t>
            </w:r>
          </w:p>
        </w:tc>
        <w:tc>
          <w:tcPr>
            <w:tcW w:w="722"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665.575 </w:t>
            </w:r>
          </w:p>
        </w:tc>
        <w:tc>
          <w:tcPr>
            <w:tcW w:w="594"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99,7%</w:t>
            </w:r>
          </w:p>
        </w:tc>
        <w:tc>
          <w:tcPr>
            <w:tcW w:w="722"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162.039 </w:t>
            </w:r>
          </w:p>
        </w:tc>
        <w:tc>
          <w:tcPr>
            <w:tcW w:w="594"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98,6%</w:t>
            </w:r>
          </w:p>
        </w:tc>
        <w:tc>
          <w:tcPr>
            <w:tcW w:w="722"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12.639 </w:t>
            </w:r>
          </w:p>
        </w:tc>
        <w:tc>
          <w:tcPr>
            <w:tcW w:w="594"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90,3%</w:t>
            </w:r>
          </w:p>
        </w:tc>
        <w:tc>
          <w:tcPr>
            <w:tcW w:w="722"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50 </w:t>
            </w:r>
          </w:p>
        </w:tc>
        <w:tc>
          <w:tcPr>
            <w:tcW w:w="594"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6,4%</w:t>
            </w:r>
          </w:p>
        </w:tc>
        <w:tc>
          <w:tcPr>
            <w:tcW w:w="722"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840.302 </w:t>
            </w:r>
          </w:p>
        </w:tc>
        <w:tc>
          <w:tcPr>
            <w:tcW w:w="594" w:type="dxa"/>
            <w:tcBorders>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95,2%</w:t>
            </w:r>
          </w:p>
        </w:tc>
      </w:tr>
      <w:tr w:rsidR="006D0ECA" w:rsidRPr="006D0ECA" w:rsidTr="006D0ECA">
        <w:trPr>
          <w:trHeight w:val="282"/>
        </w:trPr>
        <w:tc>
          <w:tcPr>
            <w:tcW w:w="1735" w:type="dxa"/>
            <w:gridSpan w:val="2"/>
            <w:tcBorders>
              <w:top w:val="nil"/>
              <w:left w:val="nil"/>
              <w:bottom w:val="nil"/>
              <w:right w:val="nil"/>
            </w:tcBorders>
            <w:shd w:val="clear" w:color="auto" w:fill="auto"/>
            <w:noWrap/>
            <w:hideMark/>
          </w:tcPr>
          <w:p w:rsidR="006D0ECA" w:rsidRPr="006D0ECA" w:rsidRDefault="006D0ECA" w:rsidP="006D0ECA">
            <w:pPr>
              <w:spacing w:before="60"/>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Ingresos según el criterio de caja</w:t>
            </w:r>
          </w:p>
        </w:tc>
        <w:tc>
          <w:tcPr>
            <w:tcW w:w="722" w:type="dxa"/>
            <w:tcBorders>
              <w:top w:val="nil"/>
              <w:left w:val="nil"/>
              <w:bottom w:val="nil"/>
              <w:right w:val="nil"/>
            </w:tcBorders>
            <w:shd w:val="clear" w:color="auto" w:fill="auto"/>
            <w:noWrap/>
          </w:tcPr>
          <w:p w:rsidR="006D0ECA" w:rsidRPr="006D0ECA" w:rsidRDefault="006D0ECA" w:rsidP="006D0ECA">
            <w:pPr>
              <w:spacing w:before="60"/>
              <w:jc w:val="right"/>
              <w:rPr>
                <w:rFonts w:ascii="Arial Narrow" w:hAnsi="Arial Narrow" w:cs="Times New Roman"/>
                <w:b/>
                <w:bCs/>
                <w:sz w:val="16"/>
                <w:szCs w:val="16"/>
                <w:lang w:val="es-419" w:eastAsia="fr-CH"/>
              </w:rPr>
            </w:pPr>
          </w:p>
        </w:tc>
        <w:tc>
          <w:tcPr>
            <w:tcW w:w="601"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p>
        </w:tc>
      </w:tr>
      <w:tr w:rsidR="006D0ECA" w:rsidRPr="006D0ECA" w:rsidTr="006D0ECA">
        <w:trPr>
          <w:trHeight w:val="282"/>
        </w:trPr>
        <w:tc>
          <w:tcPr>
            <w:tcW w:w="220" w:type="dxa"/>
            <w:tcBorders>
              <w:top w:val="nil"/>
              <w:left w:val="nil"/>
              <w:bottom w:val="nil"/>
              <w:right w:val="nil"/>
            </w:tcBorders>
            <w:shd w:val="clear" w:color="auto" w:fill="auto"/>
            <w:noWrap/>
            <w:vAlign w:val="bottom"/>
            <w:hideMark/>
          </w:tcPr>
          <w:p w:rsidR="006D0ECA" w:rsidRPr="006D0ECA" w:rsidRDefault="006D0ECA" w:rsidP="006D0ECA">
            <w:pPr>
              <w:rPr>
                <w:rFonts w:ascii="Arial Narrow" w:hAnsi="Arial Narrow" w:cs="Times New Roman"/>
                <w:sz w:val="16"/>
                <w:szCs w:val="16"/>
                <w:lang w:val="es-419" w:eastAsia="fr-CH"/>
              </w:rPr>
            </w:pPr>
          </w:p>
        </w:tc>
        <w:tc>
          <w:tcPr>
            <w:tcW w:w="1515" w:type="dxa"/>
            <w:tcBorders>
              <w:top w:val="nil"/>
              <w:left w:val="nil"/>
              <w:bottom w:val="nil"/>
              <w:right w:val="nil"/>
            </w:tcBorders>
            <w:shd w:val="clear" w:color="auto" w:fill="auto"/>
            <w:noWrap/>
            <w:vAlign w:val="center"/>
            <w:hideMark/>
          </w:tcPr>
          <w:p w:rsidR="006D0ECA" w:rsidRPr="006D0ECA" w:rsidRDefault="006D0ECA" w:rsidP="006D0ECA">
            <w:pPr>
              <w:spacing w:before="60"/>
              <w:rPr>
                <w:rFonts w:ascii="Arial Narrow" w:hAnsi="Arial Narrow" w:cs="Times New Roman"/>
                <w:i/>
                <w:sz w:val="16"/>
                <w:szCs w:val="16"/>
                <w:lang w:val="es-419" w:eastAsia="fr-CH"/>
              </w:rPr>
            </w:pPr>
            <w:r w:rsidRPr="006D0ECA">
              <w:rPr>
                <w:rFonts w:ascii="Arial Narrow" w:eastAsia="Arial" w:hAnsi="Arial Narrow"/>
                <w:i/>
                <w:sz w:val="16"/>
                <w:szCs w:val="16"/>
                <w:lang w:val="es-419"/>
              </w:rPr>
              <w:t>Contribuciones (sistema único)</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34.754 </w:t>
            </w:r>
          </w:p>
        </w:tc>
        <w:tc>
          <w:tcPr>
            <w:tcW w:w="601"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96,3%</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34.754 </w:t>
            </w: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3,9%</w:t>
            </w:r>
          </w:p>
        </w:tc>
      </w:tr>
      <w:tr w:rsidR="006D0ECA" w:rsidRPr="006D0ECA" w:rsidTr="006D0ECA">
        <w:trPr>
          <w:trHeight w:val="282"/>
        </w:trPr>
        <w:tc>
          <w:tcPr>
            <w:tcW w:w="220" w:type="dxa"/>
            <w:tcBorders>
              <w:top w:val="nil"/>
              <w:left w:val="nil"/>
              <w:bottom w:val="nil"/>
              <w:right w:val="nil"/>
            </w:tcBorders>
            <w:shd w:val="clear" w:color="auto" w:fill="auto"/>
            <w:noWrap/>
            <w:vAlign w:val="bottom"/>
            <w:hideMark/>
          </w:tcPr>
          <w:p w:rsidR="006D0ECA" w:rsidRPr="006D0ECA" w:rsidRDefault="006D0ECA" w:rsidP="006D0ECA">
            <w:pPr>
              <w:jc w:val="right"/>
              <w:rPr>
                <w:rFonts w:ascii="Arial Narrow" w:hAnsi="Arial Narrow" w:cs="Times New Roman"/>
                <w:sz w:val="16"/>
                <w:szCs w:val="16"/>
                <w:lang w:val="es-419" w:eastAsia="fr-CH"/>
              </w:rPr>
            </w:pPr>
          </w:p>
        </w:tc>
        <w:tc>
          <w:tcPr>
            <w:tcW w:w="1515" w:type="dxa"/>
            <w:tcBorders>
              <w:top w:val="nil"/>
              <w:left w:val="nil"/>
              <w:bottom w:val="nil"/>
              <w:right w:val="nil"/>
            </w:tcBorders>
            <w:shd w:val="clear" w:color="auto" w:fill="auto"/>
            <w:noWrap/>
            <w:hideMark/>
          </w:tcPr>
          <w:p w:rsidR="006D0ECA" w:rsidRPr="006D0ECA" w:rsidRDefault="006D0ECA" w:rsidP="006D0ECA">
            <w:pPr>
              <w:spacing w:before="60"/>
              <w:rPr>
                <w:rFonts w:ascii="Arial Narrow" w:hAnsi="Arial Narrow" w:cs="Times New Roman"/>
                <w:i/>
                <w:sz w:val="16"/>
                <w:szCs w:val="16"/>
                <w:lang w:val="es-419" w:eastAsia="fr-CH"/>
              </w:rPr>
            </w:pPr>
            <w:r w:rsidRPr="006D0ECA">
              <w:rPr>
                <w:rFonts w:ascii="Arial Narrow" w:eastAsia="Arial" w:hAnsi="Arial Narrow"/>
                <w:i/>
                <w:sz w:val="16"/>
                <w:szCs w:val="16"/>
                <w:lang w:val="es-419"/>
              </w:rPr>
              <w:t>Arbitraje</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594 </w:t>
            </w:r>
          </w:p>
        </w:tc>
        <w:tc>
          <w:tcPr>
            <w:tcW w:w="601"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1,6%</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561 </w:t>
            </w: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0,1%</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1.518 </w:t>
            </w: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0,9%</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627 </w:t>
            </w: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4,5%</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722"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3.300 </w:t>
            </w:r>
          </w:p>
        </w:tc>
        <w:tc>
          <w:tcPr>
            <w:tcW w:w="594" w:type="dxa"/>
            <w:tcBorders>
              <w:top w:val="nil"/>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0,4%</w:t>
            </w:r>
          </w:p>
        </w:tc>
      </w:tr>
      <w:tr w:rsidR="006D0ECA" w:rsidRPr="006D0ECA" w:rsidTr="006D0ECA">
        <w:trPr>
          <w:trHeight w:val="268"/>
        </w:trPr>
        <w:tc>
          <w:tcPr>
            <w:tcW w:w="220" w:type="dxa"/>
            <w:tcBorders>
              <w:top w:val="nil"/>
              <w:left w:val="nil"/>
              <w:right w:val="nil"/>
            </w:tcBorders>
            <w:shd w:val="clear" w:color="auto" w:fill="auto"/>
            <w:noWrap/>
            <w:vAlign w:val="bottom"/>
            <w:hideMark/>
          </w:tcPr>
          <w:p w:rsidR="006D0ECA" w:rsidRPr="006D0ECA" w:rsidRDefault="006D0ECA" w:rsidP="006D0ECA">
            <w:pPr>
              <w:jc w:val="right"/>
              <w:rPr>
                <w:rFonts w:ascii="Arial Narrow" w:hAnsi="Arial Narrow" w:cs="Times New Roman"/>
                <w:sz w:val="16"/>
                <w:szCs w:val="16"/>
                <w:lang w:val="es-419" w:eastAsia="fr-CH"/>
              </w:rPr>
            </w:pPr>
          </w:p>
        </w:tc>
        <w:tc>
          <w:tcPr>
            <w:tcW w:w="1515" w:type="dxa"/>
            <w:tcBorders>
              <w:top w:val="nil"/>
              <w:left w:val="nil"/>
              <w:right w:val="nil"/>
            </w:tcBorders>
            <w:shd w:val="clear" w:color="auto" w:fill="auto"/>
            <w:noWrap/>
            <w:hideMark/>
          </w:tcPr>
          <w:p w:rsidR="006D0ECA" w:rsidRPr="006D0ECA" w:rsidRDefault="006D0ECA" w:rsidP="006D0ECA">
            <w:pPr>
              <w:spacing w:before="60"/>
              <w:rPr>
                <w:rFonts w:ascii="Arial Narrow" w:hAnsi="Arial Narrow" w:cs="Times New Roman"/>
                <w:i/>
                <w:sz w:val="16"/>
                <w:szCs w:val="16"/>
                <w:lang w:val="es-419" w:eastAsia="fr-CH"/>
              </w:rPr>
            </w:pPr>
            <w:r w:rsidRPr="006D0ECA">
              <w:rPr>
                <w:rFonts w:ascii="Arial Narrow" w:eastAsia="Arial" w:hAnsi="Arial Narrow"/>
                <w:i/>
                <w:sz w:val="16"/>
                <w:szCs w:val="16"/>
                <w:lang w:val="es-419"/>
              </w:rPr>
              <w:t>Publicaciones</w:t>
            </w:r>
          </w:p>
        </w:tc>
        <w:tc>
          <w:tcPr>
            <w:tcW w:w="722"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7 </w:t>
            </w:r>
          </w:p>
        </w:tc>
        <w:tc>
          <w:tcPr>
            <w:tcW w:w="601"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0,0%</w:t>
            </w:r>
          </w:p>
        </w:tc>
        <w:tc>
          <w:tcPr>
            <w:tcW w:w="722"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700 </w:t>
            </w:r>
          </w:p>
        </w:tc>
        <w:tc>
          <w:tcPr>
            <w:tcW w:w="594"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0,1%</w:t>
            </w:r>
          </w:p>
        </w:tc>
        <w:tc>
          <w:tcPr>
            <w:tcW w:w="722"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60 </w:t>
            </w:r>
          </w:p>
        </w:tc>
        <w:tc>
          <w:tcPr>
            <w:tcW w:w="594"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0,0%</w:t>
            </w:r>
          </w:p>
        </w:tc>
        <w:tc>
          <w:tcPr>
            <w:tcW w:w="722"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594"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722"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594"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   </w:t>
            </w:r>
          </w:p>
        </w:tc>
        <w:tc>
          <w:tcPr>
            <w:tcW w:w="722"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767 </w:t>
            </w:r>
          </w:p>
        </w:tc>
        <w:tc>
          <w:tcPr>
            <w:tcW w:w="594" w:type="dxa"/>
            <w:tcBorders>
              <w:top w:val="nil"/>
              <w:left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0,1%</w:t>
            </w:r>
          </w:p>
        </w:tc>
      </w:tr>
      <w:tr w:rsidR="006D0ECA" w:rsidRPr="006D0ECA" w:rsidTr="006D0ECA">
        <w:trPr>
          <w:trHeight w:val="268"/>
        </w:trPr>
        <w:tc>
          <w:tcPr>
            <w:tcW w:w="220" w:type="dxa"/>
            <w:tcBorders>
              <w:top w:val="nil"/>
              <w:left w:val="nil"/>
              <w:bottom w:val="single" w:sz="4" w:space="0" w:color="CBD4DB"/>
              <w:right w:val="nil"/>
            </w:tcBorders>
            <w:shd w:val="clear" w:color="auto" w:fill="auto"/>
            <w:noWrap/>
            <w:vAlign w:val="bottom"/>
            <w:hideMark/>
          </w:tcPr>
          <w:p w:rsidR="006D0ECA" w:rsidRPr="006D0ECA" w:rsidRDefault="006D0ECA" w:rsidP="006D0ECA">
            <w:pPr>
              <w:jc w:val="right"/>
              <w:rPr>
                <w:rFonts w:ascii="Arial Narrow" w:hAnsi="Arial Narrow" w:cs="Times New Roman"/>
                <w:sz w:val="16"/>
                <w:szCs w:val="16"/>
                <w:lang w:val="es-419" w:eastAsia="fr-CH"/>
              </w:rPr>
            </w:pPr>
          </w:p>
        </w:tc>
        <w:tc>
          <w:tcPr>
            <w:tcW w:w="1515" w:type="dxa"/>
            <w:tcBorders>
              <w:top w:val="nil"/>
              <w:left w:val="nil"/>
              <w:bottom w:val="single" w:sz="4" w:space="0" w:color="CBD4DB"/>
              <w:right w:val="nil"/>
            </w:tcBorders>
            <w:shd w:val="clear" w:color="auto" w:fill="auto"/>
            <w:noWrap/>
            <w:hideMark/>
          </w:tcPr>
          <w:p w:rsidR="006D0ECA" w:rsidRPr="006D0ECA" w:rsidRDefault="006D0ECA" w:rsidP="006D0ECA">
            <w:pPr>
              <w:spacing w:before="60"/>
              <w:rPr>
                <w:rFonts w:ascii="Arial Narrow" w:hAnsi="Arial Narrow" w:cs="Times New Roman"/>
                <w:i/>
                <w:sz w:val="16"/>
                <w:szCs w:val="16"/>
                <w:lang w:val="es-419" w:eastAsia="fr-CH"/>
              </w:rPr>
            </w:pPr>
            <w:r w:rsidRPr="006D0ECA">
              <w:rPr>
                <w:rFonts w:ascii="Arial Narrow" w:hAnsi="Arial Narrow" w:cs="Times New Roman"/>
                <w:i/>
                <w:sz w:val="16"/>
                <w:szCs w:val="16"/>
                <w:lang w:val="es-419" w:eastAsia="fr-CH"/>
              </w:rPr>
              <w:t>Ingresos diversos</w:t>
            </w:r>
          </w:p>
        </w:tc>
        <w:tc>
          <w:tcPr>
            <w:tcW w:w="722"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676 </w:t>
            </w:r>
          </w:p>
        </w:tc>
        <w:tc>
          <w:tcPr>
            <w:tcW w:w="601"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1,9%</w:t>
            </w:r>
          </w:p>
        </w:tc>
        <w:tc>
          <w:tcPr>
            <w:tcW w:w="722"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676 </w:t>
            </w:r>
          </w:p>
        </w:tc>
        <w:tc>
          <w:tcPr>
            <w:tcW w:w="594"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0,1%</w:t>
            </w:r>
          </w:p>
        </w:tc>
        <w:tc>
          <w:tcPr>
            <w:tcW w:w="722"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676 </w:t>
            </w:r>
          </w:p>
        </w:tc>
        <w:tc>
          <w:tcPr>
            <w:tcW w:w="594"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0,4%</w:t>
            </w:r>
          </w:p>
        </w:tc>
        <w:tc>
          <w:tcPr>
            <w:tcW w:w="722"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676 </w:t>
            </w:r>
          </w:p>
        </w:tc>
        <w:tc>
          <w:tcPr>
            <w:tcW w:w="594"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4,8%</w:t>
            </w:r>
          </w:p>
        </w:tc>
        <w:tc>
          <w:tcPr>
            <w:tcW w:w="722"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676 </w:t>
            </w:r>
          </w:p>
        </w:tc>
        <w:tc>
          <w:tcPr>
            <w:tcW w:w="594"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86,8%</w:t>
            </w:r>
          </w:p>
        </w:tc>
        <w:tc>
          <w:tcPr>
            <w:tcW w:w="722"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3.380 </w:t>
            </w:r>
          </w:p>
        </w:tc>
        <w:tc>
          <w:tcPr>
            <w:tcW w:w="594" w:type="dxa"/>
            <w:tcBorders>
              <w:top w:val="nil"/>
              <w:left w:val="nil"/>
              <w:bottom w:val="single" w:sz="4" w:space="0" w:color="CBD4DB"/>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0,4%</w:t>
            </w:r>
          </w:p>
        </w:tc>
      </w:tr>
      <w:tr w:rsidR="006D0ECA" w:rsidRPr="006D0ECA" w:rsidTr="006D0ECA">
        <w:trPr>
          <w:trHeight w:val="268"/>
        </w:trPr>
        <w:tc>
          <w:tcPr>
            <w:tcW w:w="220" w:type="dxa"/>
            <w:tcBorders>
              <w:top w:val="single" w:sz="4" w:space="0" w:color="CBD4DB"/>
              <w:left w:val="nil"/>
              <w:bottom w:val="nil"/>
              <w:right w:val="nil"/>
            </w:tcBorders>
            <w:shd w:val="clear" w:color="auto" w:fill="auto"/>
            <w:noWrap/>
            <w:vAlign w:val="bottom"/>
            <w:hideMark/>
          </w:tcPr>
          <w:p w:rsidR="006D0ECA" w:rsidRPr="006D0ECA" w:rsidRDefault="006D0ECA" w:rsidP="006D0ECA">
            <w:pPr>
              <w:jc w:val="right"/>
              <w:rPr>
                <w:rFonts w:ascii="Arial Narrow" w:hAnsi="Arial Narrow" w:cs="Times New Roman"/>
                <w:sz w:val="16"/>
                <w:szCs w:val="16"/>
                <w:lang w:val="es-419" w:eastAsia="fr-CH"/>
              </w:rPr>
            </w:pPr>
          </w:p>
        </w:tc>
        <w:tc>
          <w:tcPr>
            <w:tcW w:w="1515" w:type="dxa"/>
            <w:tcBorders>
              <w:top w:val="single" w:sz="4" w:space="0" w:color="CBD4DB"/>
              <w:left w:val="nil"/>
              <w:bottom w:val="nil"/>
              <w:right w:val="nil"/>
            </w:tcBorders>
            <w:shd w:val="clear" w:color="auto" w:fill="auto"/>
            <w:noWrap/>
            <w:vAlign w:val="center"/>
            <w:hideMark/>
          </w:tcPr>
          <w:p w:rsidR="006D0ECA" w:rsidRPr="006D0ECA" w:rsidRDefault="006D0ECA" w:rsidP="006D0ECA">
            <w:pPr>
              <w:spacing w:before="60"/>
              <w:ind w:firstLineChars="200" w:firstLine="320"/>
              <w:rPr>
                <w:rFonts w:ascii="Arial Narrow" w:hAnsi="Arial Narrow" w:cs="Times New Roman"/>
                <w:iCs/>
                <w:sz w:val="16"/>
                <w:szCs w:val="16"/>
                <w:lang w:val="es-419" w:eastAsia="fr-CH"/>
              </w:rPr>
            </w:pPr>
            <w:r w:rsidRPr="006D0ECA">
              <w:rPr>
                <w:rFonts w:ascii="Arial Narrow" w:hAnsi="Arial Narrow" w:cs="Times New Roman"/>
                <w:iCs/>
                <w:sz w:val="16"/>
                <w:szCs w:val="16"/>
                <w:lang w:val="es-419" w:eastAsia="fr-CH"/>
              </w:rPr>
              <w:t>Subtotal</w:t>
            </w:r>
          </w:p>
        </w:tc>
        <w:tc>
          <w:tcPr>
            <w:tcW w:w="722"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36.031 </w:t>
            </w:r>
          </w:p>
        </w:tc>
        <w:tc>
          <w:tcPr>
            <w:tcW w:w="601"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99,9%</w:t>
            </w:r>
          </w:p>
        </w:tc>
        <w:tc>
          <w:tcPr>
            <w:tcW w:w="722"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1.937 </w:t>
            </w:r>
          </w:p>
        </w:tc>
        <w:tc>
          <w:tcPr>
            <w:tcW w:w="594"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0,3%</w:t>
            </w:r>
          </w:p>
        </w:tc>
        <w:tc>
          <w:tcPr>
            <w:tcW w:w="722"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2.254 </w:t>
            </w:r>
          </w:p>
        </w:tc>
        <w:tc>
          <w:tcPr>
            <w:tcW w:w="594"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1,4%</w:t>
            </w:r>
          </w:p>
        </w:tc>
        <w:tc>
          <w:tcPr>
            <w:tcW w:w="722"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1.303 </w:t>
            </w:r>
          </w:p>
        </w:tc>
        <w:tc>
          <w:tcPr>
            <w:tcW w:w="594"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9,3%</w:t>
            </w:r>
          </w:p>
        </w:tc>
        <w:tc>
          <w:tcPr>
            <w:tcW w:w="722"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676 </w:t>
            </w:r>
          </w:p>
        </w:tc>
        <w:tc>
          <w:tcPr>
            <w:tcW w:w="594"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86,8%</w:t>
            </w:r>
          </w:p>
        </w:tc>
        <w:tc>
          <w:tcPr>
            <w:tcW w:w="722"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42.201 </w:t>
            </w:r>
          </w:p>
        </w:tc>
        <w:tc>
          <w:tcPr>
            <w:tcW w:w="594" w:type="dxa"/>
            <w:tcBorders>
              <w:top w:val="single" w:sz="4" w:space="0" w:color="CBD4DB"/>
              <w:left w:val="nil"/>
              <w:bottom w:val="nil"/>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4,8%</w:t>
            </w:r>
          </w:p>
        </w:tc>
      </w:tr>
      <w:tr w:rsidR="006D0ECA" w:rsidRPr="006D0ECA" w:rsidTr="006D0ECA">
        <w:trPr>
          <w:trHeight w:val="296"/>
        </w:trPr>
        <w:tc>
          <w:tcPr>
            <w:tcW w:w="220" w:type="dxa"/>
            <w:tcBorders>
              <w:top w:val="nil"/>
              <w:left w:val="nil"/>
              <w:bottom w:val="single" w:sz="4" w:space="0" w:color="C6CFD7"/>
              <w:right w:val="nil"/>
            </w:tcBorders>
            <w:shd w:val="clear" w:color="auto" w:fill="auto"/>
            <w:noWrap/>
            <w:vAlign w:val="center"/>
            <w:hideMark/>
          </w:tcPr>
          <w:p w:rsidR="006D0ECA" w:rsidRPr="006D0ECA" w:rsidRDefault="006D0ECA" w:rsidP="006D0ECA">
            <w:pP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w:t>
            </w:r>
          </w:p>
        </w:tc>
        <w:tc>
          <w:tcPr>
            <w:tcW w:w="1515" w:type="dxa"/>
            <w:tcBorders>
              <w:top w:val="nil"/>
              <w:left w:val="nil"/>
              <w:bottom w:val="single" w:sz="4" w:space="0" w:color="C6CFD7"/>
              <w:right w:val="nil"/>
            </w:tcBorders>
            <w:shd w:val="clear" w:color="auto" w:fill="auto"/>
            <w:noWrap/>
            <w:vAlign w:val="center"/>
            <w:hideMark/>
          </w:tcPr>
          <w:p w:rsidR="006D0ECA" w:rsidRPr="006D0ECA" w:rsidRDefault="006D0ECA" w:rsidP="006D0ECA">
            <w:pPr>
              <w:spacing w:before="60"/>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Ajustes IPSAS a los ingresos según el criterio de caja</w:t>
            </w:r>
          </w:p>
        </w:tc>
        <w:tc>
          <w:tcPr>
            <w:tcW w:w="722"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53 </w:t>
            </w:r>
          </w:p>
        </w:tc>
        <w:tc>
          <w:tcPr>
            <w:tcW w:w="601"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0,1%</w:t>
            </w:r>
          </w:p>
        </w:tc>
        <w:tc>
          <w:tcPr>
            <w:tcW w:w="722"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53 </w:t>
            </w:r>
          </w:p>
        </w:tc>
        <w:tc>
          <w:tcPr>
            <w:tcW w:w="594"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0,0%</w:t>
            </w:r>
          </w:p>
        </w:tc>
        <w:tc>
          <w:tcPr>
            <w:tcW w:w="722"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53 </w:t>
            </w:r>
          </w:p>
        </w:tc>
        <w:tc>
          <w:tcPr>
            <w:tcW w:w="594"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0,0%</w:t>
            </w:r>
          </w:p>
        </w:tc>
        <w:tc>
          <w:tcPr>
            <w:tcW w:w="722"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53 </w:t>
            </w:r>
          </w:p>
        </w:tc>
        <w:tc>
          <w:tcPr>
            <w:tcW w:w="594"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0,4%</w:t>
            </w:r>
          </w:p>
        </w:tc>
        <w:tc>
          <w:tcPr>
            <w:tcW w:w="722"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53 </w:t>
            </w:r>
          </w:p>
        </w:tc>
        <w:tc>
          <w:tcPr>
            <w:tcW w:w="594"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6,8%</w:t>
            </w:r>
          </w:p>
        </w:tc>
        <w:tc>
          <w:tcPr>
            <w:tcW w:w="722"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xml:space="preserve">       264 </w:t>
            </w:r>
          </w:p>
        </w:tc>
        <w:tc>
          <w:tcPr>
            <w:tcW w:w="594" w:type="dxa"/>
            <w:tcBorders>
              <w:top w:val="nil"/>
              <w:left w:val="nil"/>
              <w:bottom w:val="single" w:sz="4" w:space="0" w:color="C6CFD7"/>
              <w:right w:val="nil"/>
            </w:tcBorders>
            <w:shd w:val="clear" w:color="auto" w:fill="auto"/>
            <w:noWrap/>
            <w:hideMark/>
          </w:tcPr>
          <w:p w:rsidR="006D0ECA" w:rsidRPr="006D0ECA" w:rsidRDefault="006D0ECA" w:rsidP="006D0ECA">
            <w:pPr>
              <w:spacing w:before="60"/>
              <w:jc w:val="right"/>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0,0%</w:t>
            </w:r>
          </w:p>
        </w:tc>
      </w:tr>
      <w:tr w:rsidR="006D0ECA" w:rsidRPr="006D0ECA" w:rsidTr="006D0ECA">
        <w:trPr>
          <w:trHeight w:val="283"/>
        </w:trPr>
        <w:tc>
          <w:tcPr>
            <w:tcW w:w="220" w:type="dxa"/>
            <w:tcBorders>
              <w:top w:val="single" w:sz="4" w:space="0" w:color="C6CFD7"/>
              <w:left w:val="nil"/>
              <w:bottom w:val="single" w:sz="18" w:space="0" w:color="C6CFD7"/>
              <w:right w:val="nil"/>
            </w:tcBorders>
            <w:shd w:val="clear" w:color="auto" w:fill="auto"/>
            <w:vAlign w:val="center"/>
            <w:hideMark/>
          </w:tcPr>
          <w:p w:rsidR="006D0ECA" w:rsidRPr="006D0ECA" w:rsidRDefault="006D0ECA" w:rsidP="006D0ECA">
            <w:pPr>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 </w:t>
            </w:r>
          </w:p>
        </w:tc>
        <w:tc>
          <w:tcPr>
            <w:tcW w:w="1515" w:type="dxa"/>
            <w:tcBorders>
              <w:top w:val="single" w:sz="4" w:space="0" w:color="C6CFD7"/>
              <w:left w:val="nil"/>
              <w:bottom w:val="single" w:sz="18" w:space="0" w:color="C6CFD7"/>
              <w:right w:val="nil"/>
            </w:tcBorders>
            <w:shd w:val="clear" w:color="auto" w:fill="auto"/>
            <w:vAlign w:val="center"/>
            <w:hideMark/>
          </w:tcPr>
          <w:p w:rsidR="006D0ECA" w:rsidRPr="006D0ECA" w:rsidRDefault="006D0ECA" w:rsidP="006D0ECA">
            <w:pPr>
              <w:spacing w:before="60"/>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 xml:space="preserve"> TOTAL </w:t>
            </w:r>
          </w:p>
        </w:tc>
        <w:tc>
          <w:tcPr>
            <w:tcW w:w="722"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 xml:space="preserve">   36.084 </w:t>
            </w:r>
          </w:p>
        </w:tc>
        <w:tc>
          <w:tcPr>
            <w:tcW w:w="601"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Cs/>
                <w:sz w:val="16"/>
                <w:szCs w:val="16"/>
                <w:lang w:val="es-419" w:eastAsia="fr-CH"/>
              </w:rPr>
            </w:pPr>
            <w:r w:rsidRPr="006D0ECA">
              <w:rPr>
                <w:rFonts w:ascii="Arial Narrow" w:hAnsi="Arial Narrow" w:cs="Times New Roman"/>
                <w:bCs/>
                <w:sz w:val="16"/>
                <w:szCs w:val="16"/>
                <w:lang w:val="es-419" w:eastAsia="fr-CH"/>
              </w:rPr>
              <w:t>100%</w:t>
            </w:r>
          </w:p>
        </w:tc>
        <w:tc>
          <w:tcPr>
            <w:tcW w:w="722"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 xml:space="preserve">667.565 </w:t>
            </w:r>
          </w:p>
        </w:tc>
        <w:tc>
          <w:tcPr>
            <w:tcW w:w="594"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Cs/>
                <w:sz w:val="16"/>
                <w:szCs w:val="16"/>
                <w:lang w:val="es-419" w:eastAsia="fr-CH"/>
              </w:rPr>
            </w:pPr>
            <w:r w:rsidRPr="006D0ECA">
              <w:rPr>
                <w:rFonts w:ascii="Arial Narrow" w:hAnsi="Arial Narrow" w:cs="Times New Roman"/>
                <w:bCs/>
                <w:sz w:val="16"/>
                <w:szCs w:val="16"/>
                <w:lang w:val="es-419" w:eastAsia="fr-CH"/>
              </w:rPr>
              <w:t>100%</w:t>
            </w:r>
          </w:p>
        </w:tc>
        <w:tc>
          <w:tcPr>
            <w:tcW w:w="722"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 xml:space="preserve">164.345 </w:t>
            </w:r>
          </w:p>
        </w:tc>
        <w:tc>
          <w:tcPr>
            <w:tcW w:w="594"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Cs/>
                <w:sz w:val="16"/>
                <w:szCs w:val="16"/>
                <w:lang w:val="es-419" w:eastAsia="fr-CH"/>
              </w:rPr>
            </w:pPr>
            <w:r w:rsidRPr="006D0ECA">
              <w:rPr>
                <w:rFonts w:ascii="Arial Narrow" w:hAnsi="Arial Narrow" w:cs="Times New Roman"/>
                <w:bCs/>
                <w:sz w:val="16"/>
                <w:szCs w:val="16"/>
                <w:lang w:val="es-419" w:eastAsia="fr-CH"/>
              </w:rPr>
              <w:t>100%</w:t>
            </w:r>
          </w:p>
        </w:tc>
        <w:tc>
          <w:tcPr>
            <w:tcW w:w="722"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 xml:space="preserve">  13.995 </w:t>
            </w:r>
          </w:p>
        </w:tc>
        <w:tc>
          <w:tcPr>
            <w:tcW w:w="594"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Cs/>
                <w:sz w:val="16"/>
                <w:szCs w:val="16"/>
                <w:lang w:val="es-419" w:eastAsia="fr-CH"/>
              </w:rPr>
            </w:pPr>
            <w:r w:rsidRPr="006D0ECA">
              <w:rPr>
                <w:rFonts w:ascii="Arial Narrow" w:hAnsi="Arial Narrow" w:cs="Times New Roman"/>
                <w:bCs/>
                <w:sz w:val="16"/>
                <w:szCs w:val="16"/>
                <w:lang w:val="es-419" w:eastAsia="fr-CH"/>
              </w:rPr>
              <w:t>100%</w:t>
            </w:r>
          </w:p>
        </w:tc>
        <w:tc>
          <w:tcPr>
            <w:tcW w:w="722"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 xml:space="preserve">       779 </w:t>
            </w:r>
          </w:p>
        </w:tc>
        <w:tc>
          <w:tcPr>
            <w:tcW w:w="594"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Cs/>
                <w:sz w:val="16"/>
                <w:szCs w:val="16"/>
                <w:lang w:val="es-419" w:eastAsia="fr-CH"/>
              </w:rPr>
            </w:pPr>
            <w:r w:rsidRPr="006D0ECA">
              <w:rPr>
                <w:rFonts w:ascii="Arial Narrow" w:hAnsi="Arial Narrow" w:cs="Times New Roman"/>
                <w:bCs/>
                <w:sz w:val="16"/>
                <w:szCs w:val="16"/>
                <w:lang w:val="es-419" w:eastAsia="fr-CH"/>
              </w:rPr>
              <w:t>100%</w:t>
            </w:r>
          </w:p>
        </w:tc>
        <w:tc>
          <w:tcPr>
            <w:tcW w:w="722"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 xml:space="preserve">882.768 </w:t>
            </w:r>
          </w:p>
        </w:tc>
        <w:tc>
          <w:tcPr>
            <w:tcW w:w="594" w:type="dxa"/>
            <w:tcBorders>
              <w:top w:val="single" w:sz="4" w:space="0" w:color="C6CFD7"/>
              <w:left w:val="nil"/>
              <w:bottom w:val="single" w:sz="18" w:space="0" w:color="C6CFD7"/>
              <w:right w:val="nil"/>
            </w:tcBorders>
            <w:shd w:val="clear" w:color="auto" w:fill="auto"/>
            <w:hideMark/>
          </w:tcPr>
          <w:p w:rsidR="006D0ECA" w:rsidRPr="006D0ECA" w:rsidRDefault="006D0ECA" w:rsidP="006D0ECA">
            <w:pPr>
              <w:spacing w:before="60"/>
              <w:jc w:val="right"/>
              <w:rPr>
                <w:rFonts w:ascii="Arial Narrow" w:hAnsi="Arial Narrow" w:cs="Times New Roman"/>
                <w:bCs/>
                <w:sz w:val="16"/>
                <w:szCs w:val="16"/>
                <w:lang w:val="es-419" w:eastAsia="fr-CH"/>
              </w:rPr>
            </w:pPr>
            <w:r w:rsidRPr="006D0ECA">
              <w:rPr>
                <w:rFonts w:ascii="Arial Narrow" w:hAnsi="Arial Narrow" w:cs="Times New Roman"/>
                <w:bCs/>
                <w:sz w:val="16"/>
                <w:szCs w:val="16"/>
                <w:lang w:val="es-419" w:eastAsia="fr-CH"/>
              </w:rPr>
              <w:t>100%</w:t>
            </w:r>
          </w:p>
        </w:tc>
      </w:tr>
    </w:tbl>
    <w:p w:rsidR="006D0ECA" w:rsidRPr="006D0ECA" w:rsidRDefault="006D0ECA" w:rsidP="006D0ECA">
      <w:pPr>
        <w:keepNext/>
        <w:keepLines/>
        <w:spacing w:before="60" w:after="180" w:line="220" w:lineRule="atLeast"/>
        <w:jc w:val="center"/>
        <w:rPr>
          <w:rFonts w:eastAsia="Arial"/>
          <w:i/>
          <w:sz w:val="18"/>
          <w:szCs w:val="22"/>
          <w:lang w:val="es-419"/>
        </w:rPr>
      </w:pPr>
    </w:p>
    <w:p w:rsidR="006D0ECA" w:rsidRPr="006D0ECA" w:rsidRDefault="006D0ECA" w:rsidP="006D0ECA">
      <w:pPr>
        <w:spacing w:after="180"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pPr>
    </w:p>
    <w:p w:rsidR="006D0ECA" w:rsidRPr="006D0ECA" w:rsidRDefault="006D0ECA" w:rsidP="006D0ECA">
      <w:pPr>
        <w:spacing w:after="180" w:line="220" w:lineRule="atLeast"/>
        <w:rPr>
          <w:rFonts w:eastAsia="Arial"/>
          <w:sz w:val="18"/>
          <w:szCs w:val="22"/>
          <w:lang w:val="es-419"/>
        </w:rPr>
        <w:sectPr w:rsidR="006D0ECA" w:rsidRPr="006D0ECA" w:rsidSect="00067722">
          <w:headerReference w:type="even" r:id="rId7"/>
          <w:headerReference w:type="default" r:id="rId8"/>
          <w:footerReference w:type="even" r:id="rId9"/>
          <w:footerReference w:type="default" r:id="rId10"/>
          <w:headerReference w:type="first" r:id="rId11"/>
          <w:footerReference w:type="first" r:id="rId12"/>
          <w:pgSz w:w="11906" w:h="16838"/>
          <w:pgMar w:top="1361" w:right="1134" w:bottom="1361" w:left="1134" w:header="567" w:footer="454" w:gutter="0"/>
          <w:cols w:space="708"/>
          <w:titlePg/>
          <w:docGrid w:linePitch="360"/>
        </w:sectPr>
      </w:pPr>
    </w:p>
    <w:p w:rsidR="006D0ECA" w:rsidRPr="006D0ECA" w:rsidRDefault="006D0ECA" w:rsidP="00E07857">
      <w:pPr>
        <w:keepNext/>
        <w:keepLines/>
        <w:spacing w:before="120"/>
        <w:jc w:val="center"/>
        <w:rPr>
          <w:rFonts w:eastAsia="Arial"/>
          <w:b/>
          <w:color w:val="005172"/>
          <w:sz w:val="18"/>
          <w:szCs w:val="22"/>
          <w:lang w:val="es-419"/>
        </w:rPr>
      </w:pPr>
      <w:r w:rsidRPr="006D0ECA">
        <w:rPr>
          <w:rFonts w:eastAsia="Arial"/>
          <w:b/>
          <w:color w:val="005172"/>
          <w:sz w:val="18"/>
          <w:szCs w:val="22"/>
          <w:lang w:val="es-419"/>
        </w:rPr>
        <w:lastRenderedPageBreak/>
        <w:t>Cuadro 13: Presupuesto por programa y Unión</w:t>
      </w:r>
    </w:p>
    <w:p w:rsidR="006D0ECA" w:rsidRPr="006D0ECA" w:rsidRDefault="006D0ECA" w:rsidP="00E07857">
      <w:pPr>
        <w:keepNext/>
        <w:keepLines/>
        <w:spacing w:after="120"/>
        <w:jc w:val="center"/>
        <w:rPr>
          <w:rFonts w:eastAsia="Arial"/>
          <w:i/>
          <w:sz w:val="18"/>
          <w:szCs w:val="22"/>
          <w:lang w:val="es-419"/>
        </w:rPr>
      </w:pPr>
      <w:r w:rsidRPr="006D0ECA">
        <w:rPr>
          <w:rFonts w:eastAsia="Arial"/>
          <w:i/>
          <w:sz w:val="18"/>
          <w:szCs w:val="22"/>
          <w:lang w:val="es-419"/>
        </w:rPr>
        <w:t>(en francos suizos)</w:t>
      </w:r>
    </w:p>
    <w:tbl>
      <w:tblPr>
        <w:tblW w:w="13586" w:type="dxa"/>
        <w:tblCellMar>
          <w:left w:w="70" w:type="dxa"/>
          <w:right w:w="70" w:type="dxa"/>
        </w:tblCellMar>
        <w:tblLook w:val="04A0" w:firstRow="1" w:lastRow="0" w:firstColumn="1" w:lastColumn="0" w:noHBand="0" w:noVBand="1"/>
      </w:tblPr>
      <w:tblGrid>
        <w:gridCol w:w="455"/>
        <w:gridCol w:w="5357"/>
        <w:gridCol w:w="1194"/>
        <w:gridCol w:w="1316"/>
        <w:gridCol w:w="1316"/>
        <w:gridCol w:w="1517"/>
        <w:gridCol w:w="1276"/>
        <w:gridCol w:w="1155"/>
      </w:tblGrid>
      <w:tr w:rsidR="006D0ECA" w:rsidRPr="006D0ECA" w:rsidTr="003E6FB0">
        <w:trPr>
          <w:trHeight w:val="195"/>
        </w:trPr>
        <w:tc>
          <w:tcPr>
            <w:tcW w:w="455" w:type="dxa"/>
            <w:tcBorders>
              <w:top w:val="nil"/>
              <w:left w:val="nil"/>
              <w:bottom w:val="nil"/>
              <w:right w:val="nil"/>
            </w:tcBorders>
            <w:shd w:val="clear" w:color="000000" w:fill="C7CFD8"/>
            <w:noWrap/>
            <w:vAlign w:val="center"/>
            <w:hideMark/>
          </w:tcPr>
          <w:p w:rsidR="006D0ECA" w:rsidRPr="006D0ECA" w:rsidRDefault="006D0ECA" w:rsidP="006D0ECA">
            <w:pP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w:t>
            </w:r>
          </w:p>
        </w:tc>
        <w:tc>
          <w:tcPr>
            <w:tcW w:w="5357" w:type="dxa"/>
            <w:tcBorders>
              <w:top w:val="nil"/>
              <w:left w:val="nil"/>
              <w:bottom w:val="nil"/>
              <w:right w:val="nil"/>
            </w:tcBorders>
            <w:shd w:val="clear" w:color="000000" w:fill="C7CFD8"/>
            <w:vAlign w:val="center"/>
            <w:hideMark/>
          </w:tcPr>
          <w:p w:rsidR="006D0ECA" w:rsidRPr="006D0ECA" w:rsidRDefault="006D0ECA" w:rsidP="006D0ECA">
            <w:pP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 </w:t>
            </w:r>
          </w:p>
        </w:tc>
        <w:tc>
          <w:tcPr>
            <w:tcW w:w="1194" w:type="dxa"/>
            <w:tcBorders>
              <w:top w:val="nil"/>
              <w:left w:val="nil"/>
              <w:bottom w:val="nil"/>
              <w:right w:val="single" w:sz="4" w:space="0" w:color="BFBFBF"/>
            </w:tcBorders>
            <w:shd w:val="clear" w:color="000000" w:fill="C7CFD8"/>
            <w:hideMark/>
          </w:tcPr>
          <w:p w:rsidR="006D0ECA" w:rsidRPr="006D0ECA" w:rsidRDefault="006D0ECA" w:rsidP="00E07857">
            <w:pPr>
              <w:ind w:left="113"/>
              <w:jc w:val="center"/>
              <w:rPr>
                <w:rFonts w:ascii="Arial Narrow" w:eastAsia="Arial" w:hAnsi="Arial Narrow"/>
                <w:b/>
                <w:sz w:val="16"/>
                <w:szCs w:val="22"/>
                <w:lang w:val="es-419"/>
              </w:rPr>
            </w:pPr>
            <w:r w:rsidRPr="006D0ECA">
              <w:rPr>
                <w:rFonts w:ascii="Arial Narrow" w:eastAsia="Arial" w:hAnsi="Arial Narrow"/>
                <w:b/>
                <w:sz w:val="16"/>
                <w:szCs w:val="22"/>
                <w:lang w:val="es-419"/>
              </w:rPr>
              <w:t>Uniones financiadas por contrib</w:t>
            </w:r>
            <w:r w:rsidR="00E07857">
              <w:rPr>
                <w:rFonts w:ascii="Arial Narrow" w:eastAsia="Arial" w:hAnsi="Arial Narrow"/>
                <w:b/>
                <w:sz w:val="16"/>
                <w:szCs w:val="22"/>
                <w:lang w:val="es-419"/>
              </w:rPr>
              <w:t>.</w:t>
            </w:r>
          </w:p>
        </w:tc>
        <w:tc>
          <w:tcPr>
            <w:tcW w:w="1316" w:type="dxa"/>
            <w:tcBorders>
              <w:top w:val="nil"/>
              <w:left w:val="nil"/>
              <w:bottom w:val="nil"/>
              <w:right w:val="single" w:sz="4" w:space="0" w:color="BFBFBF"/>
            </w:tcBorders>
            <w:shd w:val="clear" w:color="000000" w:fill="C7CFD8"/>
            <w:noWrap/>
            <w:hideMark/>
          </w:tcPr>
          <w:p w:rsidR="006D0ECA" w:rsidRPr="006D0ECA" w:rsidRDefault="006D0ECA" w:rsidP="006D0ECA">
            <w:pPr>
              <w:ind w:left="113"/>
              <w:jc w:val="center"/>
              <w:rPr>
                <w:rFonts w:ascii="Arial Narrow" w:eastAsia="Arial" w:hAnsi="Arial Narrow"/>
                <w:b/>
                <w:sz w:val="16"/>
                <w:szCs w:val="22"/>
                <w:lang w:val="es-419"/>
              </w:rPr>
            </w:pPr>
            <w:r w:rsidRPr="006D0ECA">
              <w:rPr>
                <w:rFonts w:ascii="Arial Narrow" w:eastAsia="Arial" w:hAnsi="Arial Narrow"/>
                <w:b/>
                <w:sz w:val="16"/>
                <w:szCs w:val="22"/>
                <w:lang w:val="es-419"/>
              </w:rPr>
              <w:t>Unión del PCT</w:t>
            </w:r>
          </w:p>
        </w:tc>
        <w:tc>
          <w:tcPr>
            <w:tcW w:w="1316" w:type="dxa"/>
            <w:tcBorders>
              <w:top w:val="nil"/>
              <w:left w:val="nil"/>
              <w:bottom w:val="nil"/>
              <w:right w:val="single" w:sz="4" w:space="0" w:color="BFBFBF"/>
            </w:tcBorders>
            <w:shd w:val="clear" w:color="000000" w:fill="C7CFD8"/>
            <w:noWrap/>
            <w:hideMark/>
          </w:tcPr>
          <w:p w:rsidR="006D0ECA" w:rsidRPr="006D0ECA" w:rsidRDefault="006D0ECA" w:rsidP="006D0ECA">
            <w:pPr>
              <w:ind w:left="113"/>
              <w:jc w:val="center"/>
              <w:rPr>
                <w:rFonts w:ascii="Arial Narrow" w:eastAsia="Arial" w:hAnsi="Arial Narrow"/>
                <w:b/>
                <w:sz w:val="16"/>
                <w:szCs w:val="22"/>
                <w:lang w:val="es-419"/>
              </w:rPr>
            </w:pPr>
            <w:r w:rsidRPr="006D0ECA">
              <w:rPr>
                <w:rFonts w:ascii="Arial Narrow" w:eastAsia="Arial" w:hAnsi="Arial Narrow"/>
                <w:b/>
                <w:sz w:val="16"/>
                <w:szCs w:val="22"/>
                <w:lang w:val="es-419"/>
              </w:rPr>
              <w:t>Unión de Madrid</w:t>
            </w:r>
          </w:p>
        </w:tc>
        <w:tc>
          <w:tcPr>
            <w:tcW w:w="1517" w:type="dxa"/>
            <w:tcBorders>
              <w:top w:val="nil"/>
              <w:left w:val="nil"/>
              <w:bottom w:val="nil"/>
              <w:right w:val="single" w:sz="4" w:space="0" w:color="BFBFBF"/>
            </w:tcBorders>
            <w:shd w:val="clear" w:color="000000" w:fill="C7CFD8"/>
            <w:noWrap/>
            <w:hideMark/>
          </w:tcPr>
          <w:p w:rsidR="006D0ECA" w:rsidRPr="006D0ECA" w:rsidRDefault="006D0ECA" w:rsidP="006D0ECA">
            <w:pPr>
              <w:ind w:left="113"/>
              <w:jc w:val="center"/>
              <w:rPr>
                <w:rFonts w:ascii="Arial Narrow" w:eastAsia="Arial" w:hAnsi="Arial Narrow"/>
                <w:b/>
                <w:sz w:val="16"/>
                <w:szCs w:val="22"/>
                <w:lang w:val="es-419"/>
              </w:rPr>
            </w:pPr>
            <w:r w:rsidRPr="006D0ECA">
              <w:rPr>
                <w:rFonts w:ascii="Arial Narrow" w:eastAsia="Arial" w:hAnsi="Arial Narrow"/>
                <w:b/>
                <w:sz w:val="16"/>
                <w:szCs w:val="22"/>
                <w:lang w:val="es-419"/>
              </w:rPr>
              <w:t>Unión de La Haya</w:t>
            </w:r>
          </w:p>
        </w:tc>
        <w:tc>
          <w:tcPr>
            <w:tcW w:w="1276" w:type="dxa"/>
            <w:tcBorders>
              <w:top w:val="nil"/>
              <w:left w:val="nil"/>
              <w:bottom w:val="nil"/>
              <w:right w:val="single" w:sz="4" w:space="0" w:color="BFBFBF"/>
            </w:tcBorders>
            <w:shd w:val="clear" w:color="000000" w:fill="C7CFD8"/>
            <w:noWrap/>
            <w:hideMark/>
          </w:tcPr>
          <w:p w:rsidR="006D0ECA" w:rsidRPr="006D0ECA" w:rsidRDefault="006D0ECA" w:rsidP="006D0ECA">
            <w:pPr>
              <w:ind w:left="113"/>
              <w:jc w:val="center"/>
              <w:rPr>
                <w:rFonts w:ascii="Arial Narrow" w:eastAsia="Arial" w:hAnsi="Arial Narrow"/>
                <w:b/>
                <w:sz w:val="16"/>
                <w:szCs w:val="22"/>
                <w:lang w:val="es-419"/>
              </w:rPr>
            </w:pPr>
            <w:r w:rsidRPr="006D0ECA">
              <w:rPr>
                <w:rFonts w:ascii="Arial Narrow" w:eastAsia="Arial" w:hAnsi="Arial Narrow"/>
                <w:b/>
                <w:sz w:val="16"/>
                <w:szCs w:val="22"/>
                <w:lang w:val="es-419"/>
              </w:rPr>
              <w:t>Unión de Lisboa</w:t>
            </w:r>
          </w:p>
        </w:tc>
        <w:tc>
          <w:tcPr>
            <w:tcW w:w="1155" w:type="dxa"/>
            <w:tcBorders>
              <w:top w:val="nil"/>
              <w:left w:val="nil"/>
              <w:bottom w:val="nil"/>
              <w:right w:val="nil"/>
            </w:tcBorders>
            <w:shd w:val="clear" w:color="000000" w:fill="C7CFD8"/>
            <w:hideMark/>
          </w:tcPr>
          <w:p w:rsidR="006D0ECA" w:rsidRPr="006D0ECA" w:rsidRDefault="006D0ECA" w:rsidP="006D0ECA">
            <w:pPr>
              <w:jc w:val="center"/>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Total</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Derecho de patentes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4</w:t>
            </w:r>
            <w:r>
              <w:rPr>
                <w:rFonts w:ascii="Arial Narrow" w:hAnsi="Arial Narrow" w:cs="Times New Roman"/>
                <w:sz w:val="16"/>
                <w:szCs w:val="16"/>
                <w:lang w:val="fr-CH" w:eastAsia="fr-CH"/>
              </w:rPr>
              <w:t>13.140</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5</w:t>
            </w:r>
            <w:r>
              <w:rPr>
                <w:rFonts w:ascii="Arial Narrow" w:hAnsi="Arial Narrow" w:cs="Times New Roman"/>
                <w:sz w:val="16"/>
                <w:szCs w:val="16"/>
                <w:lang w:val="fr-CH" w:eastAsia="fr-CH"/>
              </w:rPr>
              <w:t>.587.398</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176.362</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6.176.900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2</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Marcas, diseños industriales e indicaciones geográficas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en-US" w:eastAsia="fr-CH"/>
              </w:rPr>
              <w:t xml:space="preserve">        </w:t>
            </w:r>
            <w:r w:rsidRPr="00D350B5">
              <w:rPr>
                <w:rFonts w:ascii="Arial Narrow" w:hAnsi="Arial Narrow" w:cs="Times New Roman"/>
                <w:sz w:val="16"/>
                <w:szCs w:val="16"/>
                <w:lang w:val="fr-CH" w:eastAsia="fr-CH"/>
              </w:rPr>
              <w:t>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0</w:t>
            </w:r>
            <w:r>
              <w:rPr>
                <w:rFonts w:ascii="Arial Narrow" w:hAnsi="Arial Narrow" w:cs="Times New Roman"/>
                <w:sz w:val="16"/>
                <w:szCs w:val="16"/>
                <w:lang w:val="fr-CH" w:eastAsia="fr-CH"/>
              </w:rPr>
              <w:t>83.600</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3</w:t>
            </w:r>
            <w:r>
              <w:rPr>
                <w:rFonts w:ascii="Arial Narrow" w:hAnsi="Arial Narrow" w:cs="Times New Roman"/>
                <w:sz w:val="16"/>
                <w:szCs w:val="16"/>
                <w:lang w:val="fr-CH" w:eastAsia="fr-CH"/>
              </w:rPr>
              <w:t>.521.700</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812.700</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5</w:t>
            </w:r>
            <w:r>
              <w:rPr>
                <w:rFonts w:ascii="Arial Narrow" w:hAnsi="Arial Narrow" w:cs="Times New Roman"/>
                <w:sz w:val="16"/>
                <w:szCs w:val="16"/>
                <w:lang w:val="fr-CH" w:eastAsia="fr-CH"/>
              </w:rPr>
              <w:t>.418.000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3</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Derecho de autor y derechos conexos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3.997.306</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3.005.973</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28</w:t>
            </w:r>
            <w:r>
              <w:rPr>
                <w:rFonts w:ascii="Arial Narrow" w:hAnsi="Arial Narrow" w:cs="Times New Roman"/>
                <w:sz w:val="16"/>
                <w:szCs w:val="16"/>
                <w:lang w:val="fr-CH" w:eastAsia="fr-CH"/>
              </w:rPr>
              <w:t>3.627</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7.286.906</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4</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Conocimientos tradicionales, expresiones culturales tradicionales y recursos genéticos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en-US" w:eastAsia="fr-CH"/>
              </w:rPr>
              <w:t xml:space="preserve">           </w:t>
            </w:r>
            <w:r w:rsidRPr="00D350B5">
              <w:rPr>
                <w:rFonts w:ascii="Arial Narrow" w:hAnsi="Arial Narrow" w:cs="Times New Roman"/>
                <w:sz w:val="16"/>
                <w:szCs w:val="16"/>
                <w:lang w:val="fr-CH" w:eastAsia="fr-CH"/>
              </w:rPr>
              <w:t>7</w:t>
            </w:r>
            <w:r>
              <w:rPr>
                <w:rFonts w:ascii="Arial Narrow" w:hAnsi="Arial Narrow" w:cs="Times New Roman"/>
                <w:sz w:val="16"/>
                <w:szCs w:val="16"/>
                <w:lang w:val="fr-CH" w:eastAsia="fr-CH"/>
              </w:rPr>
              <w:t>.279.770</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155" w:type="dxa"/>
            <w:tcBorders>
              <w:top w:val="nil"/>
              <w:left w:val="nil"/>
              <w:bottom w:val="nil"/>
              <w:right w:val="nil"/>
            </w:tcBorders>
            <w:shd w:val="clear" w:color="auto" w:fill="auto"/>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7</w:t>
            </w:r>
            <w:r>
              <w:rPr>
                <w:rFonts w:ascii="Arial Narrow" w:hAnsi="Arial Narrow" w:cs="Times New Roman"/>
                <w:sz w:val="16"/>
                <w:szCs w:val="16"/>
                <w:lang w:val="fr-CH" w:eastAsia="fr-CH"/>
              </w:rPr>
              <w:t>.279.770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5</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Sistema del PCT</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22.078.589</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22.078.589</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6</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Sistema de Madrid</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6</w:t>
            </w:r>
            <w:r>
              <w:rPr>
                <w:rFonts w:ascii="Arial Narrow" w:hAnsi="Arial Narrow" w:cs="Times New Roman"/>
                <w:sz w:val="16"/>
                <w:szCs w:val="16"/>
                <w:lang w:val="fr-CH" w:eastAsia="fr-CH"/>
              </w:rPr>
              <w:t>2.172.573</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312.232</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6</w:t>
            </w:r>
            <w:r>
              <w:rPr>
                <w:rFonts w:ascii="Arial Narrow" w:hAnsi="Arial Narrow" w:cs="Times New Roman"/>
                <w:sz w:val="16"/>
                <w:szCs w:val="16"/>
                <w:lang w:val="fr-CH" w:eastAsia="fr-CH"/>
              </w:rPr>
              <w:t>6.085</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6</w:t>
            </w:r>
            <w:r>
              <w:rPr>
                <w:rFonts w:ascii="Arial Narrow" w:hAnsi="Arial Narrow" w:cs="Times New Roman"/>
                <w:sz w:val="16"/>
                <w:szCs w:val="16"/>
                <w:lang w:val="fr-CH" w:eastAsia="fr-CH"/>
              </w:rPr>
              <w:t>2.550.890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7</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Centro de Arbitraje y Mediación de la OMPI</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en-US" w:eastAsia="fr-CH"/>
              </w:rPr>
              <w:t xml:space="preserve">        </w:t>
            </w:r>
            <w:r w:rsidRPr="00D350B5">
              <w:rPr>
                <w:rFonts w:ascii="Arial Narrow" w:hAnsi="Arial Narrow" w:cs="Times New Roman"/>
                <w:sz w:val="16"/>
                <w:szCs w:val="16"/>
                <w:lang w:val="fr-CH" w:eastAsia="fr-CH"/>
              </w:rPr>
              <w:t>2</w:t>
            </w:r>
            <w:r>
              <w:rPr>
                <w:rFonts w:ascii="Arial Narrow" w:hAnsi="Arial Narrow" w:cs="Times New Roman"/>
                <w:sz w:val="16"/>
                <w:szCs w:val="16"/>
                <w:lang w:val="fr-CH" w:eastAsia="fr-CH"/>
              </w:rPr>
              <w:t>.326.281</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1</w:t>
            </w:r>
            <w:r>
              <w:rPr>
                <w:rFonts w:ascii="Arial Narrow" w:hAnsi="Arial Narrow" w:cs="Times New Roman"/>
                <w:sz w:val="16"/>
                <w:szCs w:val="16"/>
                <w:lang w:val="fr-CH" w:eastAsia="fr-CH"/>
              </w:rPr>
              <w:t>97.043</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5</w:t>
            </w:r>
            <w:r>
              <w:rPr>
                <w:rFonts w:ascii="Arial Narrow" w:hAnsi="Arial Narrow" w:cs="Times New Roman"/>
                <w:sz w:val="16"/>
                <w:szCs w:val="16"/>
                <w:lang w:val="fr-CH" w:eastAsia="fr-CH"/>
              </w:rPr>
              <w:t>.944.939</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.455.518</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12</w:t>
            </w:r>
            <w:r>
              <w:rPr>
                <w:rFonts w:ascii="Arial Narrow" w:hAnsi="Arial Narrow" w:cs="Times New Roman"/>
                <w:sz w:val="16"/>
                <w:szCs w:val="16"/>
                <w:lang w:val="fr-CH" w:eastAsia="fr-CH"/>
              </w:rPr>
              <w:t>.923.781</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8</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Coordinación de la Agenda para el Desarrollo</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3</w:t>
            </w:r>
            <w:r>
              <w:rPr>
                <w:rFonts w:ascii="Arial Narrow" w:hAnsi="Arial Narrow" w:cs="Times New Roman"/>
                <w:sz w:val="16"/>
                <w:szCs w:val="16"/>
                <w:lang w:val="fr-CH" w:eastAsia="fr-CH"/>
              </w:rPr>
              <w:t>.448.831</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3</w:t>
            </w:r>
            <w:r>
              <w:rPr>
                <w:rFonts w:ascii="Arial Narrow" w:hAnsi="Arial Narrow" w:cs="Times New Roman"/>
                <w:sz w:val="16"/>
                <w:szCs w:val="16"/>
                <w:lang w:val="fr-CH" w:eastAsia="fr-CH"/>
              </w:rPr>
              <w:t>25.413</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3</w:t>
            </w:r>
            <w:r>
              <w:rPr>
                <w:rFonts w:ascii="Arial Narrow" w:hAnsi="Arial Narrow" w:cs="Times New Roman"/>
                <w:sz w:val="16"/>
                <w:szCs w:val="16"/>
                <w:lang w:val="fr-CH" w:eastAsia="fr-CH"/>
              </w:rPr>
              <w:t>.774.244</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9</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Países africanos, árabes, de América Latina y el Caribe, de Asia y el Pacífico, y países menos adelantados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en-US" w:eastAsia="fr-CH"/>
              </w:rPr>
              <w:t xml:space="preserve">                </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5.499.754</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3</w:t>
            </w:r>
            <w:r>
              <w:rPr>
                <w:rFonts w:ascii="Arial Narrow" w:hAnsi="Arial Narrow" w:cs="Times New Roman"/>
                <w:sz w:val="16"/>
                <w:szCs w:val="16"/>
                <w:lang w:val="fr-CH" w:eastAsia="fr-CH"/>
              </w:rPr>
              <w:t>.310.333</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682.267</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69.590</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9.561.944</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10</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Países con economías en transición y países desarrollados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7.066.455</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3</w:t>
            </w:r>
            <w:r>
              <w:rPr>
                <w:rFonts w:ascii="Arial Narrow" w:hAnsi="Arial Narrow" w:cs="Times New Roman"/>
                <w:sz w:val="16"/>
                <w:szCs w:val="16"/>
                <w:lang w:val="fr-CH" w:eastAsia="fr-CH"/>
              </w:rPr>
              <w:t>37.360</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6</w:t>
            </w:r>
            <w:r>
              <w:rPr>
                <w:rFonts w:ascii="Arial Narrow" w:hAnsi="Arial Narrow" w:cs="Times New Roman"/>
                <w:sz w:val="16"/>
                <w:szCs w:val="16"/>
                <w:lang w:val="fr-CH" w:eastAsia="fr-CH"/>
              </w:rPr>
              <w:t>07.165</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10.000</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9.020.980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11</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Academia de la OMPI</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2.246.363</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1</w:t>
            </w:r>
            <w:r>
              <w:rPr>
                <w:rFonts w:ascii="Arial Narrow" w:hAnsi="Arial Narrow" w:cs="Times New Roman"/>
                <w:sz w:val="16"/>
                <w:szCs w:val="16"/>
                <w:lang w:val="fr-CH" w:eastAsia="fr-CH"/>
              </w:rPr>
              <w:t>55.499</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13</w:t>
            </w:r>
            <w:r>
              <w:rPr>
                <w:rFonts w:ascii="Arial Narrow" w:hAnsi="Arial Narrow" w:cs="Times New Roman"/>
                <w:sz w:val="16"/>
                <w:szCs w:val="16"/>
                <w:lang w:val="fr-CH" w:eastAsia="fr-CH"/>
              </w:rPr>
              <w:t>.401.862</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12</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Clasificaciones internacionales y normas técnicas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6</w:t>
            </w:r>
            <w:r>
              <w:rPr>
                <w:rFonts w:ascii="Arial Narrow" w:hAnsi="Arial Narrow" w:cs="Times New Roman"/>
                <w:sz w:val="16"/>
                <w:szCs w:val="16"/>
                <w:lang w:val="fr-CH" w:eastAsia="fr-CH"/>
              </w:rPr>
              <w:t>61.070</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5.141.658</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4</w:t>
            </w:r>
            <w:r>
              <w:rPr>
                <w:rFonts w:ascii="Arial Narrow" w:hAnsi="Arial Narrow" w:cs="Times New Roman"/>
                <w:sz w:val="16"/>
                <w:szCs w:val="16"/>
                <w:lang w:val="fr-CH" w:eastAsia="fr-CH"/>
              </w:rPr>
              <w:t>69.045</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7</w:t>
            </w:r>
            <w:r>
              <w:rPr>
                <w:rFonts w:ascii="Arial Narrow" w:hAnsi="Arial Narrow" w:cs="Times New Roman"/>
                <w:sz w:val="16"/>
                <w:szCs w:val="16"/>
                <w:lang w:val="fr-CH" w:eastAsia="fr-CH"/>
              </w:rPr>
              <w:t>3.452</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7</w:t>
            </w:r>
            <w:r>
              <w:rPr>
                <w:rFonts w:ascii="Arial Narrow" w:hAnsi="Arial Narrow" w:cs="Times New Roman"/>
                <w:sz w:val="16"/>
                <w:szCs w:val="16"/>
                <w:lang w:val="fr-CH" w:eastAsia="fr-CH"/>
              </w:rPr>
              <w:t>.345.226</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13</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Bases mundiales de datos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7.115.278</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3.039.723</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814.249</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10</w:t>
            </w:r>
            <w:r>
              <w:rPr>
                <w:rFonts w:ascii="Arial Narrow" w:hAnsi="Arial Narrow" w:cs="Times New Roman"/>
                <w:sz w:val="16"/>
                <w:szCs w:val="16"/>
                <w:lang w:val="fr-CH" w:eastAsia="fr-CH"/>
              </w:rPr>
              <w:t>.969.250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14</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Servicios de acceso a la información y a los conocimientos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en-US" w:eastAsia="fr-CH"/>
              </w:rPr>
              <w:t xml:space="preserve">              </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6.338.117</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2</w:t>
            </w:r>
            <w:r>
              <w:rPr>
                <w:rFonts w:ascii="Arial Narrow" w:hAnsi="Arial Narrow" w:cs="Times New Roman"/>
                <w:sz w:val="16"/>
                <w:szCs w:val="16"/>
                <w:lang w:val="fr-CH" w:eastAsia="fr-CH"/>
              </w:rPr>
              <w:t>87.287</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36.968</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7</w:t>
            </w:r>
            <w:r>
              <w:rPr>
                <w:rFonts w:ascii="Arial Narrow" w:hAnsi="Arial Narrow" w:cs="Times New Roman"/>
                <w:sz w:val="16"/>
                <w:szCs w:val="16"/>
                <w:lang w:val="fr-CH" w:eastAsia="fr-CH"/>
              </w:rPr>
              <w:t>.862.372</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15</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Soluciones operativas para las Oficinas de PI</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en-US" w:eastAsia="fr-CH"/>
              </w:rPr>
              <w:t xml:space="preserve">             </w:t>
            </w:r>
            <w:r>
              <w:rPr>
                <w:rFonts w:ascii="Arial Narrow" w:hAnsi="Arial Narrow" w:cs="Times New Roman"/>
                <w:sz w:val="16"/>
                <w:szCs w:val="16"/>
                <w:lang w:val="en-US" w:eastAsia="fr-CH"/>
              </w:rPr>
              <w:t>-</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13</w:t>
            </w:r>
            <w:r>
              <w:rPr>
                <w:rFonts w:ascii="Arial Narrow" w:hAnsi="Arial Narrow" w:cs="Times New Roman"/>
                <w:sz w:val="16"/>
                <w:szCs w:val="16"/>
                <w:lang w:val="fr-CH" w:eastAsia="fr-CH"/>
              </w:rPr>
              <w:t>.427.550</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2</w:t>
            </w:r>
            <w:r>
              <w:rPr>
                <w:rFonts w:ascii="Arial Narrow" w:hAnsi="Arial Narrow" w:cs="Times New Roman"/>
                <w:sz w:val="16"/>
                <w:szCs w:val="16"/>
                <w:lang w:val="fr-CH" w:eastAsia="fr-CH"/>
              </w:rPr>
              <w:t>66.950</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14</w:t>
            </w:r>
            <w:r>
              <w:rPr>
                <w:rFonts w:ascii="Arial Narrow" w:hAnsi="Arial Narrow" w:cs="Times New Roman"/>
                <w:sz w:val="16"/>
                <w:szCs w:val="16"/>
                <w:lang w:val="fr-CH" w:eastAsia="fr-CH"/>
              </w:rPr>
              <w:t>.694.500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16</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Economía y estadística</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7.006.139</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6</w:t>
            </w:r>
            <w:r>
              <w:rPr>
                <w:rFonts w:ascii="Arial Narrow" w:hAnsi="Arial Narrow" w:cs="Times New Roman"/>
                <w:sz w:val="16"/>
                <w:szCs w:val="16"/>
                <w:lang w:val="fr-CH" w:eastAsia="fr-CH"/>
              </w:rPr>
              <w:t>61.061</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7</w:t>
            </w:r>
            <w:r>
              <w:rPr>
                <w:rFonts w:ascii="Arial Narrow" w:hAnsi="Arial Narrow" w:cs="Times New Roman"/>
                <w:sz w:val="16"/>
                <w:szCs w:val="16"/>
                <w:lang w:val="fr-CH" w:eastAsia="fr-CH"/>
              </w:rPr>
              <w:t>.667.200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17</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Fomentar el respeto por la PI</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4</w:t>
            </w:r>
            <w:r>
              <w:rPr>
                <w:rFonts w:ascii="Arial Narrow" w:hAnsi="Arial Narrow" w:cs="Times New Roman"/>
                <w:sz w:val="16"/>
                <w:szCs w:val="16"/>
                <w:lang w:val="fr-CH" w:eastAsia="fr-CH"/>
              </w:rPr>
              <w:t>.369.224</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4</w:t>
            </w:r>
            <w:r>
              <w:rPr>
                <w:rFonts w:ascii="Arial Narrow" w:hAnsi="Arial Narrow" w:cs="Times New Roman"/>
                <w:sz w:val="16"/>
                <w:szCs w:val="16"/>
                <w:lang w:val="fr-CH" w:eastAsia="fr-CH"/>
              </w:rPr>
              <w:t>12.256</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4</w:t>
            </w:r>
            <w:r>
              <w:rPr>
                <w:rFonts w:ascii="Arial Narrow" w:hAnsi="Arial Narrow" w:cs="Times New Roman"/>
                <w:sz w:val="16"/>
                <w:szCs w:val="16"/>
                <w:lang w:val="fr-CH" w:eastAsia="fr-CH"/>
              </w:rPr>
              <w:t>.781.480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18</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La PI y los desafíos mundiales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4</w:t>
            </w:r>
            <w:r>
              <w:rPr>
                <w:rFonts w:ascii="Arial Narrow" w:hAnsi="Arial Narrow" w:cs="Times New Roman"/>
                <w:sz w:val="16"/>
                <w:szCs w:val="16"/>
                <w:lang w:val="fr-CH" w:eastAsia="fr-CH"/>
              </w:rPr>
              <w:t>.576.120</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4</w:t>
            </w:r>
            <w:r>
              <w:rPr>
                <w:rFonts w:ascii="Arial Narrow" w:hAnsi="Arial Narrow" w:cs="Times New Roman"/>
                <w:sz w:val="16"/>
                <w:szCs w:val="16"/>
                <w:lang w:val="fr-CH" w:eastAsia="fr-CH"/>
              </w:rPr>
              <w:t>31.778</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5.007.898</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19</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Comunicaciones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5.382.155</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4</w:t>
            </w:r>
            <w:r>
              <w:rPr>
                <w:rFonts w:ascii="Arial Narrow" w:hAnsi="Arial Narrow" w:cs="Times New Roman"/>
                <w:sz w:val="16"/>
                <w:szCs w:val="16"/>
                <w:lang w:val="fr-CH" w:eastAsia="fr-CH"/>
              </w:rPr>
              <w:t>51.375</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16</w:t>
            </w:r>
            <w:r>
              <w:rPr>
                <w:rFonts w:ascii="Arial Narrow" w:hAnsi="Arial Narrow" w:cs="Times New Roman"/>
                <w:sz w:val="16"/>
                <w:szCs w:val="16"/>
                <w:lang w:val="fr-CH" w:eastAsia="fr-CH"/>
              </w:rPr>
              <w:t>.833.530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20</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Relaciones exteriores</w:t>
            </w:r>
            <w:r>
              <w:rPr>
                <w:rFonts w:ascii="Arial Narrow" w:eastAsia="Arial" w:hAnsi="Arial Narrow"/>
                <w:sz w:val="16"/>
                <w:szCs w:val="22"/>
                <w:lang w:val="es-419"/>
              </w:rPr>
              <w:t>.</w:t>
            </w:r>
            <w:r w:rsidRPr="006D0ECA">
              <w:rPr>
                <w:rFonts w:ascii="Arial Narrow" w:eastAsia="Arial" w:hAnsi="Arial Narrow"/>
                <w:sz w:val="16"/>
                <w:szCs w:val="22"/>
                <w:lang w:val="es-419"/>
              </w:rPr>
              <w:t xml:space="preserve"> alianzas y oficinas en el exterior</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E07857">
              <w:rPr>
                <w:rFonts w:ascii="Arial Narrow" w:hAnsi="Arial Narrow" w:cs="Times New Roman"/>
                <w:sz w:val="16"/>
                <w:szCs w:val="16"/>
                <w:lang w:val="es-419" w:eastAsia="fr-CH"/>
              </w:rPr>
              <w:t xml:space="preserve">            </w:t>
            </w:r>
            <w:r>
              <w:rPr>
                <w:rFonts w:ascii="Arial Narrow" w:hAnsi="Arial Narrow" w:cs="Times New Roman"/>
                <w:sz w:val="16"/>
                <w:szCs w:val="16"/>
                <w:lang w:val="en-US" w:eastAsia="fr-CH"/>
              </w:rPr>
              <w:t>-</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12</w:t>
            </w:r>
            <w:r>
              <w:rPr>
                <w:rFonts w:ascii="Arial Narrow" w:hAnsi="Arial Narrow" w:cs="Times New Roman"/>
                <w:sz w:val="16"/>
                <w:szCs w:val="16"/>
                <w:lang w:val="fr-CH" w:eastAsia="fr-CH"/>
              </w:rPr>
              <w:t>.865.498</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7</w:t>
            </w:r>
            <w:r>
              <w:rPr>
                <w:rFonts w:ascii="Arial Narrow" w:hAnsi="Arial Narrow" w:cs="Times New Roman"/>
                <w:sz w:val="16"/>
                <w:szCs w:val="16"/>
                <w:lang w:val="fr-CH" w:eastAsia="fr-CH"/>
              </w:rPr>
              <w:t>21.001</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691.605</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25.000</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5.303.104</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21</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Gestión ejecutiva</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.316.263</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8.286.200</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6.073.972</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1</w:t>
            </w:r>
            <w:r>
              <w:rPr>
                <w:rFonts w:ascii="Arial Narrow" w:hAnsi="Arial Narrow" w:cs="Times New Roman"/>
                <w:sz w:val="16"/>
                <w:szCs w:val="16"/>
                <w:lang w:val="fr-CH" w:eastAsia="fr-CH"/>
              </w:rPr>
              <w:t>50.991</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8</w:t>
            </w:r>
            <w:r>
              <w:rPr>
                <w:rFonts w:ascii="Arial Narrow" w:hAnsi="Arial Narrow" w:cs="Times New Roman"/>
                <w:sz w:val="16"/>
                <w:szCs w:val="16"/>
                <w:lang w:val="fr-CH" w:eastAsia="fr-CH"/>
              </w:rPr>
              <w:t>7.377</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26</w:t>
            </w:r>
            <w:r>
              <w:rPr>
                <w:rFonts w:ascii="Arial Narrow" w:hAnsi="Arial Narrow" w:cs="Times New Roman"/>
                <w:sz w:val="16"/>
                <w:szCs w:val="16"/>
                <w:lang w:val="fr-CH" w:eastAsia="fr-CH"/>
              </w:rPr>
              <w:t>.914.802</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22</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Gestión de programas y recursos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.817.678</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6.012.208</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10</w:t>
            </w:r>
            <w:r>
              <w:rPr>
                <w:rFonts w:ascii="Arial Narrow" w:hAnsi="Arial Narrow" w:cs="Times New Roman"/>
                <w:sz w:val="16"/>
                <w:szCs w:val="16"/>
                <w:lang w:val="fr-CH" w:eastAsia="fr-CH"/>
              </w:rPr>
              <w:t>.699.543</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9</w:t>
            </w:r>
            <w:r>
              <w:rPr>
                <w:rFonts w:ascii="Arial Narrow" w:hAnsi="Arial Narrow" w:cs="Times New Roman"/>
                <w:sz w:val="16"/>
                <w:szCs w:val="16"/>
                <w:lang w:val="fr-CH" w:eastAsia="fr-CH"/>
              </w:rPr>
              <w:t>66.878</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20.662</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40.616.968</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23</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Gestión y desarrollo de los recursos humanos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en-US" w:eastAsia="fr-CH"/>
              </w:rPr>
              <w:t xml:space="preserve">        </w:t>
            </w:r>
            <w:r w:rsidRPr="00D350B5">
              <w:rPr>
                <w:rFonts w:ascii="Arial Narrow" w:hAnsi="Arial Narrow" w:cs="Times New Roman"/>
                <w:sz w:val="16"/>
                <w:szCs w:val="16"/>
                <w:lang w:val="fr-CH" w:eastAsia="fr-CH"/>
              </w:rPr>
              <w:t>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3</w:t>
            </w:r>
            <w:r>
              <w:rPr>
                <w:rFonts w:ascii="Arial Narrow" w:hAnsi="Arial Narrow" w:cs="Times New Roman"/>
                <w:sz w:val="16"/>
                <w:szCs w:val="16"/>
                <w:lang w:val="fr-CH" w:eastAsia="fr-CH"/>
              </w:rPr>
              <w:t>13.722</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18.250.891</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6</w:t>
            </w:r>
            <w:r>
              <w:rPr>
                <w:rFonts w:ascii="Arial Narrow" w:hAnsi="Arial Narrow" w:cs="Times New Roman"/>
                <w:sz w:val="16"/>
                <w:szCs w:val="16"/>
                <w:lang w:val="fr-CH" w:eastAsia="fr-CH"/>
              </w:rPr>
              <w:t>.062.244</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.148.768</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87.208</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6.862.833</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24</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Servicios generales de apoyo</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9</w:t>
            </w:r>
            <w:r>
              <w:rPr>
                <w:rFonts w:ascii="Arial Narrow" w:hAnsi="Arial Narrow" w:cs="Times New Roman"/>
                <w:sz w:val="16"/>
                <w:szCs w:val="16"/>
                <w:lang w:val="fr-CH" w:eastAsia="fr-CH"/>
              </w:rPr>
              <w:t>66.296</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7.316.788</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9.073.586</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7</w:t>
            </w:r>
            <w:r>
              <w:rPr>
                <w:rFonts w:ascii="Arial Narrow" w:hAnsi="Arial Narrow" w:cs="Times New Roman"/>
                <w:sz w:val="16"/>
                <w:szCs w:val="16"/>
                <w:lang w:val="fr-CH" w:eastAsia="fr-CH"/>
              </w:rPr>
              <w:t>19.404</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30.527</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40.206.601</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25</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Tecnologías de la información y de las comunicaciones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3</w:t>
            </w:r>
            <w:r>
              <w:rPr>
                <w:rFonts w:ascii="Arial Narrow" w:hAnsi="Arial Narrow" w:cs="Times New Roman"/>
                <w:sz w:val="16"/>
                <w:szCs w:val="16"/>
                <w:lang w:val="fr-CH" w:eastAsia="fr-CH"/>
              </w:rPr>
              <w:t>16.054</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3</w:t>
            </w:r>
            <w:r>
              <w:rPr>
                <w:rFonts w:ascii="Arial Narrow" w:hAnsi="Arial Narrow" w:cs="Times New Roman"/>
                <w:sz w:val="16"/>
                <w:szCs w:val="16"/>
                <w:lang w:val="fr-CH" w:eastAsia="fr-CH"/>
              </w:rPr>
              <w:t>4.099.071</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11</w:t>
            </w:r>
            <w:r>
              <w:rPr>
                <w:rFonts w:ascii="Arial Narrow" w:hAnsi="Arial Narrow" w:cs="Times New Roman"/>
                <w:sz w:val="16"/>
                <w:szCs w:val="16"/>
                <w:lang w:val="fr-CH" w:eastAsia="fr-CH"/>
              </w:rPr>
              <w:t>.614.707</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2</w:t>
            </w:r>
            <w:r>
              <w:rPr>
                <w:rFonts w:ascii="Arial Narrow" w:hAnsi="Arial Narrow" w:cs="Times New Roman"/>
                <w:sz w:val="16"/>
                <w:szCs w:val="16"/>
                <w:lang w:val="fr-CH" w:eastAsia="fr-CH"/>
              </w:rPr>
              <w:t>84.655</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15</w:t>
            </w:r>
            <w:r>
              <w:rPr>
                <w:rFonts w:ascii="Arial Narrow" w:hAnsi="Arial Narrow" w:cs="Times New Roman"/>
                <w:sz w:val="16"/>
                <w:szCs w:val="16"/>
                <w:lang w:val="fr-CH" w:eastAsia="fr-CH"/>
              </w:rPr>
              <w:t>3.745</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50.468.231</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26</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Supervisión interna</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53.885</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3</w:t>
            </w:r>
            <w:r>
              <w:rPr>
                <w:rFonts w:ascii="Arial Narrow" w:hAnsi="Arial Narrow" w:cs="Times New Roman"/>
                <w:sz w:val="16"/>
                <w:szCs w:val="16"/>
                <w:lang w:val="fr-CH" w:eastAsia="fr-CH"/>
              </w:rPr>
              <w:t>.527.106</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1</w:t>
            </w:r>
            <w:r>
              <w:rPr>
                <w:rFonts w:ascii="Arial Narrow" w:hAnsi="Arial Narrow" w:cs="Times New Roman"/>
                <w:sz w:val="16"/>
                <w:szCs w:val="16"/>
                <w:lang w:val="fr-CH" w:eastAsia="fr-CH"/>
              </w:rPr>
              <w:t>71.569</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22.007</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16</w:t>
            </w:r>
            <w:r>
              <w:rPr>
                <w:rFonts w:ascii="Arial Narrow" w:hAnsi="Arial Narrow" w:cs="Times New Roman"/>
                <w:sz w:val="16"/>
                <w:szCs w:val="16"/>
                <w:lang w:val="fr-CH" w:eastAsia="fr-CH"/>
              </w:rPr>
              <w:t>.853</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5.191.421</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27</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Servicios de conferencias y lingüísticos</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.833.163</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w:t>
            </w:r>
            <w:r>
              <w:rPr>
                <w:rFonts w:ascii="Arial Narrow" w:hAnsi="Arial Narrow" w:cs="Times New Roman"/>
                <w:sz w:val="16"/>
                <w:szCs w:val="16"/>
                <w:lang w:val="fr-CH" w:eastAsia="fr-CH"/>
              </w:rPr>
              <w:t>5.467.229</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8</w:t>
            </w:r>
            <w:r>
              <w:rPr>
                <w:rFonts w:ascii="Arial Narrow" w:hAnsi="Arial Narrow" w:cs="Times New Roman"/>
                <w:sz w:val="16"/>
                <w:szCs w:val="16"/>
                <w:lang w:val="fr-CH" w:eastAsia="fr-CH"/>
              </w:rPr>
              <w:t>.459.233</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.602.987</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21.690</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3</w:t>
            </w:r>
            <w:r>
              <w:rPr>
                <w:rFonts w:ascii="Arial Narrow" w:hAnsi="Arial Narrow" w:cs="Times New Roman"/>
                <w:sz w:val="16"/>
                <w:szCs w:val="16"/>
                <w:lang w:val="fr-CH" w:eastAsia="fr-CH"/>
              </w:rPr>
              <w:t>7.484.302</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28</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Aseguramiento de la información</w:t>
            </w:r>
            <w:r>
              <w:rPr>
                <w:rFonts w:ascii="Arial Narrow" w:eastAsia="Arial" w:hAnsi="Arial Narrow"/>
                <w:sz w:val="16"/>
                <w:szCs w:val="22"/>
                <w:lang w:val="es-419"/>
              </w:rPr>
              <w:t>.</w:t>
            </w:r>
            <w:r w:rsidRPr="006D0ECA">
              <w:rPr>
                <w:rFonts w:ascii="Arial Narrow" w:eastAsia="Arial" w:hAnsi="Arial Narrow"/>
                <w:sz w:val="16"/>
                <w:szCs w:val="22"/>
                <w:lang w:val="es-419"/>
              </w:rPr>
              <w:t xml:space="preserve"> seguridad y vigilancia</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E07857">
              <w:rPr>
                <w:rFonts w:ascii="Arial Narrow" w:hAnsi="Arial Narrow" w:cs="Times New Roman"/>
                <w:sz w:val="16"/>
                <w:szCs w:val="16"/>
                <w:lang w:val="es-419" w:eastAsia="fr-CH"/>
              </w:rPr>
              <w:t xml:space="preserve">        </w:t>
            </w:r>
            <w:r w:rsidRPr="00D350B5">
              <w:rPr>
                <w:rFonts w:ascii="Arial Narrow" w:hAnsi="Arial Narrow" w:cs="Times New Roman"/>
                <w:sz w:val="16"/>
                <w:szCs w:val="16"/>
                <w:lang w:val="fr-CH" w:eastAsia="fr-CH"/>
              </w:rPr>
              <w:t>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2</w:t>
            </w:r>
            <w:r>
              <w:rPr>
                <w:rFonts w:ascii="Arial Narrow" w:hAnsi="Arial Narrow" w:cs="Times New Roman"/>
                <w:sz w:val="16"/>
                <w:szCs w:val="16"/>
                <w:lang w:val="fr-CH" w:eastAsia="fr-CH"/>
              </w:rPr>
              <w:t>13.330</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16</w:t>
            </w:r>
            <w:r>
              <w:rPr>
                <w:rFonts w:ascii="Arial Narrow" w:hAnsi="Arial Narrow" w:cs="Times New Roman"/>
                <w:sz w:val="16"/>
                <w:szCs w:val="16"/>
                <w:lang w:val="fr-CH" w:eastAsia="fr-CH"/>
              </w:rPr>
              <w:t>.856.201</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5</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5</w:t>
            </w:r>
            <w:r>
              <w:rPr>
                <w:rFonts w:ascii="Arial Narrow" w:hAnsi="Arial Narrow" w:cs="Times New Roman"/>
                <w:sz w:val="16"/>
                <w:szCs w:val="16"/>
                <w:lang w:val="fr-CH" w:eastAsia="fr-CH"/>
              </w:rPr>
              <w:t>98.981</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0</w:t>
            </w:r>
            <w:r>
              <w:rPr>
                <w:rFonts w:ascii="Arial Narrow" w:hAnsi="Arial Narrow" w:cs="Times New Roman"/>
                <w:sz w:val="16"/>
                <w:szCs w:val="16"/>
                <w:lang w:val="fr-CH" w:eastAsia="fr-CH"/>
              </w:rPr>
              <w:t>60.982</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80.544</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24</w:t>
            </w:r>
            <w:r>
              <w:rPr>
                <w:rFonts w:ascii="Arial Narrow" w:hAnsi="Arial Narrow" w:cs="Times New Roman"/>
                <w:sz w:val="16"/>
                <w:szCs w:val="16"/>
                <w:lang w:val="fr-CH" w:eastAsia="fr-CH"/>
              </w:rPr>
              <w:t>.810.038</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30</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Apoyo a las pymes y a la capacidad empresarial</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5</w:t>
            </w:r>
            <w:r>
              <w:rPr>
                <w:rFonts w:ascii="Arial Narrow" w:hAnsi="Arial Narrow" w:cs="Times New Roman"/>
                <w:sz w:val="16"/>
                <w:szCs w:val="16"/>
                <w:lang w:val="fr-CH" w:eastAsia="fr-CH"/>
              </w:rPr>
              <w:t>.999.712</w:t>
            </w:r>
            <w:r w:rsidRPr="00D350B5">
              <w:rPr>
                <w:rFonts w:ascii="Arial Narrow" w:hAnsi="Arial Narrow" w:cs="Times New Roman"/>
                <w:sz w:val="16"/>
                <w:szCs w:val="16"/>
                <w:lang w:val="fr-CH" w:eastAsia="fr-CH"/>
              </w:rPr>
              <w:t xml:space="preserve">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5</w:t>
            </w:r>
            <w:r>
              <w:rPr>
                <w:rFonts w:ascii="Arial Narrow" w:hAnsi="Arial Narrow" w:cs="Times New Roman"/>
                <w:sz w:val="16"/>
                <w:szCs w:val="16"/>
                <w:lang w:val="fr-CH" w:eastAsia="fr-CH"/>
              </w:rPr>
              <w:t>66.100</w:t>
            </w:r>
            <w:r w:rsidRPr="00D350B5">
              <w:rPr>
                <w:rFonts w:ascii="Arial Narrow" w:hAnsi="Arial Narrow" w:cs="Times New Roman"/>
                <w:sz w:val="16"/>
                <w:szCs w:val="16"/>
                <w:lang w:val="fr-CH" w:eastAsia="fr-CH"/>
              </w:rPr>
              <w:t xml:space="preserve">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w:t>
            </w: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6</w:t>
            </w:r>
            <w:r>
              <w:rPr>
                <w:rFonts w:ascii="Arial Narrow" w:hAnsi="Arial Narrow" w:cs="Times New Roman"/>
                <w:sz w:val="16"/>
                <w:szCs w:val="16"/>
                <w:lang w:val="fr-CH" w:eastAsia="fr-CH"/>
              </w:rPr>
              <w:t>.565.812</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31</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Sistema de La Haya</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3.214.300</w:t>
            </w:r>
            <w:r w:rsidRPr="00D350B5">
              <w:rPr>
                <w:rFonts w:ascii="Arial Narrow" w:hAnsi="Arial Narrow" w:cs="Times New Roman"/>
                <w:sz w:val="16"/>
                <w:szCs w:val="16"/>
                <w:lang w:val="fr-CH" w:eastAsia="fr-CH"/>
              </w:rPr>
              <w:t xml:space="preserve">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3.214.300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nil"/>
              <w:right w:val="nil"/>
            </w:tcBorders>
            <w:shd w:val="clear" w:color="auto" w:fill="auto"/>
            <w:noWrap/>
            <w:hideMark/>
          </w:tcPr>
          <w:p w:rsidR="00E07857" w:rsidRPr="006D0ECA" w:rsidRDefault="00E07857" w:rsidP="00E07857">
            <w:pPr>
              <w:jc w:val="center"/>
              <w:rPr>
                <w:rFonts w:ascii="Arial Narrow" w:hAnsi="Arial Narrow" w:cs="Times New Roman"/>
                <w:sz w:val="16"/>
                <w:szCs w:val="16"/>
                <w:lang w:val="es-419" w:eastAsia="fr-CH"/>
              </w:rPr>
            </w:pPr>
            <w:r w:rsidRPr="006D0ECA">
              <w:rPr>
                <w:rFonts w:ascii="Arial Narrow" w:hAnsi="Arial Narrow" w:cs="Times New Roman"/>
                <w:sz w:val="16"/>
                <w:szCs w:val="16"/>
                <w:lang w:val="es-419" w:eastAsia="fr-CH"/>
              </w:rPr>
              <w:t>32</w:t>
            </w:r>
          </w:p>
        </w:tc>
        <w:tc>
          <w:tcPr>
            <w:tcW w:w="5357" w:type="dxa"/>
            <w:tcBorders>
              <w:top w:val="nil"/>
              <w:left w:val="nil"/>
              <w:bottom w:val="nil"/>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Sistema de Lisboa</w:t>
            </w:r>
          </w:p>
        </w:tc>
        <w:tc>
          <w:tcPr>
            <w:tcW w:w="1194" w:type="dxa"/>
            <w:tcBorders>
              <w:top w:val="nil"/>
              <w:left w:val="nil"/>
              <w:bottom w:val="nil"/>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31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517"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   </w:t>
            </w:r>
          </w:p>
        </w:tc>
        <w:tc>
          <w:tcPr>
            <w:tcW w:w="1276" w:type="dxa"/>
            <w:tcBorders>
              <w:top w:val="nil"/>
              <w:left w:val="nil"/>
              <w:bottom w:val="nil"/>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.419.900</w:t>
            </w:r>
            <w:r w:rsidRPr="00D350B5">
              <w:rPr>
                <w:rFonts w:ascii="Arial Narrow" w:hAnsi="Arial Narrow" w:cs="Times New Roman"/>
                <w:sz w:val="16"/>
                <w:szCs w:val="16"/>
                <w:lang w:val="fr-CH" w:eastAsia="fr-CH"/>
              </w:rPr>
              <w:t xml:space="preserve"> </w:t>
            </w:r>
          </w:p>
        </w:tc>
        <w:tc>
          <w:tcPr>
            <w:tcW w:w="1155" w:type="dxa"/>
            <w:tcBorders>
              <w:top w:val="nil"/>
              <w:left w:val="nil"/>
              <w:bottom w:val="nil"/>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w:t>
            </w:r>
            <w:r>
              <w:rPr>
                <w:rFonts w:ascii="Arial Narrow" w:hAnsi="Arial Narrow" w:cs="Times New Roman"/>
                <w:sz w:val="16"/>
                <w:szCs w:val="16"/>
                <w:lang w:val="fr-CH" w:eastAsia="fr-CH"/>
              </w:rPr>
              <w:t>.419.900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nil"/>
              <w:left w:val="nil"/>
              <w:bottom w:val="single" w:sz="4" w:space="0" w:color="BFBFBF"/>
              <w:right w:val="nil"/>
            </w:tcBorders>
            <w:shd w:val="clear" w:color="auto" w:fill="auto"/>
            <w:hideMark/>
          </w:tcPr>
          <w:p w:rsidR="00E07857" w:rsidRPr="006D0ECA" w:rsidRDefault="00E07857" w:rsidP="00E07857">
            <w:pPr>
              <w:jc w:val="center"/>
              <w:rPr>
                <w:rFonts w:ascii="Arial Narrow" w:hAnsi="Arial Narrow" w:cs="Times New Roman"/>
                <w:color w:val="FFFFFF"/>
                <w:sz w:val="16"/>
                <w:szCs w:val="16"/>
                <w:lang w:val="es-419" w:eastAsia="fr-CH"/>
              </w:rPr>
            </w:pPr>
            <w:r w:rsidRPr="006D0ECA">
              <w:rPr>
                <w:rFonts w:ascii="Arial Narrow" w:hAnsi="Arial Narrow" w:cs="Times New Roman"/>
                <w:color w:val="FFFFFF"/>
                <w:sz w:val="16"/>
                <w:szCs w:val="16"/>
                <w:lang w:val="es-419" w:eastAsia="fr-CH"/>
              </w:rPr>
              <w:t>UN</w:t>
            </w:r>
          </w:p>
        </w:tc>
        <w:tc>
          <w:tcPr>
            <w:tcW w:w="5357" w:type="dxa"/>
            <w:tcBorders>
              <w:top w:val="nil"/>
              <w:left w:val="nil"/>
              <w:bottom w:val="single" w:sz="4" w:space="0" w:color="BFBFBF"/>
              <w:right w:val="nil"/>
            </w:tcBorders>
            <w:shd w:val="clear" w:color="auto" w:fill="auto"/>
            <w:hideMark/>
          </w:tcPr>
          <w:p w:rsidR="00E07857" w:rsidRPr="006D0ECA" w:rsidRDefault="00E07857" w:rsidP="00E07857">
            <w:pPr>
              <w:spacing w:after="180"/>
              <w:rPr>
                <w:rFonts w:ascii="Arial Narrow" w:eastAsia="Arial" w:hAnsi="Arial Narrow"/>
                <w:sz w:val="16"/>
                <w:szCs w:val="22"/>
                <w:lang w:val="es-419"/>
              </w:rPr>
            </w:pPr>
            <w:r w:rsidRPr="006D0ECA">
              <w:rPr>
                <w:rFonts w:ascii="Arial Narrow" w:eastAsia="Arial" w:hAnsi="Arial Narrow"/>
                <w:sz w:val="16"/>
                <w:szCs w:val="22"/>
                <w:lang w:val="es-419"/>
              </w:rPr>
              <w:t>Sin consignar</w:t>
            </w:r>
          </w:p>
        </w:tc>
        <w:tc>
          <w:tcPr>
            <w:tcW w:w="1194" w:type="dxa"/>
            <w:tcBorders>
              <w:top w:val="nil"/>
              <w:left w:val="nil"/>
              <w:bottom w:val="single" w:sz="4" w:space="0" w:color="BFBFBF"/>
              <w:right w:val="single" w:sz="4" w:space="0" w:color="BFBFBF"/>
            </w:tcBorders>
            <w:shd w:val="clear" w:color="auto" w:fill="auto"/>
            <w:noWrap/>
            <w:hideMark/>
          </w:tcPr>
          <w:p w:rsidR="00E07857" w:rsidRPr="00D350B5" w:rsidRDefault="00E07857" w:rsidP="00E07857">
            <w:pPr>
              <w:spacing w:before="60"/>
              <w:ind w:firstLineChars="100" w:firstLine="160"/>
              <w:jc w:val="right"/>
              <w:rPr>
                <w:rFonts w:ascii="Arial Narrow" w:hAnsi="Arial Narrow" w:cs="Times New Roman"/>
                <w:sz w:val="16"/>
                <w:szCs w:val="16"/>
                <w:lang w:val="fr-CH" w:eastAsia="fr-CH"/>
              </w:rPr>
            </w:pPr>
            <w:r>
              <w:rPr>
                <w:rFonts w:ascii="Arial Narrow" w:hAnsi="Arial Narrow" w:cs="Times New Roman"/>
                <w:sz w:val="16"/>
                <w:szCs w:val="16"/>
                <w:lang w:val="fr-CH" w:eastAsia="fr-CH"/>
              </w:rPr>
              <w:t xml:space="preserve">           719.263</w:t>
            </w:r>
            <w:r w:rsidRPr="00D350B5">
              <w:rPr>
                <w:rFonts w:ascii="Arial Narrow" w:hAnsi="Arial Narrow" w:cs="Times New Roman"/>
                <w:sz w:val="16"/>
                <w:szCs w:val="16"/>
                <w:lang w:val="fr-CH" w:eastAsia="fr-CH"/>
              </w:rPr>
              <w:t xml:space="preserve"> </w:t>
            </w:r>
          </w:p>
        </w:tc>
        <w:tc>
          <w:tcPr>
            <w:tcW w:w="1316" w:type="dxa"/>
            <w:tcBorders>
              <w:top w:val="nil"/>
              <w:left w:val="nil"/>
              <w:bottom w:val="single" w:sz="4" w:space="0" w:color="BFBFBF"/>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9</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9</w:t>
            </w:r>
            <w:r>
              <w:rPr>
                <w:rFonts w:ascii="Arial Narrow" w:hAnsi="Arial Narrow" w:cs="Times New Roman"/>
                <w:sz w:val="16"/>
                <w:szCs w:val="16"/>
                <w:lang w:val="fr-CH" w:eastAsia="fr-CH"/>
              </w:rPr>
              <w:t>92.362</w:t>
            </w:r>
            <w:r w:rsidRPr="00D350B5">
              <w:rPr>
                <w:rFonts w:ascii="Arial Narrow" w:hAnsi="Arial Narrow" w:cs="Times New Roman"/>
                <w:sz w:val="16"/>
                <w:szCs w:val="16"/>
                <w:lang w:val="fr-CH" w:eastAsia="fr-CH"/>
              </w:rPr>
              <w:t xml:space="preserve"> </w:t>
            </w:r>
          </w:p>
        </w:tc>
        <w:tc>
          <w:tcPr>
            <w:tcW w:w="1316" w:type="dxa"/>
            <w:tcBorders>
              <w:top w:val="nil"/>
              <w:left w:val="nil"/>
              <w:bottom w:val="single" w:sz="4" w:space="0" w:color="BFBFBF"/>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3</w:t>
            </w:r>
            <w:r>
              <w:rPr>
                <w:rFonts w:ascii="Arial Narrow" w:hAnsi="Arial Narrow" w:cs="Times New Roman"/>
                <w:sz w:val="16"/>
                <w:szCs w:val="16"/>
                <w:lang w:val="fr-CH" w:eastAsia="fr-CH"/>
              </w:rPr>
              <w:t>.</w:t>
            </w:r>
            <w:r w:rsidRPr="00D350B5">
              <w:rPr>
                <w:rFonts w:ascii="Arial Narrow" w:hAnsi="Arial Narrow" w:cs="Times New Roman"/>
                <w:sz w:val="16"/>
                <w:szCs w:val="16"/>
                <w:lang w:val="fr-CH" w:eastAsia="fr-CH"/>
              </w:rPr>
              <w:t>3</w:t>
            </w:r>
            <w:r>
              <w:rPr>
                <w:rFonts w:ascii="Arial Narrow" w:hAnsi="Arial Narrow" w:cs="Times New Roman"/>
                <w:sz w:val="16"/>
                <w:szCs w:val="16"/>
                <w:lang w:val="fr-CH" w:eastAsia="fr-CH"/>
              </w:rPr>
              <w:t>19.078</w:t>
            </w:r>
            <w:r w:rsidRPr="00D350B5">
              <w:rPr>
                <w:rFonts w:ascii="Arial Narrow" w:hAnsi="Arial Narrow" w:cs="Times New Roman"/>
                <w:sz w:val="16"/>
                <w:szCs w:val="16"/>
                <w:lang w:val="fr-CH" w:eastAsia="fr-CH"/>
              </w:rPr>
              <w:t xml:space="preserve"> </w:t>
            </w:r>
          </w:p>
        </w:tc>
        <w:tc>
          <w:tcPr>
            <w:tcW w:w="1517" w:type="dxa"/>
            <w:tcBorders>
              <w:top w:val="nil"/>
              <w:left w:val="nil"/>
              <w:bottom w:val="single" w:sz="4" w:space="0" w:color="BFBFBF"/>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6</w:t>
            </w:r>
            <w:r>
              <w:rPr>
                <w:rFonts w:ascii="Arial Narrow" w:hAnsi="Arial Narrow" w:cs="Times New Roman"/>
                <w:sz w:val="16"/>
                <w:szCs w:val="16"/>
                <w:lang w:val="fr-CH" w:eastAsia="fr-CH"/>
              </w:rPr>
              <w:t>28.951</w:t>
            </w:r>
            <w:r w:rsidRPr="00D350B5">
              <w:rPr>
                <w:rFonts w:ascii="Arial Narrow" w:hAnsi="Arial Narrow" w:cs="Times New Roman"/>
                <w:sz w:val="16"/>
                <w:szCs w:val="16"/>
                <w:lang w:val="fr-CH" w:eastAsia="fr-CH"/>
              </w:rPr>
              <w:t xml:space="preserve"> </w:t>
            </w:r>
          </w:p>
        </w:tc>
        <w:tc>
          <w:tcPr>
            <w:tcW w:w="1276" w:type="dxa"/>
            <w:tcBorders>
              <w:top w:val="nil"/>
              <w:left w:val="nil"/>
              <w:bottom w:val="single" w:sz="4" w:space="0" w:color="BFBFBF"/>
              <w:right w:val="single" w:sz="4" w:space="0" w:color="BFBFBF"/>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47</w:t>
            </w:r>
            <w:r>
              <w:rPr>
                <w:rFonts w:ascii="Arial Narrow" w:hAnsi="Arial Narrow" w:cs="Times New Roman"/>
                <w:sz w:val="16"/>
                <w:szCs w:val="16"/>
                <w:lang w:val="fr-CH" w:eastAsia="fr-CH"/>
              </w:rPr>
              <w:t>.746</w:t>
            </w:r>
            <w:r w:rsidRPr="00D350B5">
              <w:rPr>
                <w:rFonts w:ascii="Arial Narrow" w:hAnsi="Arial Narrow" w:cs="Times New Roman"/>
                <w:sz w:val="16"/>
                <w:szCs w:val="16"/>
                <w:lang w:val="fr-CH" w:eastAsia="fr-CH"/>
              </w:rPr>
              <w:t xml:space="preserve"> </w:t>
            </w:r>
          </w:p>
        </w:tc>
        <w:tc>
          <w:tcPr>
            <w:tcW w:w="1155" w:type="dxa"/>
            <w:tcBorders>
              <w:top w:val="nil"/>
              <w:left w:val="nil"/>
              <w:bottom w:val="single" w:sz="4" w:space="0" w:color="BFBFBF"/>
              <w:right w:val="nil"/>
            </w:tcBorders>
            <w:shd w:val="clear" w:color="auto" w:fill="auto"/>
            <w:noWrap/>
            <w:hideMark/>
          </w:tcPr>
          <w:p w:rsidR="00E07857" w:rsidRPr="00D350B5" w:rsidRDefault="00E07857" w:rsidP="00E07857">
            <w:pPr>
              <w:spacing w:before="60"/>
              <w:jc w:val="right"/>
              <w:rPr>
                <w:rFonts w:ascii="Arial Narrow" w:hAnsi="Arial Narrow" w:cs="Times New Roman"/>
                <w:sz w:val="16"/>
                <w:szCs w:val="16"/>
                <w:lang w:val="fr-CH" w:eastAsia="fr-CH"/>
              </w:rPr>
            </w:pPr>
            <w:r w:rsidRPr="00D350B5">
              <w:rPr>
                <w:rFonts w:ascii="Arial Narrow" w:hAnsi="Arial Narrow" w:cs="Times New Roman"/>
                <w:sz w:val="16"/>
                <w:szCs w:val="16"/>
                <w:lang w:val="fr-CH" w:eastAsia="fr-CH"/>
              </w:rPr>
              <w:t xml:space="preserve">         14</w:t>
            </w:r>
            <w:r>
              <w:rPr>
                <w:rFonts w:ascii="Arial Narrow" w:hAnsi="Arial Narrow" w:cs="Times New Roman"/>
                <w:sz w:val="16"/>
                <w:szCs w:val="16"/>
                <w:lang w:val="fr-CH" w:eastAsia="fr-CH"/>
              </w:rPr>
              <w:t>.707.400</w:t>
            </w:r>
            <w:r w:rsidRPr="00D350B5">
              <w:rPr>
                <w:rFonts w:ascii="Arial Narrow" w:hAnsi="Arial Narrow" w:cs="Times New Roman"/>
                <w:sz w:val="16"/>
                <w:szCs w:val="16"/>
                <w:lang w:val="fr-CH" w:eastAsia="fr-CH"/>
              </w:rPr>
              <w:t xml:space="preserve"> </w:t>
            </w:r>
          </w:p>
        </w:tc>
      </w:tr>
      <w:tr w:rsidR="00E07857" w:rsidRPr="006D0ECA" w:rsidTr="00E07857">
        <w:trPr>
          <w:trHeight w:hRule="exact" w:val="227"/>
        </w:trPr>
        <w:tc>
          <w:tcPr>
            <w:tcW w:w="455" w:type="dxa"/>
            <w:tcBorders>
              <w:top w:val="single" w:sz="4" w:space="0" w:color="BFBFBF"/>
              <w:left w:val="nil"/>
              <w:bottom w:val="single" w:sz="18" w:space="0" w:color="BFBFBF"/>
              <w:right w:val="nil"/>
            </w:tcBorders>
            <w:shd w:val="clear" w:color="auto" w:fill="auto"/>
            <w:hideMark/>
          </w:tcPr>
          <w:p w:rsidR="00E07857" w:rsidRPr="006D0ECA" w:rsidRDefault="00E07857" w:rsidP="00E07857">
            <w:pPr>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 </w:t>
            </w:r>
          </w:p>
        </w:tc>
        <w:tc>
          <w:tcPr>
            <w:tcW w:w="5357" w:type="dxa"/>
            <w:tcBorders>
              <w:top w:val="single" w:sz="4" w:space="0" w:color="BFBFBF"/>
              <w:left w:val="nil"/>
              <w:bottom w:val="single" w:sz="18" w:space="0" w:color="BFBFBF"/>
              <w:right w:val="nil"/>
            </w:tcBorders>
            <w:shd w:val="clear" w:color="auto" w:fill="auto"/>
            <w:hideMark/>
          </w:tcPr>
          <w:p w:rsidR="00E07857" w:rsidRPr="006D0ECA" w:rsidRDefault="00E07857" w:rsidP="00E07857">
            <w:pPr>
              <w:rPr>
                <w:rFonts w:ascii="Arial Narrow" w:hAnsi="Arial Narrow" w:cs="Times New Roman"/>
                <w:b/>
                <w:bCs/>
                <w:sz w:val="16"/>
                <w:szCs w:val="16"/>
                <w:lang w:val="es-419" w:eastAsia="fr-CH"/>
              </w:rPr>
            </w:pPr>
            <w:r w:rsidRPr="006D0ECA">
              <w:rPr>
                <w:rFonts w:ascii="Arial Narrow" w:hAnsi="Arial Narrow" w:cs="Times New Roman"/>
                <w:b/>
                <w:bCs/>
                <w:sz w:val="16"/>
                <w:szCs w:val="16"/>
                <w:lang w:val="es-419" w:eastAsia="fr-CH"/>
              </w:rPr>
              <w:t xml:space="preserve"> TOTAL </w:t>
            </w:r>
          </w:p>
        </w:tc>
        <w:tc>
          <w:tcPr>
            <w:tcW w:w="1194" w:type="dxa"/>
            <w:tcBorders>
              <w:top w:val="single" w:sz="4" w:space="0" w:color="BFBFBF"/>
              <w:left w:val="nil"/>
              <w:bottom w:val="single" w:sz="18" w:space="0" w:color="BFBFBF"/>
              <w:right w:val="single" w:sz="4" w:space="0" w:color="BFBFBF"/>
            </w:tcBorders>
            <w:shd w:val="clear" w:color="auto" w:fill="auto"/>
            <w:hideMark/>
          </w:tcPr>
          <w:p w:rsidR="00465BA1" w:rsidRDefault="00E07857" w:rsidP="00E07857">
            <w:pPr>
              <w:spacing w:before="60"/>
              <w:ind w:firstLineChars="100" w:firstLine="160"/>
              <w:jc w:val="right"/>
              <w:rPr>
                <w:rFonts w:ascii="Arial Narrow" w:hAnsi="Arial Narrow" w:cs="Times New Roman"/>
                <w:b/>
                <w:bCs/>
                <w:sz w:val="16"/>
                <w:szCs w:val="16"/>
                <w:lang w:val="fr-CH" w:eastAsia="fr-CH"/>
              </w:rPr>
            </w:pPr>
            <w:r w:rsidRPr="00D350B5">
              <w:rPr>
                <w:rFonts w:ascii="Arial Narrow" w:hAnsi="Arial Narrow" w:cs="Times New Roman"/>
                <w:b/>
                <w:bCs/>
                <w:sz w:val="16"/>
                <w:szCs w:val="16"/>
                <w:lang w:val="fr-CH" w:eastAsia="fr-CH"/>
              </w:rPr>
              <w:t xml:space="preserve">      38</w:t>
            </w:r>
            <w:r>
              <w:rPr>
                <w:rFonts w:ascii="Arial Narrow" w:hAnsi="Arial Narrow" w:cs="Times New Roman"/>
                <w:b/>
                <w:bCs/>
                <w:sz w:val="16"/>
                <w:szCs w:val="16"/>
                <w:lang w:val="fr-CH" w:eastAsia="fr-CH"/>
              </w:rPr>
              <w:t>.510.821</w:t>
            </w:r>
            <w:r w:rsidRPr="00D350B5">
              <w:rPr>
                <w:rFonts w:ascii="Arial Narrow" w:hAnsi="Arial Narrow" w:cs="Times New Roman"/>
                <w:b/>
                <w:bCs/>
                <w:sz w:val="16"/>
                <w:szCs w:val="16"/>
                <w:lang w:val="fr-CH" w:eastAsia="fr-CH"/>
              </w:rPr>
              <w:t xml:space="preserve"> </w:t>
            </w:r>
          </w:p>
          <w:p w:rsidR="00465BA1" w:rsidRPr="00465BA1" w:rsidRDefault="00465BA1" w:rsidP="00465BA1">
            <w:pPr>
              <w:rPr>
                <w:rFonts w:ascii="Arial Narrow" w:hAnsi="Arial Narrow" w:cs="Times New Roman"/>
                <w:sz w:val="16"/>
                <w:szCs w:val="16"/>
                <w:lang w:val="fr-CH" w:eastAsia="fr-CH"/>
              </w:rPr>
            </w:pPr>
          </w:p>
          <w:p w:rsidR="00465BA1" w:rsidRPr="00465BA1" w:rsidRDefault="00465BA1" w:rsidP="00465BA1">
            <w:pPr>
              <w:rPr>
                <w:rFonts w:ascii="Arial Narrow" w:hAnsi="Arial Narrow" w:cs="Times New Roman"/>
                <w:sz w:val="16"/>
                <w:szCs w:val="16"/>
                <w:lang w:val="fr-CH" w:eastAsia="fr-CH"/>
              </w:rPr>
            </w:pPr>
          </w:p>
          <w:p w:rsidR="00465BA1" w:rsidRDefault="00465BA1" w:rsidP="00465BA1">
            <w:pPr>
              <w:rPr>
                <w:rFonts w:ascii="Arial Narrow" w:hAnsi="Arial Narrow" w:cs="Times New Roman"/>
                <w:sz w:val="16"/>
                <w:szCs w:val="16"/>
                <w:lang w:val="fr-CH" w:eastAsia="fr-CH"/>
              </w:rPr>
            </w:pPr>
          </w:p>
          <w:p w:rsidR="00E07857" w:rsidRPr="00465BA1" w:rsidRDefault="00E07857" w:rsidP="00465BA1">
            <w:pPr>
              <w:jc w:val="center"/>
              <w:rPr>
                <w:rFonts w:ascii="Arial Narrow" w:hAnsi="Arial Narrow" w:cs="Times New Roman"/>
                <w:sz w:val="16"/>
                <w:szCs w:val="16"/>
                <w:lang w:val="fr-CH" w:eastAsia="fr-CH"/>
              </w:rPr>
            </w:pPr>
          </w:p>
        </w:tc>
        <w:tc>
          <w:tcPr>
            <w:tcW w:w="1316" w:type="dxa"/>
            <w:tcBorders>
              <w:top w:val="single" w:sz="4" w:space="0" w:color="BFBFBF"/>
              <w:left w:val="nil"/>
              <w:bottom w:val="single" w:sz="18" w:space="0" w:color="BFBFBF"/>
              <w:right w:val="single" w:sz="4" w:space="0" w:color="BFBFBF"/>
            </w:tcBorders>
            <w:shd w:val="clear" w:color="auto" w:fill="auto"/>
            <w:hideMark/>
          </w:tcPr>
          <w:p w:rsidR="00E07857" w:rsidRPr="00D350B5" w:rsidRDefault="00E07857" w:rsidP="00E07857">
            <w:pPr>
              <w:spacing w:before="60"/>
              <w:jc w:val="right"/>
              <w:rPr>
                <w:rFonts w:ascii="Arial Narrow" w:hAnsi="Arial Narrow" w:cs="Times New Roman"/>
                <w:b/>
                <w:bCs/>
                <w:sz w:val="16"/>
                <w:szCs w:val="16"/>
                <w:lang w:val="fr-CH" w:eastAsia="fr-CH"/>
              </w:rPr>
            </w:pPr>
            <w:r w:rsidRPr="00D350B5">
              <w:rPr>
                <w:rFonts w:ascii="Arial Narrow" w:hAnsi="Arial Narrow" w:cs="Times New Roman"/>
                <w:b/>
                <w:bCs/>
                <w:sz w:val="16"/>
                <w:szCs w:val="16"/>
                <w:lang w:val="fr-CH" w:eastAsia="fr-CH"/>
              </w:rPr>
              <w:t xml:space="preserve">        5</w:t>
            </w:r>
            <w:r>
              <w:rPr>
                <w:rFonts w:ascii="Arial Narrow" w:hAnsi="Arial Narrow" w:cs="Times New Roman"/>
                <w:b/>
                <w:bCs/>
                <w:sz w:val="16"/>
                <w:szCs w:val="16"/>
                <w:lang w:val="fr-CH" w:eastAsia="fr-CH"/>
              </w:rPr>
              <w:t>43.159.914</w:t>
            </w:r>
            <w:r w:rsidRPr="00D350B5">
              <w:rPr>
                <w:rFonts w:ascii="Arial Narrow" w:hAnsi="Arial Narrow" w:cs="Times New Roman"/>
                <w:b/>
                <w:bCs/>
                <w:sz w:val="16"/>
                <w:szCs w:val="16"/>
                <w:lang w:val="fr-CH" w:eastAsia="fr-CH"/>
              </w:rPr>
              <w:t xml:space="preserve"> </w:t>
            </w:r>
          </w:p>
        </w:tc>
        <w:tc>
          <w:tcPr>
            <w:tcW w:w="1316" w:type="dxa"/>
            <w:tcBorders>
              <w:top w:val="single" w:sz="4" w:space="0" w:color="BFBFBF"/>
              <w:left w:val="nil"/>
              <w:bottom w:val="single" w:sz="18" w:space="0" w:color="BFBFBF"/>
              <w:right w:val="single" w:sz="4" w:space="0" w:color="BFBFBF"/>
            </w:tcBorders>
            <w:shd w:val="clear" w:color="auto" w:fill="auto"/>
            <w:hideMark/>
          </w:tcPr>
          <w:p w:rsidR="00E07857" w:rsidRPr="00D350B5" w:rsidRDefault="00E07857" w:rsidP="00E07857">
            <w:pPr>
              <w:spacing w:before="60"/>
              <w:jc w:val="right"/>
              <w:rPr>
                <w:rFonts w:ascii="Arial Narrow" w:hAnsi="Arial Narrow" w:cs="Times New Roman"/>
                <w:b/>
                <w:bCs/>
                <w:sz w:val="16"/>
                <w:szCs w:val="16"/>
                <w:lang w:val="fr-CH" w:eastAsia="fr-CH"/>
              </w:rPr>
            </w:pPr>
            <w:r w:rsidRPr="00D350B5">
              <w:rPr>
                <w:rFonts w:ascii="Arial Narrow" w:hAnsi="Arial Narrow" w:cs="Times New Roman"/>
                <w:b/>
                <w:bCs/>
                <w:sz w:val="16"/>
                <w:szCs w:val="16"/>
                <w:lang w:val="fr-CH" w:eastAsia="fr-CH"/>
              </w:rPr>
              <w:t xml:space="preserve">        15</w:t>
            </w:r>
            <w:r>
              <w:rPr>
                <w:rFonts w:ascii="Arial Narrow" w:hAnsi="Arial Narrow" w:cs="Times New Roman"/>
                <w:b/>
                <w:bCs/>
                <w:sz w:val="16"/>
                <w:szCs w:val="16"/>
                <w:lang w:val="fr-CH" w:eastAsia="fr-CH"/>
              </w:rPr>
              <w:t>2.607.293</w:t>
            </w:r>
            <w:r w:rsidRPr="00D350B5">
              <w:rPr>
                <w:rFonts w:ascii="Arial Narrow" w:hAnsi="Arial Narrow" w:cs="Times New Roman"/>
                <w:b/>
                <w:bCs/>
                <w:sz w:val="16"/>
                <w:szCs w:val="16"/>
                <w:lang w:val="fr-CH" w:eastAsia="fr-CH"/>
              </w:rPr>
              <w:t xml:space="preserve"> </w:t>
            </w:r>
          </w:p>
        </w:tc>
        <w:tc>
          <w:tcPr>
            <w:tcW w:w="1517" w:type="dxa"/>
            <w:tcBorders>
              <w:top w:val="single" w:sz="4" w:space="0" w:color="BFBFBF"/>
              <w:left w:val="nil"/>
              <w:bottom w:val="single" w:sz="18" w:space="0" w:color="BFBFBF"/>
              <w:right w:val="single" w:sz="4" w:space="0" w:color="BFBFBF"/>
            </w:tcBorders>
            <w:shd w:val="clear" w:color="auto" w:fill="auto"/>
            <w:hideMark/>
          </w:tcPr>
          <w:p w:rsidR="00E07857" w:rsidRPr="00D350B5" w:rsidRDefault="00E07857" w:rsidP="00E07857">
            <w:pPr>
              <w:spacing w:before="60"/>
              <w:jc w:val="right"/>
              <w:rPr>
                <w:rFonts w:ascii="Arial Narrow" w:hAnsi="Arial Narrow" w:cs="Times New Roman"/>
                <w:b/>
                <w:bCs/>
                <w:sz w:val="16"/>
                <w:szCs w:val="16"/>
                <w:lang w:val="fr-CH" w:eastAsia="fr-CH"/>
              </w:rPr>
            </w:pPr>
            <w:r w:rsidRPr="00D350B5">
              <w:rPr>
                <w:rFonts w:ascii="Arial Narrow" w:hAnsi="Arial Narrow" w:cs="Times New Roman"/>
                <w:b/>
                <w:bCs/>
                <w:sz w:val="16"/>
                <w:szCs w:val="16"/>
                <w:lang w:val="fr-CH" w:eastAsia="fr-CH"/>
              </w:rPr>
              <w:t xml:space="preserve">          31</w:t>
            </w:r>
            <w:r>
              <w:rPr>
                <w:rFonts w:ascii="Arial Narrow" w:hAnsi="Arial Narrow" w:cs="Times New Roman"/>
                <w:b/>
                <w:bCs/>
                <w:sz w:val="16"/>
                <w:szCs w:val="16"/>
                <w:lang w:val="fr-CH" w:eastAsia="fr-CH"/>
              </w:rPr>
              <w:t>.686.080</w:t>
            </w:r>
            <w:r w:rsidRPr="00D350B5">
              <w:rPr>
                <w:rFonts w:ascii="Arial Narrow" w:hAnsi="Arial Narrow" w:cs="Times New Roman"/>
                <w:b/>
                <w:bCs/>
                <w:sz w:val="16"/>
                <w:szCs w:val="16"/>
                <w:lang w:val="fr-CH" w:eastAsia="fr-CH"/>
              </w:rPr>
              <w:t xml:space="preserve"> </w:t>
            </w:r>
          </w:p>
        </w:tc>
        <w:tc>
          <w:tcPr>
            <w:tcW w:w="1276" w:type="dxa"/>
            <w:tcBorders>
              <w:top w:val="single" w:sz="4" w:space="0" w:color="BFBFBF"/>
              <w:left w:val="nil"/>
              <w:bottom w:val="single" w:sz="18" w:space="0" w:color="BFBFBF"/>
              <w:right w:val="single" w:sz="4" w:space="0" w:color="BFBFBF"/>
            </w:tcBorders>
            <w:shd w:val="clear" w:color="auto" w:fill="auto"/>
            <w:hideMark/>
          </w:tcPr>
          <w:p w:rsidR="00E07857" w:rsidRPr="00D350B5" w:rsidRDefault="00E07857" w:rsidP="00E07857">
            <w:pPr>
              <w:spacing w:before="60"/>
              <w:jc w:val="right"/>
              <w:rPr>
                <w:rFonts w:ascii="Arial Narrow" w:hAnsi="Arial Narrow" w:cs="Times New Roman"/>
                <w:b/>
                <w:bCs/>
                <w:sz w:val="16"/>
                <w:szCs w:val="16"/>
                <w:lang w:val="fr-CH" w:eastAsia="fr-CH"/>
              </w:rPr>
            </w:pPr>
            <w:r w:rsidRPr="00D350B5">
              <w:rPr>
                <w:rFonts w:ascii="Arial Narrow" w:hAnsi="Arial Narrow" w:cs="Times New Roman"/>
                <w:b/>
                <w:bCs/>
                <w:sz w:val="16"/>
                <w:szCs w:val="16"/>
                <w:lang w:val="fr-CH" w:eastAsia="fr-CH"/>
              </w:rPr>
              <w:t xml:space="preserve">           2</w:t>
            </w:r>
            <w:r>
              <w:rPr>
                <w:rFonts w:ascii="Arial Narrow" w:hAnsi="Arial Narrow" w:cs="Times New Roman"/>
                <w:b/>
                <w:bCs/>
                <w:sz w:val="16"/>
                <w:szCs w:val="16"/>
                <w:lang w:val="fr-CH" w:eastAsia="fr-CH"/>
              </w:rPr>
              <w:t>.436.926</w:t>
            </w:r>
            <w:r w:rsidRPr="00D350B5">
              <w:rPr>
                <w:rFonts w:ascii="Arial Narrow" w:hAnsi="Arial Narrow" w:cs="Times New Roman"/>
                <w:b/>
                <w:bCs/>
                <w:sz w:val="16"/>
                <w:szCs w:val="16"/>
                <w:lang w:val="fr-CH" w:eastAsia="fr-CH"/>
              </w:rPr>
              <w:t xml:space="preserve"> </w:t>
            </w:r>
          </w:p>
        </w:tc>
        <w:tc>
          <w:tcPr>
            <w:tcW w:w="1155" w:type="dxa"/>
            <w:tcBorders>
              <w:top w:val="single" w:sz="4" w:space="0" w:color="BFBFBF"/>
              <w:left w:val="nil"/>
              <w:bottom w:val="single" w:sz="18" w:space="0" w:color="BFBFBF"/>
              <w:right w:val="nil"/>
            </w:tcBorders>
            <w:shd w:val="clear" w:color="auto" w:fill="auto"/>
            <w:hideMark/>
          </w:tcPr>
          <w:p w:rsidR="00E07857" w:rsidRPr="006D0ECA" w:rsidRDefault="00E07857" w:rsidP="00E07857">
            <w:pPr>
              <w:jc w:val="right"/>
              <w:rPr>
                <w:rFonts w:ascii="Arial Narrow" w:hAnsi="Arial Narrow" w:cs="Times New Roman"/>
                <w:b/>
                <w:bCs/>
                <w:sz w:val="16"/>
                <w:szCs w:val="16"/>
                <w:lang w:val="es-419" w:eastAsia="fr-CH"/>
              </w:rPr>
            </w:pPr>
            <w:r w:rsidRPr="006D0ECA">
              <w:rPr>
                <w:rFonts w:ascii="Arial Narrow" w:hAnsi="Arial Narrow" w:cs="Times New Roman"/>
                <w:b/>
                <w:bCs/>
                <w:sz w:val="16"/>
                <w:szCs w:val="16"/>
                <w:lang w:val="fr-CH" w:eastAsia="fr-CH"/>
              </w:rPr>
              <w:t xml:space="preserve">       768.401.034 </w:t>
            </w:r>
          </w:p>
        </w:tc>
      </w:tr>
    </w:tbl>
    <w:p w:rsidR="006D0ECA" w:rsidRPr="006D0ECA" w:rsidRDefault="006D0ECA" w:rsidP="00465BA1">
      <w:pPr>
        <w:rPr>
          <w:rFonts w:eastAsia="Arial"/>
          <w:sz w:val="18"/>
          <w:szCs w:val="22"/>
          <w:lang w:val="es-419"/>
        </w:rPr>
      </w:pPr>
    </w:p>
    <w:sectPr w:rsidR="006D0ECA" w:rsidRPr="006D0ECA" w:rsidSect="00465BA1">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418" w:right="1361"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57" w:rsidRDefault="00E07857" w:rsidP="006D0ECA">
      <w:r>
        <w:separator/>
      </w:r>
    </w:p>
  </w:endnote>
  <w:endnote w:type="continuationSeparator" w:id="0">
    <w:p w:rsidR="00E07857" w:rsidRDefault="00E07857" w:rsidP="006D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22" w:rsidRDefault="00067722" w:rsidP="00067722">
    <w:pPr>
      <w:pStyle w:val="Footer"/>
      <w:jc w:val="center"/>
    </w:pPr>
    <w:r>
      <w:fldChar w:fldCharType="begin"/>
    </w:r>
    <w:r>
      <w:instrText xml:space="preserve"> PAGE   \* MERGEFORMAT </w:instrText>
    </w:r>
    <w:r>
      <w:fldChar w:fldCharType="separate"/>
    </w:r>
    <w:r w:rsidR="00FC2371">
      <w:rPr>
        <w:noProof/>
      </w:rPr>
      <w:t>10</w:t>
    </w:r>
    <w:r>
      <w:fldChar w:fldCharType="end"/>
    </w:r>
  </w:p>
  <w:p w:rsidR="00067722" w:rsidRDefault="00067722" w:rsidP="00067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57" w:rsidRDefault="00E07857" w:rsidP="006D0ECA">
    <w:pPr>
      <w:pStyle w:val="Footer"/>
      <w:jc w:val="center"/>
    </w:pPr>
    <w:r>
      <w:fldChar w:fldCharType="begin"/>
    </w:r>
    <w:r>
      <w:instrText xml:space="preserve"> PAGE   \* MERGEFORMAT </w:instrText>
    </w:r>
    <w:r>
      <w:fldChar w:fldCharType="separate"/>
    </w:r>
    <w:r w:rsidR="00FC2371">
      <w:rPr>
        <w:noProof/>
      </w:rPr>
      <w:t>9</w:t>
    </w:r>
    <w:r>
      <w:fldChar w:fldCharType="end"/>
    </w:r>
  </w:p>
  <w:p w:rsidR="00E07857" w:rsidRDefault="00E07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22" w:rsidRDefault="00067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22" w:rsidRDefault="00067722" w:rsidP="00067722">
    <w:pPr>
      <w:pStyle w:val="Footer"/>
      <w:jc w:val="center"/>
    </w:pPr>
    <w:r>
      <w:fldChar w:fldCharType="begin"/>
    </w:r>
    <w:r>
      <w:instrText xml:space="preserve"> PAGE   \* MERGEFORMAT </w:instrText>
    </w:r>
    <w:r>
      <w:fldChar w:fldCharType="separate"/>
    </w:r>
    <w:r>
      <w:rPr>
        <w:noProof/>
      </w:rPr>
      <w:t>2</w:t>
    </w:r>
    <w:r>
      <w:fldChar w:fldCharType="end"/>
    </w:r>
  </w:p>
  <w:p w:rsidR="00067722" w:rsidRDefault="00067722" w:rsidP="000677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22" w:rsidRDefault="00067722" w:rsidP="006D0ECA">
    <w:pPr>
      <w:pStyle w:val="Footer"/>
      <w:jc w:val="center"/>
    </w:pPr>
    <w:r>
      <w:fldChar w:fldCharType="begin"/>
    </w:r>
    <w:r>
      <w:instrText xml:space="preserve"> PAGE   \* MERGEFORMAT </w:instrText>
    </w:r>
    <w:r>
      <w:fldChar w:fldCharType="separate"/>
    </w:r>
    <w:r>
      <w:rPr>
        <w:noProof/>
      </w:rPr>
      <w:t>2</w:t>
    </w:r>
    <w:r>
      <w:fldChar w:fldCharType="end"/>
    </w:r>
  </w:p>
  <w:p w:rsidR="00067722" w:rsidRDefault="000677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A1" w:rsidRDefault="00465BA1" w:rsidP="0046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57" w:rsidRDefault="00E07857" w:rsidP="006D0ECA">
      <w:r>
        <w:separator/>
      </w:r>
    </w:p>
  </w:footnote>
  <w:footnote w:type="continuationSeparator" w:id="0">
    <w:p w:rsidR="00E07857" w:rsidRDefault="00E07857" w:rsidP="006D0ECA">
      <w:r>
        <w:continuationSeparator/>
      </w:r>
    </w:p>
  </w:footnote>
  <w:footnote w:id="1">
    <w:p w:rsidR="00E07857" w:rsidRPr="00C60BE2" w:rsidRDefault="00E07857" w:rsidP="006D0ECA">
      <w:pPr>
        <w:pStyle w:val="FootnoteText"/>
        <w:rPr>
          <w:lang w:val="es-ES"/>
        </w:rPr>
      </w:pPr>
      <w:r w:rsidRPr="00C60BE2">
        <w:rPr>
          <w:rStyle w:val="FootnoteReference"/>
          <w:lang w:val="es-ES"/>
        </w:rPr>
        <w:footnoteRef/>
      </w:r>
      <w:r w:rsidRPr="00C60BE2">
        <w:rPr>
          <w:lang w:val="es-ES"/>
        </w:rPr>
        <w:t xml:space="preserve"> El porcentaje de los recursos del programa 6 que prestan apoyo a las operaciones del Sistema de La Haya se asigna a la Unión de La Haya.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7"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737"/>
    </w:tblGrid>
    <w:tr w:rsidR="00067722" w:rsidTr="006D0ECA">
      <w:trPr>
        <w:trHeight w:val="529"/>
      </w:trPr>
      <w:tc>
        <w:tcPr>
          <w:tcW w:w="5760" w:type="dxa"/>
        </w:tcPr>
        <w:p w:rsidR="00067722" w:rsidRPr="006D0ECA" w:rsidRDefault="00067722" w:rsidP="006D0ECA">
          <w:pPr>
            <w:pStyle w:val="Header"/>
            <w:tabs>
              <w:tab w:val="clear" w:pos="9072"/>
              <w:tab w:val="right" w:pos="9026"/>
            </w:tabs>
            <w:spacing w:line="220" w:lineRule="atLeast"/>
            <w:rPr>
              <w:rFonts w:eastAsiaTheme="minorHAnsi" w:cstheme="minorBidi"/>
              <w:noProof/>
              <w:color w:val="4F81BD" w:themeColor="accent1"/>
              <w:sz w:val="16"/>
              <w:lang w:val="en-GB"/>
            </w:rPr>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S</w:t>
          </w:r>
        </w:p>
        <w:p w:rsidR="00067722" w:rsidRDefault="00067722" w:rsidP="006D0ECA">
          <w:pPr>
            <w:pStyle w:val="Header"/>
            <w:tabs>
              <w:tab w:val="clear" w:pos="9072"/>
              <w:tab w:val="right" w:pos="9026"/>
            </w:tabs>
            <w:spacing w:line="220" w:lineRule="atLeast"/>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 xml:space="preserve"> III</w:t>
          </w:r>
        </w:p>
      </w:tc>
      <w:tc>
        <w:tcPr>
          <w:tcW w:w="3737" w:type="dxa"/>
        </w:tcPr>
        <w:p w:rsidR="00067722" w:rsidRPr="006D0ECA" w:rsidRDefault="00067722" w:rsidP="006D0ECA">
          <w:pPr>
            <w:pStyle w:val="Header"/>
            <w:tabs>
              <w:tab w:val="clear" w:pos="9072"/>
              <w:tab w:val="right" w:pos="9026"/>
            </w:tabs>
            <w:spacing w:line="220" w:lineRule="atLeast"/>
            <w:jc w:val="right"/>
            <w:rPr>
              <w:rFonts w:eastAsiaTheme="minorHAnsi" w:cstheme="minorBidi"/>
              <w:color w:val="4F81BD" w:themeColor="accent1"/>
              <w:sz w:val="16"/>
              <w:lang w:val="es-419"/>
            </w:rPr>
          </w:pPr>
          <w:r w:rsidRPr="006D0ECA">
            <w:rPr>
              <w:rFonts w:eastAsiaTheme="minorHAnsi" w:cstheme="minorBidi"/>
              <w:b/>
              <w:color w:val="4F81BD" w:themeColor="accent1"/>
              <w:sz w:val="16"/>
              <w:lang w:val="es-419"/>
            </w:rPr>
            <w:t>Organización Mundial de la Propiedad Intelectual</w:t>
          </w:r>
          <w:r>
            <w:rPr>
              <w:rFonts w:eastAsiaTheme="minorHAnsi" w:cstheme="minorBidi"/>
              <w:b/>
              <w:color w:val="4F81BD" w:themeColor="accent1"/>
              <w:sz w:val="16"/>
              <w:lang w:val="es-419"/>
            </w:rPr>
            <w:br/>
          </w:r>
          <w:r w:rsidRPr="006D0ECA">
            <w:rPr>
              <w:rFonts w:eastAsiaTheme="minorHAnsi" w:cstheme="minorBidi"/>
              <w:color w:val="4F81BD" w:themeColor="accent1"/>
              <w:sz w:val="16"/>
              <w:lang w:val="es-419"/>
            </w:rPr>
            <w:t>Pr</w:t>
          </w:r>
          <w:r>
            <w:rPr>
              <w:rFonts w:eastAsiaTheme="minorHAnsi" w:cstheme="minorBidi"/>
              <w:color w:val="4F81BD" w:themeColor="accent1"/>
              <w:sz w:val="16"/>
              <w:lang w:val="es-419"/>
            </w:rPr>
            <w:t>esupuesto por programas de</w:t>
          </w:r>
          <w:r w:rsidRPr="006D0ECA">
            <w:rPr>
              <w:rFonts w:eastAsiaTheme="minorHAnsi" w:cstheme="minorBidi"/>
              <w:color w:val="4F81BD" w:themeColor="accent1"/>
              <w:sz w:val="16"/>
              <w:lang w:val="es-419"/>
            </w:rPr>
            <w:t xml:space="preserve"> 2020/21</w:t>
          </w:r>
        </w:p>
        <w:p w:rsidR="00067722" w:rsidRDefault="00067722" w:rsidP="006D0ECA">
          <w:pPr>
            <w:pStyle w:val="Header"/>
            <w:jc w:val="right"/>
          </w:pPr>
        </w:p>
      </w:tc>
    </w:tr>
  </w:tbl>
  <w:p w:rsidR="00067722" w:rsidRPr="006D0ECA" w:rsidRDefault="00067722" w:rsidP="00067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7"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737"/>
    </w:tblGrid>
    <w:tr w:rsidR="00E07857" w:rsidTr="006D0ECA">
      <w:trPr>
        <w:trHeight w:val="529"/>
      </w:trPr>
      <w:tc>
        <w:tcPr>
          <w:tcW w:w="5760" w:type="dxa"/>
        </w:tcPr>
        <w:p w:rsidR="00E07857" w:rsidRPr="006D0ECA" w:rsidRDefault="00E07857" w:rsidP="006D0ECA">
          <w:pPr>
            <w:pStyle w:val="Header"/>
            <w:tabs>
              <w:tab w:val="clear" w:pos="9072"/>
              <w:tab w:val="right" w:pos="9026"/>
            </w:tabs>
            <w:spacing w:line="220" w:lineRule="atLeast"/>
            <w:rPr>
              <w:rFonts w:eastAsiaTheme="minorHAnsi" w:cstheme="minorBidi"/>
              <w:noProof/>
              <w:color w:val="4F81BD" w:themeColor="accent1"/>
              <w:sz w:val="16"/>
              <w:lang w:val="en-GB"/>
            </w:rPr>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S</w:t>
          </w:r>
        </w:p>
        <w:p w:rsidR="00E07857" w:rsidRDefault="00E07857" w:rsidP="006D0ECA">
          <w:pPr>
            <w:pStyle w:val="Header"/>
            <w:tabs>
              <w:tab w:val="clear" w:pos="9072"/>
              <w:tab w:val="right" w:pos="9026"/>
            </w:tabs>
            <w:spacing w:line="220" w:lineRule="atLeast"/>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 xml:space="preserve"> III</w:t>
          </w:r>
        </w:p>
      </w:tc>
      <w:tc>
        <w:tcPr>
          <w:tcW w:w="3737" w:type="dxa"/>
        </w:tcPr>
        <w:p w:rsidR="00E07857" w:rsidRPr="006D0ECA" w:rsidRDefault="00E07857" w:rsidP="006D0ECA">
          <w:pPr>
            <w:pStyle w:val="Header"/>
            <w:tabs>
              <w:tab w:val="clear" w:pos="9072"/>
              <w:tab w:val="right" w:pos="9026"/>
            </w:tabs>
            <w:spacing w:line="220" w:lineRule="atLeast"/>
            <w:jc w:val="right"/>
            <w:rPr>
              <w:rFonts w:eastAsiaTheme="minorHAnsi" w:cstheme="minorBidi"/>
              <w:color w:val="4F81BD" w:themeColor="accent1"/>
              <w:sz w:val="16"/>
              <w:lang w:val="es-419"/>
            </w:rPr>
          </w:pPr>
          <w:r w:rsidRPr="006D0ECA">
            <w:rPr>
              <w:rFonts w:eastAsiaTheme="minorHAnsi" w:cstheme="minorBidi"/>
              <w:b/>
              <w:color w:val="4F81BD" w:themeColor="accent1"/>
              <w:sz w:val="16"/>
              <w:lang w:val="es-419"/>
            </w:rPr>
            <w:t>Organización Mundial de la Propiedad Intelectual</w:t>
          </w:r>
          <w:r>
            <w:rPr>
              <w:rFonts w:eastAsiaTheme="minorHAnsi" w:cstheme="minorBidi"/>
              <w:b/>
              <w:color w:val="4F81BD" w:themeColor="accent1"/>
              <w:sz w:val="16"/>
              <w:lang w:val="es-419"/>
            </w:rPr>
            <w:br/>
          </w:r>
          <w:r w:rsidRPr="006D0ECA">
            <w:rPr>
              <w:rFonts w:eastAsiaTheme="minorHAnsi" w:cstheme="minorBidi"/>
              <w:color w:val="4F81BD" w:themeColor="accent1"/>
              <w:sz w:val="16"/>
              <w:lang w:val="es-419"/>
            </w:rPr>
            <w:t>Pr</w:t>
          </w:r>
          <w:r>
            <w:rPr>
              <w:rFonts w:eastAsiaTheme="minorHAnsi" w:cstheme="minorBidi"/>
              <w:color w:val="4F81BD" w:themeColor="accent1"/>
              <w:sz w:val="16"/>
              <w:lang w:val="es-419"/>
            </w:rPr>
            <w:t>esupuesto por programas de</w:t>
          </w:r>
          <w:r w:rsidRPr="006D0ECA">
            <w:rPr>
              <w:rFonts w:eastAsiaTheme="minorHAnsi" w:cstheme="minorBidi"/>
              <w:color w:val="4F81BD" w:themeColor="accent1"/>
              <w:sz w:val="16"/>
              <w:lang w:val="es-419"/>
            </w:rPr>
            <w:t xml:space="preserve"> 2020/21</w:t>
          </w:r>
        </w:p>
        <w:p w:rsidR="00E07857" w:rsidRDefault="00E07857" w:rsidP="006D0ECA">
          <w:pPr>
            <w:pStyle w:val="Header"/>
            <w:jc w:val="right"/>
          </w:pPr>
        </w:p>
      </w:tc>
    </w:tr>
  </w:tbl>
  <w:p w:rsidR="00E07857" w:rsidRPr="006D0ECA" w:rsidRDefault="00E07857" w:rsidP="006D0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4021"/>
    </w:tblGrid>
    <w:tr w:rsidR="00E07857" w:rsidRPr="00CD6CF4" w:rsidTr="00465BA1">
      <w:trPr>
        <w:trHeight w:val="425"/>
      </w:trPr>
      <w:tc>
        <w:tcPr>
          <w:tcW w:w="5760" w:type="dxa"/>
        </w:tcPr>
        <w:p w:rsidR="00E07857" w:rsidRPr="006D0ECA" w:rsidRDefault="00E07857" w:rsidP="006D0ECA">
          <w:pPr>
            <w:pStyle w:val="Header"/>
            <w:tabs>
              <w:tab w:val="clear" w:pos="9072"/>
              <w:tab w:val="right" w:pos="9026"/>
            </w:tabs>
            <w:spacing w:line="220" w:lineRule="atLeast"/>
            <w:rPr>
              <w:rFonts w:eastAsiaTheme="minorHAnsi" w:cstheme="minorBidi"/>
              <w:noProof/>
              <w:color w:val="4F81BD" w:themeColor="accent1"/>
              <w:sz w:val="16"/>
              <w:lang w:val="en-GB"/>
            </w:rPr>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S</w:t>
          </w:r>
        </w:p>
        <w:p w:rsidR="00E07857" w:rsidRDefault="00E07857" w:rsidP="006D0ECA">
          <w:pPr>
            <w:pStyle w:val="Header"/>
            <w:tabs>
              <w:tab w:val="clear" w:pos="9072"/>
              <w:tab w:val="right" w:pos="9026"/>
            </w:tabs>
            <w:spacing w:line="220" w:lineRule="atLeast"/>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 xml:space="preserve"> III</w:t>
          </w:r>
        </w:p>
      </w:tc>
      <w:tc>
        <w:tcPr>
          <w:tcW w:w="4021" w:type="dxa"/>
        </w:tcPr>
        <w:p w:rsidR="00E07857" w:rsidRPr="006D0ECA" w:rsidRDefault="00E07857" w:rsidP="006D0ECA">
          <w:pPr>
            <w:pStyle w:val="Header"/>
            <w:tabs>
              <w:tab w:val="clear" w:pos="9072"/>
              <w:tab w:val="right" w:pos="9026"/>
            </w:tabs>
            <w:spacing w:line="220" w:lineRule="atLeast"/>
            <w:jc w:val="right"/>
            <w:rPr>
              <w:rFonts w:eastAsiaTheme="minorHAnsi" w:cstheme="minorBidi"/>
              <w:color w:val="4F81BD" w:themeColor="accent1"/>
              <w:sz w:val="16"/>
              <w:lang w:val="es-419"/>
            </w:rPr>
          </w:pPr>
          <w:r w:rsidRPr="006D0ECA">
            <w:rPr>
              <w:rFonts w:eastAsiaTheme="minorHAnsi" w:cstheme="minorBidi"/>
              <w:b/>
              <w:color w:val="4F81BD" w:themeColor="accent1"/>
              <w:sz w:val="16"/>
              <w:lang w:val="es-419"/>
            </w:rPr>
            <w:t>Organización Mundial de la Propiedad Intelectual</w:t>
          </w:r>
          <w:r>
            <w:rPr>
              <w:rFonts w:eastAsiaTheme="minorHAnsi" w:cstheme="minorBidi"/>
              <w:b/>
              <w:color w:val="4F81BD" w:themeColor="accent1"/>
              <w:sz w:val="16"/>
              <w:lang w:val="es-419"/>
            </w:rPr>
            <w:br/>
          </w:r>
          <w:r w:rsidRPr="006D0ECA">
            <w:rPr>
              <w:rFonts w:eastAsiaTheme="minorHAnsi" w:cstheme="minorBidi"/>
              <w:color w:val="4F81BD" w:themeColor="accent1"/>
              <w:sz w:val="16"/>
              <w:lang w:val="es-419"/>
            </w:rPr>
            <w:t>Pr</w:t>
          </w:r>
          <w:r>
            <w:rPr>
              <w:rFonts w:eastAsiaTheme="minorHAnsi" w:cstheme="minorBidi"/>
              <w:color w:val="4F81BD" w:themeColor="accent1"/>
              <w:sz w:val="16"/>
              <w:lang w:val="es-419"/>
            </w:rPr>
            <w:t>esupuesto por programas de</w:t>
          </w:r>
          <w:r w:rsidRPr="006D0ECA">
            <w:rPr>
              <w:rFonts w:eastAsiaTheme="minorHAnsi" w:cstheme="minorBidi"/>
              <w:color w:val="4F81BD" w:themeColor="accent1"/>
              <w:sz w:val="16"/>
              <w:lang w:val="es-419"/>
            </w:rPr>
            <w:t xml:space="preserve"> 2020/21</w:t>
          </w:r>
        </w:p>
        <w:p w:rsidR="00E07857" w:rsidRDefault="00E07857" w:rsidP="006D0ECA">
          <w:pPr>
            <w:pStyle w:val="Header"/>
            <w:jc w:val="right"/>
          </w:pPr>
        </w:p>
      </w:tc>
    </w:tr>
  </w:tbl>
  <w:p w:rsidR="00E07857" w:rsidRPr="00CD6CF4" w:rsidRDefault="00E07857" w:rsidP="00E07857">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7"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737"/>
    </w:tblGrid>
    <w:tr w:rsidR="00067722" w:rsidTr="006D0ECA">
      <w:trPr>
        <w:trHeight w:val="529"/>
      </w:trPr>
      <w:tc>
        <w:tcPr>
          <w:tcW w:w="5760" w:type="dxa"/>
        </w:tcPr>
        <w:p w:rsidR="00067722" w:rsidRPr="006D0ECA" w:rsidRDefault="00067722" w:rsidP="006D0ECA">
          <w:pPr>
            <w:pStyle w:val="Header"/>
            <w:tabs>
              <w:tab w:val="clear" w:pos="9072"/>
              <w:tab w:val="right" w:pos="9026"/>
            </w:tabs>
            <w:spacing w:line="220" w:lineRule="atLeast"/>
            <w:rPr>
              <w:rFonts w:eastAsiaTheme="minorHAnsi" w:cstheme="minorBidi"/>
              <w:noProof/>
              <w:color w:val="4F81BD" w:themeColor="accent1"/>
              <w:sz w:val="16"/>
              <w:lang w:val="en-GB"/>
            </w:rPr>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S</w:t>
          </w:r>
        </w:p>
        <w:p w:rsidR="00067722" w:rsidRDefault="00067722" w:rsidP="006D0ECA">
          <w:pPr>
            <w:pStyle w:val="Header"/>
            <w:tabs>
              <w:tab w:val="clear" w:pos="9072"/>
              <w:tab w:val="right" w:pos="9026"/>
            </w:tabs>
            <w:spacing w:line="220" w:lineRule="atLeast"/>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 xml:space="preserve"> III</w:t>
          </w:r>
        </w:p>
      </w:tc>
      <w:tc>
        <w:tcPr>
          <w:tcW w:w="3737" w:type="dxa"/>
        </w:tcPr>
        <w:p w:rsidR="00067722" w:rsidRPr="006D0ECA" w:rsidRDefault="00067722" w:rsidP="006D0ECA">
          <w:pPr>
            <w:pStyle w:val="Header"/>
            <w:tabs>
              <w:tab w:val="clear" w:pos="9072"/>
              <w:tab w:val="right" w:pos="9026"/>
            </w:tabs>
            <w:spacing w:line="220" w:lineRule="atLeast"/>
            <w:jc w:val="right"/>
            <w:rPr>
              <w:rFonts w:eastAsiaTheme="minorHAnsi" w:cstheme="minorBidi"/>
              <w:color w:val="4F81BD" w:themeColor="accent1"/>
              <w:sz w:val="16"/>
              <w:lang w:val="es-419"/>
            </w:rPr>
          </w:pPr>
          <w:r w:rsidRPr="006D0ECA">
            <w:rPr>
              <w:rFonts w:eastAsiaTheme="minorHAnsi" w:cstheme="minorBidi"/>
              <w:b/>
              <w:color w:val="4F81BD" w:themeColor="accent1"/>
              <w:sz w:val="16"/>
              <w:lang w:val="es-419"/>
            </w:rPr>
            <w:t>Organización Mundial de la Propiedad Intelectual</w:t>
          </w:r>
          <w:r>
            <w:rPr>
              <w:rFonts w:eastAsiaTheme="minorHAnsi" w:cstheme="minorBidi"/>
              <w:b/>
              <w:color w:val="4F81BD" w:themeColor="accent1"/>
              <w:sz w:val="16"/>
              <w:lang w:val="es-419"/>
            </w:rPr>
            <w:br/>
          </w:r>
          <w:r w:rsidRPr="006D0ECA">
            <w:rPr>
              <w:rFonts w:eastAsiaTheme="minorHAnsi" w:cstheme="minorBidi"/>
              <w:color w:val="4F81BD" w:themeColor="accent1"/>
              <w:sz w:val="16"/>
              <w:lang w:val="es-419"/>
            </w:rPr>
            <w:t>Pr</w:t>
          </w:r>
          <w:r>
            <w:rPr>
              <w:rFonts w:eastAsiaTheme="minorHAnsi" w:cstheme="minorBidi"/>
              <w:color w:val="4F81BD" w:themeColor="accent1"/>
              <w:sz w:val="16"/>
              <w:lang w:val="es-419"/>
            </w:rPr>
            <w:t>esupuesto por programas de</w:t>
          </w:r>
          <w:r w:rsidRPr="006D0ECA">
            <w:rPr>
              <w:rFonts w:eastAsiaTheme="minorHAnsi" w:cstheme="minorBidi"/>
              <w:color w:val="4F81BD" w:themeColor="accent1"/>
              <w:sz w:val="16"/>
              <w:lang w:val="es-419"/>
            </w:rPr>
            <w:t xml:space="preserve"> 2020/21</w:t>
          </w:r>
        </w:p>
        <w:p w:rsidR="00067722" w:rsidRDefault="00067722" w:rsidP="006D0ECA">
          <w:pPr>
            <w:pStyle w:val="Header"/>
            <w:jc w:val="right"/>
          </w:pPr>
        </w:p>
      </w:tc>
    </w:tr>
  </w:tbl>
  <w:p w:rsidR="00067722" w:rsidRPr="006D0ECA" w:rsidRDefault="00067722" w:rsidP="000677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7"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737"/>
    </w:tblGrid>
    <w:tr w:rsidR="00067722" w:rsidTr="006D0ECA">
      <w:trPr>
        <w:trHeight w:val="529"/>
      </w:trPr>
      <w:tc>
        <w:tcPr>
          <w:tcW w:w="5760" w:type="dxa"/>
        </w:tcPr>
        <w:p w:rsidR="00067722" w:rsidRPr="006D0ECA" w:rsidRDefault="00067722" w:rsidP="006D0ECA">
          <w:pPr>
            <w:pStyle w:val="Header"/>
            <w:tabs>
              <w:tab w:val="clear" w:pos="9072"/>
              <w:tab w:val="right" w:pos="9026"/>
            </w:tabs>
            <w:spacing w:line="220" w:lineRule="atLeast"/>
            <w:rPr>
              <w:rFonts w:eastAsiaTheme="minorHAnsi" w:cstheme="minorBidi"/>
              <w:noProof/>
              <w:color w:val="4F81BD" w:themeColor="accent1"/>
              <w:sz w:val="16"/>
              <w:lang w:val="en-GB"/>
            </w:rPr>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S</w:t>
          </w:r>
        </w:p>
        <w:p w:rsidR="00067722" w:rsidRDefault="00067722" w:rsidP="006D0ECA">
          <w:pPr>
            <w:pStyle w:val="Header"/>
            <w:tabs>
              <w:tab w:val="clear" w:pos="9072"/>
              <w:tab w:val="right" w:pos="9026"/>
            </w:tabs>
            <w:spacing w:line="220" w:lineRule="atLeast"/>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 xml:space="preserve"> III</w:t>
          </w:r>
        </w:p>
      </w:tc>
      <w:tc>
        <w:tcPr>
          <w:tcW w:w="3737" w:type="dxa"/>
        </w:tcPr>
        <w:p w:rsidR="00067722" w:rsidRPr="006D0ECA" w:rsidRDefault="00067722" w:rsidP="006D0ECA">
          <w:pPr>
            <w:pStyle w:val="Header"/>
            <w:tabs>
              <w:tab w:val="clear" w:pos="9072"/>
              <w:tab w:val="right" w:pos="9026"/>
            </w:tabs>
            <w:spacing w:line="220" w:lineRule="atLeast"/>
            <w:jc w:val="right"/>
            <w:rPr>
              <w:rFonts w:eastAsiaTheme="minorHAnsi" w:cstheme="minorBidi"/>
              <w:color w:val="4F81BD" w:themeColor="accent1"/>
              <w:sz w:val="16"/>
              <w:lang w:val="es-419"/>
            </w:rPr>
          </w:pPr>
          <w:r w:rsidRPr="006D0ECA">
            <w:rPr>
              <w:rFonts w:eastAsiaTheme="minorHAnsi" w:cstheme="minorBidi"/>
              <w:b/>
              <w:color w:val="4F81BD" w:themeColor="accent1"/>
              <w:sz w:val="16"/>
              <w:lang w:val="es-419"/>
            </w:rPr>
            <w:t>Organización Mundial de la Propiedad Intelectual</w:t>
          </w:r>
          <w:r>
            <w:rPr>
              <w:rFonts w:eastAsiaTheme="minorHAnsi" w:cstheme="minorBidi"/>
              <w:b/>
              <w:color w:val="4F81BD" w:themeColor="accent1"/>
              <w:sz w:val="16"/>
              <w:lang w:val="es-419"/>
            </w:rPr>
            <w:br/>
          </w:r>
          <w:r w:rsidRPr="006D0ECA">
            <w:rPr>
              <w:rFonts w:eastAsiaTheme="minorHAnsi" w:cstheme="minorBidi"/>
              <w:color w:val="4F81BD" w:themeColor="accent1"/>
              <w:sz w:val="16"/>
              <w:lang w:val="es-419"/>
            </w:rPr>
            <w:t>Pr</w:t>
          </w:r>
          <w:r>
            <w:rPr>
              <w:rFonts w:eastAsiaTheme="minorHAnsi" w:cstheme="minorBidi"/>
              <w:color w:val="4F81BD" w:themeColor="accent1"/>
              <w:sz w:val="16"/>
              <w:lang w:val="es-419"/>
            </w:rPr>
            <w:t>esupuesto por programas de</w:t>
          </w:r>
          <w:r w:rsidRPr="006D0ECA">
            <w:rPr>
              <w:rFonts w:eastAsiaTheme="minorHAnsi" w:cstheme="minorBidi"/>
              <w:color w:val="4F81BD" w:themeColor="accent1"/>
              <w:sz w:val="16"/>
              <w:lang w:val="es-419"/>
            </w:rPr>
            <w:t xml:space="preserve"> 2020/21</w:t>
          </w:r>
        </w:p>
        <w:p w:rsidR="00067722" w:rsidRDefault="00067722" w:rsidP="006D0ECA">
          <w:pPr>
            <w:pStyle w:val="Header"/>
            <w:jc w:val="right"/>
          </w:pPr>
        </w:p>
      </w:tc>
    </w:tr>
  </w:tbl>
  <w:p w:rsidR="00067722" w:rsidRPr="006D0ECA" w:rsidRDefault="00067722" w:rsidP="006D0E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467"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7707"/>
    </w:tblGrid>
    <w:tr w:rsidR="00465BA1" w:rsidRPr="00CD6CF4" w:rsidTr="00465BA1">
      <w:trPr>
        <w:trHeight w:val="425"/>
      </w:trPr>
      <w:tc>
        <w:tcPr>
          <w:tcW w:w="5760" w:type="dxa"/>
        </w:tcPr>
        <w:p w:rsidR="00465BA1" w:rsidRPr="006D0ECA" w:rsidRDefault="00465BA1" w:rsidP="006D0ECA">
          <w:pPr>
            <w:pStyle w:val="Header"/>
            <w:tabs>
              <w:tab w:val="clear" w:pos="9072"/>
              <w:tab w:val="right" w:pos="9026"/>
            </w:tabs>
            <w:spacing w:line="220" w:lineRule="atLeast"/>
            <w:rPr>
              <w:rFonts w:eastAsiaTheme="minorHAnsi" w:cstheme="minorBidi"/>
              <w:noProof/>
              <w:color w:val="4F81BD" w:themeColor="accent1"/>
              <w:sz w:val="16"/>
              <w:lang w:val="en-GB"/>
            </w:rPr>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S</w:t>
          </w:r>
        </w:p>
        <w:p w:rsidR="00465BA1" w:rsidRDefault="00465BA1" w:rsidP="006D0ECA">
          <w:pPr>
            <w:pStyle w:val="Header"/>
            <w:tabs>
              <w:tab w:val="clear" w:pos="9072"/>
              <w:tab w:val="right" w:pos="9026"/>
            </w:tabs>
            <w:spacing w:line="220" w:lineRule="atLeast"/>
          </w:pPr>
          <w:r w:rsidRPr="006D0ECA">
            <w:rPr>
              <w:rFonts w:eastAsiaTheme="minorHAnsi" w:cstheme="minorBidi"/>
              <w:noProof/>
              <w:color w:val="4F81BD" w:themeColor="accent1"/>
              <w:sz w:val="16"/>
              <w:lang w:val="en-GB"/>
            </w:rPr>
            <w:t>ANEX</w:t>
          </w:r>
          <w:r>
            <w:rPr>
              <w:rFonts w:eastAsiaTheme="minorHAnsi" w:cstheme="minorBidi"/>
              <w:noProof/>
              <w:color w:val="4F81BD" w:themeColor="accent1"/>
              <w:sz w:val="16"/>
              <w:lang w:val="en-GB"/>
            </w:rPr>
            <w:t>O</w:t>
          </w:r>
          <w:r w:rsidRPr="006D0ECA">
            <w:rPr>
              <w:rFonts w:eastAsiaTheme="minorHAnsi" w:cstheme="minorBidi"/>
              <w:noProof/>
              <w:color w:val="4F81BD" w:themeColor="accent1"/>
              <w:sz w:val="16"/>
              <w:lang w:val="en-GB"/>
            </w:rPr>
            <w:t xml:space="preserve"> III</w:t>
          </w:r>
        </w:p>
      </w:tc>
      <w:tc>
        <w:tcPr>
          <w:tcW w:w="7707" w:type="dxa"/>
        </w:tcPr>
        <w:p w:rsidR="00465BA1" w:rsidRPr="006D0ECA" w:rsidRDefault="00465BA1" w:rsidP="006D0ECA">
          <w:pPr>
            <w:pStyle w:val="Header"/>
            <w:tabs>
              <w:tab w:val="clear" w:pos="9072"/>
              <w:tab w:val="right" w:pos="9026"/>
            </w:tabs>
            <w:spacing w:line="220" w:lineRule="atLeast"/>
            <w:jc w:val="right"/>
            <w:rPr>
              <w:rFonts w:eastAsiaTheme="minorHAnsi" w:cstheme="minorBidi"/>
              <w:color w:val="4F81BD" w:themeColor="accent1"/>
              <w:sz w:val="16"/>
              <w:lang w:val="es-419"/>
            </w:rPr>
          </w:pPr>
          <w:r w:rsidRPr="006D0ECA">
            <w:rPr>
              <w:rFonts w:eastAsiaTheme="minorHAnsi" w:cstheme="minorBidi"/>
              <w:b/>
              <w:color w:val="4F81BD" w:themeColor="accent1"/>
              <w:sz w:val="16"/>
              <w:lang w:val="es-419"/>
            </w:rPr>
            <w:t>Organización Mundial de la Propiedad Intelectual</w:t>
          </w:r>
          <w:r>
            <w:rPr>
              <w:rFonts w:eastAsiaTheme="minorHAnsi" w:cstheme="minorBidi"/>
              <w:b/>
              <w:color w:val="4F81BD" w:themeColor="accent1"/>
              <w:sz w:val="16"/>
              <w:lang w:val="es-419"/>
            </w:rPr>
            <w:br/>
          </w:r>
          <w:r w:rsidRPr="006D0ECA">
            <w:rPr>
              <w:rFonts w:eastAsiaTheme="minorHAnsi" w:cstheme="minorBidi"/>
              <w:color w:val="4F81BD" w:themeColor="accent1"/>
              <w:sz w:val="16"/>
              <w:lang w:val="es-419"/>
            </w:rPr>
            <w:t>Pr</w:t>
          </w:r>
          <w:r>
            <w:rPr>
              <w:rFonts w:eastAsiaTheme="minorHAnsi" w:cstheme="minorBidi"/>
              <w:color w:val="4F81BD" w:themeColor="accent1"/>
              <w:sz w:val="16"/>
              <w:lang w:val="es-419"/>
            </w:rPr>
            <w:t>esupuesto por programas de</w:t>
          </w:r>
          <w:r w:rsidRPr="006D0ECA">
            <w:rPr>
              <w:rFonts w:eastAsiaTheme="minorHAnsi" w:cstheme="minorBidi"/>
              <w:color w:val="4F81BD" w:themeColor="accent1"/>
              <w:sz w:val="16"/>
              <w:lang w:val="es-419"/>
            </w:rPr>
            <w:t xml:space="preserve"> 2020/21</w:t>
          </w:r>
        </w:p>
        <w:p w:rsidR="00465BA1" w:rsidRDefault="00465BA1" w:rsidP="006D0ECA">
          <w:pPr>
            <w:pStyle w:val="Header"/>
            <w:jc w:val="right"/>
          </w:pPr>
        </w:p>
      </w:tc>
    </w:tr>
  </w:tbl>
  <w:p w:rsidR="00465BA1" w:rsidRPr="00CD6CF4" w:rsidRDefault="00465BA1" w:rsidP="00E07857">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8B55E37"/>
    <w:multiLevelType w:val="multilevel"/>
    <w:tmpl w:val="3676C0E6"/>
    <w:numStyleLink w:val="NumbListChart"/>
  </w:abstractNum>
  <w:abstractNum w:abstractNumId="2" w15:restartNumberingAfterBreak="0">
    <w:nsid w:val="2A0821E1"/>
    <w:multiLevelType w:val="hybridMultilevel"/>
    <w:tmpl w:val="2FB6BA18"/>
    <w:lvl w:ilvl="0" w:tplc="194E30A2">
      <w:start w:val="1"/>
      <w:numFmt w:val="decimal"/>
      <w:pStyle w:val="NormalNumb"/>
      <w:suff w:val="nothing"/>
      <w:lvlText w:val="%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2B24F0"/>
    <w:multiLevelType w:val="multilevel"/>
    <w:tmpl w:val="F660697A"/>
    <w:styleLink w:val="NumbLstTabBullet"/>
    <w:lvl w:ilvl="0">
      <w:start w:val="1"/>
      <w:numFmt w:val="bullet"/>
      <w:pStyle w:val="TableBullet1"/>
      <w:lvlText w:val="–"/>
      <w:lvlJc w:val="left"/>
      <w:pPr>
        <w:tabs>
          <w:tab w:val="num" w:pos="284"/>
        </w:tabs>
        <w:ind w:left="284" w:hanging="171"/>
      </w:pPr>
      <w:rPr>
        <w:rFonts w:ascii="Arial Narrow" w:hAnsi="Arial Narrow" w:hint="default"/>
        <w:color w:val="auto"/>
      </w:rPr>
    </w:lvl>
    <w:lvl w:ilvl="1">
      <w:start w:val="1"/>
      <w:numFmt w:val="bullet"/>
      <w:pStyle w:val="TableBullet2"/>
      <w:lvlText w:val="•"/>
      <w:lvlJc w:val="left"/>
      <w:pPr>
        <w:tabs>
          <w:tab w:val="num" w:pos="454"/>
        </w:tabs>
        <w:ind w:left="454" w:hanging="170"/>
      </w:pPr>
      <w:rPr>
        <w:rFonts w:ascii="Arial Narrow" w:hAnsi="Arial Narrow"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A565D3"/>
    <w:multiLevelType w:val="multilevel"/>
    <w:tmpl w:val="13609ACA"/>
    <w:styleLink w:val="NumbListAppendix"/>
    <w:lvl w:ilvl="0">
      <w:start w:val="1"/>
      <w:numFmt w:val="upperLetter"/>
      <w:pStyle w:val="AppendixTitle"/>
      <w:lvlText w:val="APÉNDIC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302C70"/>
    <w:multiLevelType w:val="multilevel"/>
    <w:tmpl w:val="E32E0FEE"/>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D71D74"/>
    <w:multiLevelType w:val="hybridMultilevel"/>
    <w:tmpl w:val="F2C4D49C"/>
    <w:lvl w:ilvl="0" w:tplc="C522549A">
      <w:start w:val="1"/>
      <w:numFmt w:val="upperRoman"/>
      <w:pStyle w:val="SectionTitleNum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34E14"/>
    <w:multiLevelType w:val="hybridMultilevel"/>
    <w:tmpl w:val="3446F166"/>
    <w:lvl w:ilvl="0" w:tplc="580A0001">
      <w:start w:val="1"/>
      <w:numFmt w:val="bullet"/>
      <w:lvlText w:val=""/>
      <w:lvlJc w:val="left"/>
      <w:pPr>
        <w:ind w:left="1060" w:hanging="360"/>
      </w:pPr>
      <w:rPr>
        <w:rFonts w:ascii="Symbol" w:hAnsi="Symbol" w:hint="default"/>
      </w:rPr>
    </w:lvl>
    <w:lvl w:ilvl="1" w:tplc="580A0003" w:tentative="1">
      <w:start w:val="1"/>
      <w:numFmt w:val="bullet"/>
      <w:lvlText w:val="o"/>
      <w:lvlJc w:val="left"/>
      <w:pPr>
        <w:ind w:left="1780" w:hanging="360"/>
      </w:pPr>
      <w:rPr>
        <w:rFonts w:ascii="Courier New" w:hAnsi="Courier New" w:cs="Courier New" w:hint="default"/>
      </w:rPr>
    </w:lvl>
    <w:lvl w:ilvl="2" w:tplc="580A0005" w:tentative="1">
      <w:start w:val="1"/>
      <w:numFmt w:val="bullet"/>
      <w:lvlText w:val=""/>
      <w:lvlJc w:val="left"/>
      <w:pPr>
        <w:ind w:left="2500" w:hanging="360"/>
      </w:pPr>
      <w:rPr>
        <w:rFonts w:ascii="Wingdings" w:hAnsi="Wingdings" w:hint="default"/>
      </w:rPr>
    </w:lvl>
    <w:lvl w:ilvl="3" w:tplc="580A0001" w:tentative="1">
      <w:start w:val="1"/>
      <w:numFmt w:val="bullet"/>
      <w:lvlText w:val=""/>
      <w:lvlJc w:val="left"/>
      <w:pPr>
        <w:ind w:left="3220" w:hanging="360"/>
      </w:pPr>
      <w:rPr>
        <w:rFonts w:ascii="Symbol" w:hAnsi="Symbol" w:hint="default"/>
      </w:rPr>
    </w:lvl>
    <w:lvl w:ilvl="4" w:tplc="580A0003" w:tentative="1">
      <w:start w:val="1"/>
      <w:numFmt w:val="bullet"/>
      <w:lvlText w:val="o"/>
      <w:lvlJc w:val="left"/>
      <w:pPr>
        <w:ind w:left="3940" w:hanging="360"/>
      </w:pPr>
      <w:rPr>
        <w:rFonts w:ascii="Courier New" w:hAnsi="Courier New" w:cs="Courier New" w:hint="default"/>
      </w:rPr>
    </w:lvl>
    <w:lvl w:ilvl="5" w:tplc="580A0005" w:tentative="1">
      <w:start w:val="1"/>
      <w:numFmt w:val="bullet"/>
      <w:lvlText w:val=""/>
      <w:lvlJc w:val="left"/>
      <w:pPr>
        <w:ind w:left="4660" w:hanging="360"/>
      </w:pPr>
      <w:rPr>
        <w:rFonts w:ascii="Wingdings" w:hAnsi="Wingdings" w:hint="default"/>
      </w:rPr>
    </w:lvl>
    <w:lvl w:ilvl="6" w:tplc="580A0001" w:tentative="1">
      <w:start w:val="1"/>
      <w:numFmt w:val="bullet"/>
      <w:lvlText w:val=""/>
      <w:lvlJc w:val="left"/>
      <w:pPr>
        <w:ind w:left="5380" w:hanging="360"/>
      </w:pPr>
      <w:rPr>
        <w:rFonts w:ascii="Symbol" w:hAnsi="Symbol" w:hint="default"/>
      </w:rPr>
    </w:lvl>
    <w:lvl w:ilvl="7" w:tplc="580A0003" w:tentative="1">
      <w:start w:val="1"/>
      <w:numFmt w:val="bullet"/>
      <w:lvlText w:val="o"/>
      <w:lvlJc w:val="left"/>
      <w:pPr>
        <w:ind w:left="6100" w:hanging="360"/>
      </w:pPr>
      <w:rPr>
        <w:rFonts w:ascii="Courier New" w:hAnsi="Courier New" w:cs="Courier New" w:hint="default"/>
      </w:rPr>
    </w:lvl>
    <w:lvl w:ilvl="8" w:tplc="580A0005" w:tentative="1">
      <w:start w:val="1"/>
      <w:numFmt w:val="bullet"/>
      <w:lvlText w:val=""/>
      <w:lvlJc w:val="left"/>
      <w:pPr>
        <w:ind w:left="6820" w:hanging="360"/>
      </w:pPr>
      <w:rPr>
        <w:rFonts w:ascii="Wingdings" w:hAnsi="Wingdings" w:hint="default"/>
      </w:rPr>
    </w:lvl>
  </w:abstractNum>
  <w:abstractNum w:abstractNumId="9" w15:restartNumberingAfterBreak="0">
    <w:nsid w:val="5A024755"/>
    <w:multiLevelType w:val="multilevel"/>
    <w:tmpl w:val="194E1AC4"/>
    <w:styleLink w:val="NumbListAnnex"/>
    <w:lvl w:ilvl="0">
      <w:start w:val="1"/>
      <w:numFmt w:val="upperRoman"/>
      <w:pStyle w:val="AnnexTitle"/>
      <w:lvlText w:val="ANEXO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7E7578"/>
    <w:multiLevelType w:val="multilevel"/>
    <w:tmpl w:val="F660697A"/>
    <w:numStyleLink w:val="NumbLstTabBullet"/>
  </w:abstractNum>
  <w:abstractNum w:abstractNumId="1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6D3B4B8E"/>
    <w:multiLevelType w:val="multilevel"/>
    <w:tmpl w:val="13609ACA"/>
    <w:numStyleLink w:val="NumbListAppendix"/>
  </w:abstractNum>
  <w:abstractNum w:abstractNumId="14"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C7438A7"/>
    <w:multiLevelType w:val="multilevel"/>
    <w:tmpl w:val="C0D8AC20"/>
    <w:numStyleLink w:val="NUmbListBullet"/>
  </w:abstractNum>
  <w:abstractNum w:abstractNumId="17" w15:restartNumberingAfterBreak="0">
    <w:nsid w:val="7CE23054"/>
    <w:multiLevelType w:val="multilevel"/>
    <w:tmpl w:val="452E730A"/>
    <w:styleLink w:val="NumbListMain"/>
    <w:lvl w:ilvl="0">
      <w:start w:val="1"/>
      <w:numFmt w:val="upperRoman"/>
      <w:lvlText w:val="%1."/>
      <w:lvlJc w:val="left"/>
      <w:pPr>
        <w:tabs>
          <w:tab w:val="num" w:pos="680"/>
        </w:tabs>
        <w:ind w:left="680" w:hanging="680"/>
      </w:pPr>
      <w:rPr>
        <w:rFonts w:hint="default"/>
      </w:rPr>
    </w:lvl>
    <w:lvl w:ilvl="1">
      <w:start w:val="1"/>
      <w:numFmt w:val="upperRoman"/>
      <w:lvlText w:val="Meta Estratégica %2"/>
      <w:lvlJc w:val="left"/>
      <w:pPr>
        <w:ind w:left="5954" w:hanging="2835"/>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2"/>
  </w:num>
  <w:num w:numId="3">
    <w:abstractNumId w:val="10"/>
  </w:num>
  <w:num w:numId="4">
    <w:abstractNumId w:val="17"/>
  </w:num>
  <w:num w:numId="5">
    <w:abstractNumId w:val="0"/>
  </w:num>
  <w:num w:numId="6">
    <w:abstractNumId w:val="1"/>
  </w:num>
  <w:num w:numId="7">
    <w:abstractNumId w:val="9"/>
    <w:lvlOverride w:ilvl="0">
      <w:lvl w:ilvl="0">
        <w:start w:val="1"/>
        <w:numFmt w:val="upperRoman"/>
        <w:pStyle w:val="AnnexTitle"/>
        <w:lvlText w:val="ANEXO %1"/>
        <w:lvlJc w:val="left"/>
        <w:pPr>
          <w:tabs>
            <w:tab w:val="num" w:pos="1814"/>
          </w:tabs>
          <w:ind w:left="1814" w:hanging="1814"/>
        </w:pPr>
        <w:rPr>
          <w:rFonts w:hint="default"/>
        </w:rPr>
      </w:lvl>
    </w:lvlOverride>
  </w:num>
  <w:num w:numId="8">
    <w:abstractNumId w:val="5"/>
  </w:num>
  <w:num w:numId="9">
    <w:abstractNumId w:val="3"/>
  </w:num>
  <w:num w:numId="10">
    <w:abstractNumId w:val="4"/>
  </w:num>
  <w:num w:numId="11">
    <w:abstractNumId w:val="14"/>
  </w:num>
  <w:num w:numId="12">
    <w:abstractNumId w:val="16"/>
  </w:num>
  <w:num w:numId="13">
    <w:abstractNumId w:val="11"/>
  </w:num>
  <w:num w:numId="14">
    <w:abstractNumId w:val="13"/>
  </w:num>
  <w:num w:numId="15">
    <w:abstractNumId w:val="7"/>
  </w:num>
  <w:num w:numId="16">
    <w:abstractNumId w:val="2"/>
  </w:num>
  <w:num w:numId="17">
    <w:abstractNumId w:val="6"/>
  </w:num>
  <w:num w:numId="18">
    <w:abstractNumId w:val="8"/>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CA"/>
    <w:rsid w:val="00067722"/>
    <w:rsid w:val="000F5E56"/>
    <w:rsid w:val="003E6531"/>
    <w:rsid w:val="003E6FB0"/>
    <w:rsid w:val="00431118"/>
    <w:rsid w:val="00432785"/>
    <w:rsid w:val="00465BA1"/>
    <w:rsid w:val="00476CF8"/>
    <w:rsid w:val="006D0ECA"/>
    <w:rsid w:val="007B240C"/>
    <w:rsid w:val="007D53C7"/>
    <w:rsid w:val="00804DB7"/>
    <w:rsid w:val="00C554EC"/>
    <w:rsid w:val="00E07857"/>
    <w:rsid w:val="00FC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43D252A-54AF-4D5A-AC5B-4469854F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49" w:qFormat="1"/>
    <w:lsdException w:name="heading 2" w:uiPriority="49" w:qFormat="1"/>
    <w:lsdException w:name="heading 3" w:uiPriority="49" w:qFormat="1"/>
    <w:lsdException w:name="heading 4" w:uiPriority="6"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val="es-ES_tradnl"/>
    </w:rPr>
  </w:style>
  <w:style w:type="paragraph" w:styleId="Heading1">
    <w:name w:val="heading 1"/>
    <w:basedOn w:val="Normal"/>
    <w:next w:val="Normal"/>
    <w:link w:val="Heading1Char"/>
    <w:uiPriority w:val="49"/>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4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49"/>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uiPriority w:val="6"/>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uiPriority w:val="35"/>
    <w:qFormat/>
    <w:rsid w:val="00804DB7"/>
    <w:rPr>
      <w:b/>
      <w:bCs/>
      <w:sz w:val="18"/>
    </w:rPr>
  </w:style>
  <w:style w:type="paragraph" w:styleId="CommentText">
    <w:name w:val="annotation text"/>
    <w:basedOn w:val="Normal"/>
    <w:link w:val="CommentTextChar1"/>
    <w:uiPriority w:val="99"/>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numbering" w:customStyle="1" w:styleId="NoList1">
    <w:name w:val="No List1"/>
    <w:next w:val="NoList"/>
    <w:uiPriority w:val="99"/>
    <w:semiHidden/>
    <w:unhideWhenUsed/>
    <w:rsid w:val="006D0ECA"/>
  </w:style>
  <w:style w:type="character" w:customStyle="1" w:styleId="Heading1Char">
    <w:name w:val="Heading 1 Char"/>
    <w:basedOn w:val="DefaultParagraphFont"/>
    <w:link w:val="Heading1"/>
    <w:uiPriority w:val="49"/>
    <w:rsid w:val="006D0ECA"/>
    <w:rPr>
      <w:rFonts w:ascii="Arial" w:eastAsia="SimSun" w:hAnsi="Arial" w:cs="Arial"/>
      <w:b/>
      <w:bCs/>
      <w:caps/>
      <w:kern w:val="32"/>
      <w:sz w:val="22"/>
      <w:szCs w:val="32"/>
      <w:lang w:val="es-ES_tradnl"/>
    </w:rPr>
  </w:style>
  <w:style w:type="character" w:customStyle="1" w:styleId="Heading2Char">
    <w:name w:val="Heading 2 Char"/>
    <w:basedOn w:val="DefaultParagraphFont"/>
    <w:link w:val="Heading2"/>
    <w:uiPriority w:val="49"/>
    <w:rsid w:val="006D0ECA"/>
    <w:rPr>
      <w:rFonts w:ascii="Arial" w:eastAsia="SimSun" w:hAnsi="Arial" w:cs="Arial"/>
      <w:bCs/>
      <w:iCs/>
      <w:caps/>
      <w:sz w:val="22"/>
      <w:szCs w:val="28"/>
      <w:lang w:val="es-ES_tradnl"/>
    </w:rPr>
  </w:style>
  <w:style w:type="paragraph" w:customStyle="1" w:styleId="Heading1Numb">
    <w:name w:val="Heading 1Numb"/>
    <w:basedOn w:val="Heading1NoNumb"/>
    <w:uiPriority w:val="49"/>
    <w:semiHidden/>
    <w:qFormat/>
    <w:rsid w:val="006D0ECA"/>
  </w:style>
  <w:style w:type="paragraph" w:customStyle="1" w:styleId="NormalNumb">
    <w:name w:val="NormalNumb"/>
    <w:basedOn w:val="Normal"/>
    <w:uiPriority w:val="6"/>
    <w:qFormat/>
    <w:rsid w:val="006D0ECA"/>
    <w:pPr>
      <w:numPr>
        <w:numId w:val="16"/>
      </w:numPr>
      <w:spacing w:after="180" w:line="220" w:lineRule="atLeast"/>
    </w:pPr>
    <w:rPr>
      <w:rFonts w:eastAsia="Arial"/>
      <w:sz w:val="18"/>
      <w:szCs w:val="22"/>
    </w:rPr>
  </w:style>
  <w:style w:type="numbering" w:customStyle="1" w:styleId="NumbListMain">
    <w:name w:val="NumbListMain"/>
    <w:uiPriority w:val="99"/>
    <w:rsid w:val="006D0ECA"/>
    <w:pPr>
      <w:numPr>
        <w:numId w:val="4"/>
      </w:numPr>
    </w:pPr>
  </w:style>
  <w:style w:type="character" w:customStyle="1" w:styleId="Heading3Char">
    <w:name w:val="Heading 3 Char"/>
    <w:basedOn w:val="DefaultParagraphFont"/>
    <w:link w:val="Heading3"/>
    <w:uiPriority w:val="49"/>
    <w:rsid w:val="006D0ECA"/>
    <w:rPr>
      <w:rFonts w:ascii="Arial" w:eastAsia="SimSun" w:hAnsi="Arial" w:cs="Arial"/>
      <w:bCs/>
      <w:sz w:val="22"/>
      <w:szCs w:val="26"/>
      <w:u w:val="single"/>
      <w:lang w:val="es-ES_tradnl"/>
    </w:rPr>
  </w:style>
  <w:style w:type="character" w:customStyle="1" w:styleId="FootnoteTextChar">
    <w:name w:val="Footnote Text Char"/>
    <w:basedOn w:val="DefaultParagraphFont"/>
    <w:link w:val="FootnoteText"/>
    <w:uiPriority w:val="99"/>
    <w:rsid w:val="006D0ECA"/>
    <w:rPr>
      <w:rFonts w:ascii="Arial" w:hAnsi="Arial" w:cs="Arial"/>
      <w:sz w:val="18"/>
      <w:lang w:val="es-ES_tradnl"/>
    </w:rPr>
  </w:style>
  <w:style w:type="character" w:styleId="FootnoteReference">
    <w:name w:val="footnote reference"/>
    <w:aliases w:val="Footnote,callout"/>
    <w:basedOn w:val="DefaultParagraphFont"/>
    <w:uiPriority w:val="99"/>
    <w:unhideWhenUsed/>
    <w:rsid w:val="006D0ECA"/>
    <w:rPr>
      <w:vertAlign w:val="superscript"/>
    </w:rPr>
  </w:style>
  <w:style w:type="table" w:styleId="TableGrid">
    <w:name w:val="Table Grid"/>
    <w:basedOn w:val="TableNormal"/>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17"/>
    <w:qFormat/>
    <w:rsid w:val="006D0ECA"/>
    <w:pPr>
      <w:spacing w:line="200" w:lineRule="atLeast"/>
      <w:ind w:left="113"/>
    </w:pPr>
    <w:rPr>
      <w:rFonts w:ascii="Arial Narrow" w:eastAsia="Arial" w:hAnsi="Arial Narrow"/>
      <w:sz w:val="16"/>
      <w:szCs w:val="22"/>
    </w:rPr>
  </w:style>
  <w:style w:type="paragraph" w:customStyle="1" w:styleId="TableTextBold">
    <w:name w:val="TableTextBold"/>
    <w:basedOn w:val="TableText"/>
    <w:uiPriority w:val="17"/>
    <w:qFormat/>
    <w:rsid w:val="006D0ECA"/>
    <w:rPr>
      <w:b/>
    </w:rPr>
  </w:style>
  <w:style w:type="paragraph" w:customStyle="1" w:styleId="TableTextItalic">
    <w:name w:val="TableTextItalic"/>
    <w:basedOn w:val="TableText"/>
    <w:uiPriority w:val="17"/>
    <w:qFormat/>
    <w:rsid w:val="006D0ECA"/>
    <w:pPr>
      <w:ind w:left="340"/>
    </w:pPr>
    <w:rPr>
      <w:i/>
    </w:rPr>
  </w:style>
  <w:style w:type="paragraph" w:customStyle="1" w:styleId="TableHeading">
    <w:name w:val="TableHeading"/>
    <w:basedOn w:val="TableText"/>
    <w:uiPriority w:val="17"/>
    <w:qFormat/>
    <w:rsid w:val="006D0ECA"/>
    <w:pPr>
      <w:spacing w:before="40" w:after="20"/>
    </w:pPr>
    <w:rPr>
      <w:b/>
    </w:rPr>
  </w:style>
  <w:style w:type="paragraph" w:customStyle="1" w:styleId="TableNumb">
    <w:name w:val="TableNumb"/>
    <w:basedOn w:val="TableText"/>
    <w:uiPriority w:val="19"/>
    <w:qFormat/>
    <w:rsid w:val="006D0ECA"/>
    <w:pPr>
      <w:ind w:left="0" w:right="113"/>
      <w:jc w:val="right"/>
    </w:pPr>
  </w:style>
  <w:style w:type="paragraph" w:customStyle="1" w:styleId="TableHeadingRight">
    <w:name w:val="TableHeadingRight"/>
    <w:basedOn w:val="TableHeading"/>
    <w:uiPriority w:val="17"/>
    <w:qFormat/>
    <w:rsid w:val="006D0ECA"/>
    <w:pPr>
      <w:ind w:left="0" w:right="113"/>
      <w:jc w:val="right"/>
    </w:pPr>
  </w:style>
  <w:style w:type="paragraph" w:customStyle="1" w:styleId="TableNumbBold">
    <w:name w:val="TableNumbBold"/>
    <w:basedOn w:val="TableNumb"/>
    <w:uiPriority w:val="19"/>
    <w:qFormat/>
    <w:rsid w:val="006D0ECA"/>
    <w:rPr>
      <w:b/>
    </w:rPr>
  </w:style>
  <w:style w:type="character" w:styleId="PlaceholderText">
    <w:name w:val="Placeholder Text"/>
    <w:basedOn w:val="DefaultParagraphFont"/>
    <w:uiPriority w:val="99"/>
    <w:semiHidden/>
    <w:rsid w:val="006D0ECA"/>
    <w:rPr>
      <w:color w:val="808080"/>
    </w:rPr>
  </w:style>
  <w:style w:type="numbering" w:customStyle="1" w:styleId="NumbListTable">
    <w:name w:val="NumbListTable"/>
    <w:uiPriority w:val="99"/>
    <w:rsid w:val="006D0ECA"/>
    <w:pPr>
      <w:numPr>
        <w:numId w:val="11"/>
      </w:numPr>
    </w:pPr>
  </w:style>
  <w:style w:type="paragraph" w:customStyle="1" w:styleId="TableAndChartTitleAddText">
    <w:name w:val="TableAndChartTitleAddText"/>
    <w:basedOn w:val="Normal"/>
    <w:next w:val="Normal"/>
    <w:uiPriority w:val="15"/>
    <w:qFormat/>
    <w:rsid w:val="006D0ECA"/>
    <w:pPr>
      <w:keepNext/>
      <w:keepLines/>
      <w:spacing w:before="60" w:after="180" w:line="220" w:lineRule="atLeast"/>
      <w:jc w:val="center"/>
    </w:pPr>
    <w:rPr>
      <w:rFonts w:eastAsia="Arial"/>
      <w:i/>
      <w:sz w:val="18"/>
      <w:szCs w:val="22"/>
    </w:rPr>
  </w:style>
  <w:style w:type="character" w:customStyle="1" w:styleId="HeaderChar">
    <w:name w:val="Header Char"/>
    <w:basedOn w:val="DefaultParagraphFont"/>
    <w:link w:val="Header"/>
    <w:uiPriority w:val="99"/>
    <w:rsid w:val="006D0ECA"/>
    <w:rPr>
      <w:rFonts w:ascii="Arial" w:hAnsi="Arial" w:cs="Arial"/>
      <w:sz w:val="22"/>
      <w:lang w:val="es-ES_tradnl"/>
    </w:rPr>
  </w:style>
  <w:style w:type="character" w:customStyle="1" w:styleId="FooterChar">
    <w:name w:val="Footer Char"/>
    <w:basedOn w:val="DefaultParagraphFont"/>
    <w:link w:val="Footer"/>
    <w:uiPriority w:val="99"/>
    <w:rsid w:val="006D0ECA"/>
    <w:rPr>
      <w:rFonts w:ascii="Arial" w:hAnsi="Arial" w:cs="Arial"/>
      <w:sz w:val="22"/>
      <w:lang w:val="es-ES_tradnl"/>
    </w:rPr>
  </w:style>
  <w:style w:type="paragraph" w:customStyle="1" w:styleId="ChartTitle">
    <w:name w:val="ChartTitle"/>
    <w:basedOn w:val="Normal"/>
    <w:next w:val="Normal"/>
    <w:uiPriority w:val="49"/>
    <w:semiHidden/>
    <w:qFormat/>
    <w:rsid w:val="006D0ECA"/>
    <w:pPr>
      <w:numPr>
        <w:numId w:val="6"/>
      </w:numPr>
      <w:tabs>
        <w:tab w:val="num" w:pos="567"/>
      </w:tabs>
      <w:spacing w:before="180" w:after="90" w:line="220" w:lineRule="atLeast"/>
      <w:jc w:val="center"/>
    </w:pPr>
    <w:rPr>
      <w:rFonts w:eastAsia="Arial"/>
      <w:b/>
      <w:color w:val="005172"/>
      <w:sz w:val="18"/>
      <w:szCs w:val="22"/>
    </w:rPr>
  </w:style>
  <w:style w:type="numbering" w:customStyle="1" w:styleId="NumbListChart">
    <w:name w:val="NumbListChart"/>
    <w:uiPriority w:val="99"/>
    <w:rsid w:val="006D0ECA"/>
    <w:pPr>
      <w:numPr>
        <w:numId w:val="5"/>
      </w:numPr>
    </w:pPr>
  </w:style>
  <w:style w:type="paragraph" w:styleId="BalloonText">
    <w:name w:val="Balloon Text"/>
    <w:basedOn w:val="Normal"/>
    <w:link w:val="BalloonTextChar"/>
    <w:uiPriority w:val="99"/>
    <w:semiHidden/>
    <w:unhideWhenUsed/>
    <w:rsid w:val="006D0ECA"/>
    <w:pPr>
      <w:spacing w:line="220" w:lineRule="atLeast"/>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6D0ECA"/>
    <w:rPr>
      <w:rFonts w:ascii="Tahoma" w:eastAsia="Arial" w:hAnsi="Tahoma" w:cs="Tahoma"/>
      <w:sz w:val="16"/>
      <w:szCs w:val="16"/>
      <w:lang w:val="es-ES_tradnl"/>
    </w:rPr>
  </w:style>
  <w:style w:type="paragraph" w:customStyle="1" w:styleId="NormalNoSpace">
    <w:name w:val="NormalNoSpace"/>
    <w:basedOn w:val="Normal"/>
    <w:uiPriority w:val="6"/>
    <w:qFormat/>
    <w:rsid w:val="006D0ECA"/>
    <w:pPr>
      <w:spacing w:line="220" w:lineRule="atLeast"/>
    </w:pPr>
    <w:rPr>
      <w:rFonts w:eastAsia="Arial"/>
      <w:sz w:val="18"/>
      <w:szCs w:val="22"/>
    </w:rPr>
  </w:style>
  <w:style w:type="paragraph" w:customStyle="1" w:styleId="TableNumbItalics">
    <w:name w:val="TableNumbItalics"/>
    <w:basedOn w:val="TableNumb"/>
    <w:uiPriority w:val="19"/>
    <w:qFormat/>
    <w:rsid w:val="006D0ECA"/>
    <w:rPr>
      <w:i/>
    </w:rPr>
  </w:style>
  <w:style w:type="paragraph" w:customStyle="1" w:styleId="NormalNumb2">
    <w:name w:val="NormalNumb2"/>
    <w:basedOn w:val="NormalNumb"/>
    <w:uiPriority w:val="6"/>
    <w:qFormat/>
    <w:rsid w:val="006D0ECA"/>
  </w:style>
  <w:style w:type="paragraph" w:customStyle="1" w:styleId="FooterSmall">
    <w:name w:val="FooterSmall"/>
    <w:basedOn w:val="Footer"/>
    <w:uiPriority w:val="49"/>
    <w:semiHidden/>
    <w:qFormat/>
    <w:rsid w:val="006D0ECA"/>
    <w:pPr>
      <w:tabs>
        <w:tab w:val="clear" w:pos="4320"/>
        <w:tab w:val="clear" w:pos="8640"/>
        <w:tab w:val="center" w:pos="4513"/>
        <w:tab w:val="right" w:pos="9026"/>
      </w:tabs>
      <w:spacing w:line="220" w:lineRule="atLeast"/>
    </w:pPr>
    <w:rPr>
      <w:rFonts w:eastAsia="Arial"/>
      <w:sz w:val="16"/>
      <w:szCs w:val="22"/>
    </w:rPr>
  </w:style>
  <w:style w:type="paragraph" w:customStyle="1" w:styleId="SectionTitle">
    <w:name w:val="SectionTitle"/>
    <w:basedOn w:val="Normal"/>
    <w:uiPriority w:val="1"/>
    <w:qFormat/>
    <w:rsid w:val="006D0ECA"/>
    <w:pPr>
      <w:keepNext/>
      <w:keepLines/>
      <w:pageBreakBefore/>
      <w:spacing w:after="480" w:line="220" w:lineRule="atLeast"/>
      <w:outlineLvl w:val="0"/>
    </w:pPr>
    <w:rPr>
      <w:rFonts w:eastAsia="Arial"/>
      <w:caps/>
      <w:color w:val="005172"/>
      <w:sz w:val="44"/>
      <w:szCs w:val="22"/>
    </w:rPr>
  </w:style>
  <w:style w:type="paragraph" w:customStyle="1" w:styleId="SectionTitleNumb">
    <w:name w:val="SectionTitleNumb"/>
    <w:basedOn w:val="SectionTitle"/>
    <w:uiPriority w:val="1"/>
    <w:qFormat/>
    <w:rsid w:val="006D0ECA"/>
    <w:pPr>
      <w:numPr>
        <w:numId w:val="15"/>
      </w:numPr>
      <w:ind w:left="680" w:hanging="680"/>
    </w:pPr>
  </w:style>
  <w:style w:type="paragraph" w:customStyle="1" w:styleId="StrategyTitle">
    <w:name w:val="StrategyTitle"/>
    <w:basedOn w:val="Normal"/>
    <w:uiPriority w:val="2"/>
    <w:qFormat/>
    <w:rsid w:val="006D0ECA"/>
    <w:pPr>
      <w:keepNext/>
      <w:keepLines/>
      <w:pageBreakBefore/>
      <w:spacing w:after="180" w:line="220" w:lineRule="atLeast"/>
      <w:outlineLvl w:val="0"/>
    </w:pPr>
    <w:rPr>
      <w:rFonts w:eastAsia="Arial"/>
      <w:b/>
      <w:color w:val="005172"/>
      <w:sz w:val="32"/>
      <w:szCs w:val="22"/>
    </w:rPr>
  </w:style>
  <w:style w:type="paragraph" w:customStyle="1" w:styleId="ProgramTitle">
    <w:name w:val="ProgramTitle"/>
    <w:basedOn w:val="Normal"/>
    <w:uiPriority w:val="3"/>
    <w:qFormat/>
    <w:rsid w:val="006D0ECA"/>
    <w:pPr>
      <w:keepNext/>
      <w:keepLines/>
      <w:pageBreakBefore/>
      <w:tabs>
        <w:tab w:val="left" w:pos="2410"/>
      </w:tabs>
      <w:spacing w:after="180" w:line="220" w:lineRule="atLeast"/>
      <w:ind w:left="2410" w:hanging="2410"/>
      <w:outlineLvl w:val="1"/>
    </w:pPr>
    <w:rPr>
      <w:rFonts w:eastAsia="Arial"/>
      <w:b/>
      <w:color w:val="005172"/>
      <w:sz w:val="32"/>
      <w:szCs w:val="22"/>
    </w:rPr>
  </w:style>
  <w:style w:type="paragraph" w:customStyle="1" w:styleId="TOC11">
    <w:name w:val="TOC 11"/>
    <w:basedOn w:val="Normal"/>
    <w:next w:val="Normal"/>
    <w:autoRedefine/>
    <w:uiPriority w:val="39"/>
    <w:qFormat/>
    <w:rsid w:val="006D0ECA"/>
    <w:pPr>
      <w:keepNext/>
      <w:pBdr>
        <w:top w:val="single" w:sz="4" w:space="9" w:color="005172"/>
        <w:between w:val="single" w:sz="4" w:space="9" w:color="005172"/>
      </w:pBdr>
      <w:tabs>
        <w:tab w:val="left" w:pos="680"/>
        <w:tab w:val="right" w:pos="9639"/>
      </w:tabs>
      <w:spacing w:line="220" w:lineRule="atLeast"/>
    </w:pPr>
    <w:rPr>
      <w:rFonts w:eastAsia="Arial"/>
      <w:color w:val="005172"/>
      <w:szCs w:val="22"/>
    </w:rPr>
  </w:style>
  <w:style w:type="paragraph" w:styleId="TOC2">
    <w:name w:val="toc 2"/>
    <w:basedOn w:val="Normal"/>
    <w:next w:val="Normal"/>
    <w:autoRedefine/>
    <w:uiPriority w:val="39"/>
    <w:qFormat/>
    <w:rsid w:val="006D0ECA"/>
    <w:pPr>
      <w:keepNext/>
      <w:tabs>
        <w:tab w:val="left" w:pos="2552"/>
        <w:tab w:val="right" w:leader="dot" w:pos="9639"/>
      </w:tabs>
      <w:spacing w:before="180" w:after="90" w:line="220" w:lineRule="atLeast"/>
      <w:ind w:left="2552" w:right="-1" w:hanging="1872"/>
    </w:pPr>
    <w:rPr>
      <w:rFonts w:eastAsia="Arial"/>
      <w:b/>
      <w:sz w:val="18"/>
      <w:szCs w:val="22"/>
    </w:rPr>
  </w:style>
  <w:style w:type="paragraph" w:styleId="TOC3">
    <w:name w:val="toc 3"/>
    <w:basedOn w:val="Normal"/>
    <w:next w:val="Normal"/>
    <w:autoRedefine/>
    <w:uiPriority w:val="39"/>
    <w:qFormat/>
    <w:rsid w:val="006D0ECA"/>
    <w:pPr>
      <w:tabs>
        <w:tab w:val="left" w:pos="2552"/>
        <w:tab w:val="right" w:leader="dot" w:pos="9639"/>
      </w:tabs>
      <w:spacing w:before="90" w:after="90" w:line="220" w:lineRule="atLeast"/>
      <w:ind w:left="2552" w:hanging="1872"/>
    </w:pPr>
    <w:rPr>
      <w:rFonts w:eastAsia="Arial"/>
      <w:sz w:val="18"/>
      <w:szCs w:val="22"/>
    </w:rPr>
  </w:style>
  <w:style w:type="character" w:customStyle="1" w:styleId="Hyperlink1">
    <w:name w:val="Hyperlink1"/>
    <w:basedOn w:val="DefaultParagraphFont"/>
    <w:uiPriority w:val="99"/>
    <w:unhideWhenUsed/>
    <w:rsid w:val="006D0ECA"/>
    <w:rPr>
      <w:color w:val="005694"/>
      <w:u w:val="single"/>
    </w:rPr>
  </w:style>
  <w:style w:type="paragraph" w:customStyle="1" w:styleId="ProgramAnnex">
    <w:name w:val="ProgramAnnex"/>
    <w:basedOn w:val="Normal"/>
    <w:uiPriority w:val="5"/>
    <w:semiHidden/>
    <w:qFormat/>
    <w:rsid w:val="006D0ECA"/>
    <w:pPr>
      <w:keepNext/>
      <w:keepLines/>
      <w:pageBreakBefore/>
      <w:spacing w:after="120" w:line="220" w:lineRule="atLeast"/>
      <w:ind w:left="3260" w:hanging="3260"/>
      <w:outlineLvl w:val="1"/>
    </w:pPr>
    <w:rPr>
      <w:rFonts w:eastAsia="Arial"/>
      <w:b/>
      <w:color w:val="005172"/>
      <w:sz w:val="32"/>
      <w:szCs w:val="22"/>
    </w:rPr>
  </w:style>
  <w:style w:type="paragraph" w:styleId="TOC4">
    <w:name w:val="toc 4"/>
    <w:basedOn w:val="Normal"/>
    <w:next w:val="Normal"/>
    <w:autoRedefine/>
    <w:uiPriority w:val="39"/>
    <w:rsid w:val="006D0ECA"/>
    <w:pPr>
      <w:tabs>
        <w:tab w:val="left" w:pos="4395"/>
        <w:tab w:val="right" w:leader="dot" w:pos="9639"/>
      </w:tabs>
      <w:spacing w:after="90" w:line="220" w:lineRule="atLeast"/>
      <w:ind w:left="2552"/>
    </w:pPr>
    <w:rPr>
      <w:rFonts w:eastAsia="Arial"/>
      <w:i/>
      <w:sz w:val="18"/>
      <w:szCs w:val="22"/>
    </w:rPr>
  </w:style>
  <w:style w:type="paragraph" w:customStyle="1" w:styleId="TableHeading2">
    <w:name w:val="TableHeading2"/>
    <w:basedOn w:val="TableHeading"/>
    <w:uiPriority w:val="16"/>
    <w:qFormat/>
    <w:rsid w:val="006D0ECA"/>
    <w:pPr>
      <w:spacing w:before="60" w:after="60"/>
    </w:pPr>
    <w:rPr>
      <w:rFonts w:ascii="Arial Bold" w:hAnsi="Arial Bold"/>
      <w:color w:val="005172"/>
      <w:sz w:val="22"/>
    </w:rPr>
  </w:style>
  <w:style w:type="paragraph" w:customStyle="1" w:styleId="TableAndChartTitle">
    <w:name w:val="TableAndChartTitle"/>
    <w:basedOn w:val="Normal"/>
    <w:next w:val="Normal"/>
    <w:uiPriority w:val="14"/>
    <w:qFormat/>
    <w:rsid w:val="006D0ECA"/>
    <w:pPr>
      <w:keepNext/>
      <w:keepLines/>
      <w:spacing w:before="240" w:after="60" w:line="220" w:lineRule="atLeast"/>
      <w:jc w:val="center"/>
    </w:pPr>
    <w:rPr>
      <w:rFonts w:eastAsia="Arial"/>
      <w:b/>
      <w:color w:val="005172"/>
      <w:sz w:val="18"/>
      <w:szCs w:val="22"/>
    </w:rPr>
  </w:style>
  <w:style w:type="paragraph" w:customStyle="1" w:styleId="Heading1NoNumb">
    <w:name w:val="Heading 1NoNumb"/>
    <w:basedOn w:val="Normal"/>
    <w:next w:val="Normal"/>
    <w:uiPriority w:val="6"/>
    <w:qFormat/>
    <w:rsid w:val="006D0ECA"/>
    <w:pPr>
      <w:keepNext/>
      <w:spacing w:before="320" w:after="240" w:line="220" w:lineRule="atLeast"/>
      <w:outlineLvl w:val="2"/>
    </w:pPr>
    <w:rPr>
      <w:rFonts w:eastAsia="Arial"/>
      <w:color w:val="005172"/>
      <w:sz w:val="32"/>
      <w:szCs w:val="22"/>
    </w:rPr>
  </w:style>
  <w:style w:type="paragraph" w:customStyle="1" w:styleId="Heading2NoNumb">
    <w:name w:val="Heading 2NoNumb"/>
    <w:basedOn w:val="Normal"/>
    <w:uiPriority w:val="6"/>
    <w:qFormat/>
    <w:rsid w:val="006D0ECA"/>
    <w:pPr>
      <w:keepNext/>
      <w:spacing w:before="240" w:after="180" w:line="220" w:lineRule="atLeast"/>
      <w:outlineLvl w:val="2"/>
    </w:pPr>
    <w:rPr>
      <w:rFonts w:ascii="Arial Bold" w:eastAsia="Arial" w:hAnsi="Arial Bold"/>
      <w:b/>
      <w:color w:val="005172"/>
      <w:szCs w:val="22"/>
    </w:rPr>
  </w:style>
  <w:style w:type="paragraph" w:customStyle="1" w:styleId="AnnexTitle">
    <w:name w:val="AnnexTitle"/>
    <w:basedOn w:val="Normal"/>
    <w:uiPriority w:val="5"/>
    <w:qFormat/>
    <w:rsid w:val="006D0ECA"/>
    <w:pPr>
      <w:keepNext/>
      <w:keepLines/>
      <w:pageBreakBefore/>
      <w:numPr>
        <w:numId w:val="7"/>
      </w:numPr>
      <w:tabs>
        <w:tab w:val="clear" w:pos="1814"/>
        <w:tab w:val="num" w:pos="567"/>
      </w:tabs>
      <w:spacing w:after="180" w:line="220" w:lineRule="atLeast"/>
      <w:ind w:left="0" w:firstLine="0"/>
      <w:outlineLvl w:val="1"/>
    </w:pPr>
    <w:rPr>
      <w:rFonts w:eastAsia="Arial"/>
      <w:b/>
      <w:color w:val="005172"/>
      <w:sz w:val="32"/>
      <w:szCs w:val="22"/>
    </w:rPr>
  </w:style>
  <w:style w:type="numbering" w:customStyle="1" w:styleId="NumbListAnnex">
    <w:name w:val="NumbListAnnex"/>
    <w:uiPriority w:val="99"/>
    <w:rsid w:val="006D0ECA"/>
    <w:pPr>
      <w:numPr>
        <w:numId w:val="19"/>
      </w:numPr>
    </w:pPr>
  </w:style>
  <w:style w:type="paragraph" w:customStyle="1" w:styleId="AppendixTitle">
    <w:name w:val="AppendixTitle"/>
    <w:basedOn w:val="Normal"/>
    <w:next w:val="Normal"/>
    <w:uiPriority w:val="6"/>
    <w:qFormat/>
    <w:rsid w:val="006D0ECA"/>
    <w:pPr>
      <w:keepNext/>
      <w:keepLines/>
      <w:pageBreakBefore/>
      <w:numPr>
        <w:numId w:val="14"/>
      </w:numPr>
      <w:tabs>
        <w:tab w:val="clear" w:pos="2268"/>
        <w:tab w:val="num" w:pos="360"/>
      </w:tabs>
      <w:spacing w:after="180" w:line="220" w:lineRule="atLeast"/>
      <w:ind w:left="0" w:firstLine="0"/>
      <w:outlineLvl w:val="1"/>
    </w:pPr>
    <w:rPr>
      <w:rFonts w:eastAsia="Arial"/>
      <w:b/>
      <w:color w:val="005172"/>
      <w:sz w:val="32"/>
      <w:szCs w:val="22"/>
    </w:rPr>
  </w:style>
  <w:style w:type="numbering" w:customStyle="1" w:styleId="NumbListAppendix">
    <w:name w:val="NumbListAppendix"/>
    <w:uiPriority w:val="99"/>
    <w:rsid w:val="006D0ECA"/>
    <w:pPr>
      <w:numPr>
        <w:numId w:val="8"/>
      </w:numPr>
    </w:pPr>
  </w:style>
  <w:style w:type="paragraph" w:customStyle="1" w:styleId="SectionTitleNoTOC">
    <w:name w:val="SectionTitleNoTOC"/>
    <w:basedOn w:val="SectionTitle"/>
    <w:uiPriority w:val="6"/>
    <w:qFormat/>
    <w:rsid w:val="006D0ECA"/>
  </w:style>
  <w:style w:type="paragraph" w:customStyle="1" w:styleId="TableNotes">
    <w:name w:val="TableNotes"/>
    <w:basedOn w:val="Normal"/>
    <w:uiPriority w:val="8"/>
    <w:qFormat/>
    <w:rsid w:val="006D0ECA"/>
    <w:pPr>
      <w:spacing w:before="60" w:after="180" w:line="220" w:lineRule="atLeast"/>
    </w:pPr>
    <w:rPr>
      <w:rFonts w:eastAsia="Arial"/>
      <w:sz w:val="15"/>
      <w:szCs w:val="22"/>
    </w:rPr>
  </w:style>
  <w:style w:type="paragraph" w:customStyle="1" w:styleId="Bullet1">
    <w:name w:val="Bullet 1"/>
    <w:basedOn w:val="Normal"/>
    <w:uiPriority w:val="6"/>
    <w:qFormat/>
    <w:rsid w:val="006D0ECA"/>
    <w:pPr>
      <w:numPr>
        <w:numId w:val="12"/>
      </w:numPr>
      <w:tabs>
        <w:tab w:val="clear" w:pos="340"/>
        <w:tab w:val="num" w:pos="1814"/>
      </w:tabs>
      <w:spacing w:after="180" w:line="220" w:lineRule="atLeast"/>
      <w:ind w:left="1814" w:hanging="1814"/>
    </w:pPr>
    <w:rPr>
      <w:rFonts w:eastAsia="Arial"/>
      <w:sz w:val="18"/>
      <w:szCs w:val="22"/>
    </w:rPr>
  </w:style>
  <w:style w:type="numbering" w:customStyle="1" w:styleId="NUmbListBullet">
    <w:name w:val="NUmbListBullet"/>
    <w:uiPriority w:val="99"/>
    <w:rsid w:val="006D0ECA"/>
    <w:pPr>
      <w:numPr>
        <w:numId w:val="9"/>
      </w:numPr>
    </w:pPr>
  </w:style>
  <w:style w:type="character" w:customStyle="1" w:styleId="charColoured">
    <w:name w:val="charColoured"/>
    <w:basedOn w:val="DefaultParagraphFont"/>
    <w:uiPriority w:val="1"/>
    <w:qFormat/>
    <w:rsid w:val="006D0ECA"/>
    <w:rPr>
      <w:color w:val="005172"/>
    </w:rPr>
  </w:style>
  <w:style w:type="character" w:customStyle="1" w:styleId="Heading4Char">
    <w:name w:val="Heading 4 Char"/>
    <w:basedOn w:val="DefaultParagraphFont"/>
    <w:link w:val="Heading4"/>
    <w:uiPriority w:val="6"/>
    <w:rsid w:val="006D0ECA"/>
    <w:rPr>
      <w:rFonts w:ascii="Arial" w:eastAsia="SimSun" w:hAnsi="Arial" w:cs="Arial"/>
      <w:bCs/>
      <w:i/>
      <w:sz w:val="22"/>
      <w:szCs w:val="28"/>
      <w:lang w:val="es-ES_tradnl"/>
    </w:rPr>
  </w:style>
  <w:style w:type="paragraph" w:customStyle="1" w:styleId="TOCHeading1">
    <w:name w:val="TOC Heading1"/>
    <w:basedOn w:val="Heading1"/>
    <w:next w:val="Normal"/>
    <w:uiPriority w:val="39"/>
    <w:semiHidden/>
    <w:unhideWhenUsed/>
    <w:qFormat/>
    <w:rsid w:val="006D0ECA"/>
    <w:pPr>
      <w:keepLines/>
      <w:spacing w:before="480" w:after="0" w:line="276" w:lineRule="auto"/>
      <w:outlineLvl w:val="9"/>
    </w:pPr>
    <w:rPr>
      <w:rFonts w:eastAsia="Times New Roman"/>
      <w:caps w:val="0"/>
      <w:color w:val="00406E"/>
      <w:kern w:val="0"/>
      <w:sz w:val="28"/>
      <w:szCs w:val="28"/>
      <w:lang w:val="en-US" w:eastAsia="ja-JP"/>
    </w:rPr>
  </w:style>
  <w:style w:type="paragraph" w:customStyle="1" w:styleId="Bullet2">
    <w:name w:val="Bullet 2"/>
    <w:basedOn w:val="Normal"/>
    <w:uiPriority w:val="6"/>
    <w:qFormat/>
    <w:rsid w:val="006D0ECA"/>
    <w:pPr>
      <w:numPr>
        <w:ilvl w:val="1"/>
        <w:numId w:val="12"/>
      </w:numPr>
      <w:tabs>
        <w:tab w:val="clear" w:pos="680"/>
      </w:tabs>
      <w:spacing w:after="180" w:line="220" w:lineRule="atLeast"/>
      <w:ind w:left="720" w:hanging="360"/>
    </w:pPr>
    <w:rPr>
      <w:rFonts w:eastAsia="Arial"/>
      <w:sz w:val="18"/>
      <w:szCs w:val="22"/>
    </w:rPr>
  </w:style>
  <w:style w:type="paragraph" w:customStyle="1" w:styleId="NormalProgram">
    <w:name w:val="NormalProgram"/>
    <w:basedOn w:val="Normal"/>
    <w:uiPriority w:val="6"/>
    <w:qFormat/>
    <w:rsid w:val="006D0ECA"/>
    <w:pPr>
      <w:tabs>
        <w:tab w:val="left" w:pos="1928"/>
      </w:tabs>
      <w:spacing w:after="180" w:line="220" w:lineRule="atLeast"/>
      <w:ind w:left="1927" w:hanging="1247"/>
      <w:contextualSpacing/>
    </w:pPr>
    <w:rPr>
      <w:rFonts w:eastAsia="Arial"/>
      <w:sz w:val="18"/>
      <w:szCs w:val="22"/>
    </w:rPr>
  </w:style>
  <w:style w:type="paragraph" w:customStyle="1" w:styleId="Title1">
    <w:name w:val="Title1"/>
    <w:basedOn w:val="Normal"/>
    <w:next w:val="Normal"/>
    <w:uiPriority w:val="49"/>
    <w:qFormat/>
    <w:rsid w:val="006D0ECA"/>
    <w:pPr>
      <w:pBdr>
        <w:bottom w:val="single" w:sz="8" w:space="4" w:color="005694"/>
      </w:pBdr>
      <w:spacing w:after="300" w:line="220" w:lineRule="atLeast"/>
      <w:contextualSpacing/>
    </w:pPr>
    <w:rPr>
      <w:color w:val="003C55"/>
      <w:spacing w:val="5"/>
      <w:kern w:val="28"/>
      <w:sz w:val="52"/>
      <w:szCs w:val="52"/>
    </w:rPr>
  </w:style>
  <w:style w:type="character" w:customStyle="1" w:styleId="TitleChar">
    <w:name w:val="Title Char"/>
    <w:basedOn w:val="DefaultParagraphFont"/>
    <w:link w:val="Title"/>
    <w:uiPriority w:val="49"/>
    <w:rsid w:val="006D0ECA"/>
    <w:rPr>
      <w:rFonts w:ascii="Arial" w:eastAsia="Times New Roman" w:hAnsi="Arial" w:cs="Arial"/>
      <w:color w:val="003C55"/>
      <w:spacing w:val="5"/>
      <w:kern w:val="28"/>
      <w:sz w:val="52"/>
      <w:szCs w:val="52"/>
    </w:rPr>
  </w:style>
  <w:style w:type="paragraph" w:styleId="BodyText2">
    <w:name w:val="Body Text 2"/>
    <w:basedOn w:val="Normal"/>
    <w:link w:val="BodyText2Char"/>
    <w:uiPriority w:val="99"/>
    <w:semiHidden/>
    <w:unhideWhenUsed/>
    <w:rsid w:val="006D0ECA"/>
    <w:pPr>
      <w:spacing w:after="120" w:line="480" w:lineRule="auto"/>
    </w:pPr>
    <w:rPr>
      <w:rFonts w:eastAsia="Arial"/>
      <w:sz w:val="18"/>
      <w:szCs w:val="22"/>
    </w:rPr>
  </w:style>
  <w:style w:type="character" w:customStyle="1" w:styleId="BodyText2Char">
    <w:name w:val="Body Text 2 Char"/>
    <w:basedOn w:val="DefaultParagraphFont"/>
    <w:link w:val="BodyText2"/>
    <w:uiPriority w:val="99"/>
    <w:semiHidden/>
    <w:rsid w:val="006D0ECA"/>
    <w:rPr>
      <w:rFonts w:ascii="Arial" w:eastAsia="Arial" w:hAnsi="Arial" w:cs="Arial"/>
      <w:sz w:val="18"/>
      <w:szCs w:val="22"/>
      <w:lang w:val="es-ES_tradnl"/>
    </w:rPr>
  </w:style>
  <w:style w:type="paragraph" w:styleId="BodyText3">
    <w:name w:val="Body Text 3"/>
    <w:basedOn w:val="Normal"/>
    <w:link w:val="BodyText3Char"/>
    <w:uiPriority w:val="99"/>
    <w:semiHidden/>
    <w:unhideWhenUsed/>
    <w:rsid w:val="006D0ECA"/>
    <w:pPr>
      <w:spacing w:after="120" w:line="220" w:lineRule="atLeast"/>
    </w:pPr>
    <w:rPr>
      <w:rFonts w:eastAsia="Arial"/>
      <w:sz w:val="16"/>
      <w:szCs w:val="16"/>
    </w:rPr>
  </w:style>
  <w:style w:type="character" w:customStyle="1" w:styleId="BodyText3Char">
    <w:name w:val="Body Text 3 Char"/>
    <w:basedOn w:val="DefaultParagraphFont"/>
    <w:link w:val="BodyText3"/>
    <w:uiPriority w:val="99"/>
    <w:semiHidden/>
    <w:rsid w:val="006D0ECA"/>
    <w:rPr>
      <w:rFonts w:ascii="Arial" w:eastAsia="Arial" w:hAnsi="Arial" w:cs="Arial"/>
      <w:sz w:val="16"/>
      <w:szCs w:val="16"/>
      <w:lang w:val="es-ES_tradnl"/>
    </w:rPr>
  </w:style>
  <w:style w:type="paragraph" w:customStyle="1" w:styleId="TableSmText">
    <w:name w:val="TableSmText"/>
    <w:basedOn w:val="TableText"/>
    <w:uiPriority w:val="8"/>
    <w:qFormat/>
    <w:rsid w:val="006D0ECA"/>
    <w:pPr>
      <w:spacing w:line="160" w:lineRule="atLeast"/>
    </w:pPr>
    <w:rPr>
      <w:sz w:val="14"/>
    </w:rPr>
  </w:style>
  <w:style w:type="paragraph" w:customStyle="1" w:styleId="TableSmHeading">
    <w:name w:val="TableSmHeading"/>
    <w:basedOn w:val="TableSmText"/>
    <w:uiPriority w:val="8"/>
    <w:qFormat/>
    <w:rsid w:val="006D0ECA"/>
    <w:pPr>
      <w:spacing w:before="20" w:after="10"/>
    </w:pPr>
    <w:rPr>
      <w:b/>
    </w:rPr>
  </w:style>
  <w:style w:type="paragraph" w:customStyle="1" w:styleId="TableTextWith">
    <w:name w:val="TableTextWith"/>
    <w:basedOn w:val="TableText"/>
    <w:uiPriority w:val="8"/>
    <w:qFormat/>
    <w:rsid w:val="006D0ECA"/>
    <w:pPr>
      <w:spacing w:after="80"/>
    </w:pPr>
  </w:style>
  <w:style w:type="paragraph" w:customStyle="1" w:styleId="TableBullet1">
    <w:name w:val="TableBullet1"/>
    <w:basedOn w:val="TableText"/>
    <w:uiPriority w:val="8"/>
    <w:qFormat/>
    <w:rsid w:val="006D0ECA"/>
    <w:pPr>
      <w:numPr>
        <w:numId w:val="13"/>
      </w:numPr>
      <w:tabs>
        <w:tab w:val="clear" w:pos="284"/>
        <w:tab w:val="num" w:pos="2268"/>
      </w:tabs>
      <w:ind w:left="2268" w:hanging="2268"/>
    </w:pPr>
  </w:style>
  <w:style w:type="numbering" w:customStyle="1" w:styleId="NumbLstTabBullet">
    <w:name w:val="NumbLstTabBullet"/>
    <w:uiPriority w:val="99"/>
    <w:rsid w:val="006D0ECA"/>
    <w:pPr>
      <w:numPr>
        <w:numId w:val="10"/>
      </w:numPr>
    </w:pPr>
  </w:style>
  <w:style w:type="character" w:customStyle="1" w:styleId="BodyTextChar">
    <w:name w:val="Body Text Char"/>
    <w:basedOn w:val="DefaultParagraphFont"/>
    <w:link w:val="BodyText"/>
    <w:rsid w:val="006D0ECA"/>
    <w:rPr>
      <w:rFonts w:ascii="Arial" w:hAnsi="Arial" w:cs="Arial"/>
      <w:sz w:val="22"/>
      <w:lang w:val="es-ES_tradnl"/>
    </w:rPr>
  </w:style>
  <w:style w:type="paragraph" w:styleId="ListParagraph">
    <w:name w:val="List Paragraph"/>
    <w:basedOn w:val="Normal"/>
    <w:uiPriority w:val="34"/>
    <w:qFormat/>
    <w:rsid w:val="006D0ECA"/>
    <w:pPr>
      <w:ind w:left="720"/>
      <w:contextualSpacing/>
    </w:pPr>
    <w:rPr>
      <w:rFonts w:ascii="Calibri" w:hAnsi="Calibri"/>
      <w:szCs w:val="22"/>
      <w:lang w:val="en-US" w:eastAsia="ja-JP"/>
    </w:rPr>
  </w:style>
  <w:style w:type="paragraph" w:customStyle="1" w:styleId="NumbList1">
    <w:name w:val="NumbList 1"/>
    <w:basedOn w:val="Normal"/>
    <w:uiPriority w:val="6"/>
    <w:qFormat/>
    <w:rsid w:val="006D0ECA"/>
    <w:pPr>
      <w:numPr>
        <w:ilvl w:val="3"/>
        <w:numId w:val="12"/>
      </w:numPr>
      <w:tabs>
        <w:tab w:val="clear" w:pos="680"/>
      </w:tabs>
      <w:spacing w:after="180" w:line="220" w:lineRule="atLeast"/>
      <w:ind w:left="1440" w:hanging="360"/>
    </w:pPr>
    <w:rPr>
      <w:rFonts w:eastAsia="Arial"/>
      <w:sz w:val="18"/>
      <w:szCs w:val="22"/>
    </w:rPr>
  </w:style>
  <w:style w:type="paragraph" w:customStyle="1" w:styleId="TableHeadingCenter">
    <w:name w:val="TableHeadingCenter"/>
    <w:basedOn w:val="TableHeading"/>
    <w:uiPriority w:val="8"/>
    <w:qFormat/>
    <w:rsid w:val="006D0ECA"/>
    <w:pPr>
      <w:jc w:val="center"/>
    </w:pPr>
  </w:style>
  <w:style w:type="paragraph" w:customStyle="1" w:styleId="TableTextCenter">
    <w:name w:val="TableTextCenter"/>
    <w:basedOn w:val="TableText"/>
    <w:uiPriority w:val="8"/>
    <w:qFormat/>
    <w:rsid w:val="006D0ECA"/>
    <w:pPr>
      <w:jc w:val="center"/>
    </w:pPr>
  </w:style>
  <w:style w:type="paragraph" w:customStyle="1" w:styleId="TableItalic">
    <w:name w:val="TableItalic"/>
    <w:basedOn w:val="TableText"/>
    <w:uiPriority w:val="8"/>
    <w:qFormat/>
    <w:rsid w:val="006D0ECA"/>
    <w:pPr>
      <w:keepNext/>
      <w:keepLines/>
    </w:pPr>
    <w:rPr>
      <w:i/>
    </w:rPr>
  </w:style>
  <w:style w:type="paragraph" w:customStyle="1" w:styleId="TableItalicCenter">
    <w:name w:val="TableItalicCenter"/>
    <w:basedOn w:val="TableItalic"/>
    <w:uiPriority w:val="8"/>
    <w:qFormat/>
    <w:rsid w:val="006D0ECA"/>
    <w:pPr>
      <w:jc w:val="center"/>
    </w:pPr>
  </w:style>
  <w:style w:type="paragraph" w:customStyle="1" w:styleId="AlphaList">
    <w:name w:val="AlphaList"/>
    <w:basedOn w:val="Normal"/>
    <w:uiPriority w:val="6"/>
    <w:qFormat/>
    <w:rsid w:val="006D0ECA"/>
    <w:pPr>
      <w:numPr>
        <w:ilvl w:val="4"/>
        <w:numId w:val="12"/>
      </w:numPr>
      <w:tabs>
        <w:tab w:val="clear" w:pos="680"/>
      </w:tabs>
      <w:spacing w:after="180" w:line="220" w:lineRule="atLeast"/>
      <w:ind w:left="1800" w:hanging="360"/>
    </w:pPr>
    <w:rPr>
      <w:rFonts w:eastAsia="Arial"/>
      <w:sz w:val="18"/>
      <w:szCs w:val="22"/>
    </w:rPr>
  </w:style>
  <w:style w:type="paragraph" w:customStyle="1" w:styleId="TableBullet2">
    <w:name w:val="TableBullet2"/>
    <w:basedOn w:val="TableText"/>
    <w:uiPriority w:val="6"/>
    <w:qFormat/>
    <w:rsid w:val="006D0ECA"/>
    <w:pPr>
      <w:numPr>
        <w:ilvl w:val="1"/>
        <w:numId w:val="13"/>
      </w:numPr>
      <w:tabs>
        <w:tab w:val="clear" w:pos="454"/>
      </w:tabs>
      <w:ind w:left="720" w:hanging="360"/>
    </w:pPr>
    <w:rPr>
      <w:color w:val="000000"/>
      <w:szCs w:val="16"/>
    </w:rPr>
  </w:style>
  <w:style w:type="paragraph" w:customStyle="1" w:styleId="NormalAbb">
    <w:name w:val="NormalAbb"/>
    <w:basedOn w:val="Normal"/>
    <w:uiPriority w:val="6"/>
    <w:qFormat/>
    <w:rsid w:val="006D0ECA"/>
    <w:pPr>
      <w:tabs>
        <w:tab w:val="left" w:pos="1531"/>
      </w:tabs>
      <w:spacing w:after="180" w:line="220" w:lineRule="atLeast"/>
      <w:ind w:left="1531" w:hanging="1531"/>
      <w:contextualSpacing/>
    </w:pPr>
    <w:rPr>
      <w:rFonts w:eastAsia="Arial"/>
      <w:sz w:val="18"/>
      <w:szCs w:val="22"/>
    </w:rPr>
  </w:style>
  <w:style w:type="paragraph" w:customStyle="1" w:styleId="TableSmNumb">
    <w:name w:val="TableSmNumb"/>
    <w:basedOn w:val="TableSmText"/>
    <w:uiPriority w:val="8"/>
    <w:qFormat/>
    <w:rsid w:val="006D0ECA"/>
    <w:pPr>
      <w:ind w:left="0" w:right="85"/>
      <w:jc w:val="right"/>
    </w:pPr>
  </w:style>
  <w:style w:type="paragraph" w:customStyle="1" w:styleId="TableSmHeadingRight">
    <w:name w:val="TableSmHeadingRight"/>
    <w:basedOn w:val="TableSmHeading"/>
    <w:uiPriority w:val="8"/>
    <w:qFormat/>
    <w:rsid w:val="006D0ECA"/>
    <w:pPr>
      <w:ind w:left="0" w:right="85"/>
      <w:jc w:val="right"/>
    </w:pPr>
  </w:style>
  <w:style w:type="paragraph" w:customStyle="1" w:styleId="TableFootnote">
    <w:name w:val="TableFootnote"/>
    <w:basedOn w:val="TableText"/>
    <w:uiPriority w:val="8"/>
    <w:qFormat/>
    <w:rsid w:val="006D0ECA"/>
    <w:pPr>
      <w:ind w:left="226" w:hanging="113"/>
    </w:pPr>
  </w:style>
  <w:style w:type="character" w:customStyle="1" w:styleId="IntenseEmphasis1">
    <w:name w:val="Intense Emphasis1"/>
    <w:basedOn w:val="DefaultParagraphFont"/>
    <w:uiPriority w:val="49"/>
    <w:qFormat/>
    <w:rsid w:val="006D0ECA"/>
    <w:rPr>
      <w:b/>
      <w:bCs/>
      <w:i/>
      <w:iCs/>
      <w:color w:val="005172"/>
    </w:rPr>
  </w:style>
  <w:style w:type="paragraph" w:customStyle="1" w:styleId="IntenseQuote1">
    <w:name w:val="Intense Quote1"/>
    <w:basedOn w:val="Normal"/>
    <w:next w:val="Normal"/>
    <w:uiPriority w:val="49"/>
    <w:qFormat/>
    <w:rsid w:val="006D0ECA"/>
    <w:pPr>
      <w:pBdr>
        <w:bottom w:val="single" w:sz="4" w:space="4" w:color="005694"/>
      </w:pBdr>
      <w:spacing w:before="200" w:after="280" w:line="220" w:lineRule="atLeast"/>
      <w:ind w:left="936" w:right="936"/>
    </w:pPr>
    <w:rPr>
      <w:rFonts w:eastAsia="Arial"/>
      <w:b/>
      <w:bCs/>
      <w:i/>
      <w:iCs/>
      <w:color w:val="005172"/>
      <w:sz w:val="18"/>
      <w:szCs w:val="22"/>
    </w:rPr>
  </w:style>
  <w:style w:type="character" w:customStyle="1" w:styleId="IntenseQuoteChar">
    <w:name w:val="Intense Quote Char"/>
    <w:basedOn w:val="DefaultParagraphFont"/>
    <w:link w:val="IntenseQuote"/>
    <w:uiPriority w:val="49"/>
    <w:rsid w:val="006D0ECA"/>
    <w:rPr>
      <w:rFonts w:ascii="Arial" w:hAnsi="Arial"/>
      <w:b/>
      <w:bCs/>
      <w:i/>
      <w:iCs/>
      <w:color w:val="005172"/>
      <w:sz w:val="18"/>
    </w:rPr>
  </w:style>
  <w:style w:type="paragraph" w:customStyle="1" w:styleId="ChartPara">
    <w:name w:val="ChartPara"/>
    <w:basedOn w:val="Normal"/>
    <w:uiPriority w:val="6"/>
    <w:qFormat/>
    <w:rsid w:val="006D0ECA"/>
    <w:pPr>
      <w:spacing w:after="180" w:line="220" w:lineRule="atLeast"/>
      <w:ind w:left="1418"/>
    </w:pPr>
    <w:rPr>
      <w:rFonts w:eastAsia="Arial"/>
      <w:sz w:val="18"/>
      <w:szCs w:val="22"/>
    </w:rPr>
  </w:style>
  <w:style w:type="paragraph" w:customStyle="1" w:styleId="ProgramIntro">
    <w:name w:val="ProgramIntro"/>
    <w:basedOn w:val="Normal"/>
    <w:uiPriority w:val="5"/>
    <w:qFormat/>
    <w:rsid w:val="006D0ECA"/>
    <w:pPr>
      <w:spacing w:after="180" w:line="220" w:lineRule="atLeast"/>
      <w:ind w:left="3260"/>
    </w:pPr>
    <w:rPr>
      <w:rFonts w:eastAsia="Arial"/>
      <w:color w:val="005172"/>
      <w:sz w:val="26"/>
      <w:szCs w:val="22"/>
    </w:rPr>
  </w:style>
  <w:style w:type="paragraph" w:customStyle="1" w:styleId="DocTitle">
    <w:name w:val="DocTitle"/>
    <w:basedOn w:val="Normal"/>
    <w:uiPriority w:val="6"/>
    <w:qFormat/>
    <w:rsid w:val="006D0ECA"/>
    <w:pPr>
      <w:spacing w:after="180" w:line="220" w:lineRule="atLeast"/>
      <w:jc w:val="center"/>
    </w:pPr>
    <w:rPr>
      <w:rFonts w:eastAsia="Arial"/>
      <w:color w:val="005172"/>
      <w:sz w:val="44"/>
      <w:szCs w:val="22"/>
    </w:rPr>
  </w:style>
  <w:style w:type="paragraph" w:customStyle="1" w:styleId="TYableText">
    <w:name w:val="TYableText"/>
    <w:basedOn w:val="Normal"/>
    <w:rsid w:val="006D0ECA"/>
    <w:pPr>
      <w:spacing w:after="180" w:line="220" w:lineRule="atLeast"/>
    </w:pPr>
    <w:rPr>
      <w:rFonts w:eastAsia="Arial"/>
      <w:sz w:val="18"/>
      <w:szCs w:val="22"/>
    </w:rPr>
  </w:style>
  <w:style w:type="character" w:styleId="CommentReference">
    <w:name w:val="annotation reference"/>
    <w:basedOn w:val="DefaultParagraphFont"/>
    <w:uiPriority w:val="99"/>
    <w:semiHidden/>
    <w:unhideWhenUsed/>
    <w:rsid w:val="006D0ECA"/>
    <w:rPr>
      <w:sz w:val="16"/>
      <w:szCs w:val="16"/>
    </w:rPr>
  </w:style>
  <w:style w:type="character" w:customStyle="1" w:styleId="CommentTextChar">
    <w:name w:val="Comment Text Char"/>
    <w:basedOn w:val="DefaultParagraphFont"/>
    <w:uiPriority w:val="99"/>
    <w:semiHidden/>
    <w:rsid w:val="006D0ECA"/>
    <w:rPr>
      <w:rFonts w:ascii="Arial" w:hAnsi="Arial"/>
      <w:sz w:val="20"/>
      <w:szCs w:val="20"/>
      <w:lang w:val="es-ES_tradnl"/>
    </w:rPr>
  </w:style>
  <w:style w:type="paragraph" w:styleId="CommentSubject">
    <w:name w:val="annotation subject"/>
    <w:basedOn w:val="CommentText"/>
    <w:next w:val="CommentText"/>
    <w:link w:val="CommentSubjectChar"/>
    <w:uiPriority w:val="99"/>
    <w:semiHidden/>
    <w:unhideWhenUsed/>
    <w:rsid w:val="006D0ECA"/>
    <w:pPr>
      <w:spacing w:after="180"/>
    </w:pPr>
    <w:rPr>
      <w:rFonts w:eastAsia="Arial"/>
      <w:b/>
      <w:bCs/>
      <w:sz w:val="20"/>
    </w:rPr>
  </w:style>
  <w:style w:type="character" w:customStyle="1" w:styleId="CommentTextChar1">
    <w:name w:val="Comment Text Char1"/>
    <w:basedOn w:val="DefaultParagraphFont"/>
    <w:link w:val="CommentText"/>
    <w:uiPriority w:val="99"/>
    <w:semiHidden/>
    <w:rsid w:val="006D0ECA"/>
    <w:rPr>
      <w:rFonts w:ascii="Arial" w:hAnsi="Arial" w:cs="Arial"/>
      <w:sz w:val="18"/>
      <w:lang w:val="es-ES_tradnl"/>
    </w:rPr>
  </w:style>
  <w:style w:type="character" w:customStyle="1" w:styleId="CommentSubjectChar">
    <w:name w:val="Comment Subject Char"/>
    <w:basedOn w:val="CommentTextChar1"/>
    <w:link w:val="CommentSubject"/>
    <w:uiPriority w:val="99"/>
    <w:semiHidden/>
    <w:rsid w:val="006D0ECA"/>
    <w:rPr>
      <w:rFonts w:ascii="Arial" w:eastAsia="Arial" w:hAnsi="Arial" w:cs="Arial"/>
      <w:b/>
      <w:bCs/>
      <w:sz w:val="18"/>
      <w:lang w:val="es-ES_tradnl"/>
    </w:rPr>
  </w:style>
  <w:style w:type="character" w:customStyle="1" w:styleId="FollowedHyperlink1">
    <w:name w:val="FollowedHyperlink1"/>
    <w:basedOn w:val="DefaultParagraphFont"/>
    <w:uiPriority w:val="99"/>
    <w:semiHidden/>
    <w:unhideWhenUsed/>
    <w:rsid w:val="006D0ECA"/>
    <w:rPr>
      <w:color w:val="9B7CB7"/>
      <w:u w:val="single"/>
    </w:rPr>
  </w:style>
  <w:style w:type="paragraph" w:styleId="Revision">
    <w:name w:val="Revision"/>
    <w:hidden/>
    <w:uiPriority w:val="99"/>
    <w:semiHidden/>
    <w:rsid w:val="006D0ECA"/>
    <w:rPr>
      <w:rFonts w:ascii="Arial" w:eastAsia="Arial" w:hAnsi="Arial" w:cs="Arial"/>
      <w:sz w:val="18"/>
      <w:szCs w:val="22"/>
      <w:lang w:val="es-ES_tradnl"/>
    </w:rPr>
  </w:style>
  <w:style w:type="table" w:customStyle="1" w:styleId="TableGrid1">
    <w:name w:val="Table Grid1"/>
    <w:basedOn w:val="TableNormal"/>
    <w:next w:val="TableGrid"/>
    <w:uiPriority w:val="59"/>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D0ECA"/>
    <w:pPr>
      <w:spacing w:before="100" w:beforeAutospacing="1" w:after="100" w:afterAutospacing="1"/>
    </w:pPr>
    <w:rPr>
      <w:sz w:val="18"/>
      <w:szCs w:val="18"/>
      <w:lang w:val="en-US"/>
    </w:rPr>
  </w:style>
  <w:style w:type="paragraph" w:styleId="PlainText">
    <w:name w:val="Plain Text"/>
    <w:basedOn w:val="Normal"/>
    <w:link w:val="PlainTextChar"/>
    <w:uiPriority w:val="99"/>
    <w:rsid w:val="006D0ECA"/>
    <w:rPr>
      <w:rFonts w:ascii="Courier New" w:eastAsia="SimSun" w:hAnsi="Courier New" w:cs="Courier New"/>
      <w:color w:val="0000FF"/>
      <w:sz w:val="20"/>
      <w:lang w:val="en-US" w:eastAsia="zh-CN"/>
    </w:rPr>
  </w:style>
  <w:style w:type="character" w:customStyle="1" w:styleId="PlainTextChar">
    <w:name w:val="Plain Text Char"/>
    <w:basedOn w:val="DefaultParagraphFont"/>
    <w:link w:val="PlainText"/>
    <w:uiPriority w:val="99"/>
    <w:rsid w:val="006D0ECA"/>
    <w:rPr>
      <w:rFonts w:ascii="Courier New" w:eastAsia="SimSun" w:hAnsi="Courier New" w:cs="Courier New"/>
      <w:color w:val="0000FF"/>
      <w:lang w:eastAsia="zh-CN"/>
    </w:rPr>
  </w:style>
  <w:style w:type="table" w:customStyle="1" w:styleId="TableGrid5">
    <w:name w:val="Table Grid5"/>
    <w:basedOn w:val="TableNormal"/>
    <w:next w:val="TableGrid"/>
    <w:uiPriority w:val="59"/>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D0ECA"/>
    <w:pPr>
      <w:spacing w:before="100" w:beforeAutospacing="1" w:after="100" w:afterAutospacing="1"/>
    </w:pPr>
    <w:rPr>
      <w:rFonts w:ascii="Times New Roman" w:hAnsi="Times New Roman" w:cs="Times New Roman"/>
      <w:sz w:val="24"/>
      <w:szCs w:val="24"/>
      <w:lang w:val="en-US"/>
    </w:rPr>
  </w:style>
  <w:style w:type="paragraph" w:customStyle="1" w:styleId="font5">
    <w:name w:val="font5"/>
    <w:basedOn w:val="Normal"/>
    <w:rsid w:val="006D0ECA"/>
    <w:pPr>
      <w:spacing w:before="100" w:beforeAutospacing="1" w:after="100" w:afterAutospacing="1"/>
    </w:pPr>
    <w:rPr>
      <w:color w:val="FF0000"/>
      <w:sz w:val="18"/>
      <w:szCs w:val="18"/>
      <w:lang w:val="en-US"/>
    </w:rPr>
  </w:style>
  <w:style w:type="paragraph" w:customStyle="1" w:styleId="font6">
    <w:name w:val="font6"/>
    <w:basedOn w:val="Normal"/>
    <w:rsid w:val="006D0ECA"/>
    <w:pPr>
      <w:spacing w:before="100" w:beforeAutospacing="1" w:after="100" w:afterAutospacing="1"/>
    </w:pPr>
    <w:rPr>
      <w:sz w:val="18"/>
      <w:szCs w:val="18"/>
      <w:lang w:val="en-US"/>
    </w:rPr>
  </w:style>
  <w:style w:type="paragraph" w:customStyle="1" w:styleId="font7">
    <w:name w:val="font7"/>
    <w:basedOn w:val="Normal"/>
    <w:rsid w:val="006D0ECA"/>
    <w:pPr>
      <w:spacing w:before="100" w:beforeAutospacing="1" w:after="100" w:afterAutospacing="1"/>
    </w:pPr>
    <w:rPr>
      <w:b/>
      <w:bCs/>
      <w:color w:val="000000"/>
      <w:sz w:val="18"/>
      <w:szCs w:val="18"/>
      <w:lang w:val="en-US"/>
    </w:rPr>
  </w:style>
  <w:style w:type="paragraph" w:customStyle="1" w:styleId="font8">
    <w:name w:val="font8"/>
    <w:basedOn w:val="Normal"/>
    <w:rsid w:val="006D0ECA"/>
    <w:pPr>
      <w:spacing w:before="100" w:beforeAutospacing="1" w:after="100" w:afterAutospacing="1"/>
    </w:pPr>
    <w:rPr>
      <w:b/>
      <w:bCs/>
      <w:sz w:val="18"/>
      <w:szCs w:val="18"/>
      <w:lang w:val="en-US"/>
    </w:rPr>
  </w:style>
  <w:style w:type="paragraph" w:customStyle="1" w:styleId="font9">
    <w:name w:val="font9"/>
    <w:basedOn w:val="Normal"/>
    <w:rsid w:val="006D0ECA"/>
    <w:pPr>
      <w:spacing w:before="100" w:beforeAutospacing="1" w:after="100" w:afterAutospacing="1"/>
    </w:pPr>
    <w:rPr>
      <w:sz w:val="16"/>
      <w:szCs w:val="16"/>
      <w:lang w:val="en-US"/>
    </w:rPr>
  </w:style>
  <w:style w:type="paragraph" w:customStyle="1" w:styleId="font10">
    <w:name w:val="font10"/>
    <w:basedOn w:val="Normal"/>
    <w:rsid w:val="006D0ECA"/>
    <w:pPr>
      <w:spacing w:before="100" w:beforeAutospacing="1" w:after="100" w:afterAutospacing="1"/>
    </w:pPr>
    <w:rPr>
      <w:sz w:val="16"/>
      <w:szCs w:val="16"/>
      <w:lang w:val="en-US"/>
    </w:rPr>
  </w:style>
  <w:style w:type="paragraph" w:customStyle="1" w:styleId="xl65">
    <w:name w:val="xl65"/>
    <w:basedOn w:val="Normal"/>
    <w:rsid w:val="006D0ECA"/>
    <w:pPr>
      <w:spacing w:before="100" w:beforeAutospacing="1" w:after="100" w:afterAutospacing="1"/>
      <w:textAlignment w:val="center"/>
    </w:pPr>
    <w:rPr>
      <w:rFonts w:ascii="Times New Roman" w:hAnsi="Times New Roman" w:cs="Times New Roman"/>
      <w:sz w:val="18"/>
      <w:szCs w:val="18"/>
      <w:lang w:val="en-US"/>
    </w:rPr>
  </w:style>
  <w:style w:type="paragraph" w:customStyle="1" w:styleId="xl66">
    <w:name w:val="xl66"/>
    <w:basedOn w:val="Normal"/>
    <w:rsid w:val="006D0ECA"/>
    <w:pPr>
      <w:spacing w:before="100" w:beforeAutospacing="1" w:after="100" w:afterAutospacing="1"/>
      <w:textAlignment w:val="center"/>
    </w:pPr>
    <w:rPr>
      <w:rFonts w:ascii="Times New Roman" w:hAnsi="Times New Roman" w:cs="Times New Roman"/>
      <w:sz w:val="18"/>
      <w:szCs w:val="18"/>
      <w:lang w:val="en-US"/>
    </w:rPr>
  </w:style>
  <w:style w:type="paragraph" w:customStyle="1" w:styleId="xl67">
    <w:name w:val="xl67"/>
    <w:basedOn w:val="Normal"/>
    <w:rsid w:val="006D0ECA"/>
    <w:pPr>
      <w:spacing w:before="100" w:beforeAutospacing="1" w:after="100" w:afterAutospacing="1"/>
      <w:textAlignment w:val="center"/>
    </w:pPr>
    <w:rPr>
      <w:rFonts w:ascii="Times New Roman" w:hAnsi="Times New Roman" w:cs="Times New Roman"/>
      <w:b/>
      <w:bCs/>
      <w:sz w:val="18"/>
      <w:szCs w:val="18"/>
      <w:lang w:val="en-US"/>
    </w:rPr>
  </w:style>
  <w:style w:type="paragraph" w:customStyle="1" w:styleId="xl68">
    <w:name w:val="xl68"/>
    <w:basedOn w:val="Normal"/>
    <w:rsid w:val="006D0ECA"/>
    <w:pPr>
      <w:spacing w:before="100" w:beforeAutospacing="1" w:after="100" w:afterAutospacing="1"/>
      <w:textAlignment w:val="center"/>
    </w:pPr>
    <w:rPr>
      <w:rFonts w:ascii="Times New Roman" w:hAnsi="Times New Roman" w:cs="Times New Roman"/>
      <w:sz w:val="18"/>
      <w:szCs w:val="18"/>
      <w:lang w:val="en-US"/>
    </w:rPr>
  </w:style>
  <w:style w:type="paragraph" w:customStyle="1" w:styleId="xl69">
    <w:name w:val="xl69"/>
    <w:basedOn w:val="Normal"/>
    <w:rsid w:val="006D0ECA"/>
    <w:pPr>
      <w:spacing w:before="100" w:beforeAutospacing="1" w:after="100" w:afterAutospacing="1"/>
      <w:textAlignment w:val="center"/>
    </w:pPr>
    <w:rPr>
      <w:rFonts w:ascii="Times New Roman" w:hAnsi="Times New Roman" w:cs="Times New Roman"/>
      <w:b/>
      <w:bCs/>
      <w:sz w:val="18"/>
      <w:szCs w:val="18"/>
      <w:lang w:val="en-US"/>
    </w:rPr>
  </w:style>
  <w:style w:type="paragraph" w:customStyle="1" w:styleId="xl70">
    <w:name w:val="xl70"/>
    <w:basedOn w:val="Normal"/>
    <w:rsid w:val="006D0ECA"/>
    <w:pPr>
      <w:shd w:val="clear" w:color="000000" w:fill="C7CFD8"/>
      <w:spacing w:before="100" w:beforeAutospacing="1" w:after="100" w:afterAutospacing="1"/>
      <w:textAlignment w:val="center"/>
    </w:pPr>
    <w:rPr>
      <w:rFonts w:ascii="Times New Roman" w:hAnsi="Times New Roman" w:cs="Times New Roman"/>
      <w:b/>
      <w:bCs/>
      <w:sz w:val="18"/>
      <w:szCs w:val="18"/>
      <w:lang w:val="en-US"/>
    </w:rPr>
  </w:style>
  <w:style w:type="paragraph" w:customStyle="1" w:styleId="xl71">
    <w:name w:val="xl71"/>
    <w:basedOn w:val="Normal"/>
    <w:rsid w:val="006D0ECA"/>
    <w:pPr>
      <w:shd w:val="clear" w:color="000000" w:fill="C7CFD8"/>
      <w:spacing w:before="100" w:beforeAutospacing="1" w:after="100" w:afterAutospacing="1"/>
      <w:jc w:val="center"/>
      <w:textAlignment w:val="center"/>
    </w:pPr>
    <w:rPr>
      <w:rFonts w:ascii="Times New Roman" w:hAnsi="Times New Roman" w:cs="Times New Roman"/>
      <w:b/>
      <w:bCs/>
      <w:sz w:val="18"/>
      <w:szCs w:val="18"/>
      <w:lang w:val="en-US"/>
    </w:rPr>
  </w:style>
  <w:style w:type="paragraph" w:customStyle="1" w:styleId="xl72">
    <w:name w:val="xl72"/>
    <w:basedOn w:val="Normal"/>
    <w:rsid w:val="006D0ECA"/>
    <w:pPr>
      <w:pBdr>
        <w:bottom w:val="single" w:sz="4" w:space="0" w:color="BFBFBF"/>
      </w:pBdr>
      <w:spacing w:before="100" w:beforeAutospacing="1" w:after="100" w:afterAutospacing="1"/>
      <w:textAlignment w:val="center"/>
    </w:pPr>
    <w:rPr>
      <w:rFonts w:ascii="Times New Roman" w:hAnsi="Times New Roman" w:cs="Times New Roman"/>
      <w:sz w:val="18"/>
      <w:szCs w:val="18"/>
      <w:lang w:val="en-US"/>
    </w:rPr>
  </w:style>
  <w:style w:type="paragraph" w:customStyle="1" w:styleId="xl73">
    <w:name w:val="xl73"/>
    <w:basedOn w:val="Normal"/>
    <w:rsid w:val="006D0ECA"/>
    <w:pPr>
      <w:pBdr>
        <w:bottom w:val="single" w:sz="4" w:space="0" w:color="BFBFBF"/>
      </w:pBdr>
      <w:spacing w:before="100" w:beforeAutospacing="1" w:after="100" w:afterAutospacing="1"/>
      <w:textAlignment w:val="center"/>
    </w:pPr>
    <w:rPr>
      <w:rFonts w:ascii="Times New Roman" w:hAnsi="Times New Roman" w:cs="Times New Roman"/>
      <w:sz w:val="18"/>
      <w:szCs w:val="18"/>
      <w:lang w:val="en-US"/>
    </w:rPr>
  </w:style>
  <w:style w:type="paragraph" w:customStyle="1" w:styleId="xl74">
    <w:name w:val="xl74"/>
    <w:basedOn w:val="Normal"/>
    <w:rsid w:val="006D0ECA"/>
    <w:pPr>
      <w:pBdr>
        <w:bottom w:val="single" w:sz="4" w:space="0" w:color="BFBFBF"/>
      </w:pBdr>
      <w:spacing w:before="100" w:beforeAutospacing="1" w:after="100" w:afterAutospacing="1"/>
    </w:pPr>
    <w:rPr>
      <w:rFonts w:ascii="Times New Roman" w:hAnsi="Times New Roman" w:cs="Times New Roman"/>
      <w:sz w:val="24"/>
      <w:szCs w:val="24"/>
      <w:lang w:val="en-US"/>
    </w:rPr>
  </w:style>
  <w:style w:type="paragraph" w:customStyle="1" w:styleId="xl75">
    <w:name w:val="xl75"/>
    <w:basedOn w:val="Normal"/>
    <w:rsid w:val="006D0ECA"/>
    <w:pPr>
      <w:pBdr>
        <w:bottom w:val="single" w:sz="8" w:space="0" w:color="BFBFBF"/>
      </w:pBdr>
      <w:spacing w:before="100" w:beforeAutospacing="1" w:after="100" w:afterAutospacing="1"/>
      <w:textAlignment w:val="center"/>
    </w:pPr>
    <w:rPr>
      <w:rFonts w:ascii="Times New Roman" w:hAnsi="Times New Roman" w:cs="Times New Roman"/>
      <w:sz w:val="18"/>
      <w:szCs w:val="18"/>
      <w:lang w:val="en-US"/>
    </w:rPr>
  </w:style>
  <w:style w:type="paragraph" w:customStyle="1" w:styleId="xl76">
    <w:name w:val="xl76"/>
    <w:basedOn w:val="Normal"/>
    <w:rsid w:val="006D0ECA"/>
    <w:pPr>
      <w:pBdr>
        <w:bottom w:val="single" w:sz="8" w:space="0" w:color="BFBFBF"/>
      </w:pBdr>
      <w:spacing w:before="100" w:beforeAutospacing="1" w:after="100" w:afterAutospacing="1"/>
      <w:textAlignment w:val="center"/>
    </w:pPr>
    <w:rPr>
      <w:rFonts w:ascii="Times New Roman" w:hAnsi="Times New Roman" w:cs="Times New Roman"/>
      <w:sz w:val="18"/>
      <w:szCs w:val="18"/>
      <w:lang w:val="en-US"/>
    </w:rPr>
  </w:style>
  <w:style w:type="paragraph" w:customStyle="1" w:styleId="xl77">
    <w:name w:val="xl77"/>
    <w:basedOn w:val="Normal"/>
    <w:rsid w:val="006D0ECA"/>
    <w:pPr>
      <w:spacing w:before="100" w:beforeAutospacing="1" w:after="100" w:afterAutospacing="1"/>
      <w:textAlignment w:val="center"/>
    </w:pPr>
    <w:rPr>
      <w:rFonts w:ascii="Times New Roman" w:hAnsi="Times New Roman" w:cs="Times New Roman"/>
      <w:sz w:val="16"/>
      <w:szCs w:val="16"/>
      <w:lang w:val="en-US"/>
    </w:rPr>
  </w:style>
  <w:style w:type="paragraph" w:customStyle="1" w:styleId="xl78">
    <w:name w:val="xl78"/>
    <w:basedOn w:val="Normal"/>
    <w:rsid w:val="006D0ECA"/>
    <w:pPr>
      <w:shd w:val="clear" w:color="000000" w:fill="C7CFD8"/>
      <w:spacing w:before="100" w:beforeAutospacing="1" w:after="100" w:afterAutospacing="1"/>
      <w:jc w:val="center"/>
      <w:textAlignment w:val="center"/>
    </w:pPr>
    <w:rPr>
      <w:rFonts w:ascii="Times New Roman" w:hAnsi="Times New Roman" w:cs="Times New Roman"/>
      <w:b/>
      <w:bCs/>
      <w:sz w:val="18"/>
      <w:szCs w:val="18"/>
      <w:lang w:val="en-US"/>
    </w:rPr>
  </w:style>
  <w:style w:type="paragraph" w:customStyle="1" w:styleId="xl63">
    <w:name w:val="xl63"/>
    <w:basedOn w:val="Normal"/>
    <w:rsid w:val="006D0ECA"/>
    <w:pPr>
      <w:spacing w:before="100" w:beforeAutospacing="1" w:after="100" w:afterAutospacing="1"/>
      <w:textAlignment w:val="center"/>
    </w:pPr>
    <w:rPr>
      <w:rFonts w:ascii="Times New Roman" w:hAnsi="Times New Roman" w:cs="Times New Roman"/>
      <w:sz w:val="18"/>
      <w:szCs w:val="18"/>
      <w:lang w:val="en-US"/>
    </w:rPr>
  </w:style>
  <w:style w:type="paragraph" w:customStyle="1" w:styleId="xl64">
    <w:name w:val="xl64"/>
    <w:basedOn w:val="Normal"/>
    <w:rsid w:val="006D0ECA"/>
    <w:pPr>
      <w:spacing w:before="100" w:beforeAutospacing="1" w:after="100" w:afterAutospacing="1"/>
      <w:textAlignment w:val="center"/>
    </w:pPr>
    <w:rPr>
      <w:rFonts w:ascii="Times New Roman" w:hAnsi="Times New Roman" w:cs="Times New Roman"/>
      <w:sz w:val="18"/>
      <w:szCs w:val="18"/>
      <w:lang w:val="en-US"/>
    </w:rPr>
  </w:style>
  <w:style w:type="paragraph" w:customStyle="1" w:styleId="xl79">
    <w:name w:val="xl79"/>
    <w:basedOn w:val="Normal"/>
    <w:rsid w:val="006D0ECA"/>
    <w:pPr>
      <w:pBdr>
        <w:bottom w:val="single" w:sz="8" w:space="0" w:color="BFBFBF"/>
      </w:pBdr>
      <w:spacing w:before="100" w:beforeAutospacing="1" w:after="100" w:afterAutospacing="1"/>
      <w:jc w:val="right"/>
      <w:textAlignment w:val="top"/>
    </w:pPr>
    <w:rPr>
      <w:rFonts w:ascii="Arial Narrow" w:hAnsi="Arial Narrow" w:cs="Times New Roman"/>
      <w:sz w:val="16"/>
      <w:szCs w:val="16"/>
      <w:lang w:val="en-US"/>
    </w:rPr>
  </w:style>
  <w:style w:type="paragraph" w:customStyle="1" w:styleId="xl80">
    <w:name w:val="xl80"/>
    <w:basedOn w:val="Normal"/>
    <w:rsid w:val="006D0ECA"/>
    <w:pPr>
      <w:pBdr>
        <w:bottom w:val="single" w:sz="8" w:space="0" w:color="BFBFBF"/>
      </w:pBdr>
      <w:spacing w:before="100" w:beforeAutospacing="1" w:after="100" w:afterAutospacing="1"/>
      <w:jc w:val="right"/>
      <w:textAlignment w:val="top"/>
    </w:pPr>
    <w:rPr>
      <w:rFonts w:ascii="Arial Narrow" w:hAnsi="Arial Narrow" w:cs="Times New Roman"/>
      <w:sz w:val="16"/>
      <w:szCs w:val="16"/>
      <w:lang w:val="en-US"/>
    </w:rPr>
  </w:style>
  <w:style w:type="paragraph" w:customStyle="1" w:styleId="xl81">
    <w:name w:val="xl81"/>
    <w:basedOn w:val="Normal"/>
    <w:rsid w:val="006D0ECA"/>
    <w:pPr>
      <w:spacing w:before="100" w:beforeAutospacing="1" w:after="100" w:afterAutospacing="1"/>
      <w:jc w:val="right"/>
      <w:textAlignment w:val="top"/>
    </w:pPr>
    <w:rPr>
      <w:rFonts w:ascii="Arial Narrow" w:hAnsi="Arial Narrow" w:cs="Times New Roman"/>
      <w:b/>
      <w:bCs/>
      <w:sz w:val="16"/>
      <w:szCs w:val="16"/>
      <w:lang w:val="en-US"/>
    </w:rPr>
  </w:style>
  <w:style w:type="paragraph" w:customStyle="1" w:styleId="xl82">
    <w:name w:val="xl82"/>
    <w:basedOn w:val="Normal"/>
    <w:rsid w:val="006D0ECA"/>
    <w:pPr>
      <w:spacing w:before="100" w:beforeAutospacing="1" w:after="100" w:afterAutospacing="1"/>
      <w:jc w:val="right"/>
      <w:textAlignment w:val="top"/>
    </w:pPr>
    <w:rPr>
      <w:rFonts w:ascii="Arial Narrow" w:hAnsi="Arial Narrow" w:cs="Times New Roman"/>
      <w:b/>
      <w:bCs/>
      <w:sz w:val="16"/>
      <w:szCs w:val="16"/>
      <w:lang w:val="en-US"/>
    </w:rPr>
  </w:style>
  <w:style w:type="paragraph" w:customStyle="1" w:styleId="xl83">
    <w:name w:val="xl83"/>
    <w:basedOn w:val="Normal"/>
    <w:rsid w:val="006D0ECA"/>
    <w:pPr>
      <w:spacing w:before="100" w:beforeAutospacing="1" w:after="100" w:afterAutospacing="1"/>
      <w:jc w:val="right"/>
      <w:textAlignment w:val="top"/>
    </w:pPr>
    <w:rPr>
      <w:rFonts w:ascii="Arial Narrow" w:hAnsi="Arial Narrow" w:cs="Times New Roman"/>
      <w:sz w:val="16"/>
      <w:szCs w:val="16"/>
      <w:lang w:val="en-US"/>
    </w:rPr>
  </w:style>
  <w:style w:type="character" w:customStyle="1" w:styleId="null1">
    <w:name w:val="null1"/>
    <w:basedOn w:val="DefaultParagraphFont"/>
    <w:rsid w:val="006D0ECA"/>
  </w:style>
  <w:style w:type="paragraph" w:customStyle="1" w:styleId="xl84">
    <w:name w:val="xl84"/>
    <w:basedOn w:val="Normal"/>
    <w:rsid w:val="006D0ECA"/>
    <w:pPr>
      <w:spacing w:before="100" w:beforeAutospacing="1" w:after="100" w:afterAutospacing="1"/>
      <w:jc w:val="right"/>
      <w:textAlignment w:val="top"/>
    </w:pPr>
    <w:rPr>
      <w:sz w:val="20"/>
      <w:lang w:val="fr-CH" w:eastAsia="fr-CH"/>
    </w:rPr>
  </w:style>
  <w:style w:type="paragraph" w:customStyle="1" w:styleId="xl85">
    <w:name w:val="xl85"/>
    <w:basedOn w:val="Normal"/>
    <w:rsid w:val="006D0ECA"/>
    <w:pPr>
      <w:spacing w:before="100" w:beforeAutospacing="1" w:after="100" w:afterAutospacing="1"/>
      <w:textAlignment w:val="top"/>
    </w:pPr>
    <w:rPr>
      <w:b/>
      <w:bCs/>
      <w:sz w:val="20"/>
      <w:lang w:val="fr-CH" w:eastAsia="fr-CH"/>
    </w:rPr>
  </w:style>
  <w:style w:type="paragraph" w:customStyle="1" w:styleId="xl86">
    <w:name w:val="xl86"/>
    <w:basedOn w:val="Normal"/>
    <w:rsid w:val="006D0ECA"/>
    <w:pPr>
      <w:spacing w:before="100" w:beforeAutospacing="1" w:after="100" w:afterAutospacing="1"/>
      <w:jc w:val="right"/>
      <w:textAlignment w:val="top"/>
    </w:pPr>
    <w:rPr>
      <w:b/>
      <w:bCs/>
      <w:sz w:val="20"/>
      <w:lang w:val="fr-CH" w:eastAsia="fr-CH"/>
    </w:rPr>
  </w:style>
  <w:style w:type="paragraph" w:customStyle="1" w:styleId="xl87">
    <w:name w:val="xl87"/>
    <w:basedOn w:val="Normal"/>
    <w:rsid w:val="006D0ECA"/>
    <w:pPr>
      <w:spacing w:before="100" w:beforeAutospacing="1" w:after="100" w:afterAutospacing="1"/>
      <w:textAlignment w:val="top"/>
    </w:pPr>
    <w:rPr>
      <w:sz w:val="20"/>
      <w:lang w:val="fr-CH" w:eastAsia="fr-CH"/>
    </w:rPr>
  </w:style>
  <w:style w:type="paragraph" w:customStyle="1" w:styleId="xl88">
    <w:name w:val="xl88"/>
    <w:basedOn w:val="Normal"/>
    <w:rsid w:val="006D0ECA"/>
    <w:pPr>
      <w:shd w:val="clear" w:color="000000" w:fill="FFFF00"/>
      <w:spacing w:before="100" w:beforeAutospacing="1" w:after="100" w:afterAutospacing="1"/>
      <w:textAlignment w:val="top"/>
    </w:pPr>
    <w:rPr>
      <w:sz w:val="20"/>
      <w:lang w:val="fr-CH" w:eastAsia="fr-CH"/>
    </w:rPr>
  </w:style>
  <w:style w:type="paragraph" w:customStyle="1" w:styleId="xl89">
    <w:name w:val="xl89"/>
    <w:basedOn w:val="Normal"/>
    <w:rsid w:val="006D0ECA"/>
    <w:pPr>
      <w:spacing w:before="100" w:beforeAutospacing="1" w:after="100" w:afterAutospacing="1"/>
      <w:textAlignment w:val="top"/>
    </w:pPr>
    <w:rPr>
      <w:b/>
      <w:bCs/>
      <w:sz w:val="20"/>
      <w:lang w:val="fr-CH" w:eastAsia="fr-CH"/>
    </w:rPr>
  </w:style>
  <w:style w:type="paragraph" w:customStyle="1" w:styleId="xl90">
    <w:name w:val="xl90"/>
    <w:basedOn w:val="Normal"/>
    <w:rsid w:val="006D0ECA"/>
    <w:pPr>
      <w:shd w:val="clear" w:color="000000" w:fill="C7CFD8"/>
      <w:spacing w:before="100" w:beforeAutospacing="1" w:after="100" w:afterAutospacing="1"/>
      <w:textAlignment w:val="top"/>
    </w:pPr>
    <w:rPr>
      <w:b/>
      <w:bCs/>
      <w:szCs w:val="22"/>
      <w:lang w:val="fr-CH" w:eastAsia="fr-CH"/>
    </w:rPr>
  </w:style>
  <w:style w:type="paragraph" w:customStyle="1" w:styleId="xl91">
    <w:name w:val="xl91"/>
    <w:basedOn w:val="Normal"/>
    <w:rsid w:val="006D0ECA"/>
    <w:pPr>
      <w:shd w:val="clear" w:color="000000" w:fill="C7CFD8"/>
      <w:spacing w:before="100" w:beforeAutospacing="1" w:after="100" w:afterAutospacing="1"/>
      <w:jc w:val="center"/>
      <w:textAlignment w:val="top"/>
    </w:pPr>
    <w:rPr>
      <w:b/>
      <w:bCs/>
      <w:szCs w:val="22"/>
      <w:lang w:val="fr-CH" w:eastAsia="fr-CH"/>
    </w:rPr>
  </w:style>
  <w:style w:type="paragraph" w:customStyle="1" w:styleId="xl92">
    <w:name w:val="xl92"/>
    <w:basedOn w:val="Normal"/>
    <w:rsid w:val="006D0ECA"/>
    <w:pPr>
      <w:pBdr>
        <w:top w:val="single" w:sz="4" w:space="0" w:color="546778"/>
      </w:pBdr>
      <w:shd w:val="clear" w:color="000000" w:fill="C7CFD8"/>
      <w:spacing w:before="100" w:beforeAutospacing="1" w:after="100" w:afterAutospacing="1"/>
      <w:jc w:val="center"/>
      <w:textAlignment w:val="top"/>
    </w:pPr>
    <w:rPr>
      <w:b/>
      <w:bCs/>
      <w:szCs w:val="22"/>
      <w:lang w:val="fr-CH" w:eastAsia="fr-CH"/>
    </w:rPr>
  </w:style>
  <w:style w:type="paragraph" w:customStyle="1" w:styleId="xl93">
    <w:name w:val="xl93"/>
    <w:basedOn w:val="Normal"/>
    <w:rsid w:val="006D0ECA"/>
    <w:pPr>
      <w:pBdr>
        <w:top w:val="single" w:sz="4" w:space="0" w:color="546778"/>
        <w:right w:val="single" w:sz="4" w:space="0" w:color="546778"/>
      </w:pBdr>
      <w:shd w:val="clear" w:color="000000" w:fill="C7CFD8"/>
      <w:spacing w:before="100" w:beforeAutospacing="1" w:after="100" w:afterAutospacing="1"/>
      <w:jc w:val="center"/>
      <w:textAlignment w:val="top"/>
    </w:pPr>
    <w:rPr>
      <w:b/>
      <w:bCs/>
      <w:szCs w:val="22"/>
      <w:lang w:val="fr-CH" w:eastAsia="fr-CH"/>
    </w:rPr>
  </w:style>
  <w:style w:type="paragraph" w:customStyle="1" w:styleId="xl94">
    <w:name w:val="xl94"/>
    <w:basedOn w:val="Normal"/>
    <w:rsid w:val="006D0ECA"/>
    <w:pPr>
      <w:pBdr>
        <w:top w:val="single" w:sz="4" w:space="0" w:color="546778"/>
        <w:left w:val="single" w:sz="4" w:space="0" w:color="546778"/>
      </w:pBdr>
      <w:shd w:val="clear" w:color="000000" w:fill="C7CFD8"/>
      <w:spacing w:before="100" w:beforeAutospacing="1" w:after="100" w:afterAutospacing="1"/>
      <w:jc w:val="center"/>
      <w:textAlignment w:val="top"/>
    </w:pPr>
    <w:rPr>
      <w:b/>
      <w:bCs/>
      <w:szCs w:val="22"/>
      <w:lang w:val="fr-CH" w:eastAsia="fr-CH"/>
    </w:rPr>
  </w:style>
  <w:style w:type="paragraph" w:customStyle="1" w:styleId="xl95">
    <w:name w:val="xl95"/>
    <w:basedOn w:val="Normal"/>
    <w:rsid w:val="006D0ECA"/>
    <w:pPr>
      <w:pBdr>
        <w:top w:val="single" w:sz="4" w:space="0" w:color="546778"/>
        <w:right w:val="single" w:sz="4" w:space="0" w:color="546778"/>
      </w:pBdr>
      <w:shd w:val="clear" w:color="000000" w:fill="C7CFD8"/>
      <w:spacing w:before="100" w:beforeAutospacing="1" w:after="100" w:afterAutospacing="1"/>
      <w:jc w:val="right"/>
      <w:textAlignment w:val="top"/>
    </w:pPr>
    <w:rPr>
      <w:b/>
      <w:bCs/>
      <w:szCs w:val="22"/>
      <w:lang w:val="fr-CH" w:eastAsia="fr-CH"/>
    </w:rPr>
  </w:style>
  <w:style w:type="paragraph" w:customStyle="1" w:styleId="xl96">
    <w:name w:val="xl96"/>
    <w:basedOn w:val="Normal"/>
    <w:rsid w:val="006D0ECA"/>
    <w:pPr>
      <w:pBdr>
        <w:top w:val="single" w:sz="4" w:space="0" w:color="546778"/>
      </w:pBdr>
      <w:shd w:val="clear" w:color="000000" w:fill="C7CFD8"/>
      <w:spacing w:before="100" w:beforeAutospacing="1" w:after="100" w:afterAutospacing="1"/>
      <w:jc w:val="right"/>
      <w:textAlignment w:val="top"/>
    </w:pPr>
    <w:rPr>
      <w:b/>
      <w:bCs/>
      <w:szCs w:val="22"/>
      <w:lang w:val="fr-CH" w:eastAsia="fr-CH"/>
    </w:rPr>
  </w:style>
  <w:style w:type="paragraph" w:customStyle="1" w:styleId="xl97">
    <w:name w:val="xl97"/>
    <w:basedOn w:val="Normal"/>
    <w:rsid w:val="006D0ECA"/>
    <w:pPr>
      <w:spacing w:before="100" w:beforeAutospacing="1" w:after="100" w:afterAutospacing="1"/>
      <w:jc w:val="right"/>
      <w:textAlignment w:val="top"/>
    </w:pPr>
    <w:rPr>
      <w:b/>
      <w:bCs/>
      <w:szCs w:val="22"/>
      <w:lang w:val="fr-CH" w:eastAsia="fr-CH"/>
    </w:rPr>
  </w:style>
  <w:style w:type="paragraph" w:customStyle="1" w:styleId="xl98">
    <w:name w:val="xl98"/>
    <w:basedOn w:val="Normal"/>
    <w:rsid w:val="006D0ECA"/>
    <w:pPr>
      <w:spacing w:before="100" w:beforeAutospacing="1" w:after="100" w:afterAutospacing="1"/>
      <w:textAlignment w:val="top"/>
    </w:pPr>
    <w:rPr>
      <w:color w:val="000000"/>
      <w:szCs w:val="22"/>
      <w:lang w:val="fr-CH" w:eastAsia="fr-CH"/>
    </w:rPr>
  </w:style>
  <w:style w:type="paragraph" w:customStyle="1" w:styleId="xl99">
    <w:name w:val="xl99"/>
    <w:basedOn w:val="Normal"/>
    <w:rsid w:val="006D0ECA"/>
    <w:pPr>
      <w:spacing w:before="100" w:beforeAutospacing="1" w:after="100" w:afterAutospacing="1"/>
      <w:textAlignment w:val="top"/>
    </w:pPr>
    <w:rPr>
      <w:szCs w:val="22"/>
      <w:lang w:val="fr-CH" w:eastAsia="fr-CH"/>
    </w:rPr>
  </w:style>
  <w:style w:type="paragraph" w:customStyle="1" w:styleId="xl100">
    <w:name w:val="xl100"/>
    <w:basedOn w:val="Normal"/>
    <w:rsid w:val="006D0ECA"/>
    <w:pPr>
      <w:spacing w:before="100" w:beforeAutospacing="1" w:after="100" w:afterAutospacing="1"/>
      <w:textAlignment w:val="top"/>
    </w:pPr>
    <w:rPr>
      <w:b/>
      <w:bCs/>
      <w:szCs w:val="22"/>
      <w:lang w:val="fr-CH" w:eastAsia="fr-CH"/>
    </w:rPr>
  </w:style>
  <w:style w:type="paragraph" w:customStyle="1" w:styleId="xl101">
    <w:name w:val="xl101"/>
    <w:basedOn w:val="Normal"/>
    <w:rsid w:val="006D0ECA"/>
    <w:pPr>
      <w:pBdr>
        <w:top w:val="single" w:sz="4" w:space="0" w:color="C7CFD8"/>
        <w:bottom w:val="single" w:sz="12" w:space="0" w:color="C7CFD8"/>
      </w:pBdr>
      <w:shd w:val="clear" w:color="000000" w:fill="FFFFFF"/>
      <w:spacing w:before="100" w:beforeAutospacing="1" w:after="100" w:afterAutospacing="1"/>
      <w:textAlignment w:val="top"/>
    </w:pPr>
    <w:rPr>
      <w:b/>
      <w:bCs/>
      <w:szCs w:val="22"/>
      <w:lang w:val="fr-CH" w:eastAsia="fr-CH"/>
    </w:rPr>
  </w:style>
  <w:style w:type="paragraph" w:customStyle="1" w:styleId="xl102">
    <w:name w:val="xl102"/>
    <w:basedOn w:val="Normal"/>
    <w:rsid w:val="006D0ECA"/>
    <w:pPr>
      <w:pBdr>
        <w:top w:val="single" w:sz="4" w:space="0" w:color="C7CFD8"/>
        <w:bottom w:val="single" w:sz="12" w:space="0" w:color="C7CFD8"/>
        <w:right w:val="single" w:sz="4" w:space="0" w:color="FFFFFF"/>
      </w:pBdr>
      <w:shd w:val="clear" w:color="000000" w:fill="FFFFFF"/>
      <w:spacing w:before="100" w:beforeAutospacing="1" w:after="100" w:afterAutospacing="1"/>
      <w:textAlignment w:val="top"/>
    </w:pPr>
    <w:rPr>
      <w:b/>
      <w:bCs/>
      <w:szCs w:val="22"/>
      <w:lang w:val="fr-CH" w:eastAsia="fr-CH"/>
    </w:rPr>
  </w:style>
  <w:style w:type="paragraph" w:customStyle="1" w:styleId="xl103">
    <w:name w:val="xl103"/>
    <w:basedOn w:val="Normal"/>
    <w:rsid w:val="006D0ECA"/>
    <w:pPr>
      <w:spacing w:before="100" w:beforeAutospacing="1" w:after="100" w:afterAutospacing="1"/>
      <w:textAlignment w:val="top"/>
    </w:pPr>
    <w:rPr>
      <w:color w:val="000000"/>
      <w:szCs w:val="22"/>
      <w:lang w:val="fr-CH" w:eastAsia="fr-CH"/>
    </w:rPr>
  </w:style>
  <w:style w:type="paragraph" w:customStyle="1" w:styleId="xl104">
    <w:name w:val="xl104"/>
    <w:basedOn w:val="Normal"/>
    <w:rsid w:val="006D0ECA"/>
    <w:pPr>
      <w:spacing w:before="100" w:beforeAutospacing="1" w:after="100" w:afterAutospacing="1"/>
      <w:jc w:val="center"/>
      <w:textAlignment w:val="top"/>
    </w:pPr>
    <w:rPr>
      <w:szCs w:val="22"/>
      <w:lang w:val="fr-CH" w:eastAsia="fr-CH"/>
    </w:rPr>
  </w:style>
  <w:style w:type="paragraph" w:customStyle="1" w:styleId="xl105">
    <w:name w:val="xl105"/>
    <w:basedOn w:val="Normal"/>
    <w:rsid w:val="006D0ECA"/>
    <w:pPr>
      <w:spacing w:before="100" w:beforeAutospacing="1" w:after="100" w:afterAutospacing="1"/>
      <w:jc w:val="center"/>
      <w:textAlignment w:val="top"/>
    </w:pPr>
    <w:rPr>
      <w:szCs w:val="22"/>
      <w:lang w:val="fr-CH" w:eastAsia="fr-CH"/>
    </w:rPr>
  </w:style>
  <w:style w:type="paragraph" w:customStyle="1" w:styleId="xl106">
    <w:name w:val="xl106"/>
    <w:basedOn w:val="Normal"/>
    <w:rsid w:val="006D0ECA"/>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jc w:val="center"/>
      <w:textAlignment w:val="top"/>
    </w:pPr>
    <w:rPr>
      <w:b/>
      <w:bCs/>
      <w:szCs w:val="22"/>
      <w:lang w:val="fr-CH" w:eastAsia="fr-CH"/>
    </w:rPr>
  </w:style>
  <w:style w:type="paragraph" w:customStyle="1" w:styleId="xl107">
    <w:name w:val="xl107"/>
    <w:basedOn w:val="Normal"/>
    <w:rsid w:val="006D0ECA"/>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jc w:val="center"/>
      <w:textAlignment w:val="top"/>
    </w:pPr>
    <w:rPr>
      <w:b/>
      <w:bCs/>
      <w:szCs w:val="22"/>
      <w:lang w:val="fr-CH" w:eastAsia="fr-CH"/>
    </w:rPr>
  </w:style>
  <w:style w:type="paragraph" w:customStyle="1" w:styleId="xl108">
    <w:name w:val="xl108"/>
    <w:basedOn w:val="Normal"/>
    <w:rsid w:val="006D0ECA"/>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jc w:val="right"/>
      <w:textAlignment w:val="top"/>
    </w:pPr>
    <w:rPr>
      <w:b/>
      <w:bCs/>
      <w:szCs w:val="22"/>
      <w:lang w:val="fr-CH" w:eastAsia="fr-CH"/>
    </w:rPr>
  </w:style>
  <w:style w:type="paragraph" w:customStyle="1" w:styleId="xl109">
    <w:name w:val="xl109"/>
    <w:basedOn w:val="Normal"/>
    <w:rsid w:val="006D0ECA"/>
    <w:pPr>
      <w:spacing w:before="100" w:beforeAutospacing="1" w:after="100" w:afterAutospacing="1"/>
      <w:jc w:val="right"/>
      <w:textAlignment w:val="top"/>
    </w:pPr>
    <w:rPr>
      <w:szCs w:val="22"/>
      <w:lang w:val="fr-CH" w:eastAsia="fr-CH"/>
    </w:rPr>
  </w:style>
  <w:style w:type="paragraph" w:customStyle="1" w:styleId="xl110">
    <w:name w:val="xl110"/>
    <w:basedOn w:val="Normal"/>
    <w:rsid w:val="006D0ECA"/>
    <w:pPr>
      <w:shd w:val="clear" w:color="000000" w:fill="C7CFD8"/>
      <w:spacing w:before="100" w:beforeAutospacing="1" w:after="100" w:afterAutospacing="1"/>
      <w:jc w:val="center"/>
      <w:textAlignment w:val="top"/>
    </w:pPr>
    <w:rPr>
      <w:b/>
      <w:bCs/>
      <w:szCs w:val="22"/>
      <w:lang w:val="fr-CH" w:eastAsia="fr-CH"/>
    </w:rPr>
  </w:style>
  <w:style w:type="character" w:customStyle="1" w:styleId="SalutationChar">
    <w:name w:val="Salutation Char"/>
    <w:basedOn w:val="DefaultParagraphFont"/>
    <w:link w:val="Salutation"/>
    <w:semiHidden/>
    <w:rsid w:val="006D0ECA"/>
    <w:rPr>
      <w:rFonts w:ascii="Arial" w:hAnsi="Arial" w:cs="Arial"/>
      <w:sz w:val="22"/>
      <w:lang w:val="es-ES_tradnl"/>
    </w:rPr>
  </w:style>
  <w:style w:type="character" w:customStyle="1" w:styleId="SignatureChar">
    <w:name w:val="Signature Char"/>
    <w:basedOn w:val="DefaultParagraphFont"/>
    <w:link w:val="Signature"/>
    <w:semiHidden/>
    <w:rsid w:val="006D0ECA"/>
    <w:rPr>
      <w:rFonts w:ascii="Arial" w:hAnsi="Arial" w:cs="Arial"/>
      <w:sz w:val="22"/>
      <w:lang w:val="es-ES_tradnl"/>
    </w:rPr>
  </w:style>
  <w:style w:type="character" w:customStyle="1" w:styleId="EndnoteTextChar">
    <w:name w:val="Endnote Text Char"/>
    <w:basedOn w:val="DefaultParagraphFont"/>
    <w:link w:val="EndnoteText"/>
    <w:semiHidden/>
    <w:rsid w:val="006D0ECA"/>
    <w:rPr>
      <w:rFonts w:ascii="Arial" w:hAnsi="Arial" w:cs="Arial"/>
      <w:sz w:val="18"/>
      <w:lang w:val="es-ES_tradnl"/>
    </w:rPr>
  </w:style>
  <w:style w:type="numbering" w:customStyle="1" w:styleId="NumbListChart1">
    <w:name w:val="NumbListChart1"/>
    <w:uiPriority w:val="99"/>
    <w:rsid w:val="006D0ECA"/>
  </w:style>
  <w:style w:type="numbering" w:customStyle="1" w:styleId="NumbListAnnex1">
    <w:name w:val="NumbListAnnex1"/>
    <w:uiPriority w:val="99"/>
    <w:rsid w:val="006D0ECA"/>
  </w:style>
  <w:style w:type="numbering" w:customStyle="1" w:styleId="NumbLstTabBullet1">
    <w:name w:val="NumbLstTabBullet1"/>
    <w:uiPriority w:val="99"/>
    <w:rsid w:val="006D0ECA"/>
  </w:style>
  <w:style w:type="paragraph" w:customStyle="1" w:styleId="Default">
    <w:name w:val="Default"/>
    <w:rsid w:val="006D0ECA"/>
    <w:pPr>
      <w:autoSpaceDE w:val="0"/>
      <w:autoSpaceDN w:val="0"/>
      <w:adjustRightInd w:val="0"/>
    </w:pPr>
    <w:rPr>
      <w:rFonts w:ascii="Arial" w:hAnsi="Arial" w:cs="Arial"/>
      <w:color w:val="000000"/>
      <w:sz w:val="24"/>
      <w:szCs w:val="24"/>
    </w:rPr>
  </w:style>
  <w:style w:type="paragraph" w:customStyle="1" w:styleId="xl111">
    <w:name w:val="xl111"/>
    <w:basedOn w:val="Normal"/>
    <w:rsid w:val="006D0ECA"/>
    <w:pPr>
      <w:pBdr>
        <w:top w:val="single" w:sz="4" w:space="0" w:color="C7CFD8"/>
        <w:bottom w:val="single" w:sz="4" w:space="0" w:color="C7CFD8"/>
      </w:pBdr>
      <w:spacing w:before="100" w:beforeAutospacing="1" w:after="100" w:afterAutospacing="1"/>
      <w:textAlignment w:val="center"/>
    </w:pPr>
    <w:rPr>
      <w:rFonts w:ascii="Arial Narrow" w:hAnsi="Arial Narrow" w:cs="Times New Roman"/>
      <w:sz w:val="16"/>
      <w:szCs w:val="16"/>
      <w:lang w:val="fr-CH" w:eastAsia="fr-CH"/>
    </w:rPr>
  </w:style>
  <w:style w:type="paragraph" w:customStyle="1" w:styleId="xl112">
    <w:name w:val="xl112"/>
    <w:basedOn w:val="Normal"/>
    <w:rsid w:val="006D0ECA"/>
    <w:pPr>
      <w:pBdr>
        <w:top w:val="single" w:sz="4" w:space="0" w:color="C7CFD8"/>
        <w:bottom w:val="single" w:sz="4" w:space="0" w:color="C7CFD8"/>
      </w:pBdr>
      <w:spacing w:before="100" w:beforeAutospacing="1" w:after="100" w:afterAutospacing="1"/>
      <w:textAlignment w:val="center"/>
    </w:pPr>
    <w:rPr>
      <w:rFonts w:ascii="Arial Narrow" w:hAnsi="Arial Narrow" w:cs="Times New Roman"/>
      <w:sz w:val="16"/>
      <w:szCs w:val="16"/>
      <w:lang w:val="fr-CH" w:eastAsia="fr-CH"/>
    </w:rPr>
  </w:style>
  <w:style w:type="paragraph" w:customStyle="1" w:styleId="xl113">
    <w:name w:val="xl113"/>
    <w:basedOn w:val="Normal"/>
    <w:rsid w:val="006D0ECA"/>
    <w:pPr>
      <w:pBdr>
        <w:top w:val="single" w:sz="4" w:space="0" w:color="C7CFD8"/>
        <w:bottom w:val="single" w:sz="4" w:space="0" w:color="C7CFD8"/>
      </w:pBdr>
      <w:spacing w:before="100" w:beforeAutospacing="1" w:after="100" w:afterAutospacing="1"/>
      <w:textAlignment w:val="center"/>
    </w:pPr>
    <w:rPr>
      <w:rFonts w:ascii="Arial Narrow" w:hAnsi="Arial Narrow" w:cs="Times New Roman"/>
      <w:sz w:val="16"/>
      <w:szCs w:val="16"/>
      <w:lang w:val="fr-CH" w:eastAsia="fr-CH"/>
    </w:rPr>
  </w:style>
  <w:style w:type="paragraph" w:customStyle="1" w:styleId="xl114">
    <w:name w:val="xl114"/>
    <w:basedOn w:val="Normal"/>
    <w:rsid w:val="006D0ECA"/>
    <w:pPr>
      <w:pBdr>
        <w:top w:val="single" w:sz="4" w:space="0" w:color="C7CFD8"/>
        <w:bottom w:val="single" w:sz="4" w:space="0" w:color="C7CFD8"/>
      </w:pBdr>
      <w:spacing w:before="100" w:beforeAutospacing="1" w:after="100" w:afterAutospacing="1"/>
      <w:textAlignment w:val="center"/>
    </w:pPr>
    <w:rPr>
      <w:rFonts w:ascii="Arial Narrow" w:hAnsi="Arial Narrow" w:cs="Times New Roman"/>
      <w:sz w:val="16"/>
      <w:szCs w:val="16"/>
      <w:lang w:val="fr-CH" w:eastAsia="fr-CH"/>
    </w:rPr>
  </w:style>
  <w:style w:type="paragraph" w:customStyle="1" w:styleId="xl115">
    <w:name w:val="xl115"/>
    <w:basedOn w:val="Normal"/>
    <w:rsid w:val="006D0ECA"/>
    <w:pPr>
      <w:pBdr>
        <w:top w:val="single" w:sz="4" w:space="0" w:color="C7CFD8"/>
        <w:bottom w:val="single" w:sz="4" w:space="0" w:color="C7CFD8"/>
      </w:pBdr>
      <w:spacing w:before="100" w:beforeAutospacing="1" w:after="100" w:afterAutospacing="1"/>
      <w:jc w:val="right"/>
      <w:textAlignment w:val="center"/>
    </w:pPr>
    <w:rPr>
      <w:rFonts w:ascii="Arial Narrow" w:hAnsi="Arial Narrow" w:cs="Times New Roman"/>
      <w:sz w:val="16"/>
      <w:szCs w:val="16"/>
      <w:lang w:val="fr-CH" w:eastAsia="fr-CH"/>
    </w:rPr>
  </w:style>
  <w:style w:type="paragraph" w:customStyle="1" w:styleId="xl116">
    <w:name w:val="xl116"/>
    <w:basedOn w:val="Normal"/>
    <w:rsid w:val="006D0ECA"/>
    <w:pPr>
      <w:pBdr>
        <w:top w:val="single" w:sz="4" w:space="0" w:color="C7CFD8"/>
        <w:bottom w:val="single" w:sz="8" w:space="0" w:color="C7CFD8"/>
      </w:pBdr>
      <w:spacing w:before="100" w:beforeAutospacing="1" w:after="100" w:afterAutospacing="1"/>
    </w:pPr>
    <w:rPr>
      <w:rFonts w:ascii="Arial Narrow" w:hAnsi="Arial Narrow" w:cs="Times New Roman"/>
      <w:color w:val="005694"/>
      <w:sz w:val="16"/>
      <w:szCs w:val="16"/>
      <w:lang w:val="fr-CH" w:eastAsia="fr-CH"/>
    </w:rPr>
  </w:style>
  <w:style w:type="paragraph" w:customStyle="1" w:styleId="xl117">
    <w:name w:val="xl117"/>
    <w:basedOn w:val="Normal"/>
    <w:rsid w:val="006D0ECA"/>
    <w:pPr>
      <w:pBdr>
        <w:top w:val="single" w:sz="4" w:space="0" w:color="C7CFD8"/>
        <w:bottom w:val="single" w:sz="8" w:space="0" w:color="C7CFD8"/>
      </w:pBdr>
      <w:spacing w:before="100" w:beforeAutospacing="1" w:after="100" w:afterAutospacing="1"/>
    </w:pPr>
    <w:rPr>
      <w:rFonts w:ascii="Arial Narrow" w:hAnsi="Arial Narrow" w:cs="Times New Roman"/>
      <w:b/>
      <w:bCs/>
      <w:sz w:val="16"/>
      <w:szCs w:val="16"/>
      <w:lang w:val="fr-CH" w:eastAsia="fr-CH"/>
    </w:rPr>
  </w:style>
  <w:style w:type="paragraph" w:customStyle="1" w:styleId="xl118">
    <w:name w:val="xl118"/>
    <w:basedOn w:val="Normal"/>
    <w:rsid w:val="006D0ECA"/>
    <w:pPr>
      <w:pBdr>
        <w:top w:val="single" w:sz="4" w:space="0" w:color="C7CFD8"/>
        <w:bottom w:val="single" w:sz="8" w:space="0" w:color="C7CFD8"/>
      </w:pBdr>
      <w:spacing w:before="100" w:beforeAutospacing="1" w:after="100" w:afterAutospacing="1"/>
      <w:textAlignment w:val="center"/>
    </w:pPr>
    <w:rPr>
      <w:rFonts w:ascii="Arial Narrow" w:hAnsi="Arial Narrow" w:cs="Times New Roman"/>
      <w:b/>
      <w:bCs/>
      <w:sz w:val="16"/>
      <w:szCs w:val="16"/>
      <w:lang w:val="fr-CH" w:eastAsia="fr-CH"/>
    </w:rPr>
  </w:style>
  <w:style w:type="paragraph" w:customStyle="1" w:styleId="xl119">
    <w:name w:val="xl119"/>
    <w:basedOn w:val="Normal"/>
    <w:rsid w:val="006D0ECA"/>
    <w:pPr>
      <w:shd w:val="clear" w:color="000000" w:fill="C7CFD8"/>
      <w:spacing w:before="100" w:beforeAutospacing="1" w:after="100" w:afterAutospacing="1"/>
      <w:jc w:val="center"/>
      <w:textAlignment w:val="center"/>
    </w:pPr>
    <w:rPr>
      <w:rFonts w:ascii="Arial Narrow" w:hAnsi="Arial Narrow" w:cs="Times New Roman"/>
      <w:b/>
      <w:bCs/>
      <w:sz w:val="16"/>
      <w:szCs w:val="16"/>
      <w:lang w:val="fr-CH" w:eastAsia="fr-CH"/>
    </w:rPr>
  </w:style>
  <w:style w:type="numbering" w:customStyle="1" w:styleId="NoList11">
    <w:name w:val="No List11"/>
    <w:next w:val="NoList"/>
    <w:uiPriority w:val="99"/>
    <w:semiHidden/>
    <w:unhideWhenUsed/>
    <w:rsid w:val="006D0ECA"/>
  </w:style>
  <w:style w:type="character" w:customStyle="1" w:styleId="TitleChar1">
    <w:name w:val="Title Char1"/>
    <w:basedOn w:val="DefaultParagraphFont"/>
    <w:rsid w:val="006D0ECA"/>
    <w:rPr>
      <w:rFonts w:ascii="Arial" w:eastAsia="Times New Roman" w:hAnsi="Arial" w:cs="Arial"/>
      <w:spacing w:val="-10"/>
      <w:kern w:val="28"/>
      <w:sz w:val="56"/>
      <w:szCs w:val="56"/>
    </w:rPr>
  </w:style>
  <w:style w:type="character" w:customStyle="1" w:styleId="IntenseQuoteChar1">
    <w:name w:val="Intense Quote Char1"/>
    <w:basedOn w:val="DefaultParagraphFont"/>
    <w:uiPriority w:val="30"/>
    <w:rsid w:val="006D0ECA"/>
    <w:rPr>
      <w:rFonts w:ascii="Arial" w:hAnsi="Arial" w:cs="Arial"/>
      <w:i/>
      <w:iCs/>
      <w:color w:val="005694"/>
      <w:sz w:val="22"/>
    </w:rPr>
  </w:style>
  <w:style w:type="table" w:customStyle="1" w:styleId="TableGrid2">
    <w:name w:val="Table Grid2"/>
    <w:basedOn w:val="TableNormal"/>
    <w:next w:val="TableGrid"/>
    <w:uiPriority w:val="59"/>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Chart2">
    <w:name w:val="NumbListChart2"/>
    <w:uiPriority w:val="99"/>
    <w:rsid w:val="006D0ECA"/>
  </w:style>
  <w:style w:type="table" w:customStyle="1" w:styleId="TableGrid4">
    <w:name w:val="Table Grid4"/>
    <w:basedOn w:val="TableNormal"/>
    <w:next w:val="TableGrid"/>
    <w:uiPriority w:val="59"/>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Chart3">
    <w:name w:val="NumbListChart3"/>
    <w:uiPriority w:val="99"/>
    <w:rsid w:val="006D0ECA"/>
  </w:style>
  <w:style w:type="character" w:styleId="EndnoteReference">
    <w:name w:val="endnote reference"/>
    <w:basedOn w:val="DefaultParagraphFont"/>
    <w:uiPriority w:val="99"/>
    <w:semiHidden/>
    <w:unhideWhenUsed/>
    <w:rsid w:val="006D0ECA"/>
    <w:rPr>
      <w:vertAlign w:val="superscript"/>
    </w:rPr>
  </w:style>
  <w:style w:type="table" w:customStyle="1" w:styleId="TableGrid7">
    <w:name w:val="Table Grid7"/>
    <w:basedOn w:val="TableNormal"/>
    <w:next w:val="TableGrid"/>
    <w:uiPriority w:val="59"/>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D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Bullet19">
    <w:name w:val="NUmbListBullet19"/>
    <w:uiPriority w:val="99"/>
    <w:rsid w:val="006D0ECA"/>
  </w:style>
  <w:style w:type="table" w:customStyle="1" w:styleId="TableGrid51">
    <w:name w:val="Table Grid51"/>
    <w:basedOn w:val="TableNormal"/>
    <w:next w:val="TableGrid"/>
    <w:uiPriority w:val="59"/>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D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Appendix1">
    <w:name w:val="NumbListAppendix1"/>
    <w:uiPriority w:val="99"/>
    <w:rsid w:val="006D0ECA"/>
  </w:style>
  <w:style w:type="numbering" w:customStyle="1" w:styleId="NoList2">
    <w:name w:val="No List2"/>
    <w:next w:val="NoList"/>
    <w:uiPriority w:val="99"/>
    <w:semiHidden/>
    <w:unhideWhenUsed/>
    <w:rsid w:val="006D0ECA"/>
  </w:style>
  <w:style w:type="numbering" w:customStyle="1" w:styleId="NoList111">
    <w:name w:val="No List111"/>
    <w:next w:val="NoList"/>
    <w:uiPriority w:val="99"/>
    <w:semiHidden/>
    <w:unhideWhenUsed/>
    <w:rsid w:val="006D0ECA"/>
  </w:style>
  <w:style w:type="numbering" w:customStyle="1" w:styleId="NumbListMain1">
    <w:name w:val="NumbListMain1"/>
    <w:uiPriority w:val="99"/>
    <w:rsid w:val="006D0ECA"/>
  </w:style>
  <w:style w:type="numbering" w:customStyle="1" w:styleId="NumbListTable1">
    <w:name w:val="NumbListTable1"/>
    <w:uiPriority w:val="99"/>
    <w:rsid w:val="006D0ECA"/>
  </w:style>
  <w:style w:type="numbering" w:customStyle="1" w:styleId="NumbListChart4">
    <w:name w:val="NumbListChart4"/>
    <w:uiPriority w:val="99"/>
    <w:rsid w:val="006D0ECA"/>
  </w:style>
  <w:style w:type="numbering" w:customStyle="1" w:styleId="NumbListAnnex2">
    <w:name w:val="NumbListAnnex2"/>
    <w:uiPriority w:val="99"/>
    <w:rsid w:val="006D0ECA"/>
  </w:style>
  <w:style w:type="numbering" w:customStyle="1" w:styleId="NUmbListBullet1">
    <w:name w:val="NUmbListBullet1"/>
    <w:uiPriority w:val="99"/>
    <w:rsid w:val="006D0ECA"/>
  </w:style>
  <w:style w:type="numbering" w:customStyle="1" w:styleId="NumbLstTabBullet2">
    <w:name w:val="NumbLstTabBullet2"/>
    <w:uiPriority w:val="99"/>
    <w:rsid w:val="006D0ECA"/>
  </w:style>
  <w:style w:type="numbering" w:customStyle="1" w:styleId="NoList3">
    <w:name w:val="No List3"/>
    <w:next w:val="NoList"/>
    <w:uiPriority w:val="99"/>
    <w:semiHidden/>
    <w:unhideWhenUsed/>
    <w:rsid w:val="006D0ECA"/>
  </w:style>
  <w:style w:type="numbering" w:customStyle="1" w:styleId="NoList12">
    <w:name w:val="No List12"/>
    <w:next w:val="NoList"/>
    <w:uiPriority w:val="99"/>
    <w:semiHidden/>
    <w:unhideWhenUsed/>
    <w:rsid w:val="006D0ECA"/>
  </w:style>
  <w:style w:type="numbering" w:customStyle="1" w:styleId="NumbListMain2">
    <w:name w:val="NumbListMain2"/>
    <w:uiPriority w:val="99"/>
    <w:rsid w:val="006D0ECA"/>
  </w:style>
  <w:style w:type="table" w:customStyle="1" w:styleId="TableGrid61">
    <w:name w:val="Table Grid61"/>
    <w:basedOn w:val="TableNormal"/>
    <w:next w:val="TableGrid"/>
    <w:uiPriority w:val="59"/>
    <w:rsid w:val="006D0ECA"/>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Table2">
    <w:name w:val="NumbListTable2"/>
    <w:uiPriority w:val="99"/>
    <w:rsid w:val="006D0ECA"/>
  </w:style>
  <w:style w:type="numbering" w:customStyle="1" w:styleId="NumbListChart5">
    <w:name w:val="NumbListChart5"/>
    <w:uiPriority w:val="99"/>
    <w:rsid w:val="006D0ECA"/>
  </w:style>
  <w:style w:type="numbering" w:customStyle="1" w:styleId="NumbListAnnex3">
    <w:name w:val="NumbListAnnex3"/>
    <w:uiPriority w:val="99"/>
    <w:rsid w:val="006D0ECA"/>
  </w:style>
  <w:style w:type="numbering" w:customStyle="1" w:styleId="NumbListAppendix2">
    <w:name w:val="NumbListAppendix2"/>
    <w:uiPriority w:val="99"/>
    <w:rsid w:val="006D0ECA"/>
  </w:style>
  <w:style w:type="numbering" w:customStyle="1" w:styleId="NUmbListBullet2">
    <w:name w:val="NUmbListBullet2"/>
    <w:uiPriority w:val="99"/>
    <w:rsid w:val="006D0ECA"/>
  </w:style>
  <w:style w:type="numbering" w:customStyle="1" w:styleId="NumbLstTabBullet3">
    <w:name w:val="NumbLstTabBullet3"/>
    <w:uiPriority w:val="99"/>
    <w:rsid w:val="006D0ECA"/>
  </w:style>
  <w:style w:type="paragraph" w:customStyle="1" w:styleId="xl120">
    <w:name w:val="xl120"/>
    <w:basedOn w:val="Normal"/>
    <w:rsid w:val="006D0ECA"/>
    <w:pPr>
      <w:pBdr>
        <w:bottom w:val="single" w:sz="4" w:space="0" w:color="BFBFBF"/>
      </w:pBdr>
      <w:spacing w:before="100" w:beforeAutospacing="1" w:after="100" w:afterAutospacing="1"/>
      <w:ind w:firstLineChars="100" w:firstLine="100"/>
      <w:textAlignment w:val="top"/>
    </w:pPr>
    <w:rPr>
      <w:rFonts w:ascii="Arial Narrow" w:hAnsi="Arial Narrow" w:cs="Times New Roman"/>
      <w:sz w:val="16"/>
      <w:szCs w:val="16"/>
      <w:lang w:val="fr-CH" w:eastAsia="fr-CH"/>
    </w:rPr>
  </w:style>
  <w:style w:type="paragraph" w:customStyle="1" w:styleId="xl121">
    <w:name w:val="xl121"/>
    <w:basedOn w:val="Normal"/>
    <w:rsid w:val="006D0ECA"/>
    <w:pPr>
      <w:pBdr>
        <w:bottom w:val="single" w:sz="8" w:space="0" w:color="A6A6A6"/>
      </w:pBdr>
      <w:spacing w:before="100" w:beforeAutospacing="1" w:after="100" w:afterAutospacing="1"/>
      <w:ind w:firstLineChars="100" w:firstLine="100"/>
      <w:textAlignment w:val="center"/>
    </w:pPr>
    <w:rPr>
      <w:rFonts w:ascii="Arial Narrow" w:hAnsi="Arial Narrow" w:cs="Times New Roman"/>
      <w:b/>
      <w:bCs/>
      <w:sz w:val="20"/>
      <w:lang w:val="fr-CH" w:eastAsia="fr-CH"/>
    </w:rPr>
  </w:style>
  <w:style w:type="paragraph" w:customStyle="1" w:styleId="xl122">
    <w:name w:val="xl122"/>
    <w:basedOn w:val="Normal"/>
    <w:rsid w:val="006D0ECA"/>
    <w:pPr>
      <w:pBdr>
        <w:top w:val="single" w:sz="4" w:space="0" w:color="748B9E"/>
      </w:pBdr>
      <w:shd w:val="clear" w:color="000000" w:fill="C7CFD8"/>
      <w:spacing w:before="100" w:beforeAutospacing="1" w:after="100" w:afterAutospacing="1"/>
      <w:ind w:firstLineChars="300" w:firstLine="300"/>
      <w:textAlignment w:val="center"/>
    </w:pPr>
    <w:rPr>
      <w:rFonts w:ascii="Arial Narrow" w:hAnsi="Arial Narrow" w:cs="Times New Roman"/>
      <w:b/>
      <w:bCs/>
      <w:sz w:val="16"/>
      <w:szCs w:val="16"/>
      <w:lang w:val="fr-CH" w:eastAsia="fr-CH"/>
    </w:rPr>
  </w:style>
  <w:style w:type="table" w:customStyle="1" w:styleId="TableGrid9">
    <w:name w:val="Table Grid9"/>
    <w:basedOn w:val="TableNormal"/>
    <w:next w:val="TableGrid"/>
    <w:rsid w:val="006D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D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6D0ECA"/>
    <w:rPr>
      <w:color w:val="0000FF" w:themeColor="hyperlink"/>
      <w:u w:val="single"/>
    </w:rPr>
  </w:style>
  <w:style w:type="paragraph" w:styleId="Title">
    <w:name w:val="Title"/>
    <w:basedOn w:val="Normal"/>
    <w:next w:val="Normal"/>
    <w:link w:val="TitleChar"/>
    <w:uiPriority w:val="49"/>
    <w:qFormat/>
    <w:rsid w:val="006D0ECA"/>
    <w:pPr>
      <w:contextualSpacing/>
    </w:pPr>
    <w:rPr>
      <w:color w:val="003C55"/>
      <w:spacing w:val="5"/>
      <w:kern w:val="28"/>
      <w:sz w:val="52"/>
      <w:szCs w:val="52"/>
      <w:lang w:val="en-US"/>
    </w:rPr>
  </w:style>
  <w:style w:type="character" w:customStyle="1" w:styleId="TitleChar2">
    <w:name w:val="Title Char2"/>
    <w:basedOn w:val="DefaultParagraphFont"/>
    <w:rsid w:val="006D0ECA"/>
    <w:rPr>
      <w:rFonts w:asciiTheme="majorHAnsi" w:eastAsiaTheme="majorEastAsia" w:hAnsiTheme="majorHAnsi" w:cstheme="majorBidi"/>
      <w:spacing w:val="-10"/>
      <w:kern w:val="28"/>
      <w:sz w:val="56"/>
      <w:szCs w:val="56"/>
      <w:lang w:val="es-ES_tradnl"/>
    </w:rPr>
  </w:style>
  <w:style w:type="character" w:styleId="IntenseEmphasis">
    <w:name w:val="Intense Emphasis"/>
    <w:basedOn w:val="DefaultParagraphFont"/>
    <w:uiPriority w:val="21"/>
    <w:qFormat/>
    <w:rsid w:val="006D0ECA"/>
    <w:rPr>
      <w:i/>
      <w:iCs/>
      <w:color w:val="4F81BD" w:themeColor="accent1"/>
    </w:rPr>
  </w:style>
  <w:style w:type="paragraph" w:styleId="IntenseQuote">
    <w:name w:val="Intense Quote"/>
    <w:basedOn w:val="Normal"/>
    <w:next w:val="Normal"/>
    <w:link w:val="IntenseQuoteChar"/>
    <w:uiPriority w:val="49"/>
    <w:qFormat/>
    <w:rsid w:val="006D0ECA"/>
    <w:pPr>
      <w:pBdr>
        <w:top w:val="single" w:sz="4" w:space="10" w:color="4F81BD" w:themeColor="accent1"/>
        <w:bottom w:val="single" w:sz="4" w:space="10" w:color="4F81BD" w:themeColor="accent1"/>
      </w:pBdr>
      <w:spacing w:before="360" w:after="360"/>
      <w:ind w:left="864" w:right="864"/>
      <w:jc w:val="center"/>
    </w:pPr>
    <w:rPr>
      <w:rFonts w:cs="Times New Roman"/>
      <w:b/>
      <w:bCs/>
      <w:i/>
      <w:iCs/>
      <w:color w:val="005172"/>
      <w:sz w:val="18"/>
      <w:lang w:val="en-US"/>
    </w:rPr>
  </w:style>
  <w:style w:type="character" w:customStyle="1" w:styleId="IntenseQuoteChar2">
    <w:name w:val="Intense Quote Char2"/>
    <w:basedOn w:val="DefaultParagraphFont"/>
    <w:uiPriority w:val="30"/>
    <w:rsid w:val="006D0ECA"/>
    <w:rPr>
      <w:rFonts w:ascii="Arial" w:hAnsi="Arial" w:cs="Arial"/>
      <w:i/>
      <w:iCs/>
      <w:color w:val="4F81BD" w:themeColor="accent1"/>
      <w:sz w:val="22"/>
      <w:lang w:val="es-ES_tradnl"/>
    </w:rPr>
  </w:style>
  <w:style w:type="character" w:styleId="FollowedHyperlink">
    <w:name w:val="FollowedHyperlink"/>
    <w:basedOn w:val="DefaultParagraphFont"/>
    <w:semiHidden/>
    <w:unhideWhenUsed/>
    <w:rsid w:val="006D0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5320</Words>
  <Characters>28371</Characters>
  <Application>Microsoft Office Word</Application>
  <DocSecurity>0</DocSecurity>
  <Lines>1411</Lines>
  <Paragraphs>935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HALLER Mario</dc:creator>
  <cp:keywords>PUBLIC</cp:keywords>
  <dc:description/>
  <cp:lastModifiedBy>HÄFLIGER Patience</cp:lastModifiedBy>
  <cp:revision>5</cp:revision>
  <dcterms:created xsi:type="dcterms:W3CDTF">2019-10-09T09:34:00Z</dcterms:created>
  <dcterms:modified xsi:type="dcterms:W3CDTF">2019-10-09T10:28:00Z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4fa1133b-e7e2-4f00-a26a-90326235fe07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