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E11C82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E11C82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1C82" w:rsidRDefault="00F153DA" w:rsidP="00AB613D">
            <w:r w:rsidRPr="00E11C82">
              <w:rPr>
                <w:noProof/>
                <w:lang w:val="en-US" w:eastAsia="en-US"/>
              </w:rPr>
              <w:drawing>
                <wp:inline distT="0" distB="0" distL="0" distR="0" wp14:anchorId="370AFB8A" wp14:editId="3B609F38">
                  <wp:extent cx="1858645" cy="1326515"/>
                  <wp:effectExtent l="0" t="0" r="8255" b="698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132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E11C82" w:rsidRDefault="00E504E5" w:rsidP="00AB613D">
            <w:pPr>
              <w:jc w:val="right"/>
            </w:pPr>
            <w:r w:rsidRPr="00E11C82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E11C82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E11C82" w:rsidRDefault="00F153DA" w:rsidP="00C0511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1C82">
              <w:rPr>
                <w:rFonts w:ascii="Arial Black" w:hAnsi="Arial Black"/>
                <w:caps/>
                <w:sz w:val="15"/>
              </w:rPr>
              <w:t>A/57/</w:t>
            </w:r>
            <w:bookmarkStart w:id="1" w:name="Code"/>
            <w:bookmarkEnd w:id="1"/>
            <w:r w:rsidR="00C05112" w:rsidRPr="00E11C82">
              <w:rPr>
                <w:rFonts w:ascii="Arial Black" w:hAnsi="Arial Black"/>
                <w:caps/>
                <w:sz w:val="15"/>
              </w:rPr>
              <w:t>10</w:t>
            </w:r>
          </w:p>
        </w:tc>
      </w:tr>
      <w:tr w:rsidR="008B2CC1" w:rsidRPr="00E11C82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E11C82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1C82">
              <w:rPr>
                <w:rFonts w:ascii="Arial Black" w:hAnsi="Arial Black"/>
                <w:caps/>
                <w:sz w:val="15"/>
              </w:rPr>
              <w:t>ORIGINAL:</w:t>
            </w:r>
            <w:r w:rsidR="004E1A1C" w:rsidRPr="00E11C82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F06A07" w:rsidRPr="00E11C82">
              <w:rPr>
                <w:rFonts w:ascii="Arial Black" w:hAnsi="Arial Black"/>
                <w:caps/>
                <w:sz w:val="15"/>
              </w:rPr>
              <w:t>INGLÉS</w:t>
            </w:r>
            <w:r w:rsidRPr="00E11C8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E11C82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E11C82" w:rsidRDefault="00675021" w:rsidP="00C0511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E11C82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E11C82">
              <w:rPr>
                <w:rFonts w:ascii="Arial Black" w:hAnsi="Arial Black"/>
                <w:caps/>
                <w:sz w:val="15"/>
              </w:rPr>
              <w:t>:</w:t>
            </w:r>
            <w:r w:rsidR="004E1A1C" w:rsidRPr="00E11C82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C05112" w:rsidRPr="00E11C82">
              <w:rPr>
                <w:rFonts w:ascii="Arial Black" w:hAnsi="Arial Black"/>
                <w:caps/>
                <w:sz w:val="15"/>
              </w:rPr>
              <w:t>29</w:t>
            </w:r>
            <w:r w:rsidR="00F06A07" w:rsidRPr="00E11C82">
              <w:rPr>
                <w:rFonts w:ascii="Arial Black" w:hAnsi="Arial Black"/>
                <w:caps/>
                <w:sz w:val="15"/>
              </w:rPr>
              <w:t xml:space="preserve"> DE SEPTIEMBRE DE 2017</w:t>
            </w:r>
            <w:r w:rsidR="008B2CC1" w:rsidRPr="00E11C82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440F61" w:rsidRPr="00E11C82" w:rsidRDefault="00440F61" w:rsidP="008B2CC1"/>
    <w:p w:rsidR="00440F61" w:rsidRPr="00E11C82" w:rsidRDefault="00440F61" w:rsidP="008B2CC1">
      <w:pPr>
        <w:rPr>
          <w:b/>
        </w:rPr>
      </w:pPr>
    </w:p>
    <w:p w:rsidR="00440F61" w:rsidRPr="00E11C82" w:rsidRDefault="00440F61" w:rsidP="008B2CC1"/>
    <w:p w:rsidR="00440F61" w:rsidRPr="00E11C82" w:rsidRDefault="00440F61" w:rsidP="008B2CC1"/>
    <w:p w:rsidR="00440F61" w:rsidRPr="00E11C82" w:rsidRDefault="00440F61" w:rsidP="008B2CC1"/>
    <w:p w:rsidR="00440F61" w:rsidRPr="00E11C82" w:rsidRDefault="00F153DA" w:rsidP="00B67CDC">
      <w:pPr>
        <w:rPr>
          <w:b/>
          <w:sz w:val="28"/>
          <w:szCs w:val="28"/>
        </w:rPr>
      </w:pPr>
      <w:r w:rsidRPr="00E11C82">
        <w:rPr>
          <w:b/>
          <w:sz w:val="28"/>
          <w:szCs w:val="28"/>
        </w:rPr>
        <w:t>Asambleas de los Estados miembros de la OMPI</w:t>
      </w:r>
    </w:p>
    <w:p w:rsidR="00440F61" w:rsidRPr="00E11C82" w:rsidRDefault="00440F61" w:rsidP="003845C1"/>
    <w:p w:rsidR="00440F61" w:rsidRPr="00E11C82" w:rsidRDefault="00440F61" w:rsidP="003845C1"/>
    <w:p w:rsidR="00440F61" w:rsidRPr="00E11C82" w:rsidRDefault="00F153DA" w:rsidP="00B67CDC">
      <w:pPr>
        <w:rPr>
          <w:b/>
          <w:sz w:val="24"/>
          <w:szCs w:val="24"/>
        </w:rPr>
      </w:pPr>
      <w:r w:rsidRPr="00E11C82">
        <w:rPr>
          <w:b/>
          <w:sz w:val="24"/>
          <w:szCs w:val="24"/>
        </w:rPr>
        <w:t>Quincuagésima séptima serie de reuniones</w:t>
      </w:r>
    </w:p>
    <w:p w:rsidR="00440F61" w:rsidRPr="00E11C82" w:rsidRDefault="00F153DA" w:rsidP="00B67CDC">
      <w:pPr>
        <w:rPr>
          <w:b/>
          <w:sz w:val="24"/>
          <w:szCs w:val="24"/>
        </w:rPr>
      </w:pPr>
      <w:r w:rsidRPr="00E11C82">
        <w:rPr>
          <w:b/>
          <w:sz w:val="24"/>
          <w:szCs w:val="24"/>
        </w:rPr>
        <w:t>Ginebra, 2 a 11 de octubre de 2017</w:t>
      </w:r>
    </w:p>
    <w:p w:rsidR="00440F61" w:rsidRPr="00E11C82" w:rsidRDefault="00440F61" w:rsidP="008B2CC1"/>
    <w:p w:rsidR="00440F61" w:rsidRPr="00E11C82" w:rsidRDefault="00440F61" w:rsidP="008B2CC1"/>
    <w:p w:rsidR="00440F61" w:rsidRPr="00E11C82" w:rsidRDefault="00440F61" w:rsidP="008B2CC1"/>
    <w:p w:rsidR="00E11C82" w:rsidRPr="00E11C82" w:rsidRDefault="00F940E8" w:rsidP="00E11C82">
      <w:pPr>
        <w:rPr>
          <w:caps/>
          <w:sz w:val="24"/>
        </w:rPr>
      </w:pPr>
      <w:r w:rsidRPr="00F940E8">
        <w:rPr>
          <w:caps/>
          <w:sz w:val="24"/>
        </w:rPr>
        <w:t>Párrafos de decisión propuestos por los Estados Unidos de América para su inclusión en las decisiones sobre el informe del Comité del Programa y Presupuesto</w:t>
      </w:r>
    </w:p>
    <w:p w:rsidR="00E11C82" w:rsidRPr="00E11C82" w:rsidRDefault="00E11C82" w:rsidP="00E11C82"/>
    <w:p w:rsidR="00E11C82" w:rsidRPr="00E11C82" w:rsidRDefault="00BC0152" w:rsidP="00E11C82">
      <w:pPr>
        <w:rPr>
          <w:i/>
        </w:rPr>
      </w:pPr>
      <w:bookmarkStart w:id="4" w:name="Prepared"/>
      <w:bookmarkEnd w:id="4"/>
      <w:r>
        <w:rPr>
          <w:i/>
        </w:rPr>
        <w:t xml:space="preserve">Propuesta </w:t>
      </w:r>
      <w:r w:rsidR="00E11C82" w:rsidRPr="00E11C82">
        <w:rPr>
          <w:i/>
        </w:rPr>
        <w:t>presentad</w:t>
      </w:r>
      <w:r>
        <w:rPr>
          <w:i/>
        </w:rPr>
        <w:t>a por la d</w:t>
      </w:r>
      <w:r w:rsidR="00E11C82" w:rsidRPr="00E11C82">
        <w:rPr>
          <w:i/>
        </w:rPr>
        <w:t>elegación de los Estados Unidos de América</w:t>
      </w:r>
    </w:p>
    <w:p w:rsidR="00E11C82" w:rsidRPr="00E11C82" w:rsidRDefault="00E11C82" w:rsidP="00E11C82"/>
    <w:p w:rsidR="00E11C82" w:rsidRPr="00E11C82" w:rsidRDefault="00E11C82" w:rsidP="00E11C82"/>
    <w:p w:rsidR="00E11C82" w:rsidRPr="00E11C82" w:rsidRDefault="00E11C82" w:rsidP="00E11C82"/>
    <w:p w:rsidR="00E11C82" w:rsidRPr="00E11C82" w:rsidRDefault="00E11C82" w:rsidP="00E11C82"/>
    <w:p w:rsidR="00E11C82" w:rsidRPr="00E11C82" w:rsidRDefault="00E11C82" w:rsidP="00E11C82">
      <w:r w:rsidRPr="00E11C82">
        <w:t>En una comunicación a la Secretaría con fech</w:t>
      </w:r>
      <w:r w:rsidR="00BC0152">
        <w:t>a 28 de septiembre de 2017, la d</w:t>
      </w:r>
      <w:r w:rsidRPr="00E11C82">
        <w:t>elegación de los Estados Unidos de América presentó la propuesta adjunta en relación con el punto 12 del orden del día, “Informe del Comité del Programa y Presupuesto”.</w:t>
      </w:r>
    </w:p>
    <w:p w:rsidR="00E11C82" w:rsidRPr="00E11C82" w:rsidRDefault="00E11C82" w:rsidP="00E11C82"/>
    <w:p w:rsidR="00E11C82" w:rsidRPr="00E11C82" w:rsidRDefault="00E11C82" w:rsidP="00E11C82"/>
    <w:p w:rsidR="00E11C82" w:rsidRPr="00E11C82" w:rsidRDefault="00E11C82" w:rsidP="00E11C82"/>
    <w:p w:rsidR="00E11C82" w:rsidRPr="00F940E8" w:rsidRDefault="00E11C82" w:rsidP="00F30901">
      <w:pPr>
        <w:pStyle w:val="Endofdocument-Annex"/>
        <w:rPr>
          <w:lang w:val="es-ES"/>
        </w:rPr>
      </w:pPr>
      <w:r w:rsidRPr="00F940E8">
        <w:rPr>
          <w:lang w:val="es-ES"/>
        </w:rPr>
        <w:t>[Sigue el Anexo]</w:t>
      </w:r>
    </w:p>
    <w:p w:rsidR="00F30901" w:rsidRDefault="00F30901" w:rsidP="00E11C82">
      <w:pPr>
        <w:tabs>
          <w:tab w:val="left" w:pos="5670"/>
        </w:tabs>
      </w:pPr>
    </w:p>
    <w:p w:rsidR="00F30901" w:rsidRPr="00E11C82" w:rsidRDefault="00F30901" w:rsidP="00E11C82">
      <w:pPr>
        <w:tabs>
          <w:tab w:val="left" w:pos="5670"/>
        </w:tabs>
        <w:sectPr w:rsidR="00F30901" w:rsidRPr="00E11C82" w:rsidSect="00DB4DD4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11C82" w:rsidRPr="00E11C82" w:rsidRDefault="00E11C82" w:rsidP="00E11C82">
      <w:pPr>
        <w:rPr>
          <w:caps/>
          <w:sz w:val="24"/>
        </w:rPr>
      </w:pPr>
      <w:r w:rsidRPr="00E11C82">
        <w:rPr>
          <w:caps/>
          <w:sz w:val="24"/>
        </w:rPr>
        <w:lastRenderedPageBreak/>
        <w:t>Propuesta de párrafos de decisión para su inclusión en las decisiones sobre el Informe del Comité del Programa y Presupuesto</w:t>
      </w:r>
    </w:p>
    <w:p w:rsidR="00E11C82" w:rsidRPr="00E11C82" w:rsidRDefault="00E11C82" w:rsidP="00E11C82"/>
    <w:p w:rsidR="00E11C82" w:rsidRPr="00E11C82" w:rsidRDefault="00E11C82" w:rsidP="00E11C82">
      <w:pPr>
        <w:rPr>
          <w:i/>
        </w:rPr>
      </w:pPr>
      <w:proofErr w:type="gramStart"/>
      <w:r w:rsidRPr="00E11C82">
        <w:rPr>
          <w:i/>
        </w:rPr>
        <w:t>presentada</w:t>
      </w:r>
      <w:proofErr w:type="gramEnd"/>
      <w:r w:rsidRPr="00E11C82">
        <w:rPr>
          <w:i/>
        </w:rPr>
        <w:t xml:space="preserve"> por la </w:t>
      </w:r>
      <w:r w:rsidR="00BC0152">
        <w:rPr>
          <w:i/>
        </w:rPr>
        <w:t>d</w:t>
      </w:r>
      <w:r w:rsidRPr="00E11C82">
        <w:rPr>
          <w:i/>
        </w:rPr>
        <w:t>elegación de los Estados Unidos de América</w:t>
      </w:r>
    </w:p>
    <w:p w:rsidR="00E11C82" w:rsidRPr="00E11C82" w:rsidRDefault="00E11C82" w:rsidP="00E11C82">
      <w:pPr>
        <w:rPr>
          <w:i/>
        </w:rPr>
      </w:pPr>
    </w:p>
    <w:p w:rsidR="00E11C82" w:rsidRPr="00E11C82" w:rsidRDefault="00E11C82" w:rsidP="00E11C82">
      <w:pPr>
        <w:rPr>
          <w:i/>
        </w:rPr>
      </w:pPr>
    </w:p>
    <w:p w:rsidR="00E11C82" w:rsidRPr="00E11C82" w:rsidRDefault="00E11C82" w:rsidP="00E11C82">
      <w:pPr>
        <w:tabs>
          <w:tab w:val="num" w:pos="-57"/>
        </w:tabs>
        <w:contextualSpacing/>
      </w:pPr>
      <w:r w:rsidRPr="00E11C82">
        <w:t>PUNTO</w:t>
      </w:r>
      <w:r w:rsidR="003E0EA6">
        <w:t> </w:t>
      </w:r>
      <w:r w:rsidRPr="00E11C82">
        <w:t>12 DEL ORDEN DEL DÍA CONSOLIDADO</w:t>
      </w:r>
    </w:p>
    <w:p w:rsidR="00E11C82" w:rsidRPr="00E11C82" w:rsidRDefault="00E11C82" w:rsidP="00E11C82">
      <w:pPr>
        <w:tabs>
          <w:tab w:val="num" w:pos="-57"/>
        </w:tabs>
        <w:contextualSpacing/>
      </w:pPr>
    </w:p>
    <w:p w:rsidR="00E11C82" w:rsidRPr="00E11C82" w:rsidRDefault="00E11C82" w:rsidP="00E11C82">
      <w:pPr>
        <w:tabs>
          <w:tab w:val="num" w:pos="-57"/>
        </w:tabs>
        <w:contextualSpacing/>
        <w:rPr>
          <w:szCs w:val="22"/>
        </w:rPr>
      </w:pPr>
      <w:r w:rsidRPr="00E11C82">
        <w:rPr>
          <w:szCs w:val="22"/>
        </w:rPr>
        <w:t>INFORME DEL COMITÉ DEL PROGRAMA Y PRESUPUESTO</w:t>
      </w:r>
    </w:p>
    <w:p w:rsidR="00E11C82" w:rsidRPr="00E11C82" w:rsidRDefault="00E11C82" w:rsidP="00E11C82">
      <w:pPr>
        <w:tabs>
          <w:tab w:val="num" w:pos="-57"/>
        </w:tabs>
        <w:contextualSpacing/>
        <w:rPr>
          <w:szCs w:val="22"/>
        </w:rPr>
      </w:pPr>
    </w:p>
    <w:p w:rsidR="00E11C82" w:rsidRPr="00E11C82" w:rsidRDefault="00E11C82" w:rsidP="00E11C82">
      <w:pPr>
        <w:rPr>
          <w:rFonts w:eastAsia="Times New Roman" w:hAnsi="Times New Roman" w:cs="Times New Roman"/>
          <w:szCs w:val="22"/>
          <w:u w:val="single"/>
          <w:lang w:eastAsia="en-US"/>
        </w:rPr>
      </w:pPr>
    </w:p>
    <w:p w:rsidR="00E11C82" w:rsidRPr="00E11C82" w:rsidRDefault="00E11C82" w:rsidP="00E11C82"/>
    <w:p w:rsidR="00E11C82" w:rsidRPr="00E11C82" w:rsidRDefault="00E11C82" w:rsidP="00E11C82">
      <w:pPr>
        <w:pStyle w:val="ListParagraph"/>
        <w:numPr>
          <w:ilvl w:val="3"/>
          <w:numId w:val="7"/>
        </w:numPr>
        <w:ind w:left="0" w:firstLine="0"/>
        <w:rPr>
          <w:lang w:val="es-ES"/>
        </w:rPr>
      </w:pPr>
      <w:r w:rsidRPr="00E11C82">
        <w:rPr>
          <w:lang w:val="es-ES"/>
        </w:rPr>
        <w:t>Las Asambleas de los Estados miembros de la OMPI y de las Uniones, en lo que a cada una concierne:</w:t>
      </w:r>
    </w:p>
    <w:p w:rsidR="00E11C82" w:rsidRPr="00E11C82" w:rsidRDefault="00E11C82" w:rsidP="00E11C82">
      <w:pPr>
        <w:ind w:left="567"/>
      </w:pPr>
    </w:p>
    <w:p w:rsidR="00E11C82" w:rsidRPr="00E11C82" w:rsidRDefault="00E11C82" w:rsidP="00E11C82">
      <w:r w:rsidRPr="00E11C82">
        <w:t>i)</w:t>
      </w:r>
      <w:r w:rsidRPr="00E11C82">
        <w:tab/>
        <w:t xml:space="preserve">acordaron aprobar la propuesta de presupuesto por programas presentada a las Asambleas de la OMPI en el documento A/57/6; </w:t>
      </w:r>
    </w:p>
    <w:p w:rsidR="00E11C82" w:rsidRPr="00E11C82" w:rsidRDefault="00E11C82" w:rsidP="00E11C82"/>
    <w:p w:rsidR="00E11C82" w:rsidRPr="00E11C82" w:rsidRDefault="00E11C82" w:rsidP="00E11C82">
      <w:r w:rsidRPr="00E11C82">
        <w:t>ii)</w:t>
      </w:r>
      <w:r w:rsidRPr="00E11C82">
        <w:tab/>
        <w:t xml:space="preserve">tomaron nota de que la Asamblea de la Unión de Lisboa adoptará medidas destinadas a eliminar el déficit previsto en la Unión de Lisboa para el bienio, según se indica en el presupuesto por programas para el bienio 2018/19 (1.364.000 francos suizos), de conformidad con el Artículo 11 del Arreglo de Lisboa relativo a la Protección de las Denominaciones de Origen y su Registro Internacional;  </w:t>
      </w:r>
    </w:p>
    <w:p w:rsidR="00E11C82" w:rsidRPr="00E11C82" w:rsidRDefault="00E11C82" w:rsidP="00E11C82"/>
    <w:p w:rsidR="00E11C82" w:rsidRPr="00E11C82" w:rsidRDefault="00E11C82" w:rsidP="00E11C82">
      <w:r w:rsidRPr="00E11C82">
        <w:t>iii)</w:t>
      </w:r>
      <w:r w:rsidRPr="00E11C82">
        <w:tab/>
        <w:t>decidieron aprobar la concesión de un préstamo a la Unión de Lisboa, con cargo a las reservas de las Uniones financiadas mediante contribuciones, con el fin de financiar las operaciones del Sistema de Lisboa en el bienio 2018/19, en el caso de que esas medidas no sean suficientes para cubrir el déficit previsto para el bienio.  El préstamo concedido no devengará intereses y será reembolsado cuando los ingresos de la Unión de Lisboa lo permitan;</w:t>
      </w:r>
    </w:p>
    <w:p w:rsidR="00E11C82" w:rsidRPr="00E11C82" w:rsidRDefault="00E11C82" w:rsidP="00E11C82"/>
    <w:p w:rsidR="00E11C82" w:rsidRPr="00E11C82" w:rsidRDefault="00E11C82" w:rsidP="00E11C82">
      <w:r w:rsidRPr="00E11C82">
        <w:t xml:space="preserve">iv) </w:t>
      </w:r>
      <w:r w:rsidRPr="00E11C82">
        <w:tab/>
        <w:t xml:space="preserve">decidieron que todas las conferencias diplomáticas que </w:t>
      </w:r>
      <w:r w:rsidR="007C728D">
        <w:t>se celebren</w:t>
      </w:r>
      <w:r w:rsidRPr="00E11C82">
        <w:t xml:space="preserve"> bajo los auspicios de la OMPI durante</w:t>
      </w:r>
      <w:r w:rsidR="007C728D">
        <w:t xml:space="preserve"> el bienio 2018/19 se financie</w:t>
      </w:r>
      <w:r w:rsidRPr="00E11C82">
        <w:t xml:space="preserve">n con cargo a los recursos de la Organización solo si </w:t>
      </w:r>
      <w:r w:rsidR="007C728D">
        <w:t xml:space="preserve">se convocan mediante decisión de </w:t>
      </w:r>
      <w:r w:rsidRPr="00E11C82">
        <w:t xml:space="preserve">los órganos competentes y las Uniones de la Organización, de conformidad con la práctica habitual y arraigada del consenso.  </w:t>
      </w:r>
    </w:p>
    <w:p w:rsidR="00E11C82" w:rsidRPr="00E11C82" w:rsidRDefault="00E11C82" w:rsidP="00E11C82"/>
    <w:p w:rsidR="00D64A3D" w:rsidRDefault="00D64A3D" w:rsidP="00E11C82"/>
    <w:p w:rsidR="00D64A3D" w:rsidRDefault="00D64A3D" w:rsidP="00E11C82"/>
    <w:p w:rsidR="00E11C82" w:rsidRPr="00E11C82" w:rsidRDefault="00E11C82" w:rsidP="00E11C82">
      <w:r w:rsidRPr="00E11C82">
        <w:t>2.</w:t>
      </w:r>
      <w:r w:rsidRPr="00E11C82">
        <w:tab/>
        <w:t>Las Asambleas de los Estados miembros de la OMPI y de las Uniones, en lo que a cada una concierne:</w:t>
      </w:r>
    </w:p>
    <w:p w:rsidR="00E11C82" w:rsidRPr="00E11C82" w:rsidRDefault="00E11C82" w:rsidP="00E11C82">
      <w:pPr>
        <w:ind w:left="567"/>
      </w:pPr>
    </w:p>
    <w:p w:rsidR="00E11C82" w:rsidRPr="00E11C82" w:rsidRDefault="00E11C82" w:rsidP="00E11C82">
      <w:r w:rsidRPr="00E11C82">
        <w:t>i)</w:t>
      </w:r>
      <w:r w:rsidRPr="00E11C82">
        <w:tab/>
        <w:t>reconocieron que la metodología de consignación de los ingresos y los gastos presupuestados por Unión es un tema de alcance transversal;</w:t>
      </w:r>
    </w:p>
    <w:p w:rsidR="00E11C82" w:rsidRPr="00E11C82" w:rsidRDefault="00E11C82" w:rsidP="00E11C82"/>
    <w:p w:rsidR="00E11C82" w:rsidRPr="00E11C82" w:rsidRDefault="00E11C82" w:rsidP="00E11C82">
      <w:r w:rsidRPr="00E11C82">
        <w:t>ii)</w:t>
      </w:r>
      <w:r w:rsidRPr="00E11C82">
        <w:tab/>
        <w:t xml:space="preserve">tomaron nota de que algunas delegaciones opinan que sería necesario mantener debates adicionales entre los Estados miembros; </w:t>
      </w:r>
    </w:p>
    <w:p w:rsidR="00E11C82" w:rsidRPr="00E11C82" w:rsidRDefault="00E11C82" w:rsidP="00E11C82"/>
    <w:p w:rsidR="00E11C82" w:rsidRPr="00E11C82" w:rsidRDefault="00E11C82" w:rsidP="00E11C82">
      <w:r w:rsidRPr="00E11C82">
        <w:t>iii)</w:t>
      </w:r>
      <w:r w:rsidRPr="00E11C82">
        <w:tab/>
        <w:t xml:space="preserve">observaron que </w:t>
      </w:r>
      <w:r w:rsidR="003E0EA6">
        <w:t xml:space="preserve">en </w:t>
      </w:r>
      <w:r w:rsidRPr="00E11C82">
        <w:t xml:space="preserve">las disposiciones de varios tratados administrados por la OMPI </w:t>
      </w:r>
      <w:r w:rsidR="003E0EA6">
        <w:t>se establece</w:t>
      </w:r>
      <w:r w:rsidRPr="00E11C82">
        <w:t xml:space="preserve"> que las Uniones </w:t>
      </w:r>
      <w:r w:rsidR="003E0EA6">
        <w:t xml:space="preserve">a las que se refieren </w:t>
      </w:r>
      <w:r w:rsidRPr="00E11C82">
        <w:t>deben adoptar presupuestos que incluyan su contribución a los gastos comunes de la Organización; y</w:t>
      </w:r>
    </w:p>
    <w:p w:rsidR="00E11C82" w:rsidRPr="00E11C82" w:rsidRDefault="00E11C82" w:rsidP="00E11C82"/>
    <w:p w:rsidR="00E11C82" w:rsidRPr="00E11C82" w:rsidRDefault="00E11C82" w:rsidP="00E11C82">
      <w:r w:rsidRPr="00E11C82">
        <w:t>iv)</w:t>
      </w:r>
      <w:r w:rsidRPr="00E11C82">
        <w:tab/>
        <w:t xml:space="preserve">pidieron a la Secretaría que </w:t>
      </w:r>
      <w:r w:rsidR="007C728D">
        <w:t>siga</w:t>
      </w:r>
      <w:r w:rsidRPr="00E11C82">
        <w:t xml:space="preserve"> estudiando eventuales alternativas respecto de una metodología de consignación de los ingresos y los gastos presupuestados por Unión para su </w:t>
      </w:r>
      <w:r w:rsidR="003E0EA6">
        <w:t>examen en la 28ª sesión del PBC.</w:t>
      </w:r>
    </w:p>
    <w:p w:rsidR="00E11C82" w:rsidRPr="00E11C82" w:rsidRDefault="00E11C82" w:rsidP="00E11C82"/>
    <w:p w:rsidR="00E11C82" w:rsidRPr="00E11C82" w:rsidRDefault="00E11C82" w:rsidP="00E11C82">
      <w:pPr>
        <w:pStyle w:val="ListParagraph"/>
        <w:numPr>
          <w:ilvl w:val="0"/>
          <w:numId w:val="8"/>
        </w:numPr>
        <w:ind w:left="0" w:firstLine="0"/>
        <w:rPr>
          <w:lang w:val="es-ES"/>
        </w:rPr>
      </w:pPr>
      <w:r w:rsidRPr="00E11C82">
        <w:rPr>
          <w:lang w:val="es-ES"/>
        </w:rPr>
        <w:t>Las Asambleas de los Estados miembros de la OMPI y de las Uniones, en lo que a cada una concierne, acordaron aprobar, con cargo a los fondos de reserva de las Uniones financiadas por contribuciones, la Unión del Tratado de Cooperación en materia de Patentes y la Unión de Madrid, la financiación de los proyectos del bienio 2018/19 que figuran en el Plan maestro de mejoras de inf</w:t>
      </w:r>
      <w:r w:rsidR="003E0EA6">
        <w:rPr>
          <w:lang w:val="es-ES"/>
        </w:rPr>
        <w:t>raestructura para 2018-27, con el</w:t>
      </w:r>
      <w:r w:rsidRPr="00E11C82">
        <w:rPr>
          <w:lang w:val="es-ES"/>
        </w:rPr>
        <w:t xml:space="preserve"> siguiente </w:t>
      </w:r>
      <w:r w:rsidR="003E0EA6">
        <w:rPr>
          <w:lang w:val="es-ES"/>
        </w:rPr>
        <w:t xml:space="preserve">reparto </w:t>
      </w:r>
      <w:r w:rsidRPr="00E11C82">
        <w:rPr>
          <w:lang w:val="es-ES"/>
        </w:rPr>
        <w:t>de los gastos</w:t>
      </w:r>
      <w:r w:rsidR="003E0EA6">
        <w:rPr>
          <w:lang w:val="es-ES"/>
        </w:rPr>
        <w:t xml:space="preserve"> correspondientes</w:t>
      </w:r>
      <w:r w:rsidRPr="00E11C82">
        <w:rPr>
          <w:lang w:val="es-ES"/>
        </w:rPr>
        <w:t>:</w:t>
      </w:r>
    </w:p>
    <w:p w:rsidR="00E11C82" w:rsidRPr="00E11C82" w:rsidRDefault="00E11C82" w:rsidP="00E11C82">
      <w:pPr>
        <w:pStyle w:val="ListParagraph"/>
        <w:spacing w:after="200" w:line="276" w:lineRule="auto"/>
        <w:rPr>
          <w:rFonts w:asciiTheme="minorHAnsi" w:eastAsiaTheme="minorHAnsi" w:hAnsiTheme="minorHAnsi" w:cstheme="minorBidi"/>
          <w:lang w:val="es-ES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6"/>
        <w:gridCol w:w="1635"/>
        <w:gridCol w:w="1149"/>
        <w:gridCol w:w="1258"/>
        <w:gridCol w:w="1318"/>
        <w:gridCol w:w="1321"/>
        <w:gridCol w:w="1114"/>
      </w:tblGrid>
      <w:tr w:rsidR="00E11C82" w:rsidRPr="00E11C82" w:rsidTr="00EF51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2" w:rsidRPr="00E11C82" w:rsidRDefault="00E11C82" w:rsidP="00EF5186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Uniones financiadas por contribuciones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Unión del PCT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Unión de Madrid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Unión de La Haya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Unión de Lisboa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Total</w:t>
            </w:r>
          </w:p>
        </w:tc>
      </w:tr>
      <w:tr w:rsidR="00E11C82" w:rsidRPr="00E11C82" w:rsidTr="00EF51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>Financiación de los Proyectos del Plan maestro de mejoras de infraestructura con cargo a las reservas de las Uniones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F5186">
            <w:pPr>
              <w:jc w:val="center"/>
            </w:pPr>
            <w:r w:rsidRPr="00E11C82">
              <w:t>744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11C82">
            <w:pPr>
              <w:jc w:val="center"/>
            </w:pPr>
            <w:r w:rsidRPr="00E11C82">
              <w:t>16.391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11C82">
            <w:pPr>
              <w:jc w:val="center"/>
            </w:pPr>
            <w:r w:rsidRPr="00E11C82">
              <w:t>8.342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2" w:rsidRPr="00E11C82" w:rsidRDefault="00E11C82" w:rsidP="00EF5186">
            <w:pPr>
              <w:jc w:val="center"/>
            </w:pPr>
            <w:r w:rsidRPr="00E11C82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C82" w:rsidRPr="00E11C82" w:rsidRDefault="00E11C82" w:rsidP="00EF5186">
            <w:pPr>
              <w:jc w:val="center"/>
            </w:pPr>
            <w:r w:rsidRPr="00E11C82">
              <w:t>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11C82">
            <w:pPr>
              <w:jc w:val="center"/>
            </w:pPr>
            <w:r w:rsidRPr="00E11C82">
              <w:t>25.477</w:t>
            </w:r>
          </w:p>
        </w:tc>
      </w:tr>
      <w:tr w:rsidR="00E11C82" w:rsidRPr="00E11C82" w:rsidTr="00EF5186"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82" w:rsidRPr="00E11C82" w:rsidRDefault="00E11C82" w:rsidP="00EF5186"/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82" w:rsidRPr="00E11C82" w:rsidRDefault="00E11C82" w:rsidP="00EF5186"/>
        </w:tc>
        <w:tc>
          <w:tcPr>
            <w:tcW w:w="12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82" w:rsidRPr="00E11C82" w:rsidRDefault="00E11C82" w:rsidP="00EF5186"/>
        </w:tc>
        <w:tc>
          <w:tcPr>
            <w:tcW w:w="13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82" w:rsidRPr="00E11C82" w:rsidRDefault="00E11C82" w:rsidP="00EF5186"/>
        </w:tc>
        <w:tc>
          <w:tcPr>
            <w:tcW w:w="14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11C82" w:rsidRPr="00E11C82" w:rsidRDefault="00E11C82" w:rsidP="00EF5186"/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E11C82" w:rsidRPr="00E11C82" w:rsidRDefault="00E11C82" w:rsidP="00EF5186">
            <w:r w:rsidRPr="00E11C82">
              <w:t xml:space="preserve">Total 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C82" w:rsidRPr="00E11C82" w:rsidRDefault="00E11C82" w:rsidP="00E11C82">
            <w:r w:rsidRPr="00E11C82">
              <w:t>25.477</w:t>
            </w:r>
          </w:p>
        </w:tc>
      </w:tr>
    </w:tbl>
    <w:p w:rsidR="00E11C82" w:rsidRPr="00E11C82" w:rsidRDefault="00E11C82" w:rsidP="00E11C82">
      <w:r w:rsidRPr="00E11C82">
        <w:t>(importes en miles de francos suizos)</w:t>
      </w:r>
    </w:p>
    <w:p w:rsidR="00E11C82" w:rsidRPr="00E11C82" w:rsidRDefault="00E11C82" w:rsidP="00E11C82">
      <w:pPr>
        <w:ind w:left="567"/>
      </w:pPr>
    </w:p>
    <w:p w:rsidR="00E11C82" w:rsidRPr="00E11C82" w:rsidRDefault="00E11C82" w:rsidP="00E11C82">
      <w:pPr>
        <w:pStyle w:val="Endofdocument-Annex"/>
        <w:ind w:left="0"/>
        <w:rPr>
          <w:lang w:val="es-ES"/>
        </w:rPr>
      </w:pPr>
    </w:p>
    <w:p w:rsidR="00E11C82" w:rsidRPr="00E11C82" w:rsidRDefault="00E11C82" w:rsidP="00E11C82">
      <w:pPr>
        <w:rPr>
          <w:b/>
        </w:rPr>
      </w:pPr>
    </w:p>
    <w:p w:rsidR="00E11C82" w:rsidRPr="00F940E8" w:rsidRDefault="00E11C82" w:rsidP="008C7AE6">
      <w:pPr>
        <w:pStyle w:val="Endofdocument-Annex"/>
        <w:rPr>
          <w:lang w:val="es-ES"/>
        </w:rPr>
      </w:pPr>
      <w:r w:rsidRPr="00F940E8">
        <w:rPr>
          <w:lang w:val="es-ES"/>
        </w:rPr>
        <w:t>[Fin del Anexo y del documento]</w:t>
      </w:r>
    </w:p>
    <w:sectPr w:rsidR="00E11C82" w:rsidRPr="00F940E8" w:rsidSect="008C7AE6">
      <w:headerReference w:type="default" r:id="rId10"/>
      <w:headerReference w:type="first" r:id="rId11"/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B6C" w:rsidRDefault="00285B6C">
      <w:r>
        <w:separator/>
      </w:r>
    </w:p>
  </w:endnote>
  <w:endnote w:type="continuationSeparator" w:id="0">
    <w:p w:rsidR="00285B6C" w:rsidRPr="009D30E6" w:rsidRDefault="00285B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85B6C" w:rsidRPr="007E663E" w:rsidRDefault="00285B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85B6C" w:rsidRPr="007E663E" w:rsidRDefault="00285B6C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B6C" w:rsidRDefault="00285B6C">
      <w:r>
        <w:separator/>
      </w:r>
    </w:p>
  </w:footnote>
  <w:footnote w:type="continuationSeparator" w:id="0">
    <w:p w:rsidR="00285B6C" w:rsidRPr="009D30E6" w:rsidRDefault="00285B6C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85B6C" w:rsidRPr="007E663E" w:rsidRDefault="00285B6C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85B6C" w:rsidRPr="007E663E" w:rsidRDefault="00285B6C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C82" w:rsidRDefault="00E11C82" w:rsidP="00477D6B">
    <w:pPr>
      <w:jc w:val="right"/>
    </w:pPr>
    <w:bookmarkStart w:id="5" w:name="Code2"/>
    <w:bookmarkEnd w:id="5"/>
    <w:r>
      <w:t>??</w:t>
    </w:r>
  </w:p>
  <w:p w:rsidR="00E11C82" w:rsidRDefault="00E11C82" w:rsidP="00477D6B">
    <w:pPr>
      <w:jc w:val="right"/>
    </w:pPr>
    <w:r>
      <w:t xml:space="preserve">ANEXO I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E11C82" w:rsidRDefault="00E11C82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112" w:rsidRDefault="00C05112" w:rsidP="00C05112">
    <w:pPr>
      <w:pStyle w:val="Header"/>
      <w:jc w:val="right"/>
    </w:pPr>
    <w:r>
      <w:t>A/57/10</w:t>
    </w:r>
  </w:p>
  <w:p w:rsidR="00C05112" w:rsidRDefault="008C7AE6" w:rsidP="00C05112">
    <w:pPr>
      <w:pStyle w:val="Header"/>
      <w:jc w:val="right"/>
      <w:rPr>
        <w:noProof/>
      </w:rPr>
    </w:pPr>
    <w:r>
      <w:t xml:space="preserve">Anexo, </w:t>
    </w:r>
    <w:r w:rsidR="00C05112">
      <w:t xml:space="preserve">página </w:t>
    </w:r>
    <w:r w:rsidR="00C05112">
      <w:fldChar w:fldCharType="begin"/>
    </w:r>
    <w:r w:rsidR="00C05112">
      <w:instrText xml:space="preserve"> PAGE   \* MERGEFORMAT </w:instrText>
    </w:r>
    <w:r w:rsidR="00C05112">
      <w:fldChar w:fldCharType="separate"/>
    </w:r>
    <w:r w:rsidR="001A698F">
      <w:rPr>
        <w:noProof/>
      </w:rPr>
      <w:t>2</w:t>
    </w:r>
    <w:r w:rsidR="00C05112">
      <w:rPr>
        <w:noProof/>
      </w:rPr>
      <w:fldChar w:fldCharType="end"/>
    </w:r>
  </w:p>
  <w:p w:rsidR="00C05112" w:rsidRDefault="00C05112" w:rsidP="00C05112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7AE6" w:rsidRDefault="008C7AE6" w:rsidP="008C7AE6">
    <w:pPr>
      <w:pStyle w:val="Header"/>
      <w:jc w:val="right"/>
    </w:pPr>
    <w:r>
      <w:t>A/57/10</w:t>
    </w:r>
  </w:p>
  <w:p w:rsidR="008C7AE6" w:rsidRDefault="008C7AE6" w:rsidP="008C7AE6">
    <w:pPr>
      <w:pStyle w:val="Header"/>
      <w:jc w:val="right"/>
    </w:pPr>
    <w:r>
      <w:t>ANEXO</w:t>
    </w:r>
  </w:p>
  <w:p w:rsidR="008C7AE6" w:rsidRDefault="008C7AE6" w:rsidP="008C7AE6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150E0C"/>
    <w:multiLevelType w:val="hybridMultilevel"/>
    <w:tmpl w:val="CCE85D8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30D2957"/>
    <w:multiLevelType w:val="hybridMultilevel"/>
    <w:tmpl w:val="4B04646E"/>
    <w:lvl w:ilvl="0" w:tplc="32E6F1A2">
      <w:start w:val="1"/>
      <w:numFmt w:val="upperLetter"/>
      <w:lvlText w:val="%1."/>
      <w:lvlJc w:val="left"/>
      <w:pPr>
        <w:ind w:left="2421" w:hanging="360"/>
      </w:pPr>
      <w:rPr>
        <w:rFonts w:hint="default"/>
      </w:rPr>
    </w:lvl>
    <w:lvl w:ilvl="1" w:tplc="803265A0">
      <w:start w:val="1"/>
      <w:numFmt w:val="lowerLetter"/>
      <w:lvlText w:val="%2."/>
      <w:lvlJc w:val="left"/>
      <w:pPr>
        <w:ind w:left="3141" w:hanging="360"/>
      </w:pPr>
    </w:lvl>
    <w:lvl w:ilvl="2" w:tplc="4600DE34">
      <w:start w:val="1"/>
      <w:numFmt w:val="lowerRoman"/>
      <w:lvlText w:val="%3."/>
      <w:lvlJc w:val="right"/>
      <w:pPr>
        <w:ind w:left="3861" w:hanging="180"/>
      </w:pPr>
    </w:lvl>
    <w:lvl w:ilvl="3" w:tplc="1F3811B2">
      <w:start w:val="1"/>
      <w:numFmt w:val="decimal"/>
      <w:lvlText w:val="%4."/>
      <w:lvlJc w:val="left"/>
      <w:pPr>
        <w:ind w:left="4581" w:hanging="360"/>
      </w:pPr>
    </w:lvl>
    <w:lvl w:ilvl="4" w:tplc="47166CAC">
      <w:start w:val="1"/>
      <w:numFmt w:val="lowerLetter"/>
      <w:lvlText w:val="%5."/>
      <w:lvlJc w:val="left"/>
      <w:pPr>
        <w:ind w:left="5301" w:hanging="360"/>
      </w:pPr>
    </w:lvl>
    <w:lvl w:ilvl="5" w:tplc="98D49112">
      <w:start w:val="1"/>
      <w:numFmt w:val="lowerRoman"/>
      <w:lvlText w:val="%6."/>
      <w:lvlJc w:val="right"/>
      <w:pPr>
        <w:ind w:left="6021" w:hanging="180"/>
      </w:pPr>
    </w:lvl>
    <w:lvl w:ilvl="6" w:tplc="D5EC5C2E">
      <w:start w:val="1"/>
      <w:numFmt w:val="decimal"/>
      <w:lvlText w:val="%7."/>
      <w:lvlJc w:val="left"/>
      <w:pPr>
        <w:ind w:left="6741" w:hanging="360"/>
      </w:pPr>
    </w:lvl>
    <w:lvl w:ilvl="7" w:tplc="A74EEAE4">
      <w:start w:val="1"/>
      <w:numFmt w:val="lowerLetter"/>
      <w:lvlText w:val="%8."/>
      <w:lvlJc w:val="left"/>
      <w:pPr>
        <w:ind w:left="7461" w:hanging="360"/>
      </w:pPr>
    </w:lvl>
    <w:lvl w:ilvl="8" w:tplc="D116D7AE">
      <w:start w:val="1"/>
      <w:numFmt w:val="lowerRoman"/>
      <w:lvlText w:val="%9."/>
      <w:lvlJc w:val="right"/>
      <w:pPr>
        <w:ind w:left="8181" w:hanging="180"/>
      </w:p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TRADTERM|WIPONew"/>
    <w:docVar w:name="TermBaseURL" w:val="empty"/>
    <w:docVar w:name="TextBases" w:val="Team Server TMs\Spanish|TextBase TMs\WorkspaceSTS\Administration &amp; Finance\FAB Main|TextBase TMs\WorkspaceSTS\Administration &amp; Finance\FAB Instruments|TextBase TMs\WorkspaceSTS\Administration &amp; Finance\Current Budget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U Instruments|TextBase TMs\WorkspaceSTS\UPOV\UPOV Main|TextBase TMs\WorkspaceSTS\XLegacy\LegacySTS"/>
    <w:docVar w:name="TextBaseURL" w:val="empty"/>
    <w:docVar w:name="UILng" w:val="en"/>
  </w:docVars>
  <w:rsids>
    <w:rsidRoot w:val="00F06A07"/>
    <w:rsid w:val="00010686"/>
    <w:rsid w:val="000234B2"/>
    <w:rsid w:val="00052915"/>
    <w:rsid w:val="000A4918"/>
    <w:rsid w:val="000B5EF6"/>
    <w:rsid w:val="000E1726"/>
    <w:rsid w:val="000E25A1"/>
    <w:rsid w:val="000E3BB3"/>
    <w:rsid w:val="000F5E56"/>
    <w:rsid w:val="001362EE"/>
    <w:rsid w:val="00140C8F"/>
    <w:rsid w:val="00152CEA"/>
    <w:rsid w:val="001832A6"/>
    <w:rsid w:val="0019207A"/>
    <w:rsid w:val="001A698F"/>
    <w:rsid w:val="001E78E9"/>
    <w:rsid w:val="002634C4"/>
    <w:rsid w:val="00285B6C"/>
    <w:rsid w:val="002E0F47"/>
    <w:rsid w:val="002F4E68"/>
    <w:rsid w:val="003274C2"/>
    <w:rsid w:val="00354647"/>
    <w:rsid w:val="00377273"/>
    <w:rsid w:val="00383062"/>
    <w:rsid w:val="003845C1"/>
    <w:rsid w:val="00387287"/>
    <w:rsid w:val="00393E4E"/>
    <w:rsid w:val="003E0EA6"/>
    <w:rsid w:val="003E48F1"/>
    <w:rsid w:val="003F347A"/>
    <w:rsid w:val="00423E3E"/>
    <w:rsid w:val="00427AF4"/>
    <w:rsid w:val="00440F61"/>
    <w:rsid w:val="004478B8"/>
    <w:rsid w:val="0045231F"/>
    <w:rsid w:val="004647DA"/>
    <w:rsid w:val="0046793F"/>
    <w:rsid w:val="00477808"/>
    <w:rsid w:val="00477D6B"/>
    <w:rsid w:val="004A6C37"/>
    <w:rsid w:val="004D58B6"/>
    <w:rsid w:val="004E1A1C"/>
    <w:rsid w:val="004E297D"/>
    <w:rsid w:val="00531B02"/>
    <w:rsid w:val="005332F0"/>
    <w:rsid w:val="00544129"/>
    <w:rsid w:val="0055013B"/>
    <w:rsid w:val="00571B99"/>
    <w:rsid w:val="00601816"/>
    <w:rsid w:val="00605827"/>
    <w:rsid w:val="00675021"/>
    <w:rsid w:val="00684984"/>
    <w:rsid w:val="006A06C6"/>
    <w:rsid w:val="0071365D"/>
    <w:rsid w:val="007224C8"/>
    <w:rsid w:val="0075710B"/>
    <w:rsid w:val="00794BE2"/>
    <w:rsid w:val="007A5581"/>
    <w:rsid w:val="007B71FE"/>
    <w:rsid w:val="007C728D"/>
    <w:rsid w:val="007D781E"/>
    <w:rsid w:val="007E663E"/>
    <w:rsid w:val="007F5D23"/>
    <w:rsid w:val="00815082"/>
    <w:rsid w:val="00831359"/>
    <w:rsid w:val="008629B0"/>
    <w:rsid w:val="0088395E"/>
    <w:rsid w:val="008B2CC1"/>
    <w:rsid w:val="008C7AE6"/>
    <w:rsid w:val="008E6BD6"/>
    <w:rsid w:val="0090731E"/>
    <w:rsid w:val="00966A22"/>
    <w:rsid w:val="00972F03"/>
    <w:rsid w:val="009A0C8B"/>
    <w:rsid w:val="009B6241"/>
    <w:rsid w:val="00A16FC0"/>
    <w:rsid w:val="00A32C9E"/>
    <w:rsid w:val="00AB52F8"/>
    <w:rsid w:val="00AB613D"/>
    <w:rsid w:val="00AE7F20"/>
    <w:rsid w:val="00B65A0A"/>
    <w:rsid w:val="00B67CDC"/>
    <w:rsid w:val="00B72D36"/>
    <w:rsid w:val="00B735DC"/>
    <w:rsid w:val="00BC0152"/>
    <w:rsid w:val="00BC4164"/>
    <w:rsid w:val="00BD2DCC"/>
    <w:rsid w:val="00C05112"/>
    <w:rsid w:val="00C90559"/>
    <w:rsid w:val="00CA2251"/>
    <w:rsid w:val="00CD3DCE"/>
    <w:rsid w:val="00D32FE3"/>
    <w:rsid w:val="00D56C7C"/>
    <w:rsid w:val="00D64A3D"/>
    <w:rsid w:val="00D65620"/>
    <w:rsid w:val="00D71B4D"/>
    <w:rsid w:val="00D7662E"/>
    <w:rsid w:val="00D80B40"/>
    <w:rsid w:val="00D90289"/>
    <w:rsid w:val="00D93D55"/>
    <w:rsid w:val="00DC4C60"/>
    <w:rsid w:val="00E0079A"/>
    <w:rsid w:val="00E11C82"/>
    <w:rsid w:val="00E444DA"/>
    <w:rsid w:val="00E45C84"/>
    <w:rsid w:val="00E504E5"/>
    <w:rsid w:val="00EA10BF"/>
    <w:rsid w:val="00EB7A3E"/>
    <w:rsid w:val="00EC401A"/>
    <w:rsid w:val="00EF530A"/>
    <w:rsid w:val="00EF6622"/>
    <w:rsid w:val="00EF78A9"/>
    <w:rsid w:val="00F06A07"/>
    <w:rsid w:val="00F153DA"/>
    <w:rsid w:val="00F30901"/>
    <w:rsid w:val="00F55408"/>
    <w:rsid w:val="00F66152"/>
    <w:rsid w:val="00F80845"/>
    <w:rsid w:val="00F84474"/>
    <w:rsid w:val="00F940E8"/>
    <w:rsid w:val="00FA0F0D"/>
    <w:rsid w:val="00FC461B"/>
    <w:rsid w:val="00FD59D1"/>
    <w:rsid w:val="00FE6D70"/>
    <w:rsid w:val="00FF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F06A07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E11C82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11C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4E1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E1A1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ONUMEChar">
    <w:name w:val="ONUM E Char"/>
    <w:link w:val="ONUME"/>
    <w:rsid w:val="00F06A07"/>
    <w:rPr>
      <w:rFonts w:ascii="Arial" w:eastAsia="SimSun" w:hAnsi="Arial" w:cs="Arial"/>
      <w:sz w:val="22"/>
      <w:lang w:val="es-ES" w:eastAsia="zh-CN"/>
    </w:rPr>
  </w:style>
  <w:style w:type="paragraph" w:styleId="ListParagraph">
    <w:name w:val="List Paragraph"/>
    <w:basedOn w:val="Normal"/>
    <w:uiPriority w:val="34"/>
    <w:qFormat/>
    <w:rsid w:val="00E11C82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E11C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7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57 (S)</Template>
  <TotalTime>14</TotalTime>
  <Pages>3</Pages>
  <Words>664</Words>
  <Characters>3393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A/57/10</vt:lpstr>
    </vt:vector>
  </TitlesOfParts>
  <Company>WIPO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A/57/10</dc:title>
  <dc:creator>CEVALLOS</dc:creator>
  <dc:description>RM - 27/9/2017</dc:description>
  <cp:lastModifiedBy>HÄFLIGER Patience</cp:lastModifiedBy>
  <cp:revision>13</cp:revision>
  <cp:lastPrinted>2017-10-01T08:59:00Z</cp:lastPrinted>
  <dcterms:created xsi:type="dcterms:W3CDTF">2017-09-29T08:50:00Z</dcterms:created>
  <dcterms:modified xsi:type="dcterms:W3CDTF">2017-10-01T08:59:00Z</dcterms:modified>
</cp:coreProperties>
</file>