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A7FD1" w:rsidTr="0088395E">
        <w:tc>
          <w:tcPr>
            <w:tcW w:w="4513" w:type="dxa"/>
            <w:tcBorders>
              <w:bottom w:val="single" w:sz="4" w:space="0" w:color="auto"/>
            </w:tcBorders>
            <w:tcMar>
              <w:bottom w:w="170" w:type="dxa"/>
            </w:tcMar>
          </w:tcPr>
          <w:p w:rsidR="00E504E5" w:rsidRPr="00AA7FD1" w:rsidRDefault="00E504E5" w:rsidP="00AB613D"/>
        </w:tc>
        <w:tc>
          <w:tcPr>
            <w:tcW w:w="4337" w:type="dxa"/>
            <w:tcBorders>
              <w:bottom w:val="single" w:sz="4" w:space="0" w:color="auto"/>
            </w:tcBorders>
            <w:tcMar>
              <w:left w:w="0" w:type="dxa"/>
              <w:right w:w="0" w:type="dxa"/>
            </w:tcMar>
          </w:tcPr>
          <w:p w:rsidR="00E504E5" w:rsidRPr="00AA7FD1" w:rsidRDefault="0029671E" w:rsidP="00AB613D">
            <w:r w:rsidRPr="00AA7FD1">
              <w:rPr>
                <w:noProof/>
                <w:lang w:val="en-US" w:eastAsia="en-US"/>
              </w:rPr>
              <w:drawing>
                <wp:inline distT="0" distB="0" distL="0" distR="0" wp14:anchorId="6B2F299C" wp14:editId="0B5C3AC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A7FD1" w:rsidRDefault="00E504E5" w:rsidP="00AB613D">
            <w:pPr>
              <w:jc w:val="right"/>
            </w:pPr>
            <w:r w:rsidRPr="00AA7FD1">
              <w:rPr>
                <w:b/>
                <w:sz w:val="40"/>
                <w:szCs w:val="40"/>
              </w:rPr>
              <w:t>S</w:t>
            </w:r>
          </w:p>
        </w:tc>
      </w:tr>
      <w:tr w:rsidR="008B2CC1" w:rsidRPr="00AA7FD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A7FD1" w:rsidRDefault="00251CE2" w:rsidP="00CC4F7D">
            <w:pPr>
              <w:jc w:val="right"/>
              <w:rPr>
                <w:rFonts w:ascii="Arial Black" w:hAnsi="Arial Black"/>
                <w:caps/>
                <w:sz w:val="15"/>
              </w:rPr>
            </w:pPr>
            <w:r w:rsidRPr="00AA7FD1">
              <w:rPr>
                <w:rFonts w:ascii="Arial Black" w:hAnsi="Arial Black"/>
                <w:caps/>
                <w:sz w:val="15"/>
              </w:rPr>
              <w:t>A/56/</w:t>
            </w:r>
            <w:bookmarkStart w:id="0" w:name="Code"/>
            <w:bookmarkEnd w:id="0"/>
            <w:r w:rsidR="00CC4F7D" w:rsidRPr="00AA7FD1">
              <w:rPr>
                <w:rFonts w:ascii="Arial Black" w:hAnsi="Arial Black"/>
                <w:caps/>
                <w:sz w:val="15"/>
              </w:rPr>
              <w:t>12</w:t>
            </w:r>
          </w:p>
        </w:tc>
      </w:tr>
      <w:tr w:rsidR="008B2CC1" w:rsidRPr="00AA7FD1" w:rsidTr="00AB613D">
        <w:trPr>
          <w:trHeight w:hRule="exact" w:val="170"/>
        </w:trPr>
        <w:tc>
          <w:tcPr>
            <w:tcW w:w="9356" w:type="dxa"/>
            <w:gridSpan w:val="3"/>
            <w:noWrap/>
            <w:tcMar>
              <w:left w:w="0" w:type="dxa"/>
              <w:right w:w="0" w:type="dxa"/>
            </w:tcMar>
            <w:vAlign w:val="bottom"/>
          </w:tcPr>
          <w:p w:rsidR="008B2CC1" w:rsidRPr="00AA7FD1" w:rsidRDefault="008B2CC1" w:rsidP="0046793F">
            <w:pPr>
              <w:jc w:val="right"/>
              <w:rPr>
                <w:rFonts w:ascii="Arial Black" w:hAnsi="Arial Black"/>
                <w:caps/>
                <w:sz w:val="15"/>
              </w:rPr>
            </w:pPr>
            <w:r w:rsidRPr="00AA7FD1">
              <w:rPr>
                <w:rFonts w:ascii="Arial Black" w:hAnsi="Arial Black"/>
                <w:caps/>
                <w:sz w:val="15"/>
              </w:rPr>
              <w:t xml:space="preserve">ORIGINAL: </w:t>
            </w:r>
            <w:bookmarkStart w:id="1" w:name="Original"/>
            <w:bookmarkEnd w:id="1"/>
            <w:r w:rsidR="003D643A" w:rsidRPr="00AA7FD1">
              <w:rPr>
                <w:rFonts w:ascii="Arial Black" w:hAnsi="Arial Black"/>
                <w:caps/>
                <w:sz w:val="15"/>
              </w:rPr>
              <w:t xml:space="preserve"> </w:t>
            </w:r>
            <w:r w:rsidR="00235C3A" w:rsidRPr="00AA7FD1">
              <w:rPr>
                <w:rFonts w:ascii="Arial Black" w:hAnsi="Arial Black"/>
                <w:caps/>
                <w:sz w:val="15"/>
              </w:rPr>
              <w:t>INGLÉS</w:t>
            </w:r>
          </w:p>
        </w:tc>
      </w:tr>
      <w:tr w:rsidR="008B2CC1" w:rsidRPr="00AA7FD1" w:rsidTr="00923E38">
        <w:trPr>
          <w:trHeight w:hRule="exact" w:val="189"/>
        </w:trPr>
        <w:tc>
          <w:tcPr>
            <w:tcW w:w="9356" w:type="dxa"/>
            <w:gridSpan w:val="3"/>
            <w:tcMar>
              <w:left w:w="0" w:type="dxa"/>
              <w:right w:w="0" w:type="dxa"/>
            </w:tcMar>
            <w:vAlign w:val="bottom"/>
          </w:tcPr>
          <w:p w:rsidR="008B2CC1" w:rsidRPr="00AA7FD1" w:rsidRDefault="00675021" w:rsidP="00CC4F7D">
            <w:pPr>
              <w:jc w:val="right"/>
              <w:rPr>
                <w:rFonts w:ascii="Arial Black" w:hAnsi="Arial Black"/>
                <w:caps/>
                <w:sz w:val="15"/>
              </w:rPr>
            </w:pPr>
            <w:r w:rsidRPr="00AA7FD1">
              <w:rPr>
                <w:rFonts w:ascii="Arial Black" w:hAnsi="Arial Black"/>
                <w:caps/>
                <w:sz w:val="15"/>
              </w:rPr>
              <w:t>fecha</w:t>
            </w:r>
            <w:r w:rsidR="008B2CC1" w:rsidRPr="00AA7FD1">
              <w:rPr>
                <w:rFonts w:ascii="Arial Black" w:hAnsi="Arial Black"/>
                <w:caps/>
                <w:sz w:val="15"/>
              </w:rPr>
              <w:t xml:space="preserve">: </w:t>
            </w:r>
            <w:bookmarkStart w:id="2" w:name="Date"/>
            <w:bookmarkEnd w:id="2"/>
            <w:r w:rsidR="003D643A" w:rsidRPr="00AA7FD1">
              <w:rPr>
                <w:rFonts w:ascii="Arial Black" w:hAnsi="Arial Black"/>
                <w:caps/>
                <w:sz w:val="15"/>
              </w:rPr>
              <w:t xml:space="preserve"> </w:t>
            </w:r>
            <w:r w:rsidR="00CC4F7D" w:rsidRPr="00AA7FD1">
              <w:rPr>
                <w:rFonts w:ascii="Arial Black" w:hAnsi="Arial Black"/>
                <w:caps/>
                <w:sz w:val="15"/>
              </w:rPr>
              <w:t>5</w:t>
            </w:r>
            <w:r w:rsidR="00235C3A" w:rsidRPr="00AA7FD1">
              <w:rPr>
                <w:rFonts w:ascii="Arial Black" w:hAnsi="Arial Black"/>
                <w:caps/>
                <w:sz w:val="15"/>
              </w:rPr>
              <w:t xml:space="preserve"> DE </w:t>
            </w:r>
            <w:r w:rsidR="00CC4F7D" w:rsidRPr="00AA7FD1">
              <w:rPr>
                <w:rFonts w:ascii="Arial Black" w:hAnsi="Arial Black"/>
                <w:caps/>
                <w:sz w:val="15"/>
              </w:rPr>
              <w:t xml:space="preserve">septiembre </w:t>
            </w:r>
            <w:r w:rsidR="00923E38" w:rsidRPr="00AA7FD1">
              <w:rPr>
                <w:rFonts w:ascii="Arial Black" w:hAnsi="Arial Black"/>
                <w:caps/>
                <w:sz w:val="15"/>
              </w:rPr>
              <w:t xml:space="preserve"> de 2016</w:t>
            </w:r>
          </w:p>
        </w:tc>
      </w:tr>
    </w:tbl>
    <w:p w:rsidR="008B2CC1" w:rsidRPr="00AA7FD1" w:rsidRDefault="008B2CC1" w:rsidP="008B2CC1"/>
    <w:p w:rsidR="008B2CC1" w:rsidRPr="00AA7FD1" w:rsidRDefault="008B2CC1" w:rsidP="008B2CC1"/>
    <w:p w:rsidR="008B2CC1" w:rsidRPr="00AA7FD1" w:rsidRDefault="008B2CC1" w:rsidP="008B2CC1"/>
    <w:p w:rsidR="008B2CC1" w:rsidRPr="00AA7FD1" w:rsidRDefault="008B2CC1" w:rsidP="008B2CC1"/>
    <w:p w:rsidR="008B2CC1" w:rsidRPr="00AA7FD1" w:rsidRDefault="008B2CC1" w:rsidP="008B2CC1"/>
    <w:p w:rsidR="00B67CDC" w:rsidRPr="00AA7FD1" w:rsidRDefault="00251CE2" w:rsidP="00B67CDC">
      <w:pPr>
        <w:rPr>
          <w:b/>
          <w:sz w:val="28"/>
          <w:szCs w:val="28"/>
        </w:rPr>
      </w:pPr>
      <w:r w:rsidRPr="00AA7FD1">
        <w:rPr>
          <w:rFonts w:eastAsia="Arial"/>
          <w:b/>
          <w:bCs/>
          <w:color w:val="0F0F0F"/>
          <w:sz w:val="27"/>
          <w:szCs w:val="27"/>
        </w:rPr>
        <w:t>Asambleas</w:t>
      </w:r>
      <w:r w:rsidRPr="00AA7FD1">
        <w:rPr>
          <w:rFonts w:eastAsia="Arial"/>
          <w:b/>
          <w:bCs/>
          <w:color w:val="0F0F0F"/>
          <w:spacing w:val="30"/>
          <w:sz w:val="27"/>
          <w:szCs w:val="27"/>
        </w:rPr>
        <w:t xml:space="preserve"> </w:t>
      </w:r>
      <w:r w:rsidRPr="00AA7FD1">
        <w:rPr>
          <w:rFonts w:eastAsia="Arial"/>
          <w:b/>
          <w:bCs/>
          <w:color w:val="0F0F0F"/>
          <w:sz w:val="27"/>
          <w:szCs w:val="27"/>
        </w:rPr>
        <w:t>de</w:t>
      </w:r>
      <w:r w:rsidRPr="00AA7FD1">
        <w:rPr>
          <w:rFonts w:eastAsia="Arial"/>
          <w:b/>
          <w:bCs/>
          <w:color w:val="0F0F0F"/>
          <w:spacing w:val="17"/>
          <w:sz w:val="27"/>
          <w:szCs w:val="27"/>
        </w:rPr>
        <w:t xml:space="preserve"> </w:t>
      </w:r>
      <w:r w:rsidRPr="00AA7FD1">
        <w:rPr>
          <w:rFonts w:eastAsia="Arial"/>
          <w:b/>
          <w:bCs/>
          <w:color w:val="0F0F0F"/>
          <w:sz w:val="27"/>
          <w:szCs w:val="27"/>
        </w:rPr>
        <w:t>los</w:t>
      </w:r>
      <w:r w:rsidRPr="00AA7FD1">
        <w:rPr>
          <w:rFonts w:eastAsia="Arial"/>
          <w:b/>
          <w:bCs/>
          <w:color w:val="0F0F0F"/>
          <w:spacing w:val="24"/>
          <w:sz w:val="27"/>
          <w:szCs w:val="27"/>
        </w:rPr>
        <w:t xml:space="preserve"> </w:t>
      </w:r>
      <w:r w:rsidRPr="00AA7FD1">
        <w:rPr>
          <w:rFonts w:eastAsia="Arial"/>
          <w:b/>
          <w:bCs/>
          <w:color w:val="0F0F0F"/>
          <w:sz w:val="27"/>
          <w:szCs w:val="27"/>
        </w:rPr>
        <w:t>Estados</w:t>
      </w:r>
      <w:r w:rsidRPr="00AA7FD1">
        <w:rPr>
          <w:rFonts w:eastAsia="Arial"/>
          <w:b/>
          <w:bCs/>
          <w:color w:val="0F0F0F"/>
          <w:spacing w:val="33"/>
          <w:sz w:val="27"/>
          <w:szCs w:val="27"/>
        </w:rPr>
        <w:t xml:space="preserve"> </w:t>
      </w:r>
      <w:r w:rsidRPr="00AA7FD1">
        <w:rPr>
          <w:rFonts w:eastAsia="Arial"/>
          <w:b/>
          <w:bCs/>
          <w:color w:val="0F0F0F"/>
          <w:sz w:val="27"/>
          <w:szCs w:val="27"/>
        </w:rPr>
        <w:t>miembros</w:t>
      </w:r>
      <w:r w:rsidRPr="00AA7FD1">
        <w:rPr>
          <w:rFonts w:eastAsia="Arial"/>
          <w:b/>
          <w:bCs/>
          <w:color w:val="0F0F0F"/>
          <w:spacing w:val="29"/>
          <w:sz w:val="27"/>
          <w:szCs w:val="27"/>
        </w:rPr>
        <w:t xml:space="preserve"> </w:t>
      </w:r>
      <w:r w:rsidRPr="00AA7FD1">
        <w:rPr>
          <w:rFonts w:eastAsia="Arial"/>
          <w:b/>
          <w:bCs/>
          <w:color w:val="0F0F0F"/>
          <w:sz w:val="27"/>
          <w:szCs w:val="27"/>
        </w:rPr>
        <w:t>de</w:t>
      </w:r>
      <w:r w:rsidRPr="00AA7FD1">
        <w:rPr>
          <w:rFonts w:eastAsia="Arial"/>
          <w:b/>
          <w:bCs/>
          <w:color w:val="0F0F0F"/>
          <w:spacing w:val="11"/>
          <w:sz w:val="27"/>
          <w:szCs w:val="27"/>
        </w:rPr>
        <w:t xml:space="preserve"> </w:t>
      </w:r>
      <w:r w:rsidRPr="00AA7FD1">
        <w:rPr>
          <w:rFonts w:eastAsia="Arial"/>
          <w:b/>
          <w:bCs/>
          <w:color w:val="0F0F0F"/>
          <w:sz w:val="27"/>
          <w:szCs w:val="27"/>
        </w:rPr>
        <w:t>Ia</w:t>
      </w:r>
      <w:r w:rsidRPr="00AA7FD1">
        <w:rPr>
          <w:rFonts w:eastAsia="Arial"/>
          <w:b/>
          <w:bCs/>
          <w:color w:val="0F0F0F"/>
          <w:spacing w:val="8"/>
          <w:sz w:val="27"/>
          <w:szCs w:val="27"/>
        </w:rPr>
        <w:t xml:space="preserve"> </w:t>
      </w:r>
      <w:r w:rsidRPr="00AA7FD1">
        <w:rPr>
          <w:rFonts w:eastAsia="Arial"/>
          <w:b/>
          <w:bCs/>
          <w:color w:val="0F0F0F"/>
          <w:w w:val="104"/>
          <w:sz w:val="27"/>
          <w:szCs w:val="27"/>
        </w:rPr>
        <w:t>OMPI</w:t>
      </w:r>
    </w:p>
    <w:p w:rsidR="003845C1" w:rsidRPr="00AA7FD1" w:rsidRDefault="003845C1" w:rsidP="003845C1"/>
    <w:p w:rsidR="003845C1" w:rsidRPr="00AA7FD1" w:rsidRDefault="003845C1" w:rsidP="003845C1"/>
    <w:p w:rsidR="00B67CDC" w:rsidRPr="00AA7FD1" w:rsidRDefault="00293CCE" w:rsidP="00B67CDC">
      <w:pPr>
        <w:rPr>
          <w:b/>
          <w:sz w:val="24"/>
          <w:szCs w:val="24"/>
        </w:rPr>
      </w:pPr>
      <w:r w:rsidRPr="00AA7FD1">
        <w:rPr>
          <w:rFonts w:eastAsia="Arial"/>
          <w:b/>
          <w:bCs/>
          <w:color w:val="0F0F0F"/>
          <w:sz w:val="23"/>
          <w:szCs w:val="23"/>
        </w:rPr>
        <w:t>Quincuagé</w:t>
      </w:r>
      <w:r w:rsidR="00251CE2" w:rsidRPr="00AA7FD1">
        <w:rPr>
          <w:rFonts w:eastAsia="Arial"/>
          <w:b/>
          <w:bCs/>
          <w:color w:val="0F0F0F"/>
          <w:sz w:val="23"/>
          <w:szCs w:val="23"/>
        </w:rPr>
        <w:t>sima</w:t>
      </w:r>
      <w:r w:rsidR="00251CE2" w:rsidRPr="00AA7FD1">
        <w:rPr>
          <w:rFonts w:eastAsia="Arial"/>
          <w:b/>
          <w:bCs/>
          <w:color w:val="0F0F0F"/>
          <w:spacing w:val="64"/>
          <w:sz w:val="23"/>
          <w:szCs w:val="23"/>
        </w:rPr>
        <w:t xml:space="preserve"> </w:t>
      </w:r>
      <w:r w:rsidR="00251CE2" w:rsidRPr="00AA7FD1">
        <w:rPr>
          <w:rFonts w:eastAsia="Arial"/>
          <w:b/>
          <w:bCs/>
          <w:color w:val="0F0F0F"/>
          <w:sz w:val="23"/>
          <w:szCs w:val="23"/>
        </w:rPr>
        <w:t>sexta</w:t>
      </w:r>
      <w:r w:rsidR="00251CE2" w:rsidRPr="00AA7FD1">
        <w:rPr>
          <w:rFonts w:eastAsia="Arial"/>
          <w:b/>
          <w:bCs/>
          <w:color w:val="0F0F0F"/>
          <w:spacing w:val="36"/>
          <w:sz w:val="23"/>
          <w:szCs w:val="23"/>
        </w:rPr>
        <w:t xml:space="preserve"> </w:t>
      </w:r>
      <w:r w:rsidR="00251CE2" w:rsidRPr="00AA7FD1">
        <w:rPr>
          <w:rFonts w:eastAsia="Arial"/>
          <w:b/>
          <w:bCs/>
          <w:color w:val="0F0F0F"/>
          <w:sz w:val="23"/>
          <w:szCs w:val="23"/>
        </w:rPr>
        <w:t>serie</w:t>
      </w:r>
      <w:r w:rsidR="00251CE2" w:rsidRPr="00AA7FD1">
        <w:rPr>
          <w:rFonts w:eastAsia="Arial"/>
          <w:b/>
          <w:bCs/>
          <w:color w:val="0F0F0F"/>
          <w:spacing w:val="24"/>
          <w:sz w:val="23"/>
          <w:szCs w:val="23"/>
        </w:rPr>
        <w:t xml:space="preserve"> </w:t>
      </w:r>
      <w:r w:rsidR="00251CE2" w:rsidRPr="00AA7FD1">
        <w:rPr>
          <w:rFonts w:eastAsia="Arial"/>
          <w:b/>
          <w:bCs/>
          <w:color w:val="0F0F0F"/>
          <w:sz w:val="23"/>
          <w:szCs w:val="23"/>
        </w:rPr>
        <w:t>de</w:t>
      </w:r>
      <w:r w:rsidR="00251CE2" w:rsidRPr="00AA7FD1">
        <w:rPr>
          <w:rFonts w:eastAsia="Arial"/>
          <w:b/>
          <w:bCs/>
          <w:color w:val="0F0F0F"/>
          <w:spacing w:val="22"/>
          <w:sz w:val="23"/>
          <w:szCs w:val="23"/>
        </w:rPr>
        <w:t xml:space="preserve"> </w:t>
      </w:r>
      <w:r w:rsidR="00251CE2" w:rsidRPr="00AA7FD1">
        <w:rPr>
          <w:rFonts w:eastAsia="Arial"/>
          <w:b/>
          <w:bCs/>
          <w:color w:val="0F0F0F"/>
          <w:w w:val="103"/>
          <w:sz w:val="23"/>
          <w:szCs w:val="23"/>
        </w:rPr>
        <w:t>reuniones</w:t>
      </w:r>
    </w:p>
    <w:p w:rsidR="00B67CDC" w:rsidRPr="00AA7FD1" w:rsidRDefault="00251CE2" w:rsidP="00B67CDC">
      <w:pPr>
        <w:rPr>
          <w:b/>
          <w:sz w:val="24"/>
          <w:szCs w:val="24"/>
        </w:rPr>
      </w:pPr>
      <w:r w:rsidRPr="00AA7FD1">
        <w:rPr>
          <w:rFonts w:eastAsia="Arial"/>
          <w:b/>
          <w:bCs/>
          <w:color w:val="0F0F0F"/>
          <w:sz w:val="23"/>
          <w:szCs w:val="23"/>
        </w:rPr>
        <w:t>Ginebra,</w:t>
      </w:r>
      <w:r w:rsidRPr="00AA7FD1">
        <w:rPr>
          <w:rFonts w:eastAsia="Arial"/>
          <w:b/>
          <w:bCs/>
          <w:color w:val="0F0F0F"/>
          <w:spacing w:val="26"/>
          <w:sz w:val="23"/>
          <w:szCs w:val="23"/>
        </w:rPr>
        <w:t xml:space="preserve"> </w:t>
      </w:r>
      <w:r w:rsidRPr="00AA7FD1">
        <w:rPr>
          <w:rFonts w:eastAsia="Arial"/>
          <w:b/>
          <w:bCs/>
          <w:color w:val="0F0F0F"/>
          <w:sz w:val="23"/>
          <w:szCs w:val="23"/>
        </w:rPr>
        <w:t>3</w:t>
      </w:r>
      <w:r w:rsidRPr="00AA7FD1">
        <w:rPr>
          <w:rFonts w:eastAsia="Arial"/>
          <w:b/>
          <w:bCs/>
          <w:color w:val="0F0F0F"/>
          <w:spacing w:val="10"/>
          <w:sz w:val="23"/>
          <w:szCs w:val="23"/>
        </w:rPr>
        <w:t xml:space="preserve"> </w:t>
      </w:r>
      <w:r w:rsidRPr="00AA7FD1">
        <w:rPr>
          <w:rFonts w:eastAsia="Arial"/>
          <w:b/>
          <w:bCs/>
          <w:color w:val="0F0F0F"/>
          <w:sz w:val="23"/>
          <w:szCs w:val="23"/>
        </w:rPr>
        <w:t>a</w:t>
      </w:r>
      <w:r w:rsidRPr="00AA7FD1">
        <w:rPr>
          <w:rFonts w:eastAsia="Arial"/>
          <w:b/>
          <w:bCs/>
          <w:color w:val="0F0F0F"/>
          <w:spacing w:val="7"/>
          <w:sz w:val="23"/>
          <w:szCs w:val="23"/>
        </w:rPr>
        <w:t xml:space="preserve"> </w:t>
      </w:r>
      <w:r w:rsidRPr="00AA7FD1">
        <w:rPr>
          <w:rFonts w:eastAsia="Arial"/>
          <w:b/>
          <w:bCs/>
          <w:color w:val="0F0F0F"/>
          <w:sz w:val="23"/>
          <w:szCs w:val="23"/>
        </w:rPr>
        <w:t>11</w:t>
      </w:r>
      <w:r w:rsidRPr="00AA7FD1">
        <w:rPr>
          <w:rFonts w:eastAsia="Arial"/>
          <w:b/>
          <w:bCs/>
          <w:color w:val="0F0F0F"/>
          <w:spacing w:val="11"/>
          <w:sz w:val="23"/>
          <w:szCs w:val="23"/>
        </w:rPr>
        <w:t xml:space="preserve"> </w:t>
      </w:r>
      <w:r w:rsidRPr="00AA7FD1">
        <w:rPr>
          <w:rFonts w:eastAsia="Arial"/>
          <w:b/>
          <w:bCs/>
          <w:color w:val="0F0F0F"/>
          <w:sz w:val="23"/>
          <w:szCs w:val="23"/>
        </w:rPr>
        <w:t>de</w:t>
      </w:r>
      <w:r w:rsidRPr="00AA7FD1">
        <w:rPr>
          <w:rFonts w:eastAsia="Arial"/>
          <w:b/>
          <w:bCs/>
          <w:color w:val="0F0F0F"/>
          <w:spacing w:val="13"/>
          <w:sz w:val="23"/>
          <w:szCs w:val="23"/>
        </w:rPr>
        <w:t xml:space="preserve"> </w:t>
      </w:r>
      <w:r w:rsidRPr="00AA7FD1">
        <w:rPr>
          <w:rFonts w:eastAsia="Arial"/>
          <w:b/>
          <w:bCs/>
          <w:color w:val="0F0F0F"/>
          <w:sz w:val="23"/>
          <w:szCs w:val="23"/>
        </w:rPr>
        <w:t>octubre</w:t>
      </w:r>
      <w:r w:rsidRPr="00AA7FD1">
        <w:rPr>
          <w:rFonts w:eastAsia="Arial"/>
          <w:b/>
          <w:bCs/>
          <w:color w:val="0F0F0F"/>
          <w:spacing w:val="45"/>
          <w:sz w:val="23"/>
          <w:szCs w:val="23"/>
        </w:rPr>
        <w:t xml:space="preserve"> </w:t>
      </w:r>
      <w:r w:rsidRPr="00AA7FD1">
        <w:rPr>
          <w:rFonts w:eastAsia="Arial"/>
          <w:b/>
          <w:bCs/>
          <w:color w:val="0F0F0F"/>
          <w:sz w:val="23"/>
          <w:szCs w:val="23"/>
        </w:rPr>
        <w:t>de</w:t>
      </w:r>
      <w:r w:rsidRPr="00AA7FD1">
        <w:rPr>
          <w:rFonts w:eastAsia="Arial"/>
          <w:b/>
          <w:bCs/>
          <w:color w:val="0F0F0F"/>
          <w:spacing w:val="16"/>
          <w:sz w:val="23"/>
          <w:szCs w:val="23"/>
        </w:rPr>
        <w:t xml:space="preserve"> </w:t>
      </w:r>
      <w:r w:rsidRPr="00AA7FD1">
        <w:rPr>
          <w:rFonts w:eastAsia="Arial"/>
          <w:b/>
          <w:bCs/>
          <w:color w:val="0F0F0F"/>
          <w:w w:val="103"/>
          <w:sz w:val="23"/>
          <w:szCs w:val="23"/>
        </w:rPr>
        <w:t>2016</w:t>
      </w:r>
    </w:p>
    <w:p w:rsidR="008B2CC1" w:rsidRPr="00AA7FD1" w:rsidRDefault="008B2CC1" w:rsidP="008B2CC1"/>
    <w:p w:rsidR="008B2CC1" w:rsidRPr="00AA7FD1" w:rsidRDefault="008B2CC1" w:rsidP="008B2CC1"/>
    <w:p w:rsidR="008B2CC1" w:rsidRPr="00AA7FD1" w:rsidRDefault="008B2CC1" w:rsidP="008B2CC1"/>
    <w:p w:rsidR="00923E38" w:rsidRPr="00AA7FD1" w:rsidRDefault="00CC4F7D" w:rsidP="00923E38">
      <w:pPr>
        <w:rPr>
          <w:caps/>
          <w:sz w:val="24"/>
        </w:rPr>
      </w:pPr>
      <w:bookmarkStart w:id="3" w:name="TitleOfDoc"/>
      <w:bookmarkEnd w:id="3"/>
      <w:r w:rsidRPr="00AA7FD1">
        <w:rPr>
          <w:caps/>
          <w:sz w:val="24"/>
        </w:rPr>
        <w:t>Decisiones adoptadas por el Comité del Programa y Presupuesto</w:t>
      </w:r>
    </w:p>
    <w:p w:rsidR="00923E38" w:rsidRPr="00AA7FD1" w:rsidRDefault="00923E38" w:rsidP="00923E38"/>
    <w:p w:rsidR="00923E38" w:rsidRPr="00AA7FD1" w:rsidRDefault="00CC4F7D" w:rsidP="00923E38">
      <w:pPr>
        <w:rPr>
          <w:i/>
        </w:rPr>
      </w:pPr>
      <w:r w:rsidRPr="00AA7FD1">
        <w:rPr>
          <w:i/>
        </w:rPr>
        <w:t xml:space="preserve">Documento </w:t>
      </w:r>
      <w:r w:rsidR="00923E38" w:rsidRPr="00AA7FD1">
        <w:rPr>
          <w:i/>
        </w:rPr>
        <w:t>preparado por la Secretaría</w:t>
      </w:r>
    </w:p>
    <w:p w:rsidR="005E5254" w:rsidRPr="00AA7FD1" w:rsidRDefault="005E5254" w:rsidP="005E5254"/>
    <w:p w:rsidR="005E5254" w:rsidRPr="00AA7FD1" w:rsidRDefault="005E5254" w:rsidP="005E5254"/>
    <w:p w:rsidR="005E5254" w:rsidRPr="00AA7FD1" w:rsidRDefault="005E5254" w:rsidP="005E5254"/>
    <w:p w:rsidR="00923E38" w:rsidRPr="00AA7FD1" w:rsidRDefault="00923E38" w:rsidP="00923E38">
      <w:pPr>
        <w:numPr>
          <w:ilvl w:val="0"/>
          <w:numId w:val="7"/>
        </w:numPr>
        <w:ind w:left="0" w:firstLine="0"/>
        <w:contextualSpacing/>
      </w:pPr>
      <w:r w:rsidRPr="00AA7FD1">
        <w:t>El presente documento contiene</w:t>
      </w:r>
      <w:r w:rsidR="00CC4F7D" w:rsidRPr="00AA7FD1">
        <w:t xml:space="preserve"> la “lista de decisiones” adoptada por el Comité del Programa y Presupuesto (PBC) en su vigesimoquinta sesión (29 de agosto a 2 de septiembre de 2016) (documento WO/PBC/25/21</w:t>
      </w:r>
      <w:r w:rsidRPr="00AA7FD1">
        <w:t>).</w:t>
      </w:r>
    </w:p>
    <w:p w:rsidR="00923E38" w:rsidRPr="00AA7FD1" w:rsidRDefault="00923E38" w:rsidP="00923E38"/>
    <w:p w:rsidR="00923E38" w:rsidRPr="00AA7FD1" w:rsidRDefault="00CC4F7D" w:rsidP="00923E38">
      <w:pPr>
        <w:numPr>
          <w:ilvl w:val="0"/>
          <w:numId w:val="7"/>
        </w:numPr>
        <w:ind w:left="0" w:firstLine="0"/>
        <w:contextualSpacing/>
      </w:pPr>
      <w:r w:rsidRPr="00AA7FD1">
        <w:t>Se propone el párrafo de decisión siguiente.</w:t>
      </w:r>
    </w:p>
    <w:p w:rsidR="00CC4F7D" w:rsidRPr="00AA7FD1" w:rsidRDefault="00CC4F7D" w:rsidP="00CC4F7D">
      <w:pPr>
        <w:contextualSpacing/>
      </w:pPr>
    </w:p>
    <w:p w:rsidR="00CC4F7D" w:rsidRPr="00AA7FD1" w:rsidRDefault="00CC4F7D" w:rsidP="00CC4F7D">
      <w:pPr>
        <w:numPr>
          <w:ilvl w:val="0"/>
          <w:numId w:val="7"/>
        </w:numPr>
        <w:tabs>
          <w:tab w:val="left" w:pos="5954"/>
        </w:tabs>
        <w:ind w:left="5529" w:firstLine="0"/>
        <w:contextualSpacing/>
        <w:rPr>
          <w:i/>
        </w:rPr>
      </w:pPr>
      <w:r w:rsidRPr="00AA7FD1">
        <w:rPr>
          <w:i/>
        </w:rPr>
        <w:t>Las Asambleas de los Estados miembros de la OMPI y de las Uniones que administra, en lo que a cada una concierne:</w:t>
      </w:r>
    </w:p>
    <w:p w:rsidR="00CC4F7D" w:rsidRPr="00AA7FD1" w:rsidRDefault="00CC4F7D" w:rsidP="00CC4F7D">
      <w:pPr>
        <w:tabs>
          <w:tab w:val="left" w:pos="5954"/>
        </w:tabs>
        <w:ind w:left="5529"/>
        <w:contextualSpacing/>
        <w:rPr>
          <w:i/>
        </w:rPr>
      </w:pPr>
    </w:p>
    <w:p w:rsidR="00CC4F7D" w:rsidRPr="00AA7FD1" w:rsidRDefault="00CC4F7D" w:rsidP="00547973">
      <w:pPr>
        <w:tabs>
          <w:tab w:val="left" w:pos="6379"/>
        </w:tabs>
        <w:ind w:left="5954"/>
        <w:contextualSpacing/>
        <w:rPr>
          <w:i/>
        </w:rPr>
      </w:pPr>
      <w:r w:rsidRPr="00AA7FD1">
        <w:rPr>
          <w:i/>
        </w:rPr>
        <w:t>i)</w:t>
      </w:r>
      <w:r w:rsidRPr="00AA7FD1">
        <w:rPr>
          <w:i/>
        </w:rPr>
        <w:tab/>
        <w:t>tomaron nota de la “lista de decisiones” (documento WO/PBC/25/21);  y</w:t>
      </w:r>
    </w:p>
    <w:p w:rsidR="00CC4F7D" w:rsidRPr="00AA7FD1" w:rsidRDefault="00CC4F7D" w:rsidP="00547973">
      <w:pPr>
        <w:tabs>
          <w:tab w:val="left" w:pos="6379"/>
        </w:tabs>
        <w:ind w:left="5954"/>
        <w:contextualSpacing/>
        <w:rPr>
          <w:i/>
        </w:rPr>
      </w:pPr>
    </w:p>
    <w:p w:rsidR="00CC4F7D" w:rsidRPr="00AA7FD1" w:rsidRDefault="00CC4F7D" w:rsidP="00547973">
      <w:pPr>
        <w:tabs>
          <w:tab w:val="left" w:pos="6379"/>
        </w:tabs>
        <w:ind w:left="5954"/>
        <w:contextualSpacing/>
        <w:rPr>
          <w:i/>
        </w:rPr>
      </w:pPr>
      <w:r w:rsidRPr="00AA7FD1">
        <w:rPr>
          <w:i/>
        </w:rPr>
        <w:t>ii)</w:t>
      </w:r>
      <w:r w:rsidRPr="00AA7FD1">
        <w:rPr>
          <w:i/>
        </w:rPr>
        <w:tab/>
        <w:t>aprobaron las recomendaciones formuladas por el PBC, según constan en el documento WO/PBC/25/21.</w:t>
      </w:r>
    </w:p>
    <w:p w:rsidR="00923E38" w:rsidRPr="00AA7FD1" w:rsidRDefault="00923E38" w:rsidP="00923E38"/>
    <w:p w:rsidR="00CC4F7D" w:rsidRPr="00AA7FD1" w:rsidRDefault="00CC4F7D" w:rsidP="00CC4F7D">
      <w:pPr>
        <w:numPr>
          <w:ilvl w:val="0"/>
          <w:numId w:val="7"/>
        </w:numPr>
        <w:ind w:left="0" w:firstLine="0"/>
        <w:contextualSpacing/>
      </w:pPr>
      <w:r w:rsidRPr="00AA7FD1">
        <w:t>En particular, se invita a las Asambleas de los Estados miembros de la OMPI y de las Uniones que administra, en lo que a cada una concierna, a examinar las cuestiones a las que se alude en el documento WO/PBC/25/21 en relación con los puntos 4, 13 y 16.</w:t>
      </w:r>
    </w:p>
    <w:p w:rsidR="00923E38" w:rsidRPr="00AA7FD1" w:rsidRDefault="00923E38" w:rsidP="00923E38"/>
    <w:p w:rsidR="00923E38" w:rsidRPr="00AA7FD1" w:rsidRDefault="00923E38" w:rsidP="00923E38"/>
    <w:p w:rsidR="00923E38" w:rsidRPr="00AA7FD1" w:rsidRDefault="00923E38" w:rsidP="00923E38">
      <w:pPr>
        <w:ind w:left="5533"/>
      </w:pPr>
      <w:r w:rsidRPr="00AA7FD1">
        <w:t>[Sigue el documento WO/PBC/25/</w:t>
      </w:r>
      <w:r w:rsidR="00802139" w:rsidRPr="00AA7FD1">
        <w:t>21</w:t>
      </w:r>
      <w:r w:rsidRPr="00AA7FD1">
        <w:t>]</w:t>
      </w:r>
    </w:p>
    <w:p w:rsidR="00802139" w:rsidRPr="00AA7FD1" w:rsidRDefault="00802139" w:rsidP="00802139">
      <w:pPr>
        <w:sectPr w:rsidR="00802139" w:rsidRPr="00AA7FD1" w:rsidSect="00AA7FD1">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02139" w:rsidRPr="00AA7FD1" w:rsidTr="00545B22">
        <w:tc>
          <w:tcPr>
            <w:tcW w:w="4513" w:type="dxa"/>
            <w:tcBorders>
              <w:bottom w:val="single" w:sz="4" w:space="0" w:color="auto"/>
            </w:tcBorders>
            <w:tcMar>
              <w:bottom w:w="170" w:type="dxa"/>
            </w:tcMar>
          </w:tcPr>
          <w:p w:rsidR="00802139" w:rsidRPr="00AA7FD1" w:rsidRDefault="00802139" w:rsidP="00802139"/>
        </w:tc>
        <w:tc>
          <w:tcPr>
            <w:tcW w:w="4337" w:type="dxa"/>
            <w:tcBorders>
              <w:bottom w:val="single" w:sz="4" w:space="0" w:color="auto"/>
            </w:tcBorders>
            <w:tcMar>
              <w:left w:w="0" w:type="dxa"/>
              <w:right w:w="0" w:type="dxa"/>
            </w:tcMar>
          </w:tcPr>
          <w:p w:rsidR="00802139" w:rsidRPr="00AA7FD1" w:rsidRDefault="00802139" w:rsidP="00802139">
            <w:r w:rsidRPr="00AA7FD1">
              <w:rPr>
                <w:noProof/>
                <w:lang w:val="en-US" w:eastAsia="en-US"/>
              </w:rPr>
              <w:drawing>
                <wp:inline distT="0" distB="0" distL="0" distR="0" wp14:anchorId="6C480742" wp14:editId="224B71CE">
                  <wp:extent cx="1856105" cy="1323975"/>
                  <wp:effectExtent l="0" t="0" r="0"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02139" w:rsidRPr="00AA7FD1" w:rsidRDefault="00802139" w:rsidP="00802139">
            <w:pPr>
              <w:rPr>
                <w:b/>
                <w:sz w:val="40"/>
                <w:szCs w:val="40"/>
              </w:rPr>
            </w:pPr>
            <w:r w:rsidRPr="00AA7FD1">
              <w:rPr>
                <w:b/>
                <w:sz w:val="40"/>
                <w:szCs w:val="40"/>
              </w:rPr>
              <w:t>S</w:t>
            </w:r>
          </w:p>
        </w:tc>
      </w:tr>
      <w:tr w:rsidR="00802139" w:rsidRPr="00AA7FD1" w:rsidTr="00545B22">
        <w:trPr>
          <w:trHeight w:hRule="exact" w:val="340"/>
        </w:trPr>
        <w:tc>
          <w:tcPr>
            <w:tcW w:w="9356" w:type="dxa"/>
            <w:gridSpan w:val="3"/>
            <w:tcBorders>
              <w:top w:val="single" w:sz="4" w:space="0" w:color="auto"/>
            </w:tcBorders>
            <w:tcMar>
              <w:top w:w="170" w:type="dxa"/>
              <w:left w:w="0" w:type="dxa"/>
              <w:right w:w="0" w:type="dxa"/>
            </w:tcMar>
            <w:vAlign w:val="bottom"/>
          </w:tcPr>
          <w:p w:rsidR="00802139" w:rsidRPr="00AA7FD1" w:rsidRDefault="00802139" w:rsidP="00802139">
            <w:pPr>
              <w:jc w:val="right"/>
              <w:rPr>
                <w:rFonts w:ascii="Arial Black" w:hAnsi="Arial Black"/>
                <w:caps/>
                <w:sz w:val="15"/>
              </w:rPr>
            </w:pPr>
            <w:r w:rsidRPr="00AA7FD1">
              <w:rPr>
                <w:rFonts w:ascii="Arial Black" w:hAnsi="Arial Black"/>
                <w:caps/>
                <w:sz w:val="15"/>
              </w:rPr>
              <w:t>WO/PBC/25/21</w:t>
            </w:r>
          </w:p>
        </w:tc>
      </w:tr>
      <w:tr w:rsidR="00802139" w:rsidRPr="00AA7FD1" w:rsidTr="00545B22">
        <w:trPr>
          <w:trHeight w:hRule="exact" w:val="170"/>
        </w:trPr>
        <w:tc>
          <w:tcPr>
            <w:tcW w:w="9356" w:type="dxa"/>
            <w:gridSpan w:val="3"/>
            <w:noWrap/>
            <w:tcMar>
              <w:left w:w="0" w:type="dxa"/>
              <w:right w:w="0" w:type="dxa"/>
            </w:tcMar>
            <w:vAlign w:val="bottom"/>
          </w:tcPr>
          <w:p w:rsidR="00802139" w:rsidRPr="00AA7FD1" w:rsidRDefault="00802139" w:rsidP="00802139">
            <w:pPr>
              <w:jc w:val="right"/>
              <w:rPr>
                <w:rFonts w:ascii="Arial Black" w:hAnsi="Arial Black"/>
                <w:caps/>
                <w:sz w:val="15"/>
              </w:rPr>
            </w:pPr>
            <w:r w:rsidRPr="00AA7FD1">
              <w:rPr>
                <w:rFonts w:ascii="Arial Black" w:hAnsi="Arial Black"/>
                <w:caps/>
                <w:sz w:val="15"/>
              </w:rPr>
              <w:t>ORIGINAL:  INGLÉS</w:t>
            </w:r>
          </w:p>
        </w:tc>
      </w:tr>
      <w:tr w:rsidR="00802139" w:rsidRPr="00AA7FD1" w:rsidTr="00545B22">
        <w:trPr>
          <w:trHeight w:hRule="exact" w:val="198"/>
        </w:trPr>
        <w:tc>
          <w:tcPr>
            <w:tcW w:w="9356" w:type="dxa"/>
            <w:gridSpan w:val="3"/>
            <w:tcMar>
              <w:left w:w="0" w:type="dxa"/>
              <w:right w:w="0" w:type="dxa"/>
            </w:tcMar>
            <w:vAlign w:val="bottom"/>
          </w:tcPr>
          <w:p w:rsidR="00802139" w:rsidRPr="00AA7FD1" w:rsidRDefault="00802139" w:rsidP="00802139">
            <w:pPr>
              <w:jc w:val="right"/>
              <w:rPr>
                <w:rFonts w:ascii="Arial Black" w:hAnsi="Arial Black"/>
                <w:caps/>
                <w:sz w:val="15"/>
              </w:rPr>
            </w:pPr>
            <w:r w:rsidRPr="00AA7FD1">
              <w:rPr>
                <w:rFonts w:ascii="Arial Black" w:hAnsi="Arial Black"/>
                <w:caps/>
                <w:sz w:val="15"/>
              </w:rPr>
              <w:t>fecha:  2 DE SEPTIEMBRE DE 2016</w:t>
            </w:r>
          </w:p>
        </w:tc>
      </w:tr>
    </w:tbl>
    <w:p w:rsidR="00802139" w:rsidRPr="00AA7FD1" w:rsidRDefault="00802139" w:rsidP="00802139"/>
    <w:p w:rsidR="00802139" w:rsidRPr="00AA7FD1" w:rsidRDefault="00802139" w:rsidP="00802139"/>
    <w:p w:rsidR="00802139" w:rsidRPr="00AA7FD1" w:rsidRDefault="00802139" w:rsidP="00802139"/>
    <w:p w:rsidR="00802139" w:rsidRPr="00AA7FD1" w:rsidRDefault="00802139" w:rsidP="00802139"/>
    <w:p w:rsidR="00802139" w:rsidRPr="00AA7FD1" w:rsidRDefault="00802139" w:rsidP="00802139"/>
    <w:p w:rsidR="00802139" w:rsidRPr="00AA7FD1" w:rsidRDefault="00802139" w:rsidP="00802139">
      <w:pPr>
        <w:rPr>
          <w:b/>
        </w:rPr>
      </w:pPr>
      <w:r w:rsidRPr="00AA7FD1">
        <w:rPr>
          <w:b/>
        </w:rPr>
        <w:t>Comité del Programa y Presupuesto</w:t>
      </w:r>
    </w:p>
    <w:p w:rsidR="00802139" w:rsidRPr="00AA7FD1" w:rsidRDefault="00802139" w:rsidP="00802139"/>
    <w:p w:rsidR="00802139" w:rsidRPr="00AA7FD1" w:rsidRDefault="00802139" w:rsidP="00802139"/>
    <w:p w:rsidR="00802139" w:rsidRPr="00AA7FD1" w:rsidRDefault="00802139" w:rsidP="00802139">
      <w:pPr>
        <w:rPr>
          <w:b/>
        </w:rPr>
      </w:pPr>
      <w:r w:rsidRPr="00AA7FD1">
        <w:rPr>
          <w:b/>
        </w:rPr>
        <w:t>Vigesimoquinta sesión</w:t>
      </w:r>
    </w:p>
    <w:p w:rsidR="00802139" w:rsidRPr="00AA7FD1" w:rsidRDefault="00802139" w:rsidP="00802139">
      <w:pPr>
        <w:rPr>
          <w:b/>
        </w:rPr>
      </w:pPr>
      <w:r w:rsidRPr="00AA7FD1">
        <w:rPr>
          <w:b/>
        </w:rPr>
        <w:t>Ginebra, 29 de agosto a 2 de septiembre de 2016</w:t>
      </w:r>
    </w:p>
    <w:p w:rsidR="00802139" w:rsidRPr="00AA7FD1" w:rsidRDefault="00802139" w:rsidP="00802139"/>
    <w:p w:rsidR="00802139" w:rsidRPr="00AA7FD1" w:rsidRDefault="00802139" w:rsidP="00802139"/>
    <w:p w:rsidR="00802139" w:rsidRPr="00AA7FD1" w:rsidRDefault="00802139" w:rsidP="00802139"/>
    <w:p w:rsidR="00802139" w:rsidRPr="00AA7FD1" w:rsidRDefault="00802139" w:rsidP="00802139">
      <w:r w:rsidRPr="00AA7FD1">
        <w:t>LISTA DE DECISIONES</w:t>
      </w:r>
    </w:p>
    <w:p w:rsidR="00802139" w:rsidRPr="00AA7FD1" w:rsidRDefault="00802139" w:rsidP="00802139"/>
    <w:p w:rsidR="00802139" w:rsidRPr="00AA7FD1" w:rsidRDefault="00802139" w:rsidP="00802139">
      <w:pPr>
        <w:rPr>
          <w:i/>
        </w:rPr>
      </w:pPr>
      <w:bookmarkStart w:id="5" w:name="Prepared"/>
      <w:bookmarkEnd w:id="5"/>
      <w:r w:rsidRPr="00AA7FD1">
        <w:rPr>
          <w:i/>
        </w:rPr>
        <w:t>Documento preparado por la Secretaría</w:t>
      </w:r>
    </w:p>
    <w:p w:rsidR="00802139" w:rsidRPr="00AA7FD1" w:rsidRDefault="00802139" w:rsidP="00802139"/>
    <w:p w:rsidR="00802139" w:rsidRPr="00AA7FD1" w:rsidRDefault="00802139" w:rsidP="00802139"/>
    <w:p w:rsidR="00802139" w:rsidRPr="00AA7FD1" w:rsidRDefault="00802139" w:rsidP="00802139"/>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ind w:left="0" w:firstLine="0"/>
      </w:pPr>
      <w:r w:rsidRPr="00AA7FD1">
        <w:t>APERTURA DE LA SESIÓN</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ELECCIÓN DEL PRESIDENTE Y DE DOS VICEPRESIDENTES DEL COMITÉ DEL PROGRAMA Y PRESUPUESTO (PBC)</w:t>
      </w:r>
    </w:p>
    <w:p w:rsidR="00802139" w:rsidRPr="00AA7FD1" w:rsidRDefault="00802139" w:rsidP="00802139">
      <w:pPr>
        <w:rPr>
          <w:i/>
        </w:rPr>
      </w:pPr>
      <w:r w:rsidRPr="00AA7FD1">
        <w:rPr>
          <w:i/>
        </w:rPr>
        <w:t>El Comité del Programa y Presupuesto (PBC) eligió, para las sesiones que celebre en 2016 y 2017, al Sr. Janis KARKLINS, Embajador (Letonia), como Presidente, y a la Sra. María Inés RODRÍGUEZ (Argentina) y al Sr. Sumit SETH (India) como Vicepresidentes del Comité.</w:t>
      </w:r>
    </w:p>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APROBACIÓN DEL ORDEN DEL DÍA</w:t>
      </w:r>
    </w:p>
    <w:p w:rsidR="00802139" w:rsidRPr="00AA7FD1" w:rsidRDefault="00802139" w:rsidP="00802139">
      <w:pPr>
        <w:spacing w:after="220"/>
      </w:pPr>
      <w:r w:rsidRPr="00AA7FD1">
        <w:t>documento WO/PBC/25/1</w:t>
      </w:r>
    </w:p>
    <w:p w:rsidR="00802139" w:rsidRPr="00AA7FD1" w:rsidRDefault="00802139" w:rsidP="00802139">
      <w:pPr>
        <w:rPr>
          <w:i/>
        </w:rPr>
      </w:pPr>
      <w:r w:rsidRPr="00AA7FD1">
        <w:rPr>
          <w:i/>
        </w:rPr>
        <w:t>El Comité del Programa y Presupuesto (PBC) aprobó el orden del día (documento WO/PBC/25/1).</w:t>
      </w:r>
    </w:p>
    <w:p w:rsidR="00802139" w:rsidRPr="00AA7FD1" w:rsidRDefault="00802139" w:rsidP="00802139"/>
    <w:p w:rsidR="00802139" w:rsidRPr="00AA7FD1" w:rsidRDefault="00802139" w:rsidP="00802139">
      <w:pPr>
        <w:keepNext/>
        <w:keepLines/>
        <w:numPr>
          <w:ilvl w:val="0"/>
          <w:numId w:val="8"/>
        </w:numPr>
        <w:tabs>
          <w:tab w:val="left" w:pos="3544"/>
        </w:tabs>
        <w:spacing w:after="220"/>
        <w:ind w:left="0" w:firstLine="0"/>
      </w:pPr>
      <w:r w:rsidRPr="00AA7FD1">
        <w:lastRenderedPageBreak/>
        <w:t>INFORME DE LA COMISIÓN CONSULTIVA INDEPENDIENTE DE SUPERVISIÓN (CCIS) DE LA OMPI</w:t>
      </w:r>
    </w:p>
    <w:p w:rsidR="00802139" w:rsidRPr="00AA7FD1" w:rsidRDefault="00802139" w:rsidP="00802139">
      <w:pPr>
        <w:keepNext/>
        <w:keepLines/>
        <w:spacing w:after="220"/>
      </w:pPr>
      <w:r w:rsidRPr="00AA7FD1">
        <w:t>documento WO/PBC/25/2</w:t>
      </w:r>
    </w:p>
    <w:p w:rsidR="00802139" w:rsidRPr="00AA7FD1" w:rsidRDefault="00802139" w:rsidP="00802139">
      <w:pPr>
        <w:keepNext/>
        <w:keepLines/>
        <w:shd w:val="clear" w:color="auto" w:fill="FFFFFF"/>
        <w:spacing w:before="100" w:beforeAutospacing="1" w:after="100" w:afterAutospacing="1"/>
        <w:rPr>
          <w:i/>
        </w:rPr>
      </w:pPr>
      <w:r w:rsidRPr="00AA7FD1">
        <w:rPr>
          <w:i/>
        </w:rPr>
        <w:t>1.</w:t>
      </w:r>
      <w:r w:rsidRPr="00AA7FD1">
        <w:rPr>
          <w:i/>
        </w:rPr>
        <w:tab/>
        <w:t>El Comité del Programa y Presupuesto (PBC) recomendó a la Asamblea General de la OMPI que tome nota del informe de la Comisión Consultiva Independiente de Supervisión (CCIS) de la OMPI (documento WO/PBC/25/2).</w:t>
      </w:r>
    </w:p>
    <w:p w:rsidR="00802139" w:rsidRPr="00AA7FD1" w:rsidRDefault="00802139" w:rsidP="00802139">
      <w:pPr>
        <w:rPr>
          <w:i/>
        </w:rPr>
      </w:pPr>
      <w:r w:rsidRPr="00AA7FD1">
        <w:rPr>
          <w:i/>
        </w:rPr>
        <w:t>2.</w:t>
      </w:r>
      <w:r w:rsidRPr="00AA7FD1">
        <w:rPr>
          <w:i/>
        </w:rPr>
        <w:tab/>
        <w:t>Asimismo, el PBC, tomando nota de los debates celebrados durante la 25ª sesión del PBC en relación con el calendario de revisión de la Carta de Supervisión Interna, reconoció que la revisión de la Carta constituye una cuestión de gran prioridad para los Estados miembros y encomendó a la CCIS, de conformidad con su mandato, que:</w:t>
      </w:r>
    </w:p>
    <w:p w:rsidR="00802139" w:rsidRPr="00AA7FD1" w:rsidRDefault="00802139" w:rsidP="00802139">
      <w:pPr>
        <w:shd w:val="clear" w:color="auto" w:fill="FFFFFF"/>
        <w:tabs>
          <w:tab w:val="left" w:pos="1134"/>
        </w:tabs>
        <w:spacing w:before="100" w:beforeAutospacing="1" w:after="100" w:afterAutospacing="1" w:line="255" w:lineRule="atLeast"/>
        <w:ind w:left="567"/>
        <w:rPr>
          <w:rFonts w:eastAsiaTheme="minorHAnsi"/>
          <w:i/>
          <w:szCs w:val="22"/>
          <w:lang w:eastAsia="en-US"/>
        </w:rPr>
      </w:pPr>
      <w:r w:rsidRPr="00AA7FD1">
        <w:rPr>
          <w:i/>
        </w:rPr>
        <w:t>i)</w:t>
      </w:r>
      <w:r w:rsidRPr="00AA7FD1">
        <w:rPr>
          <w:rFonts w:eastAsiaTheme="minorHAnsi"/>
          <w:i/>
          <w:szCs w:val="22"/>
          <w:lang w:eastAsia="en-US"/>
        </w:rPr>
        <w:tab/>
        <w:t>proponga modificaciones de la Carta de Supervisión Interna de la OMPI que estén orientadas al futuro con el fin de velar por que sirva de modelo en el Sistema de las NN.UU. en cuanto a la eficiencia, independencia y transparencia de los procesos de investigación que guardan relación con alegaciones formuladas contra altos funcionarios;</w:t>
      </w:r>
    </w:p>
    <w:p w:rsidR="00802139" w:rsidRPr="00AA7FD1" w:rsidRDefault="00802139" w:rsidP="00802139">
      <w:pPr>
        <w:shd w:val="clear" w:color="auto" w:fill="FFFFFF"/>
        <w:tabs>
          <w:tab w:val="left" w:pos="1134"/>
        </w:tabs>
        <w:spacing w:before="100" w:beforeAutospacing="1" w:after="100" w:afterAutospacing="1" w:line="255" w:lineRule="atLeast"/>
        <w:ind w:left="567"/>
        <w:rPr>
          <w:i/>
        </w:rPr>
      </w:pPr>
      <w:r w:rsidRPr="00AA7FD1">
        <w:rPr>
          <w:i/>
        </w:rPr>
        <w:t>ii)</w:t>
      </w:r>
      <w:r w:rsidRPr="00AA7FD1">
        <w:rPr>
          <w:i/>
        </w:rPr>
        <w:tab/>
        <w:t xml:space="preserve">celebre </w:t>
      </w:r>
      <w:r w:rsidRPr="00AA7FD1">
        <w:rPr>
          <w:rFonts w:eastAsiaTheme="minorHAnsi"/>
          <w:i/>
          <w:szCs w:val="22"/>
          <w:lang w:eastAsia="en-US"/>
        </w:rPr>
        <w:t>consultas</w:t>
      </w:r>
      <w:r w:rsidRPr="00AA7FD1">
        <w:rPr>
          <w:i/>
        </w:rPr>
        <w:t xml:space="preserve"> con los sectores interesados pertinentes durante el proceso de revisión;  y,</w:t>
      </w:r>
    </w:p>
    <w:p w:rsidR="00802139" w:rsidRPr="00AA7FD1" w:rsidRDefault="00802139" w:rsidP="00802139">
      <w:pPr>
        <w:shd w:val="clear" w:color="auto" w:fill="FFFFFF"/>
        <w:tabs>
          <w:tab w:val="left" w:pos="1134"/>
        </w:tabs>
        <w:spacing w:before="100" w:beforeAutospacing="1" w:after="100" w:afterAutospacing="1" w:line="255" w:lineRule="atLeast"/>
        <w:ind w:left="567"/>
        <w:rPr>
          <w:i/>
        </w:rPr>
      </w:pPr>
      <w:r w:rsidRPr="00AA7FD1">
        <w:rPr>
          <w:i/>
        </w:rPr>
        <w:t>iii)</w:t>
      </w:r>
      <w:r w:rsidRPr="00AA7FD1">
        <w:rPr>
          <w:i/>
        </w:rPr>
        <w:tab/>
        <w:t xml:space="preserve">someta </w:t>
      </w:r>
      <w:r w:rsidRPr="00AA7FD1">
        <w:rPr>
          <w:rFonts w:eastAsiaTheme="minorHAnsi"/>
          <w:i/>
          <w:szCs w:val="22"/>
          <w:lang w:eastAsia="en-US"/>
        </w:rPr>
        <w:t>esas</w:t>
      </w:r>
      <w:r w:rsidRPr="00AA7FD1">
        <w:rPr>
          <w:i/>
        </w:rPr>
        <w:t xml:space="preserve"> modificaciones a la consideración de la 56ª serie de reuniones de las Asambleas de la OMPI que se celebrará próximamente, a fin de que pueda adoptarse una decisión al respecto.</w:t>
      </w:r>
    </w:p>
    <w:p w:rsidR="00802139" w:rsidRPr="00AA7FD1" w:rsidRDefault="00802139" w:rsidP="00802139">
      <w:pPr>
        <w:rPr>
          <w:i/>
        </w:rPr>
      </w:pPr>
    </w:p>
    <w:p w:rsidR="00802139" w:rsidRPr="00AA7FD1" w:rsidRDefault="00802139" w:rsidP="00802139">
      <w:pPr>
        <w:numPr>
          <w:ilvl w:val="0"/>
          <w:numId w:val="8"/>
        </w:numPr>
        <w:tabs>
          <w:tab w:val="left" w:pos="3544"/>
        </w:tabs>
        <w:spacing w:after="220"/>
        <w:ind w:left="0" w:firstLine="0"/>
      </w:pPr>
      <w:r w:rsidRPr="00AA7FD1">
        <w:t>INFORME DEL COMITÉ DE SELECCIÓN PARA EL NOMBRAMIENTO DE LOS NUEVOS MIEMBROS DE LA COMISIÓN CONSULTIVA INDEPENDIENTE DE SUPERVISIÓN (CCIS)</w:t>
      </w:r>
    </w:p>
    <w:p w:rsidR="00802139" w:rsidRPr="00AA7FD1" w:rsidRDefault="00802139" w:rsidP="00802139">
      <w:r w:rsidRPr="00AA7FD1">
        <w:t>documentos WO/PBC/25/3 y Corr.</w:t>
      </w:r>
    </w:p>
    <w:p w:rsidR="00802139" w:rsidRPr="00AA7FD1" w:rsidRDefault="00802139" w:rsidP="00802139">
      <w:pPr>
        <w:rPr>
          <w:i/>
        </w:rPr>
      </w:pPr>
    </w:p>
    <w:p w:rsidR="00802139" w:rsidRPr="00AA7FD1" w:rsidRDefault="00802139" w:rsidP="00802139">
      <w:pPr>
        <w:rPr>
          <w:i/>
        </w:rPr>
      </w:pPr>
      <w:r w:rsidRPr="00AA7FD1">
        <w:rPr>
          <w:i/>
        </w:rPr>
        <w:t>El Comité del Programa y Presupuesto (PBC) recomendó a la Asamblea General de la OMPI la aprobación de las recomendaciones del Comité de Selección relativas a la selección de cinco nuevos miembros de la Comisión Consultiva Independiente de Supervisión (CCIS) de la OMPI, que figuran en el párrafo 33 del Informe del Comité de Selección (documentos WO/PBC/25/3 y Corr.).</w:t>
      </w:r>
    </w:p>
    <w:p w:rsidR="00802139" w:rsidRPr="00AA7FD1" w:rsidRDefault="00802139" w:rsidP="00802139">
      <w:pPr>
        <w:rPr>
          <w:i/>
        </w:rPr>
      </w:pPr>
    </w:p>
    <w:p w:rsidR="00802139" w:rsidRPr="00AA7FD1" w:rsidRDefault="00802139" w:rsidP="00802139">
      <w:pPr>
        <w:rPr>
          <w:i/>
        </w:rPr>
      </w:pPr>
    </w:p>
    <w:p w:rsidR="00802139" w:rsidRPr="00AA7FD1" w:rsidRDefault="00802139" w:rsidP="00802139">
      <w:pPr>
        <w:numPr>
          <w:ilvl w:val="0"/>
          <w:numId w:val="8"/>
        </w:numPr>
        <w:tabs>
          <w:tab w:val="left" w:pos="3544"/>
        </w:tabs>
        <w:spacing w:after="220"/>
        <w:ind w:left="0" w:firstLine="0"/>
      </w:pPr>
      <w:r w:rsidRPr="00AA7FD1">
        <w:t>INFORME DEL AUDITOR EXTERNO</w:t>
      </w:r>
    </w:p>
    <w:p w:rsidR="00802139" w:rsidRPr="00AA7FD1" w:rsidRDefault="00802139" w:rsidP="00802139">
      <w:r w:rsidRPr="00AA7FD1">
        <w:t>documento WO/PBC/25/4</w:t>
      </w:r>
    </w:p>
    <w:p w:rsidR="00802139" w:rsidRPr="00AA7FD1" w:rsidRDefault="00802139" w:rsidP="00802139"/>
    <w:p w:rsidR="00802139" w:rsidRPr="00AA7FD1" w:rsidRDefault="00802139" w:rsidP="00802139">
      <w:r w:rsidRPr="00AA7FD1">
        <w:rPr>
          <w:i/>
        </w:rPr>
        <w:t>El Comité del Programa y Presupuesto (PBC) recomendó a la Asamblea General y demás Asambleas de los Estados miembros de la OMPI que tomen nota del Informe del Auditor Externo (documento WO/PBC/25/4).</w:t>
      </w:r>
    </w:p>
    <w:p w:rsidR="00802139" w:rsidRPr="00AA7FD1" w:rsidRDefault="00802139" w:rsidP="00802139"/>
    <w:p w:rsidR="00802139" w:rsidRPr="00AA7FD1" w:rsidRDefault="00802139" w:rsidP="00802139"/>
    <w:p w:rsidR="00802139" w:rsidRPr="00AA7FD1" w:rsidRDefault="00802139" w:rsidP="00802139">
      <w:pPr>
        <w:keepNext/>
        <w:keepLines/>
        <w:numPr>
          <w:ilvl w:val="0"/>
          <w:numId w:val="8"/>
        </w:numPr>
        <w:tabs>
          <w:tab w:val="left" w:pos="3544"/>
        </w:tabs>
        <w:spacing w:after="220"/>
        <w:ind w:left="0" w:firstLine="0"/>
      </w:pPr>
      <w:r w:rsidRPr="00AA7FD1">
        <w:lastRenderedPageBreak/>
        <w:t>INFORME ANUAL DEL DIRECTOR DE LA DIVISIÓN DE SUPERVISIÓN INTERNA (DSI)</w:t>
      </w:r>
    </w:p>
    <w:p w:rsidR="00802139" w:rsidRPr="00AA7FD1" w:rsidRDefault="00802139" w:rsidP="00802139">
      <w:pPr>
        <w:keepNext/>
        <w:keepLines/>
      </w:pPr>
      <w:r w:rsidRPr="00AA7FD1">
        <w:t>documento WO/PBC/25/5</w:t>
      </w:r>
    </w:p>
    <w:p w:rsidR="00802139" w:rsidRPr="00AA7FD1" w:rsidRDefault="00802139" w:rsidP="00802139">
      <w:pPr>
        <w:keepNext/>
        <w:keepLines/>
      </w:pPr>
    </w:p>
    <w:p w:rsidR="00802139" w:rsidRPr="00AA7FD1" w:rsidRDefault="00802139" w:rsidP="00802139">
      <w:pPr>
        <w:keepNext/>
        <w:keepLines/>
        <w:rPr>
          <w:i/>
        </w:rPr>
      </w:pPr>
      <w:r w:rsidRPr="00AA7FD1">
        <w:rPr>
          <w:i/>
        </w:rPr>
        <w:t>El Comité del Programa y Presupuesto (PBC) tomó nota del Informe anual del Director de la División de Supervisión Interna (DSI) (documento WO/PBC/25/5), así como de los comentarios y opiniones manifestados por las delegaciones y Grupos.</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rPr>
          <w:bCs/>
        </w:rPr>
        <w:t>INFORME SOBRE LOS PROGRESOS REALIZADOS EN LA APLICACIÓN DE LAS RECOMENDACIONES DE LA DEPENDENCIA COMÚN DE INSPECCIÓN (DCI)</w:t>
      </w:r>
    </w:p>
    <w:p w:rsidR="00802139" w:rsidRPr="00AA7FD1" w:rsidRDefault="00802139" w:rsidP="00802139">
      <w:r w:rsidRPr="00AA7FD1">
        <w:t>documento WO/PBC/25/6</w:t>
      </w:r>
    </w:p>
    <w:p w:rsidR="00802139" w:rsidRPr="00AA7FD1" w:rsidRDefault="00802139" w:rsidP="00802139"/>
    <w:p w:rsidR="00802139" w:rsidRPr="00AA7FD1" w:rsidRDefault="00802139" w:rsidP="00802139">
      <w:pPr>
        <w:rPr>
          <w:i/>
        </w:rPr>
      </w:pPr>
      <w:r w:rsidRPr="00AA7FD1">
        <w:rPr>
          <w:i/>
        </w:rPr>
        <w:t>El Comité del Programa y Presupuesto (PBC):</w:t>
      </w:r>
    </w:p>
    <w:p w:rsidR="00802139" w:rsidRPr="00AA7FD1" w:rsidRDefault="00802139" w:rsidP="00802139">
      <w:pPr>
        <w:rPr>
          <w:i/>
        </w:rPr>
      </w:pPr>
    </w:p>
    <w:p w:rsidR="00802139" w:rsidRPr="00AA7FD1" w:rsidRDefault="00802139" w:rsidP="00802139">
      <w:pPr>
        <w:tabs>
          <w:tab w:val="left" w:pos="567"/>
          <w:tab w:val="left" w:pos="1134"/>
          <w:tab w:val="left" w:pos="5529"/>
        </w:tabs>
        <w:ind w:left="567"/>
        <w:rPr>
          <w:i/>
        </w:rPr>
      </w:pPr>
      <w:r w:rsidRPr="00AA7FD1">
        <w:rPr>
          <w:i/>
        </w:rPr>
        <w:t>i)</w:t>
      </w:r>
      <w:r w:rsidRPr="00AA7FD1">
        <w:rPr>
          <w:i/>
        </w:rPr>
        <w:tab/>
        <w:t>tomó nota del informe (documento WO/PBC/25/6);</w:t>
      </w:r>
    </w:p>
    <w:p w:rsidR="00802139" w:rsidRPr="00AA7FD1" w:rsidRDefault="00802139" w:rsidP="00802139">
      <w:pPr>
        <w:rPr>
          <w:i/>
        </w:rPr>
      </w:pPr>
    </w:p>
    <w:p w:rsidR="00802139" w:rsidRPr="00AA7FD1" w:rsidRDefault="00802139" w:rsidP="00802139">
      <w:pPr>
        <w:tabs>
          <w:tab w:val="left" w:pos="567"/>
          <w:tab w:val="left" w:pos="1134"/>
          <w:tab w:val="left" w:pos="5529"/>
        </w:tabs>
        <w:ind w:left="567"/>
        <w:rPr>
          <w:i/>
        </w:rPr>
      </w:pPr>
      <w:r w:rsidRPr="00AA7FD1">
        <w:rPr>
          <w:i/>
        </w:rPr>
        <w:t>ii)</w:t>
      </w:r>
      <w:r w:rsidRPr="00AA7FD1">
        <w:rPr>
          <w:i/>
        </w:rPr>
        <w:tab/>
        <w:t>acogió con agrado y suscribió la evaluación por la Secretaría de los progresos realizados en la aplicación de las recomendaciones contenidas en los documentos</w:t>
      </w:r>
    </w:p>
    <w:p w:rsidR="00802139" w:rsidRPr="00AA7FD1" w:rsidRDefault="00802139" w:rsidP="00802139">
      <w:pPr>
        <w:rPr>
          <w:i/>
        </w:rPr>
      </w:pPr>
    </w:p>
    <w:p w:rsidR="00802139" w:rsidRPr="00AA7FD1" w:rsidRDefault="00802139" w:rsidP="00802139">
      <w:pPr>
        <w:ind w:left="1134"/>
        <w:rPr>
          <w:i/>
        </w:rPr>
      </w:pPr>
      <w:r w:rsidRPr="00AA7FD1">
        <w:rPr>
          <w:i/>
        </w:rPr>
        <w:t>JIU/REP/2015/5 (recomendación 2);  JIU/REP/2015/4 (recomendación 1);  JIU/REP/2014/9 (recomendación 1);  JIU/REP/2012/12 (recomendación 4);  JIU/REP/2011/3 (recomendaciones 3 y 9);  y</w:t>
      </w:r>
    </w:p>
    <w:p w:rsidR="00802139" w:rsidRPr="00AA7FD1" w:rsidRDefault="00802139" w:rsidP="00802139">
      <w:pPr>
        <w:ind w:left="1134"/>
        <w:rPr>
          <w:i/>
        </w:rPr>
      </w:pPr>
      <w:r w:rsidRPr="00AA7FD1">
        <w:rPr>
          <w:i/>
        </w:rPr>
        <w:t>JIU/REP/2010/7 (recomendación 7) según consta en el informe;</w:t>
      </w:r>
    </w:p>
    <w:p w:rsidR="00802139" w:rsidRPr="00AA7FD1" w:rsidRDefault="00802139" w:rsidP="00802139">
      <w:pPr>
        <w:rPr>
          <w:i/>
        </w:rPr>
      </w:pPr>
    </w:p>
    <w:p w:rsidR="00802139" w:rsidRPr="00AA7FD1" w:rsidRDefault="00802139" w:rsidP="00802139">
      <w:pPr>
        <w:tabs>
          <w:tab w:val="left" w:pos="567"/>
          <w:tab w:val="left" w:pos="1134"/>
          <w:tab w:val="left" w:pos="5529"/>
        </w:tabs>
        <w:ind w:left="567"/>
        <w:rPr>
          <w:i/>
        </w:rPr>
      </w:pPr>
      <w:r w:rsidRPr="00AA7FD1">
        <w:rPr>
          <w:i/>
        </w:rPr>
        <w:t>iii)</w:t>
      </w:r>
      <w:r w:rsidRPr="00AA7FD1">
        <w:rPr>
          <w:i/>
        </w:rPr>
        <w:tab/>
        <w:t>tomó nota de la evaluación por la Secretaría de los progresos realizados en la aplicación de las recomendaciones contenidas en el documento JIU/REP/2010/3 (recomendación 17);  y</w:t>
      </w:r>
    </w:p>
    <w:p w:rsidR="00802139" w:rsidRPr="00AA7FD1" w:rsidRDefault="00802139" w:rsidP="00802139">
      <w:pPr>
        <w:rPr>
          <w:i/>
        </w:rPr>
      </w:pPr>
    </w:p>
    <w:p w:rsidR="00802139" w:rsidRPr="00AA7FD1" w:rsidRDefault="00802139" w:rsidP="00802139">
      <w:pPr>
        <w:tabs>
          <w:tab w:val="left" w:pos="567"/>
          <w:tab w:val="left" w:pos="1134"/>
          <w:tab w:val="left" w:pos="5529"/>
        </w:tabs>
        <w:ind w:left="567"/>
        <w:rPr>
          <w:i/>
        </w:rPr>
      </w:pPr>
      <w:r w:rsidRPr="00AA7FD1">
        <w:rPr>
          <w:i/>
        </w:rPr>
        <w:t>iv)</w:t>
      </w:r>
      <w:r w:rsidRPr="00AA7FD1">
        <w:rPr>
          <w:i/>
        </w:rPr>
        <w:tab/>
        <w:t>invitó a la Secretaría a que presente evaluaciones de las recomendaciones abiertas formuladas por la Dependencia Común de Inspección (DCI) para su consideración por los Estados miembros.</w:t>
      </w:r>
    </w:p>
    <w:p w:rsidR="00802139" w:rsidRPr="00AA7FD1" w:rsidRDefault="00802139" w:rsidP="00802139"/>
    <w:p w:rsidR="00802139" w:rsidRPr="00AA7FD1" w:rsidRDefault="00802139" w:rsidP="00802139">
      <w:pPr>
        <w:rPr>
          <w:u w:val="single"/>
        </w:rPr>
      </w:pPr>
    </w:p>
    <w:p w:rsidR="00802139" w:rsidRPr="00AA7FD1" w:rsidRDefault="00802139" w:rsidP="00802139">
      <w:pPr>
        <w:numPr>
          <w:ilvl w:val="0"/>
          <w:numId w:val="8"/>
        </w:numPr>
        <w:tabs>
          <w:tab w:val="left" w:pos="3544"/>
        </w:tabs>
        <w:spacing w:after="220"/>
        <w:ind w:left="0" w:firstLine="0"/>
        <w:rPr>
          <w:i/>
        </w:rPr>
      </w:pPr>
      <w:r w:rsidRPr="00AA7FD1">
        <w:rPr>
          <w:bCs/>
        </w:rPr>
        <w:t>INFORME</w:t>
      </w:r>
      <w:r w:rsidRPr="00AA7FD1">
        <w:t xml:space="preserve"> SOBRE EL RENDIMIENTO DE LOS PROGRAMAS EN 2014/15</w:t>
      </w:r>
    </w:p>
    <w:p w:rsidR="00802139" w:rsidRPr="00AA7FD1" w:rsidRDefault="00802139" w:rsidP="00802139">
      <w:pPr>
        <w:pStyle w:val="ONUME"/>
        <w:widowControl w:val="0"/>
        <w:tabs>
          <w:tab w:val="left" w:pos="567"/>
          <w:tab w:val="left" w:pos="2640"/>
        </w:tabs>
        <w:ind w:left="1100" w:hanging="1100"/>
      </w:pPr>
      <w:r w:rsidRPr="00AA7FD1">
        <w:tab/>
        <w:t>a)</w:t>
      </w:r>
      <w:r w:rsidRPr="00AA7FD1">
        <w:tab/>
        <w:t>INFORME SOBRE EL RENDIMIENTO DE LOS PROGRAMAS EN 2014/15</w:t>
      </w:r>
    </w:p>
    <w:p w:rsidR="00802139" w:rsidRPr="00AA7FD1" w:rsidRDefault="00802139" w:rsidP="00802139">
      <w:r w:rsidRPr="00AA7FD1">
        <w:tab/>
      </w:r>
      <w:r w:rsidR="00AA7FD1" w:rsidRPr="00AA7FD1">
        <w:tab/>
      </w:r>
      <w:r w:rsidRPr="00AA7FD1">
        <w:t>documento WO/PBC/25/7</w:t>
      </w:r>
    </w:p>
    <w:p w:rsidR="00802139" w:rsidRPr="00AA7FD1" w:rsidRDefault="00802139" w:rsidP="00802139"/>
    <w:p w:rsidR="00802139" w:rsidRPr="00AA7FD1" w:rsidRDefault="00802139" w:rsidP="00802139">
      <w:r w:rsidRPr="00AA7FD1">
        <w:rPr>
          <w:i/>
        </w:rPr>
        <w:t>Tras examinar el detallado Informe sobre el rendimiento de los programas en 2014/15 (documento WO/PBC/25/7), y reconociendo que constituye una autoevaluación por parte de la Secretaría, el Comité del Programa y Presupuesto (PBC) recomendó que las Asambleas de los Estados miembros de la OMPI reconozcan los avances logrados en 2014/15 hacia la consecución de los resultados previstos.</w:t>
      </w:r>
    </w:p>
    <w:p w:rsidR="00802139" w:rsidRPr="00AA7FD1" w:rsidRDefault="00802139" w:rsidP="00802139"/>
    <w:p w:rsidR="00802139" w:rsidRPr="00AA7FD1" w:rsidRDefault="00802139" w:rsidP="00AA7FD1">
      <w:pPr>
        <w:pStyle w:val="ONUME"/>
        <w:keepNext/>
        <w:keepLines/>
        <w:widowControl w:val="0"/>
        <w:tabs>
          <w:tab w:val="left" w:pos="567"/>
          <w:tab w:val="left" w:pos="2640"/>
        </w:tabs>
        <w:ind w:left="1100" w:hanging="1100"/>
      </w:pPr>
      <w:r w:rsidRPr="00AA7FD1">
        <w:lastRenderedPageBreak/>
        <w:tab/>
        <w:t>b)</w:t>
      </w:r>
      <w:r w:rsidRPr="00AA7FD1">
        <w:tab/>
        <w:t>INFORME DE VALIDACIÓN POR LA DIVISIÓN DE SUPERVISIÓN INTERNA DEL INFORME SOBRE EL RENDIMIENTO DE LOS PROGRAMAS EN 2014/15</w:t>
      </w:r>
    </w:p>
    <w:p w:rsidR="00802139" w:rsidRPr="00AA7FD1" w:rsidRDefault="00AA7FD1" w:rsidP="00AA7FD1">
      <w:pPr>
        <w:keepNext/>
        <w:keepLines/>
      </w:pPr>
      <w:r w:rsidRPr="00AA7FD1">
        <w:tab/>
      </w:r>
      <w:r w:rsidR="00802139" w:rsidRPr="00AA7FD1">
        <w:tab/>
        <w:t>documento WO/PBC/25/8</w:t>
      </w:r>
    </w:p>
    <w:p w:rsidR="00802139" w:rsidRPr="00AA7FD1" w:rsidRDefault="00802139" w:rsidP="00AA7FD1">
      <w:pPr>
        <w:keepNext/>
        <w:keepLines/>
      </w:pPr>
    </w:p>
    <w:p w:rsidR="00802139" w:rsidRPr="00AA7FD1" w:rsidRDefault="00802139" w:rsidP="00AA7FD1">
      <w:pPr>
        <w:keepNext/>
        <w:keepLines/>
        <w:rPr>
          <w:i/>
        </w:rPr>
      </w:pPr>
      <w:r w:rsidRPr="00AA7FD1">
        <w:rPr>
          <w:i/>
        </w:rPr>
        <w:t>El Comité del Programa y Presupuesto (PBC) tomó nota del informe de validación por la DSI del informe sobre el rendimiento de los programas en 2014/15 (documento WO/PBC/25/8).</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ESTADOS FINANCIEROS ANUALES DE 2015;  SITUACIÓN DEL PAGO DE LAS CONTRIBUCIONES AL 30 DE JUNIO DE 2016</w:t>
      </w:r>
    </w:p>
    <w:p w:rsidR="00802139" w:rsidRPr="00AA7FD1" w:rsidRDefault="00802139" w:rsidP="00AA7FD1">
      <w:pPr>
        <w:pStyle w:val="ONUME"/>
        <w:widowControl w:val="0"/>
        <w:tabs>
          <w:tab w:val="left" w:pos="567"/>
          <w:tab w:val="left" w:pos="2640"/>
        </w:tabs>
        <w:ind w:left="1100" w:hanging="1100"/>
      </w:pPr>
      <w:r w:rsidRPr="00AA7FD1">
        <w:tab/>
        <w:t>a)</w:t>
      </w:r>
      <w:r w:rsidRPr="00AA7FD1">
        <w:tab/>
        <w:t>INFORME FINANCIERO ANUAL Y ESTADOS FINANCIEROS DE 2015</w:t>
      </w:r>
    </w:p>
    <w:p w:rsidR="00802139" w:rsidRPr="00AA7FD1" w:rsidRDefault="00802139" w:rsidP="00AA7FD1">
      <w:pPr>
        <w:ind w:left="533" w:firstLine="567"/>
      </w:pPr>
      <w:r w:rsidRPr="00AA7FD1">
        <w:t>documento WO/PBC/25/9</w:t>
      </w:r>
    </w:p>
    <w:p w:rsidR="00802139" w:rsidRPr="00AA7FD1" w:rsidRDefault="00802139" w:rsidP="00802139"/>
    <w:p w:rsidR="00802139" w:rsidRPr="00AA7FD1" w:rsidRDefault="00802139" w:rsidP="00802139">
      <w:pPr>
        <w:rPr>
          <w:i/>
        </w:rPr>
      </w:pPr>
      <w:r w:rsidRPr="00AA7FD1">
        <w:rPr>
          <w:i/>
        </w:rPr>
        <w:t>El Comité del Programa y Presupuesto (PBC) recomendó a la Asamblea General y demás Asambleas de los Estados miembros de la OMPI la aprobación del Informe financiero anual y los estados financieros de 2015 (documento WO/PBC/25/9).</w:t>
      </w:r>
    </w:p>
    <w:p w:rsidR="00AA7FD1" w:rsidRPr="00AA7FD1" w:rsidRDefault="00AA7FD1" w:rsidP="00802139">
      <w:pPr>
        <w:rPr>
          <w:i/>
        </w:rPr>
      </w:pPr>
    </w:p>
    <w:p w:rsidR="00802139" w:rsidRPr="00AA7FD1" w:rsidRDefault="00802139" w:rsidP="00AA7FD1">
      <w:pPr>
        <w:pStyle w:val="ONUME"/>
        <w:widowControl w:val="0"/>
        <w:tabs>
          <w:tab w:val="left" w:pos="567"/>
          <w:tab w:val="left" w:pos="2640"/>
        </w:tabs>
        <w:ind w:left="1100" w:hanging="1100"/>
      </w:pPr>
      <w:r w:rsidRPr="00AA7FD1">
        <w:tab/>
        <w:t>b)</w:t>
      </w:r>
      <w:r w:rsidRPr="00AA7FD1">
        <w:tab/>
        <w:t xml:space="preserve">SITUACIÓN RELATIVA AL PAGO DE LAS CONTRIBUCIONES AL 30 DE JUNIO DE 2016 </w:t>
      </w:r>
    </w:p>
    <w:p w:rsidR="00802139" w:rsidRPr="00AA7FD1" w:rsidRDefault="00802139" w:rsidP="00AA7FD1">
      <w:pPr>
        <w:ind w:left="533" w:firstLine="567"/>
      </w:pPr>
      <w:r w:rsidRPr="00AA7FD1">
        <w:t>documento WO/PBC/25/10</w:t>
      </w:r>
    </w:p>
    <w:p w:rsidR="00802139" w:rsidRPr="00AA7FD1" w:rsidRDefault="00802139" w:rsidP="00802139"/>
    <w:p w:rsidR="00802139" w:rsidRPr="00AA7FD1" w:rsidRDefault="00802139" w:rsidP="00802139">
      <w:pPr>
        <w:rPr>
          <w:i/>
        </w:rPr>
      </w:pPr>
      <w:r w:rsidRPr="00AA7FD1">
        <w:rPr>
          <w:i/>
        </w:rPr>
        <w:t>El Comité del Programa y Presupuesto (PBC) tomó nota de la situación relativa al pago de las contribuciones al</w:t>
      </w:r>
      <w:r w:rsidRPr="00AA7FD1">
        <w:t xml:space="preserve"> </w:t>
      </w:r>
      <w:r w:rsidRPr="00AA7FD1">
        <w:rPr>
          <w:i/>
        </w:rPr>
        <w:t>30 de junio de</w:t>
      </w:r>
      <w:r w:rsidRPr="00AA7FD1">
        <w:t xml:space="preserve"> </w:t>
      </w:r>
      <w:r w:rsidRPr="00AA7FD1">
        <w:rPr>
          <w:i/>
        </w:rPr>
        <w:t>2016 (documento WO/PBC/25/10).</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INFORME DE GESTIÓN FINANCIERA DEL BIENIO 2014/15</w:t>
      </w:r>
    </w:p>
    <w:p w:rsidR="00802139" w:rsidRPr="00AA7FD1" w:rsidRDefault="00802139" w:rsidP="00802139">
      <w:r w:rsidRPr="00AA7FD1">
        <w:t>documento WO/PBC/25/11</w:t>
      </w:r>
    </w:p>
    <w:p w:rsidR="00802139" w:rsidRPr="00AA7FD1" w:rsidRDefault="00802139" w:rsidP="00802139">
      <w:pPr>
        <w:rPr>
          <w:i/>
        </w:rPr>
      </w:pPr>
    </w:p>
    <w:p w:rsidR="00802139" w:rsidRPr="00AA7FD1" w:rsidRDefault="00802139" w:rsidP="00802139">
      <w:pPr>
        <w:rPr>
          <w:i/>
        </w:rPr>
      </w:pPr>
      <w:r w:rsidRPr="00AA7FD1">
        <w:rPr>
          <w:i/>
        </w:rPr>
        <w:t>El Comité del Programa y Presupuesto (PBC) recomendó a las Asambleas de los Estados miembros de la OMPI aprobar el Informe de gestión financiera del bienio 2014/15 (documento WO/PBC/25/11).</w:t>
      </w:r>
    </w:p>
    <w:p w:rsidR="00802139" w:rsidRPr="00AA7FD1" w:rsidRDefault="00802139" w:rsidP="00802139">
      <w:pPr>
        <w:rPr>
          <w:i/>
        </w:rPr>
      </w:pPr>
    </w:p>
    <w:p w:rsidR="00802139" w:rsidRPr="00AA7FD1" w:rsidRDefault="00802139" w:rsidP="00802139">
      <w:pPr>
        <w:rPr>
          <w:i/>
        </w:rPr>
      </w:pPr>
    </w:p>
    <w:p w:rsidR="00802139" w:rsidRPr="00AA7FD1" w:rsidRDefault="00802139" w:rsidP="00802139">
      <w:pPr>
        <w:numPr>
          <w:ilvl w:val="0"/>
          <w:numId w:val="8"/>
        </w:numPr>
        <w:tabs>
          <w:tab w:val="left" w:pos="3544"/>
        </w:tabs>
        <w:spacing w:after="220"/>
        <w:ind w:left="0" w:firstLine="0"/>
      </w:pPr>
      <w:r w:rsidRPr="00AA7FD1">
        <w:t>INFORME</w:t>
      </w:r>
      <w:r w:rsidRPr="00AA7FD1">
        <w:rPr>
          <w:iCs/>
        </w:rPr>
        <w:t xml:space="preserve"> ANUAL SOBRE RECURSOS HUMANOS</w:t>
      </w:r>
    </w:p>
    <w:p w:rsidR="00802139" w:rsidRPr="00AA7FD1" w:rsidRDefault="00802139" w:rsidP="00802139">
      <w:r w:rsidRPr="00AA7FD1">
        <w:t>documentos WO/PBC/25/INF/1 y Corr.</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APERTURA DE NUEVAS OFICINAS DE LA OMPI EN EL EXTERIOR</w:t>
      </w:r>
    </w:p>
    <w:p w:rsidR="00802139" w:rsidRPr="00AA7FD1" w:rsidRDefault="00802139" w:rsidP="00802139">
      <w:r w:rsidRPr="00AA7FD1">
        <w:t>documento WO/PBC/25/12</w:t>
      </w:r>
    </w:p>
    <w:p w:rsidR="00802139" w:rsidRPr="00AA7FD1" w:rsidRDefault="00802139" w:rsidP="00802139"/>
    <w:p w:rsidR="00802139" w:rsidRPr="00AA7FD1" w:rsidRDefault="00802139" w:rsidP="00802139">
      <w:pPr>
        <w:rPr>
          <w:i/>
        </w:rPr>
      </w:pPr>
      <w:r w:rsidRPr="00AA7FD1">
        <w:rPr>
          <w:i/>
        </w:rPr>
        <w:t>Tras examinar el documento WO/PBC/25/12, “Apertura de nuevas oficinas de la OMPI en el exterior durante el bienio 2016/17”, el Comité del Programa y Presupuesto (PBC):</w:t>
      </w:r>
    </w:p>
    <w:p w:rsidR="00802139" w:rsidRPr="00AA7FD1" w:rsidRDefault="00802139" w:rsidP="00802139"/>
    <w:p w:rsidR="00802139" w:rsidRPr="00AA7FD1" w:rsidRDefault="00802139" w:rsidP="00AA7FD1">
      <w:pPr>
        <w:tabs>
          <w:tab w:val="left" w:pos="567"/>
          <w:tab w:val="left" w:pos="1134"/>
          <w:tab w:val="left" w:pos="5529"/>
        </w:tabs>
        <w:ind w:left="567"/>
        <w:rPr>
          <w:i/>
        </w:rPr>
      </w:pPr>
      <w:r w:rsidRPr="00AA7FD1">
        <w:rPr>
          <w:i/>
        </w:rPr>
        <w:t>i)</w:t>
      </w:r>
      <w:r w:rsidRPr="00AA7FD1">
        <w:rPr>
          <w:i/>
        </w:rPr>
        <w:tab/>
        <w:t>no alcanzó el consenso acerca de la apertura de nuevas oficinas en el exterior;</w:t>
      </w:r>
    </w:p>
    <w:p w:rsidR="00802139" w:rsidRPr="00AA7FD1" w:rsidRDefault="00802139" w:rsidP="00802139">
      <w:pPr>
        <w:rPr>
          <w:i/>
        </w:rPr>
      </w:pPr>
    </w:p>
    <w:p w:rsidR="00802139" w:rsidRPr="00AA7FD1" w:rsidRDefault="00802139" w:rsidP="00AA7FD1">
      <w:pPr>
        <w:tabs>
          <w:tab w:val="left" w:pos="567"/>
          <w:tab w:val="left" w:pos="1134"/>
          <w:tab w:val="left" w:pos="5529"/>
        </w:tabs>
        <w:ind w:left="567"/>
        <w:rPr>
          <w:i/>
        </w:rPr>
      </w:pPr>
      <w:r w:rsidRPr="00AA7FD1">
        <w:rPr>
          <w:i/>
        </w:rPr>
        <w:t>ii)</w:t>
      </w:r>
      <w:r w:rsidRPr="00AA7FD1">
        <w:rPr>
          <w:i/>
        </w:rPr>
        <w:tab/>
        <w:t>decidió seguir manteniendo consultas informales de cara a la 56</w:t>
      </w:r>
      <w:r w:rsidRPr="00AA7FD1">
        <w:rPr>
          <w:i/>
          <w:vertAlign w:val="superscript"/>
        </w:rPr>
        <w:t>ª</w:t>
      </w:r>
      <w:r w:rsidRPr="00AA7FD1">
        <w:rPr>
          <w:i/>
        </w:rPr>
        <w:t xml:space="preserve"> serie de reuniones de las Asambleas de la OMPI;  y</w:t>
      </w:r>
    </w:p>
    <w:p w:rsidR="00802139" w:rsidRPr="00AA7FD1" w:rsidRDefault="00802139" w:rsidP="00AA7FD1">
      <w:pPr>
        <w:tabs>
          <w:tab w:val="left" w:pos="567"/>
          <w:tab w:val="left" w:pos="1134"/>
          <w:tab w:val="left" w:pos="5529"/>
        </w:tabs>
        <w:ind w:left="567"/>
        <w:rPr>
          <w:i/>
        </w:rPr>
      </w:pPr>
      <w:bookmarkStart w:id="6" w:name="_GoBack"/>
      <w:bookmarkEnd w:id="6"/>
      <w:r w:rsidRPr="00AA7FD1">
        <w:rPr>
          <w:i/>
        </w:rPr>
        <w:lastRenderedPageBreak/>
        <w:t>iii)</w:t>
      </w:r>
      <w:r w:rsidRPr="00AA7FD1">
        <w:rPr>
          <w:i/>
        </w:rPr>
        <w:tab/>
        <w:t>recomendó seguir examinando el asunto en la 56ª serie de reuniones de las Asambleas de la OMPI.</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PLAN ESTRATÉGICO A MEDIANO PLAZO (PEMP)</w:t>
      </w:r>
    </w:p>
    <w:p w:rsidR="00802139" w:rsidRPr="00AA7FD1" w:rsidRDefault="00AA7FD1" w:rsidP="00AA7FD1">
      <w:pPr>
        <w:pStyle w:val="ONUME"/>
        <w:widowControl w:val="0"/>
        <w:tabs>
          <w:tab w:val="left" w:pos="567"/>
          <w:tab w:val="left" w:pos="2640"/>
        </w:tabs>
        <w:ind w:left="1100" w:hanging="1100"/>
      </w:pPr>
      <w:r w:rsidRPr="00AA7FD1">
        <w:tab/>
      </w:r>
      <w:r w:rsidR="00802139" w:rsidRPr="00AA7FD1">
        <w:t>a)</w:t>
      </w:r>
      <w:r w:rsidR="00802139" w:rsidRPr="00AA7FD1">
        <w:tab/>
        <w:t>EXAMEN DEL PLAN ESTRATÉGICO A MEDIANO PLAZO 2010-2015</w:t>
      </w:r>
    </w:p>
    <w:p w:rsidR="00802139" w:rsidRPr="00AA7FD1" w:rsidRDefault="00802139" w:rsidP="00AA7FD1">
      <w:pPr>
        <w:ind w:left="533" w:firstLine="567"/>
      </w:pPr>
      <w:r w:rsidRPr="00AA7FD1">
        <w:t>documento WO/PBC/25/17</w:t>
      </w:r>
    </w:p>
    <w:p w:rsidR="00802139" w:rsidRPr="00AA7FD1" w:rsidRDefault="00802139" w:rsidP="00802139"/>
    <w:p w:rsidR="00802139" w:rsidRPr="00AA7FD1" w:rsidRDefault="00802139" w:rsidP="00802139">
      <w:pPr>
        <w:rPr>
          <w:i/>
        </w:rPr>
      </w:pPr>
      <w:r w:rsidRPr="00AA7FD1">
        <w:rPr>
          <w:i/>
        </w:rPr>
        <w:t>El Comité del Programa y Presupuesto (PBC), tras examinar el documento WO/PBC/25/17, y observar que se trata de una autoevaluación de la Secretaría, recomendó que las Asambleas de los Estados miembros de la OMPI reconozcan la contribución realizada por los programas al logro de las nueve metas estratégicas de la Organización en el período 2010</w:t>
      </w:r>
      <w:r w:rsidRPr="00AA7FD1">
        <w:t>-</w:t>
      </w:r>
      <w:r w:rsidRPr="00AA7FD1">
        <w:rPr>
          <w:i/>
        </w:rPr>
        <w:t>2015.</w:t>
      </w:r>
    </w:p>
    <w:p w:rsidR="00AA7FD1" w:rsidRPr="00AA7FD1" w:rsidRDefault="00AA7FD1" w:rsidP="00802139">
      <w:pPr>
        <w:rPr>
          <w:i/>
        </w:rPr>
      </w:pPr>
    </w:p>
    <w:p w:rsidR="00802139" w:rsidRPr="00AA7FD1" w:rsidRDefault="00AA7FD1" w:rsidP="00AA7FD1">
      <w:pPr>
        <w:pStyle w:val="ONUME"/>
        <w:widowControl w:val="0"/>
        <w:tabs>
          <w:tab w:val="left" w:pos="567"/>
          <w:tab w:val="left" w:pos="2640"/>
        </w:tabs>
        <w:ind w:left="1100" w:hanging="1100"/>
      </w:pPr>
      <w:r w:rsidRPr="00AA7FD1">
        <w:tab/>
      </w:r>
      <w:r w:rsidR="00802139" w:rsidRPr="00AA7FD1">
        <w:t>b)</w:t>
      </w:r>
      <w:r w:rsidR="00802139" w:rsidRPr="00AA7FD1">
        <w:tab/>
        <w:t>PLAN ESTRATÉGICO A MEDIANO PLAZO, 2016-2021</w:t>
      </w:r>
    </w:p>
    <w:p w:rsidR="00802139" w:rsidRPr="00AA7FD1" w:rsidRDefault="00802139" w:rsidP="00AA7FD1">
      <w:pPr>
        <w:ind w:left="533" w:firstLine="567"/>
      </w:pPr>
      <w:r w:rsidRPr="00AA7FD1">
        <w:t>documento WO/PBC/25/18</w:t>
      </w:r>
    </w:p>
    <w:p w:rsidR="00802139" w:rsidRPr="00AA7FD1" w:rsidRDefault="00802139" w:rsidP="00802139"/>
    <w:p w:rsidR="00802139" w:rsidRPr="00AA7FD1" w:rsidRDefault="00802139" w:rsidP="00802139">
      <w:pPr>
        <w:rPr>
          <w:i/>
          <w:iCs/>
        </w:rPr>
      </w:pPr>
      <w:r w:rsidRPr="00AA7FD1">
        <w:rPr>
          <w:i/>
          <w:iCs/>
        </w:rPr>
        <w:t>El Comité del Programa y Presupuesto (PBC), tras examinar el documento WO/PBC/25/18, recomendó que las Asambleas de los Estados miembros de la OMPI tomen nota del Plan estratégico a mediano plazo de la OMPI (PEMP) para 2016</w:t>
      </w:r>
      <w:r w:rsidRPr="00AA7FD1">
        <w:rPr>
          <w:iCs/>
        </w:rPr>
        <w:t>-</w:t>
      </w:r>
      <w:r w:rsidRPr="00AA7FD1">
        <w:rPr>
          <w:i/>
          <w:iCs/>
        </w:rPr>
        <w:t>2021, así como de los comentarios de los Estados miembros sobre el documento, según constan en el Anexo del PEMP.</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PROPUESTAS RELATIVAS AL PASIVO DIMANANTE DEL SEGURO MÉDICO DESPUÉS DE LA SEPARACIÓN DEL SERVICIO</w:t>
      </w:r>
    </w:p>
    <w:p w:rsidR="00802139" w:rsidRPr="00AA7FD1" w:rsidRDefault="00802139" w:rsidP="00802139">
      <w:r w:rsidRPr="00AA7FD1">
        <w:t>documento WO/PBC/25/15</w:t>
      </w:r>
    </w:p>
    <w:p w:rsidR="00802139" w:rsidRPr="00AA7FD1" w:rsidRDefault="00802139" w:rsidP="00802139"/>
    <w:p w:rsidR="00802139" w:rsidRPr="00AA7FD1" w:rsidRDefault="00802139" w:rsidP="00802139">
      <w:pPr>
        <w:rPr>
          <w:i/>
        </w:rPr>
      </w:pPr>
      <w:r w:rsidRPr="00AA7FD1">
        <w:rPr>
          <w:i/>
        </w:rPr>
        <w:t>El Comité del Programa y Presupuesto (PBC) recomendó a las Asambleas de los Estados miembros de la OMPI y de las Uniones, en lo que a cada una le concierna, solicitar a la Secretaría:</w:t>
      </w:r>
    </w:p>
    <w:p w:rsidR="00802139" w:rsidRPr="00AA7FD1" w:rsidRDefault="00802139" w:rsidP="00802139">
      <w:pPr>
        <w:rPr>
          <w:i/>
        </w:rPr>
      </w:pPr>
    </w:p>
    <w:p w:rsidR="00802139" w:rsidRPr="00AA7FD1" w:rsidRDefault="00802139" w:rsidP="00AA7FD1">
      <w:pPr>
        <w:tabs>
          <w:tab w:val="left" w:pos="567"/>
          <w:tab w:val="left" w:pos="1134"/>
          <w:tab w:val="left" w:pos="5529"/>
        </w:tabs>
        <w:ind w:left="567"/>
        <w:rPr>
          <w:i/>
        </w:rPr>
      </w:pPr>
      <w:r w:rsidRPr="00AA7FD1">
        <w:rPr>
          <w:i/>
        </w:rPr>
        <w:t>i)</w:t>
      </w:r>
      <w:r w:rsidRPr="00AA7FD1">
        <w:rPr>
          <w:i/>
        </w:rPr>
        <w:tab/>
        <w:t xml:space="preserve">que continúe participando en el Grupo de Trabajo sobre el ASHI de la Red de Finanzas y Presupuesto;  y </w:t>
      </w:r>
    </w:p>
    <w:p w:rsidR="00802139" w:rsidRPr="00AA7FD1" w:rsidRDefault="00802139" w:rsidP="00802139">
      <w:pPr>
        <w:rPr>
          <w:i/>
        </w:rPr>
      </w:pPr>
    </w:p>
    <w:p w:rsidR="00802139" w:rsidRPr="00AA7FD1" w:rsidRDefault="00802139" w:rsidP="00AA7FD1">
      <w:pPr>
        <w:tabs>
          <w:tab w:val="left" w:pos="567"/>
          <w:tab w:val="left" w:pos="1134"/>
          <w:tab w:val="left" w:pos="5529"/>
        </w:tabs>
        <w:ind w:left="567"/>
      </w:pPr>
      <w:r w:rsidRPr="00AA7FD1">
        <w:rPr>
          <w:i/>
        </w:rPr>
        <w:t>ii)</w:t>
      </w:r>
      <w:r w:rsidRPr="00AA7FD1">
        <w:rPr>
          <w:i/>
        </w:rPr>
        <w:tab/>
        <w:t>que se mantenga al corriente de las propuestas específicas que el Secretario General presente en el septuagésimo primer período de sesiones de la Asamblea General de las Naciones Unidas y, sobre la base de esas propuestas, presente medidas concretas al PBC en su 26ª sesión, habida cuenta de la pertenencia de la OMPI al sistema común de las Naciones Unidas.</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EXAMEN DE LA METODOLOGÍA DE ASIGNACIÓN DE LOS INGRESOS Y LOS GASTOS, POR UNIÓN</w:t>
      </w:r>
    </w:p>
    <w:p w:rsidR="00802139" w:rsidRPr="00AA7FD1" w:rsidRDefault="00802139" w:rsidP="00802139">
      <w:pPr>
        <w:rPr>
          <w:u w:val="single"/>
        </w:rPr>
      </w:pPr>
      <w:r w:rsidRPr="00AA7FD1">
        <w:t>documento WO/PBC/25/16</w:t>
      </w:r>
    </w:p>
    <w:p w:rsidR="00802139" w:rsidRPr="00AA7FD1" w:rsidRDefault="00802139" w:rsidP="00802139">
      <w:pPr>
        <w:rPr>
          <w:u w:val="single"/>
        </w:rPr>
      </w:pPr>
    </w:p>
    <w:p w:rsidR="00802139" w:rsidRPr="00AA7FD1" w:rsidRDefault="00802139" w:rsidP="00802139">
      <w:pPr>
        <w:rPr>
          <w:i/>
        </w:rPr>
      </w:pPr>
      <w:r w:rsidRPr="00AA7FD1">
        <w:rPr>
          <w:i/>
        </w:rPr>
        <w:t>Tras haber examinado los posibles métodos alternativos descritos en el documento WO/PBC/25/16 para la asignación a las Uniones de los ingresos y los gastos, además de haber recibido información adicional de la Secretaría, y tomando nota de los comentarios formulados por las delegaciones, el Comité del Programa y Presupuesto (PBC):</w:t>
      </w:r>
    </w:p>
    <w:p w:rsidR="00802139" w:rsidRPr="00AA7FD1" w:rsidRDefault="00802139" w:rsidP="00802139"/>
    <w:p w:rsidR="00802139" w:rsidRPr="00AA7FD1" w:rsidRDefault="00AA7FD1" w:rsidP="00AA7FD1">
      <w:pPr>
        <w:tabs>
          <w:tab w:val="left" w:pos="567"/>
          <w:tab w:val="left" w:pos="1134"/>
          <w:tab w:val="left" w:pos="5529"/>
        </w:tabs>
        <w:ind w:left="567"/>
        <w:rPr>
          <w:i/>
        </w:rPr>
      </w:pPr>
      <w:r w:rsidRPr="00AA7FD1">
        <w:rPr>
          <w:i/>
        </w:rPr>
        <w:t>i)</w:t>
      </w:r>
      <w:r w:rsidRPr="00AA7FD1">
        <w:rPr>
          <w:i/>
        </w:rPr>
        <w:tab/>
      </w:r>
      <w:r w:rsidR="00802139" w:rsidRPr="00AA7FD1">
        <w:rPr>
          <w:i/>
        </w:rPr>
        <w:t>no alcanzó el consenso acerca de posibles métodos alternativos de asignación;</w:t>
      </w:r>
    </w:p>
    <w:p w:rsidR="00802139" w:rsidRPr="00AA7FD1" w:rsidRDefault="00802139" w:rsidP="00802139">
      <w:pPr>
        <w:rPr>
          <w:i/>
        </w:rPr>
      </w:pPr>
    </w:p>
    <w:p w:rsidR="00802139" w:rsidRPr="00AA7FD1" w:rsidRDefault="00AA7FD1" w:rsidP="00AA7FD1">
      <w:pPr>
        <w:tabs>
          <w:tab w:val="left" w:pos="567"/>
          <w:tab w:val="left" w:pos="1134"/>
          <w:tab w:val="left" w:pos="5529"/>
        </w:tabs>
        <w:ind w:left="567"/>
        <w:rPr>
          <w:i/>
        </w:rPr>
      </w:pPr>
      <w:r w:rsidRPr="00AA7FD1">
        <w:rPr>
          <w:i/>
        </w:rPr>
        <w:lastRenderedPageBreak/>
        <w:t>ii)</w:t>
      </w:r>
      <w:r w:rsidRPr="00AA7FD1">
        <w:rPr>
          <w:i/>
        </w:rPr>
        <w:tab/>
      </w:r>
      <w:r w:rsidR="00802139" w:rsidRPr="00AA7FD1">
        <w:rPr>
          <w:i/>
        </w:rPr>
        <w:t>decidió seguir manteniendo consultas informales de cara a la 56</w:t>
      </w:r>
      <w:r w:rsidR="00802139" w:rsidRPr="00AA7FD1">
        <w:rPr>
          <w:i/>
          <w:vertAlign w:val="superscript"/>
        </w:rPr>
        <w:t>ª</w:t>
      </w:r>
      <w:r w:rsidR="00802139" w:rsidRPr="00AA7FD1">
        <w:rPr>
          <w:i/>
        </w:rPr>
        <w:t xml:space="preserve"> serie de reuniones de las Asambleas de la OMPI;  y</w:t>
      </w:r>
    </w:p>
    <w:p w:rsidR="00802139" w:rsidRPr="00AA7FD1" w:rsidRDefault="00802139" w:rsidP="00802139">
      <w:pPr>
        <w:rPr>
          <w:i/>
        </w:rPr>
      </w:pPr>
    </w:p>
    <w:p w:rsidR="00802139" w:rsidRPr="00AA7FD1" w:rsidRDefault="00AA7FD1" w:rsidP="00AA7FD1">
      <w:pPr>
        <w:tabs>
          <w:tab w:val="left" w:pos="567"/>
          <w:tab w:val="left" w:pos="1134"/>
          <w:tab w:val="left" w:pos="5529"/>
        </w:tabs>
        <w:ind w:left="567"/>
        <w:rPr>
          <w:i/>
        </w:rPr>
      </w:pPr>
      <w:r w:rsidRPr="00AA7FD1">
        <w:rPr>
          <w:i/>
        </w:rPr>
        <w:t>iii)</w:t>
      </w:r>
      <w:r w:rsidRPr="00AA7FD1">
        <w:rPr>
          <w:i/>
        </w:rPr>
        <w:tab/>
      </w:r>
      <w:r w:rsidR="00802139" w:rsidRPr="00AA7FD1">
        <w:rPr>
          <w:i/>
        </w:rPr>
        <w:t>recomendó seguir examinando el asunto en la 56ª serie de reuniones de las Asambleas de la OMPI.</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INFORMACIÓN ACTUALIZADA ADICIONAL SOBRE LA PROPUESTA RELATIVA A LA ESTRATEGIA DE COBERTURA DE LOS INGRESOS DEL PCT</w:t>
      </w:r>
    </w:p>
    <w:p w:rsidR="00802139" w:rsidRPr="00AA7FD1" w:rsidRDefault="00802139" w:rsidP="00802139">
      <w:r w:rsidRPr="00AA7FD1">
        <w:t>documento WO/PBC/25/20</w:t>
      </w:r>
    </w:p>
    <w:p w:rsidR="00802139" w:rsidRPr="00AA7FD1" w:rsidRDefault="00802139" w:rsidP="00802139">
      <w:pPr>
        <w:rPr>
          <w:u w:val="single"/>
        </w:rPr>
      </w:pPr>
    </w:p>
    <w:p w:rsidR="00802139" w:rsidRPr="00AA7FD1" w:rsidRDefault="00802139" w:rsidP="00802139">
      <w:pPr>
        <w:rPr>
          <w:u w:val="single"/>
        </w:rPr>
      </w:pPr>
      <w:r w:rsidRPr="00AA7FD1">
        <w:rPr>
          <w:i/>
        </w:rPr>
        <w:t>El Comité del Programa y Presupuesto tomó nota del contenido del documento (WO/PBC/25/20), en particular los párrafos 23 y 24.</w:t>
      </w:r>
    </w:p>
    <w:p w:rsidR="00802139" w:rsidRPr="00AA7FD1" w:rsidRDefault="00802139" w:rsidP="00802139">
      <w:pPr>
        <w:rPr>
          <w:u w:val="single"/>
        </w:rPr>
      </w:pPr>
    </w:p>
    <w:p w:rsidR="00802139" w:rsidRPr="00AA7FD1" w:rsidRDefault="00802139" w:rsidP="00802139">
      <w:pPr>
        <w:rPr>
          <w:u w:val="single"/>
        </w:rPr>
      </w:pPr>
    </w:p>
    <w:p w:rsidR="00802139" w:rsidRPr="00AA7FD1" w:rsidRDefault="00802139" w:rsidP="00802139">
      <w:pPr>
        <w:numPr>
          <w:ilvl w:val="0"/>
          <w:numId w:val="8"/>
        </w:numPr>
        <w:tabs>
          <w:tab w:val="left" w:pos="3544"/>
        </w:tabs>
        <w:spacing w:after="220"/>
        <w:ind w:left="0" w:firstLine="0"/>
      </w:pPr>
      <w:r w:rsidRPr="00AA7FD1">
        <w:t>CUESTIONES RELATIVAS A LA GOBERNANZA</w:t>
      </w:r>
    </w:p>
    <w:p w:rsidR="00802139" w:rsidRPr="00AA7FD1" w:rsidRDefault="00802139" w:rsidP="00802139">
      <w:r w:rsidRPr="00AA7FD1">
        <w:t>documentos:</w:t>
      </w:r>
    </w:p>
    <w:p w:rsidR="00802139" w:rsidRPr="00AA7FD1" w:rsidRDefault="00802139" w:rsidP="00802139">
      <w:r w:rsidRPr="00AA7FD1">
        <w:t>WO/PBC/25/19 y documento de referencia WO/PBC/24/17 (punto 16 y Anexo I)</w:t>
      </w:r>
    </w:p>
    <w:p w:rsidR="00802139" w:rsidRPr="00AA7FD1" w:rsidRDefault="00802139" w:rsidP="00802139"/>
    <w:p w:rsidR="00802139" w:rsidRPr="00AA7FD1" w:rsidRDefault="00802139" w:rsidP="00802139">
      <w:pPr>
        <w:rPr>
          <w:i/>
        </w:rPr>
      </w:pPr>
      <w:r w:rsidRPr="00AA7FD1">
        <w:rPr>
          <w:i/>
        </w:rPr>
        <w:t xml:space="preserve">El Comité del Programa y Presupuesto (PBC) pidió a la Secretaría que prepare una ponencia sobre la reforma estatutaria de 2003, para que sea presentada en la 26ª sesión del PBC, con el propósito de contribuir al debate de este asunto. </w:t>
      </w:r>
    </w:p>
    <w:p w:rsidR="00802139" w:rsidRPr="00AA7FD1" w:rsidRDefault="00802139" w:rsidP="00802139">
      <w:pPr>
        <w:rPr>
          <w:u w:val="single"/>
        </w:rPr>
      </w:pPr>
    </w:p>
    <w:p w:rsidR="00802139" w:rsidRPr="00AA7FD1" w:rsidRDefault="00802139" w:rsidP="00802139">
      <w:pPr>
        <w:rPr>
          <w:u w:val="single"/>
        </w:rPr>
      </w:pPr>
    </w:p>
    <w:p w:rsidR="00802139" w:rsidRPr="00AA7FD1" w:rsidRDefault="00802139" w:rsidP="00802139">
      <w:pPr>
        <w:numPr>
          <w:ilvl w:val="0"/>
          <w:numId w:val="8"/>
        </w:numPr>
        <w:tabs>
          <w:tab w:val="left" w:pos="3544"/>
        </w:tabs>
        <w:spacing w:after="220"/>
        <w:ind w:left="0" w:firstLine="0"/>
      </w:pPr>
      <w:r w:rsidRPr="00AA7FD1">
        <w:t xml:space="preserve">INFORME FINAL SOBRE LOS PROYECTOS DE CONSTRUCCIÓN </w:t>
      </w:r>
    </w:p>
    <w:p w:rsidR="00802139" w:rsidRPr="00AA7FD1" w:rsidRDefault="00802139" w:rsidP="00802139">
      <w:r w:rsidRPr="00AA7FD1">
        <w:t>documento WO/PBC/25/13</w:t>
      </w:r>
    </w:p>
    <w:p w:rsidR="00802139" w:rsidRPr="00AA7FD1" w:rsidRDefault="00802139" w:rsidP="00802139"/>
    <w:p w:rsidR="00802139" w:rsidRPr="00AA7FD1" w:rsidRDefault="00802139" w:rsidP="00802139">
      <w:pPr>
        <w:rPr>
          <w:i/>
        </w:rPr>
      </w:pPr>
      <w:r w:rsidRPr="00AA7FD1">
        <w:rPr>
          <w:i/>
        </w:rPr>
        <w:t>El Comité del Programa y Presupuesto (PBC) tomó nota del contenido del documento WO/PBC/25/13, incluido el reintegro de los saldos finales no utilizados del proyecto a las reservas de la Organización, como se indica en los párrafos 4 y 5.</w:t>
      </w:r>
    </w:p>
    <w:p w:rsidR="00802139" w:rsidRPr="00AA7FD1" w:rsidRDefault="00802139" w:rsidP="00802139"/>
    <w:p w:rsidR="00802139" w:rsidRPr="00AA7FD1" w:rsidRDefault="00802139" w:rsidP="00802139"/>
    <w:p w:rsidR="00802139" w:rsidRPr="00AA7FD1" w:rsidRDefault="00802139" w:rsidP="00802139">
      <w:pPr>
        <w:numPr>
          <w:ilvl w:val="0"/>
          <w:numId w:val="8"/>
        </w:numPr>
        <w:tabs>
          <w:tab w:val="left" w:pos="3544"/>
        </w:tabs>
        <w:spacing w:after="220"/>
        <w:ind w:left="0" w:firstLine="0"/>
      </w:pPr>
      <w:r w:rsidRPr="00AA7FD1">
        <w:t>INFORME SOBRE LA MARCHA DE LA INSTAURACIÓN EN LA OMPI DE UN SISTEMA DE PLANIFICACIÓN DE LOS RECURSOS INSTITUCIONALES (PRI)</w:t>
      </w:r>
    </w:p>
    <w:p w:rsidR="00802139" w:rsidRPr="00AA7FD1" w:rsidRDefault="00802139" w:rsidP="00802139">
      <w:r w:rsidRPr="00AA7FD1">
        <w:t>documento WO/PBC/25/14</w:t>
      </w:r>
    </w:p>
    <w:p w:rsidR="00802139" w:rsidRPr="00AA7FD1" w:rsidRDefault="00802139" w:rsidP="00802139">
      <w:pPr>
        <w:rPr>
          <w:u w:val="single"/>
        </w:rPr>
      </w:pPr>
    </w:p>
    <w:p w:rsidR="00802139" w:rsidRPr="00AA7FD1" w:rsidRDefault="00802139" w:rsidP="00802139">
      <w:pPr>
        <w:rPr>
          <w:u w:val="single"/>
        </w:rPr>
      </w:pPr>
      <w:r w:rsidRPr="00AA7FD1">
        <w:rPr>
          <w:i/>
        </w:rPr>
        <w:t>El Comité del Programa y Presupuesto (PBC) tomó nota del Informe sobre la marcha de la instauración en la OMPI de un sistema de planificación de los recursos institucionales (PRI) (documento WO/PBC/25/14).</w:t>
      </w:r>
    </w:p>
    <w:p w:rsidR="00802139" w:rsidRPr="00AA7FD1" w:rsidRDefault="00802139" w:rsidP="00802139">
      <w:pPr>
        <w:rPr>
          <w:u w:val="single"/>
        </w:rPr>
      </w:pPr>
    </w:p>
    <w:p w:rsidR="00802139" w:rsidRPr="00AA7FD1" w:rsidRDefault="00802139" w:rsidP="00802139">
      <w:pPr>
        <w:rPr>
          <w:u w:val="single"/>
        </w:rPr>
      </w:pPr>
    </w:p>
    <w:p w:rsidR="00802139" w:rsidRPr="00AA7FD1" w:rsidRDefault="00802139" w:rsidP="00802139">
      <w:pPr>
        <w:numPr>
          <w:ilvl w:val="0"/>
          <w:numId w:val="8"/>
        </w:numPr>
        <w:tabs>
          <w:tab w:val="left" w:pos="3544"/>
        </w:tabs>
        <w:spacing w:after="220"/>
        <w:ind w:left="0" w:firstLine="0"/>
      </w:pPr>
      <w:r w:rsidRPr="00AA7FD1">
        <w:t>CLAUSURA DE LA SESIÓN</w:t>
      </w:r>
    </w:p>
    <w:p w:rsidR="00802139" w:rsidRPr="00AA7FD1" w:rsidRDefault="00802139" w:rsidP="00802139"/>
    <w:p w:rsidR="00802139" w:rsidRPr="00AA7FD1" w:rsidRDefault="00802139" w:rsidP="00802139"/>
    <w:p w:rsidR="00802139" w:rsidRPr="00AA7FD1" w:rsidRDefault="00802139" w:rsidP="00802139">
      <w:pPr>
        <w:pStyle w:val="Endofdocument-Annex"/>
        <w:rPr>
          <w:lang w:val="es-ES"/>
        </w:rPr>
      </w:pPr>
      <w:r w:rsidRPr="00AA7FD1">
        <w:rPr>
          <w:lang w:val="es-ES"/>
        </w:rPr>
        <w:t>[Fin del documento]</w:t>
      </w:r>
    </w:p>
    <w:p w:rsidR="00802139" w:rsidRPr="00AA7FD1" w:rsidRDefault="00802139" w:rsidP="00802139"/>
    <w:sectPr w:rsidR="00802139" w:rsidRPr="00AA7FD1" w:rsidSect="00AA7FD1">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D5" w:rsidRDefault="00A761D5">
      <w:r>
        <w:separator/>
      </w:r>
    </w:p>
  </w:endnote>
  <w:endnote w:type="continuationSeparator" w:id="0">
    <w:p w:rsidR="00A761D5" w:rsidRPr="009D30E6" w:rsidRDefault="00A761D5" w:rsidP="007E663E">
      <w:pPr>
        <w:rPr>
          <w:sz w:val="17"/>
          <w:szCs w:val="17"/>
        </w:rPr>
      </w:pPr>
      <w:r w:rsidRPr="009D30E6">
        <w:rPr>
          <w:sz w:val="17"/>
          <w:szCs w:val="17"/>
        </w:rPr>
        <w:separator/>
      </w:r>
    </w:p>
    <w:p w:rsidR="00A761D5" w:rsidRPr="007E663E" w:rsidRDefault="00A761D5" w:rsidP="007E663E">
      <w:pPr>
        <w:spacing w:after="60"/>
        <w:rPr>
          <w:sz w:val="17"/>
          <w:szCs w:val="17"/>
        </w:rPr>
      </w:pPr>
      <w:r>
        <w:rPr>
          <w:sz w:val="17"/>
        </w:rPr>
        <w:t>[Continuación de la nota de la página anterior]</w:t>
      </w:r>
    </w:p>
  </w:endnote>
  <w:endnote w:type="continuationNotice" w:id="1">
    <w:p w:rsidR="00A761D5" w:rsidRPr="007E663E" w:rsidRDefault="00A761D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D5" w:rsidRDefault="00A761D5">
      <w:r>
        <w:separator/>
      </w:r>
    </w:p>
  </w:footnote>
  <w:footnote w:type="continuationSeparator" w:id="0">
    <w:p w:rsidR="00A761D5" w:rsidRPr="009D30E6" w:rsidRDefault="00A761D5" w:rsidP="007E663E">
      <w:pPr>
        <w:rPr>
          <w:sz w:val="17"/>
          <w:szCs w:val="17"/>
        </w:rPr>
      </w:pPr>
      <w:r w:rsidRPr="009D30E6">
        <w:rPr>
          <w:sz w:val="17"/>
          <w:szCs w:val="17"/>
        </w:rPr>
        <w:separator/>
      </w:r>
    </w:p>
    <w:p w:rsidR="00A761D5" w:rsidRPr="007E663E" w:rsidRDefault="00A761D5" w:rsidP="007E663E">
      <w:pPr>
        <w:spacing w:after="60"/>
        <w:rPr>
          <w:sz w:val="17"/>
          <w:szCs w:val="17"/>
        </w:rPr>
      </w:pPr>
      <w:r>
        <w:rPr>
          <w:sz w:val="17"/>
        </w:rPr>
        <w:t>[Continuación de la nota de la página anterior]</w:t>
      </w:r>
    </w:p>
  </w:footnote>
  <w:footnote w:type="continuationNotice" w:id="1">
    <w:p w:rsidR="00A761D5" w:rsidRPr="007E663E" w:rsidRDefault="00A761D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35C3A" w:rsidP="00477D6B">
    <w:pPr>
      <w:jc w:val="right"/>
    </w:pPr>
    <w:bookmarkStart w:id="4" w:name="Code2"/>
    <w:bookmarkEnd w:id="4"/>
    <w:r>
      <w:t>A/56/7</w:t>
    </w:r>
  </w:p>
  <w:p w:rsidR="00AE7F20" w:rsidRDefault="00AE7F20" w:rsidP="00477D6B">
    <w:pPr>
      <w:jc w:val="right"/>
    </w:pPr>
    <w:r>
      <w:t xml:space="preserve">página </w:t>
    </w:r>
    <w:r>
      <w:fldChar w:fldCharType="begin"/>
    </w:r>
    <w:r>
      <w:instrText xml:space="preserve"> PAGE  \* MERGEFORMAT </w:instrText>
    </w:r>
    <w:r>
      <w:fldChar w:fldCharType="separate"/>
    </w:r>
    <w:r w:rsidR="00235C3A">
      <w:rPr>
        <w:noProof/>
      </w:rPr>
      <w:t>1</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A7FD1" w:rsidP="00477D6B">
    <w:pPr>
      <w:jc w:val="right"/>
    </w:pPr>
    <w:r>
      <w:t>WO/PBC/25/21</w:t>
    </w:r>
  </w:p>
  <w:p w:rsidR="00AE7F20" w:rsidRDefault="00AE7F20" w:rsidP="00477D6B">
    <w:pPr>
      <w:jc w:val="right"/>
    </w:pPr>
    <w:r>
      <w:t xml:space="preserve">página </w:t>
    </w:r>
    <w:r>
      <w:fldChar w:fldCharType="begin"/>
    </w:r>
    <w:r>
      <w:instrText xml:space="preserve"> PAGE  \* MERGEFORMAT </w:instrText>
    </w:r>
    <w:r>
      <w:fldChar w:fldCharType="separate"/>
    </w:r>
    <w:r w:rsidR="00281153">
      <w:rPr>
        <w:noProof/>
      </w:rPr>
      <w:t>6</w:t>
    </w:r>
    <w:r>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FD1" w:rsidRDefault="00AA7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D86C18"/>
    <w:multiLevelType w:val="hybridMultilevel"/>
    <w:tmpl w:val="477A7E36"/>
    <w:lvl w:ilvl="0" w:tplc="2C5657B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51E9B"/>
    <w:multiLevelType w:val="hybridMultilevel"/>
    <w:tmpl w:val="762E4086"/>
    <w:lvl w:ilvl="0" w:tplc="90327882">
      <w:start w:val="1"/>
      <w:numFmt w:val="lowerRoman"/>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60400"/>
    <w:multiLevelType w:val="hybridMultilevel"/>
    <w:tmpl w:val="E714AA26"/>
    <w:lvl w:ilvl="0" w:tplc="0C789CD4">
      <w:start w:val="1"/>
      <w:numFmt w:val="decimal"/>
      <w:lvlText w:val="PUNTO %1 DEL ORDEN DEL DÍA."/>
      <w:lvlJc w:val="left"/>
      <w:pPr>
        <w:ind w:left="1637" w:hanging="360"/>
      </w:pPr>
      <w:rPr>
        <w:rFonts w:ascii="Arial Bold" w:hAnsi="Arial Bold"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3A"/>
    <w:rsid w:val="00010686"/>
    <w:rsid w:val="00052915"/>
    <w:rsid w:val="000E3BB3"/>
    <w:rsid w:val="000F5E56"/>
    <w:rsid w:val="001362EE"/>
    <w:rsid w:val="00152CEA"/>
    <w:rsid w:val="001832A6"/>
    <w:rsid w:val="001C4193"/>
    <w:rsid w:val="001C4F1A"/>
    <w:rsid w:val="00235C3A"/>
    <w:rsid w:val="00251CE2"/>
    <w:rsid w:val="002634C4"/>
    <w:rsid w:val="00281153"/>
    <w:rsid w:val="00293CCE"/>
    <w:rsid w:val="0029671E"/>
    <w:rsid w:val="002E0F47"/>
    <w:rsid w:val="002F4E68"/>
    <w:rsid w:val="00354647"/>
    <w:rsid w:val="00377273"/>
    <w:rsid w:val="003845C1"/>
    <w:rsid w:val="00387287"/>
    <w:rsid w:val="003D643A"/>
    <w:rsid w:val="003E48F1"/>
    <w:rsid w:val="003F347A"/>
    <w:rsid w:val="00423E3E"/>
    <w:rsid w:val="00427AF4"/>
    <w:rsid w:val="0045231F"/>
    <w:rsid w:val="004647DA"/>
    <w:rsid w:val="0046793F"/>
    <w:rsid w:val="00477808"/>
    <w:rsid w:val="00477D6B"/>
    <w:rsid w:val="00482D8C"/>
    <w:rsid w:val="004A6C37"/>
    <w:rsid w:val="004E297D"/>
    <w:rsid w:val="00531B02"/>
    <w:rsid w:val="005332F0"/>
    <w:rsid w:val="00547973"/>
    <w:rsid w:val="0055013B"/>
    <w:rsid w:val="00571B99"/>
    <w:rsid w:val="005E5254"/>
    <w:rsid w:val="00605827"/>
    <w:rsid w:val="00675021"/>
    <w:rsid w:val="006A06C6"/>
    <w:rsid w:val="007224C8"/>
    <w:rsid w:val="00775F38"/>
    <w:rsid w:val="00794BE2"/>
    <w:rsid w:val="007B0533"/>
    <w:rsid w:val="007B71FE"/>
    <w:rsid w:val="007D781E"/>
    <w:rsid w:val="007E663E"/>
    <w:rsid w:val="00802139"/>
    <w:rsid w:val="00815082"/>
    <w:rsid w:val="0088395E"/>
    <w:rsid w:val="008B2CC1"/>
    <w:rsid w:val="008E6BD6"/>
    <w:rsid w:val="0090731E"/>
    <w:rsid w:val="00923E38"/>
    <w:rsid w:val="00966A22"/>
    <w:rsid w:val="00972F03"/>
    <w:rsid w:val="009A0C8B"/>
    <w:rsid w:val="009B6241"/>
    <w:rsid w:val="00A16FC0"/>
    <w:rsid w:val="00A32C9E"/>
    <w:rsid w:val="00A761D5"/>
    <w:rsid w:val="00AA7FD1"/>
    <w:rsid w:val="00AB613D"/>
    <w:rsid w:val="00AE7F20"/>
    <w:rsid w:val="00B35C74"/>
    <w:rsid w:val="00B65A0A"/>
    <w:rsid w:val="00B67CDC"/>
    <w:rsid w:val="00B72D36"/>
    <w:rsid w:val="00BC4164"/>
    <w:rsid w:val="00BD04DC"/>
    <w:rsid w:val="00BD2DCC"/>
    <w:rsid w:val="00C90559"/>
    <w:rsid w:val="00CA2251"/>
    <w:rsid w:val="00CA3A9D"/>
    <w:rsid w:val="00CC4F7D"/>
    <w:rsid w:val="00D56C7C"/>
    <w:rsid w:val="00D71B4D"/>
    <w:rsid w:val="00D90289"/>
    <w:rsid w:val="00D93D55"/>
    <w:rsid w:val="00DC4C60"/>
    <w:rsid w:val="00E0079A"/>
    <w:rsid w:val="00E444DA"/>
    <w:rsid w:val="00E45C84"/>
    <w:rsid w:val="00E504E5"/>
    <w:rsid w:val="00E64E28"/>
    <w:rsid w:val="00EB7A3E"/>
    <w:rsid w:val="00EC401A"/>
    <w:rsid w:val="00EF530A"/>
    <w:rsid w:val="00EF6622"/>
    <w:rsid w:val="00F55408"/>
    <w:rsid w:val="00F66152"/>
    <w:rsid w:val="00F80845"/>
    <w:rsid w:val="00F84474"/>
    <w:rsid w:val="00FA0F0D"/>
    <w:rsid w:val="00FB09B9"/>
    <w:rsid w:val="00FB3CEC"/>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E5254"/>
    <w:pPr>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unhideWhenUsed/>
    <w:rsid w:val="00B35C74"/>
    <w:rPr>
      <w:rFonts w:ascii="Segoe UI" w:hAnsi="Segoe UI" w:cs="Segoe UI"/>
      <w:sz w:val="18"/>
      <w:szCs w:val="18"/>
    </w:rPr>
  </w:style>
  <w:style w:type="character" w:customStyle="1" w:styleId="BalloonTextChar">
    <w:name w:val="Balloon Text Char"/>
    <w:basedOn w:val="DefaultParagraphFont"/>
    <w:link w:val="BalloonText"/>
    <w:semiHidden/>
    <w:rsid w:val="00B35C74"/>
    <w:rPr>
      <w:rFonts w:ascii="Segoe UI" w:eastAsia="SimSun" w:hAnsi="Segoe UI" w:cs="Segoe UI"/>
      <w:sz w:val="18"/>
      <w:szCs w:val="18"/>
      <w:lang w:val="es-ES" w:eastAsia="zh-CN"/>
    </w:rPr>
  </w:style>
  <w:style w:type="character" w:customStyle="1" w:styleId="ONUMEChar">
    <w:name w:val="ONUM E Char"/>
    <w:link w:val="ONUME"/>
    <w:rsid w:val="00802139"/>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E5254"/>
    <w:pPr>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unhideWhenUsed/>
    <w:rsid w:val="00B35C74"/>
    <w:rPr>
      <w:rFonts w:ascii="Segoe UI" w:hAnsi="Segoe UI" w:cs="Segoe UI"/>
      <w:sz w:val="18"/>
      <w:szCs w:val="18"/>
    </w:rPr>
  </w:style>
  <w:style w:type="character" w:customStyle="1" w:styleId="BalloonTextChar">
    <w:name w:val="Balloon Text Char"/>
    <w:basedOn w:val="DefaultParagraphFont"/>
    <w:link w:val="BalloonText"/>
    <w:semiHidden/>
    <w:rsid w:val="00B35C74"/>
    <w:rPr>
      <w:rFonts w:ascii="Segoe UI" w:eastAsia="SimSun" w:hAnsi="Segoe UI" w:cs="Segoe UI"/>
      <w:sz w:val="18"/>
      <w:szCs w:val="18"/>
      <w:lang w:val="es-ES" w:eastAsia="zh-CN"/>
    </w:rPr>
  </w:style>
  <w:style w:type="character" w:customStyle="1" w:styleId="ONUMEChar">
    <w:name w:val="ONUM E Char"/>
    <w:link w:val="ONUME"/>
    <w:rsid w:val="0080213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1913</Words>
  <Characters>9621</Characters>
  <Application>Microsoft Office Word</Application>
  <DocSecurity>0</DocSecurity>
  <Lines>80</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A/56/12</vt:lpstr>
      <vt:lpstr>A/56/7</vt:lpstr>
    </vt:vector>
  </TitlesOfParts>
  <Company>WIPO</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A/56/12</dc:title>
  <dc:creator>suarezli</dc:creator>
  <dc:description/>
  <cp:lastModifiedBy>MARIN-CUDRAZ DAVI Nicoletta</cp:lastModifiedBy>
  <cp:revision>7</cp:revision>
  <cp:lastPrinted>2016-07-18T17:10:00Z</cp:lastPrinted>
  <dcterms:created xsi:type="dcterms:W3CDTF">2016-09-07T08:30:00Z</dcterms:created>
  <dcterms:modified xsi:type="dcterms:W3CDTF">2016-09-07T15:23:00Z</dcterms:modified>
</cp:coreProperties>
</file>