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4F5393" w:rsidRPr="00D86EA5" w:rsidTr="00BE1A45">
        <w:tc>
          <w:tcPr>
            <w:tcW w:w="4513" w:type="dxa"/>
            <w:tcBorders>
              <w:bottom w:val="single" w:sz="4" w:space="0" w:color="auto"/>
            </w:tcBorders>
            <w:tcMar>
              <w:bottom w:w="170" w:type="dxa"/>
            </w:tcMar>
          </w:tcPr>
          <w:p w:rsidR="004F5393" w:rsidRPr="00D86EA5" w:rsidRDefault="004F5393" w:rsidP="00BE1A45">
            <w:pPr>
              <w:rPr>
                <w:lang w:val="es-ES_tradnl"/>
              </w:rPr>
            </w:pPr>
          </w:p>
        </w:tc>
        <w:tc>
          <w:tcPr>
            <w:tcW w:w="4337" w:type="dxa"/>
            <w:tcBorders>
              <w:bottom w:val="single" w:sz="4" w:space="0" w:color="auto"/>
            </w:tcBorders>
            <w:tcMar>
              <w:left w:w="0" w:type="dxa"/>
              <w:right w:w="0" w:type="dxa"/>
            </w:tcMar>
          </w:tcPr>
          <w:p w:rsidR="004F5393" w:rsidRPr="00D86EA5" w:rsidRDefault="004F5393" w:rsidP="00BE1A45">
            <w:pPr>
              <w:rPr>
                <w:lang w:val="es-ES_tradnl"/>
              </w:rPr>
            </w:pPr>
            <w:r w:rsidRPr="00D86EA5">
              <w:rPr>
                <w:noProof/>
                <w:lang w:val="en-US" w:eastAsia="en-US"/>
              </w:rPr>
              <w:drawing>
                <wp:inline distT="0" distB="0" distL="0" distR="0" wp14:anchorId="375213FC" wp14:editId="62D57121">
                  <wp:extent cx="1857375" cy="1323975"/>
                  <wp:effectExtent l="0" t="0" r="9525" b="9525"/>
                  <wp:docPr id="19"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4F5393" w:rsidRPr="00D86EA5" w:rsidRDefault="004F5393" w:rsidP="00BE1A45">
            <w:pPr>
              <w:jc w:val="right"/>
              <w:rPr>
                <w:lang w:val="es-ES_tradnl"/>
              </w:rPr>
            </w:pPr>
            <w:r w:rsidRPr="00D86EA5">
              <w:rPr>
                <w:b/>
                <w:sz w:val="40"/>
                <w:szCs w:val="40"/>
              </w:rPr>
              <w:t>S</w:t>
            </w:r>
          </w:p>
        </w:tc>
      </w:tr>
      <w:tr w:rsidR="004F5393" w:rsidRPr="00D86EA5" w:rsidTr="00BE1A45">
        <w:trPr>
          <w:trHeight w:hRule="exact" w:val="340"/>
        </w:trPr>
        <w:tc>
          <w:tcPr>
            <w:tcW w:w="9356" w:type="dxa"/>
            <w:gridSpan w:val="3"/>
            <w:tcBorders>
              <w:top w:val="single" w:sz="4" w:space="0" w:color="auto"/>
            </w:tcBorders>
            <w:tcMar>
              <w:top w:w="170" w:type="dxa"/>
              <w:left w:w="0" w:type="dxa"/>
              <w:right w:w="0" w:type="dxa"/>
            </w:tcMar>
            <w:vAlign w:val="bottom"/>
          </w:tcPr>
          <w:p w:rsidR="004F5393" w:rsidRPr="00D86EA5" w:rsidRDefault="004F5393" w:rsidP="00BE1A45">
            <w:pPr>
              <w:jc w:val="right"/>
              <w:rPr>
                <w:rFonts w:ascii="Arial Black" w:hAnsi="Arial Black"/>
                <w:caps/>
                <w:sz w:val="15"/>
                <w:lang w:val="es-ES_tradnl"/>
              </w:rPr>
            </w:pPr>
            <w:r w:rsidRPr="00D86EA5">
              <w:rPr>
                <w:rFonts w:ascii="Arial Black" w:hAnsi="Arial Black"/>
                <w:caps/>
                <w:sz w:val="15"/>
                <w:lang w:val="es-ES_tradnl"/>
              </w:rPr>
              <w:t>a/5</w:t>
            </w:r>
            <w:r w:rsidR="00BE1A45">
              <w:rPr>
                <w:rFonts w:ascii="Arial Black" w:hAnsi="Arial Black"/>
                <w:caps/>
                <w:sz w:val="15"/>
                <w:lang w:val="es-ES_tradnl"/>
              </w:rPr>
              <w:t>5</w:t>
            </w:r>
            <w:r w:rsidRPr="00D86EA5">
              <w:rPr>
                <w:rFonts w:ascii="Arial Black" w:hAnsi="Arial Black"/>
                <w:caps/>
                <w:sz w:val="15"/>
                <w:lang w:val="es-ES_tradnl"/>
              </w:rPr>
              <w:t>/</w:t>
            </w:r>
            <w:bookmarkStart w:id="0" w:name="Code"/>
            <w:bookmarkEnd w:id="0"/>
            <w:r w:rsidRPr="00D86EA5">
              <w:rPr>
                <w:rFonts w:ascii="Arial Black" w:hAnsi="Arial Black"/>
                <w:caps/>
                <w:sz w:val="15"/>
                <w:lang w:val="es-ES_tradnl"/>
              </w:rPr>
              <w:t>6</w:t>
            </w:r>
          </w:p>
        </w:tc>
      </w:tr>
      <w:tr w:rsidR="004F5393" w:rsidRPr="00D86EA5" w:rsidTr="00BE1A45">
        <w:trPr>
          <w:trHeight w:hRule="exact" w:val="170"/>
        </w:trPr>
        <w:tc>
          <w:tcPr>
            <w:tcW w:w="9356" w:type="dxa"/>
            <w:gridSpan w:val="3"/>
            <w:noWrap/>
            <w:tcMar>
              <w:left w:w="0" w:type="dxa"/>
              <w:right w:w="0" w:type="dxa"/>
            </w:tcMar>
            <w:vAlign w:val="bottom"/>
          </w:tcPr>
          <w:p w:rsidR="004F5393" w:rsidRPr="00D86EA5" w:rsidRDefault="004F5393" w:rsidP="00BE1A45">
            <w:pPr>
              <w:jc w:val="right"/>
              <w:rPr>
                <w:rFonts w:ascii="Arial Black" w:hAnsi="Arial Black"/>
                <w:caps/>
                <w:sz w:val="15"/>
                <w:lang w:val="es-ES_tradnl"/>
              </w:rPr>
            </w:pPr>
            <w:r w:rsidRPr="00D86EA5">
              <w:rPr>
                <w:rFonts w:ascii="Arial Black" w:hAnsi="Arial Black"/>
                <w:caps/>
                <w:sz w:val="15"/>
                <w:lang w:val="es-ES_tradnl"/>
              </w:rPr>
              <w:t>ORIGINAL:  INGLÉS</w:t>
            </w:r>
          </w:p>
        </w:tc>
      </w:tr>
      <w:tr w:rsidR="004F5393" w:rsidRPr="00D86EA5" w:rsidTr="00BE1A45">
        <w:trPr>
          <w:trHeight w:hRule="exact" w:val="198"/>
        </w:trPr>
        <w:tc>
          <w:tcPr>
            <w:tcW w:w="9356" w:type="dxa"/>
            <w:gridSpan w:val="3"/>
            <w:tcMar>
              <w:left w:w="0" w:type="dxa"/>
              <w:right w:w="0" w:type="dxa"/>
            </w:tcMar>
            <w:vAlign w:val="bottom"/>
          </w:tcPr>
          <w:p w:rsidR="004F5393" w:rsidRPr="00D86EA5" w:rsidRDefault="004F5393" w:rsidP="00BE1A45">
            <w:pPr>
              <w:jc w:val="right"/>
              <w:rPr>
                <w:rFonts w:ascii="Arial Black" w:hAnsi="Arial Black"/>
                <w:caps/>
                <w:sz w:val="15"/>
                <w:lang w:val="es-ES_tradnl"/>
              </w:rPr>
            </w:pPr>
            <w:r w:rsidRPr="00D86EA5">
              <w:rPr>
                <w:rFonts w:ascii="Arial Black" w:hAnsi="Arial Black"/>
                <w:caps/>
                <w:sz w:val="15"/>
                <w:lang w:val="es-ES_tradnl"/>
              </w:rPr>
              <w:t xml:space="preserve">fecha:  </w:t>
            </w:r>
            <w:r w:rsidR="00BE1A45">
              <w:rPr>
                <w:rFonts w:ascii="Arial Black" w:hAnsi="Arial Black"/>
                <w:caps/>
                <w:sz w:val="15"/>
                <w:lang w:val="es-ES_tradnl"/>
              </w:rPr>
              <w:t>4</w:t>
            </w:r>
            <w:r>
              <w:rPr>
                <w:rFonts w:ascii="Arial Black" w:hAnsi="Arial Black"/>
                <w:caps/>
                <w:sz w:val="15"/>
                <w:lang w:val="es-ES_tradnl"/>
              </w:rPr>
              <w:t xml:space="preserve"> de </w:t>
            </w:r>
            <w:r w:rsidR="00BE1A45">
              <w:rPr>
                <w:rFonts w:ascii="Arial Black" w:hAnsi="Arial Black"/>
                <w:caps/>
                <w:sz w:val="15"/>
                <w:lang w:val="es-ES_tradnl"/>
              </w:rPr>
              <w:t>agosto</w:t>
            </w:r>
            <w:r>
              <w:rPr>
                <w:rFonts w:ascii="Arial Black" w:hAnsi="Arial Black"/>
                <w:caps/>
                <w:sz w:val="15"/>
                <w:lang w:val="es-ES_tradnl"/>
              </w:rPr>
              <w:t xml:space="preserve"> </w:t>
            </w:r>
            <w:r w:rsidRPr="00D86EA5">
              <w:rPr>
                <w:rFonts w:ascii="Arial Black" w:hAnsi="Arial Black"/>
                <w:caps/>
                <w:sz w:val="15"/>
                <w:lang w:val="es-ES_tradnl"/>
              </w:rPr>
              <w:t>DE 201</w:t>
            </w:r>
            <w:r w:rsidR="00BE1A45">
              <w:rPr>
                <w:rFonts w:ascii="Arial Black" w:hAnsi="Arial Black"/>
                <w:caps/>
                <w:sz w:val="15"/>
                <w:lang w:val="es-ES_tradnl"/>
              </w:rPr>
              <w:t>5</w:t>
            </w:r>
          </w:p>
        </w:tc>
      </w:tr>
    </w:tbl>
    <w:p w:rsidR="004F5393" w:rsidRPr="00D86EA5" w:rsidRDefault="004F5393" w:rsidP="004F5393">
      <w:pPr>
        <w:rPr>
          <w:lang w:val="es-ES_tradnl"/>
        </w:rPr>
      </w:pPr>
    </w:p>
    <w:p w:rsidR="004F5393" w:rsidRPr="00D86EA5" w:rsidRDefault="004F5393" w:rsidP="004F5393">
      <w:pPr>
        <w:rPr>
          <w:lang w:val="es-ES_tradnl"/>
        </w:rPr>
      </w:pPr>
    </w:p>
    <w:p w:rsidR="004F5393" w:rsidRPr="00D86EA5" w:rsidRDefault="004F5393" w:rsidP="004F5393">
      <w:pPr>
        <w:rPr>
          <w:lang w:val="es-ES_tradnl"/>
        </w:rPr>
      </w:pPr>
    </w:p>
    <w:p w:rsidR="004F5393" w:rsidRPr="00D86EA5" w:rsidRDefault="004F5393" w:rsidP="004F5393">
      <w:pPr>
        <w:rPr>
          <w:lang w:val="es-ES_tradnl"/>
        </w:rPr>
      </w:pPr>
    </w:p>
    <w:p w:rsidR="004F5393" w:rsidRPr="00D86EA5" w:rsidRDefault="004F5393" w:rsidP="004F5393">
      <w:pPr>
        <w:rPr>
          <w:lang w:val="es-ES_tradnl"/>
        </w:rPr>
      </w:pPr>
    </w:p>
    <w:p w:rsidR="004F5393" w:rsidRPr="00D86EA5" w:rsidRDefault="004F5393" w:rsidP="004F5393">
      <w:pPr>
        <w:rPr>
          <w:b/>
          <w:sz w:val="28"/>
          <w:szCs w:val="28"/>
          <w:lang w:val="es-ES_tradnl"/>
        </w:rPr>
      </w:pPr>
      <w:r w:rsidRPr="00D86EA5">
        <w:rPr>
          <w:b/>
          <w:sz w:val="28"/>
          <w:szCs w:val="28"/>
          <w:lang w:val="es-ES_tradnl"/>
        </w:rPr>
        <w:t>Asambleas de los Estados miembros de la OMPI</w:t>
      </w:r>
    </w:p>
    <w:p w:rsidR="004F5393" w:rsidRPr="00D86EA5" w:rsidRDefault="004F5393" w:rsidP="004F5393">
      <w:pPr>
        <w:rPr>
          <w:lang w:val="es-ES_tradnl"/>
        </w:rPr>
      </w:pPr>
    </w:p>
    <w:p w:rsidR="004F5393" w:rsidRPr="00D86EA5" w:rsidRDefault="004F5393" w:rsidP="004F5393">
      <w:pPr>
        <w:rPr>
          <w:lang w:val="es-ES_tradnl"/>
        </w:rPr>
      </w:pPr>
    </w:p>
    <w:p w:rsidR="004F5393" w:rsidRPr="00D86EA5" w:rsidRDefault="004F5393" w:rsidP="004F5393">
      <w:pPr>
        <w:rPr>
          <w:b/>
          <w:sz w:val="24"/>
          <w:lang w:val="es-ES_tradnl"/>
        </w:rPr>
      </w:pPr>
      <w:r w:rsidRPr="00D86EA5">
        <w:rPr>
          <w:b/>
          <w:sz w:val="24"/>
          <w:lang w:val="es-ES_tradnl"/>
        </w:rPr>
        <w:t xml:space="preserve">Quincuagésima </w:t>
      </w:r>
      <w:r>
        <w:rPr>
          <w:b/>
          <w:sz w:val="24"/>
          <w:lang w:val="es-ES_tradnl"/>
        </w:rPr>
        <w:t>quin</w:t>
      </w:r>
      <w:r w:rsidRPr="00D86EA5">
        <w:rPr>
          <w:b/>
          <w:sz w:val="24"/>
          <w:lang w:val="es-ES_tradnl"/>
        </w:rPr>
        <w:t>ta serie de reuniones</w:t>
      </w:r>
    </w:p>
    <w:p w:rsidR="004F5393" w:rsidRPr="00D86EA5" w:rsidRDefault="004F5393" w:rsidP="004F5393">
      <w:pPr>
        <w:rPr>
          <w:b/>
          <w:sz w:val="24"/>
          <w:lang w:val="es-ES_tradnl"/>
        </w:rPr>
      </w:pPr>
      <w:r w:rsidRPr="00D86EA5">
        <w:rPr>
          <w:b/>
          <w:sz w:val="24"/>
          <w:lang w:val="es-ES_tradnl"/>
        </w:rPr>
        <w:t xml:space="preserve">Ginebra, </w:t>
      </w:r>
      <w:r>
        <w:rPr>
          <w:b/>
          <w:sz w:val="24"/>
          <w:lang w:val="es-ES_tradnl"/>
        </w:rPr>
        <w:t>5</w:t>
      </w:r>
      <w:r w:rsidRPr="00D86EA5">
        <w:rPr>
          <w:b/>
          <w:sz w:val="24"/>
          <w:lang w:val="es-ES_tradnl"/>
        </w:rPr>
        <w:t xml:space="preserve"> a </w:t>
      </w:r>
      <w:r>
        <w:rPr>
          <w:b/>
          <w:sz w:val="24"/>
          <w:lang w:val="es-ES_tradnl"/>
        </w:rPr>
        <w:t>14</w:t>
      </w:r>
      <w:r w:rsidRPr="00D86EA5">
        <w:rPr>
          <w:b/>
          <w:sz w:val="24"/>
          <w:lang w:val="es-ES_tradnl"/>
        </w:rPr>
        <w:t xml:space="preserve"> de </w:t>
      </w:r>
      <w:r>
        <w:rPr>
          <w:b/>
          <w:sz w:val="24"/>
          <w:lang w:val="es-ES_tradnl"/>
        </w:rPr>
        <w:t>octu</w:t>
      </w:r>
      <w:r w:rsidRPr="00D86EA5">
        <w:rPr>
          <w:b/>
          <w:sz w:val="24"/>
          <w:lang w:val="es-ES_tradnl"/>
        </w:rPr>
        <w:t>bre de 201</w:t>
      </w:r>
      <w:r>
        <w:rPr>
          <w:b/>
          <w:sz w:val="24"/>
          <w:lang w:val="es-ES_tradnl"/>
        </w:rPr>
        <w:t>5</w:t>
      </w:r>
    </w:p>
    <w:p w:rsidR="004F5393" w:rsidRPr="00D86EA5" w:rsidRDefault="004F5393" w:rsidP="004F5393">
      <w:pPr>
        <w:rPr>
          <w:lang w:val="es-ES_tradnl"/>
        </w:rPr>
      </w:pPr>
    </w:p>
    <w:p w:rsidR="004F5393" w:rsidRPr="00D86EA5" w:rsidRDefault="004F5393" w:rsidP="004F5393">
      <w:pPr>
        <w:rPr>
          <w:lang w:val="es-ES_tradnl"/>
        </w:rPr>
      </w:pPr>
    </w:p>
    <w:p w:rsidR="004F5393" w:rsidRPr="00D86EA5" w:rsidRDefault="004F5393" w:rsidP="004F5393">
      <w:pPr>
        <w:rPr>
          <w:lang w:val="es-ES_tradnl"/>
        </w:rPr>
      </w:pPr>
    </w:p>
    <w:p w:rsidR="004F5393" w:rsidRPr="00D86EA5" w:rsidRDefault="004F5393" w:rsidP="004F5393">
      <w:pPr>
        <w:rPr>
          <w:caps/>
          <w:sz w:val="24"/>
          <w:lang w:val="es-ES_tradnl"/>
        </w:rPr>
      </w:pPr>
      <w:r w:rsidRPr="00D86EA5">
        <w:rPr>
          <w:caps/>
          <w:sz w:val="24"/>
          <w:lang w:val="es-ES_tradnl"/>
        </w:rPr>
        <w:t>Informe sobre el rendimiento de los programas en 201</w:t>
      </w:r>
      <w:r>
        <w:rPr>
          <w:caps/>
          <w:sz w:val="24"/>
          <w:lang w:val="es-ES_tradnl"/>
        </w:rPr>
        <w:t>4</w:t>
      </w:r>
    </w:p>
    <w:p w:rsidR="004F5393" w:rsidRPr="00D86EA5" w:rsidRDefault="004F5393" w:rsidP="004F5393">
      <w:pPr>
        <w:rPr>
          <w:szCs w:val="22"/>
          <w:lang w:val="es-ES_tradnl"/>
        </w:rPr>
      </w:pPr>
    </w:p>
    <w:p w:rsidR="004F5393" w:rsidRPr="00D86EA5" w:rsidRDefault="004F5393" w:rsidP="004F5393">
      <w:pPr>
        <w:rPr>
          <w:i/>
          <w:szCs w:val="22"/>
          <w:lang w:val="es-ES_tradnl"/>
        </w:rPr>
      </w:pPr>
      <w:r w:rsidRPr="00D86EA5">
        <w:rPr>
          <w:i/>
          <w:szCs w:val="22"/>
          <w:lang w:val="es-ES_tradnl"/>
        </w:rPr>
        <w:t>presentado por el Director General</w:t>
      </w:r>
    </w:p>
    <w:p w:rsidR="004F5393" w:rsidRPr="00D86EA5" w:rsidRDefault="004F5393" w:rsidP="004F5393">
      <w:pPr>
        <w:rPr>
          <w:szCs w:val="22"/>
          <w:lang w:val="es-ES_tradnl"/>
        </w:rPr>
      </w:pPr>
    </w:p>
    <w:p w:rsidR="004F5393" w:rsidRPr="00D86EA5" w:rsidRDefault="004F5393" w:rsidP="004F5393">
      <w:pPr>
        <w:rPr>
          <w:szCs w:val="22"/>
          <w:lang w:val="es-ES_tradnl"/>
        </w:rPr>
      </w:pPr>
    </w:p>
    <w:p w:rsidR="004F5393" w:rsidRPr="00D86EA5" w:rsidRDefault="004F5393" w:rsidP="004F5393">
      <w:pPr>
        <w:rPr>
          <w:szCs w:val="22"/>
          <w:lang w:val="es-ES_tradnl"/>
        </w:rPr>
      </w:pPr>
    </w:p>
    <w:p w:rsidR="004F5393" w:rsidRPr="00D86EA5" w:rsidRDefault="004F5393" w:rsidP="004F5393">
      <w:pPr>
        <w:rPr>
          <w:szCs w:val="22"/>
          <w:lang w:val="es-ES_tradnl"/>
        </w:rPr>
      </w:pPr>
    </w:p>
    <w:p w:rsidR="004F5393" w:rsidRPr="00D86EA5" w:rsidRDefault="004F5393" w:rsidP="004F5393">
      <w:pPr>
        <w:rPr>
          <w:szCs w:val="22"/>
          <w:lang w:val="es-ES_tradnl"/>
        </w:rPr>
      </w:pPr>
    </w:p>
    <w:p w:rsidR="004F5393" w:rsidRDefault="004F5393" w:rsidP="004F5393">
      <w:pPr>
        <w:pStyle w:val="ONUME"/>
        <w:numPr>
          <w:ilvl w:val="0"/>
          <w:numId w:val="0"/>
        </w:numPr>
        <w:rPr>
          <w:szCs w:val="22"/>
          <w:lang w:val="es-ES_tradnl"/>
        </w:rPr>
      </w:pPr>
      <w:r>
        <w:rPr>
          <w:szCs w:val="22"/>
          <w:lang w:val="es-ES_tradnl"/>
        </w:rPr>
        <w:t>1.</w:t>
      </w:r>
      <w:r>
        <w:rPr>
          <w:szCs w:val="22"/>
          <w:lang w:val="es-ES_tradnl"/>
        </w:rPr>
        <w:tab/>
      </w:r>
      <w:r w:rsidRPr="00D86EA5">
        <w:rPr>
          <w:szCs w:val="22"/>
          <w:lang w:val="es-ES_tradnl"/>
        </w:rPr>
        <w:t>El presente documento contiene el informe sobre el rendimiento de los programas en</w:t>
      </w:r>
      <w:r>
        <w:rPr>
          <w:szCs w:val="22"/>
          <w:lang w:val="es-ES_tradnl"/>
        </w:rPr>
        <w:t> </w:t>
      </w:r>
      <w:r w:rsidRPr="00D86EA5">
        <w:rPr>
          <w:szCs w:val="22"/>
          <w:lang w:val="es-ES_tradnl"/>
        </w:rPr>
        <w:t>201</w:t>
      </w:r>
      <w:r>
        <w:rPr>
          <w:szCs w:val="22"/>
          <w:lang w:val="es-ES_tradnl"/>
        </w:rPr>
        <w:t>4</w:t>
      </w:r>
      <w:r w:rsidR="00BE1A45">
        <w:rPr>
          <w:szCs w:val="22"/>
          <w:lang w:val="es-ES_tradnl"/>
        </w:rPr>
        <w:t xml:space="preserve"> (documento WO/PBC/23/2)</w:t>
      </w:r>
      <w:r w:rsidRPr="00D86EA5">
        <w:rPr>
          <w:szCs w:val="22"/>
          <w:lang w:val="es-ES_tradnl"/>
        </w:rPr>
        <w:t xml:space="preserve">, que </w:t>
      </w:r>
      <w:r>
        <w:rPr>
          <w:szCs w:val="22"/>
          <w:lang w:val="es-ES_tradnl"/>
        </w:rPr>
        <w:t>fue presentado</w:t>
      </w:r>
      <w:r w:rsidRPr="00D86EA5">
        <w:rPr>
          <w:szCs w:val="22"/>
          <w:lang w:val="es-ES_tradnl"/>
        </w:rPr>
        <w:t xml:space="preserve"> en la vig</w:t>
      </w:r>
      <w:r>
        <w:rPr>
          <w:szCs w:val="22"/>
          <w:lang w:val="es-ES_tradnl"/>
        </w:rPr>
        <w:t>e</w:t>
      </w:r>
      <w:r w:rsidRPr="00D86EA5">
        <w:rPr>
          <w:szCs w:val="22"/>
          <w:lang w:val="es-ES_tradnl"/>
        </w:rPr>
        <w:t>sim</w:t>
      </w:r>
      <w:r>
        <w:rPr>
          <w:szCs w:val="22"/>
          <w:lang w:val="es-ES_tradnl"/>
        </w:rPr>
        <w:t>otercer</w:t>
      </w:r>
      <w:r w:rsidRPr="00D86EA5">
        <w:rPr>
          <w:szCs w:val="22"/>
          <w:lang w:val="es-ES_tradnl"/>
        </w:rPr>
        <w:t xml:space="preserve">a </w:t>
      </w:r>
      <w:r>
        <w:rPr>
          <w:szCs w:val="22"/>
          <w:lang w:val="es-ES_tradnl"/>
        </w:rPr>
        <w:t>sesión</w:t>
      </w:r>
      <w:r w:rsidRPr="00D86EA5">
        <w:rPr>
          <w:szCs w:val="22"/>
          <w:lang w:val="es-ES_tradnl"/>
        </w:rPr>
        <w:t xml:space="preserve"> del Comité del Programa y Presupuesto (PBC) de la OMPI</w:t>
      </w:r>
      <w:r w:rsidR="00BE1A45">
        <w:rPr>
          <w:szCs w:val="22"/>
          <w:lang w:val="es-ES_tradnl"/>
        </w:rPr>
        <w:t xml:space="preserve"> </w:t>
      </w:r>
      <w:r w:rsidR="00BE1A45" w:rsidRPr="00D86EA5">
        <w:rPr>
          <w:szCs w:val="22"/>
          <w:lang w:val="es-ES_tradnl"/>
        </w:rPr>
        <w:t>(1</w:t>
      </w:r>
      <w:r w:rsidR="00BE1A45">
        <w:rPr>
          <w:szCs w:val="22"/>
          <w:lang w:val="es-ES_tradnl"/>
        </w:rPr>
        <w:t>3</w:t>
      </w:r>
      <w:r w:rsidR="00BE1A45" w:rsidRPr="00D86EA5">
        <w:rPr>
          <w:szCs w:val="22"/>
          <w:lang w:val="es-ES_tradnl"/>
        </w:rPr>
        <w:t xml:space="preserve"> a </w:t>
      </w:r>
      <w:r w:rsidR="00BE1A45">
        <w:rPr>
          <w:szCs w:val="22"/>
          <w:lang w:val="es-ES_tradnl"/>
        </w:rPr>
        <w:t>17</w:t>
      </w:r>
      <w:r w:rsidR="00BE1A45" w:rsidRPr="00D86EA5">
        <w:rPr>
          <w:szCs w:val="22"/>
          <w:lang w:val="es-ES_tradnl"/>
        </w:rPr>
        <w:t xml:space="preserve"> de </w:t>
      </w:r>
      <w:r w:rsidR="00BE1A45">
        <w:rPr>
          <w:szCs w:val="22"/>
          <w:lang w:val="es-ES_tradnl"/>
        </w:rPr>
        <w:t>julio</w:t>
      </w:r>
      <w:r w:rsidR="00BE1A45" w:rsidRPr="00D86EA5">
        <w:rPr>
          <w:szCs w:val="22"/>
          <w:lang w:val="es-ES_tradnl"/>
        </w:rPr>
        <w:t xml:space="preserve"> de 201</w:t>
      </w:r>
      <w:r w:rsidR="00BE1A45">
        <w:rPr>
          <w:szCs w:val="22"/>
          <w:lang w:val="es-ES_tradnl"/>
        </w:rPr>
        <w:t>5</w:t>
      </w:r>
      <w:r w:rsidR="00BE1A45" w:rsidRPr="00D86EA5">
        <w:rPr>
          <w:szCs w:val="22"/>
          <w:lang w:val="es-ES_tradnl"/>
        </w:rPr>
        <w:t>)</w:t>
      </w:r>
      <w:r w:rsidRPr="00D86EA5">
        <w:rPr>
          <w:szCs w:val="22"/>
          <w:lang w:val="es-ES_tradnl"/>
        </w:rPr>
        <w:t>.</w:t>
      </w:r>
    </w:p>
    <w:p w:rsidR="004F5393" w:rsidRPr="00D86EA5" w:rsidRDefault="004F5393" w:rsidP="004F5393">
      <w:pPr>
        <w:pStyle w:val="ONUME"/>
        <w:numPr>
          <w:ilvl w:val="0"/>
          <w:numId w:val="0"/>
        </w:numPr>
        <w:ind w:right="-143"/>
        <w:rPr>
          <w:szCs w:val="22"/>
          <w:lang w:val="es-ES_tradnl"/>
        </w:rPr>
      </w:pPr>
      <w:r>
        <w:rPr>
          <w:szCs w:val="22"/>
          <w:lang w:val="es-ES_tradnl"/>
        </w:rPr>
        <w:t>2.</w:t>
      </w:r>
      <w:r>
        <w:rPr>
          <w:szCs w:val="22"/>
          <w:lang w:val="es-ES_tradnl"/>
        </w:rPr>
        <w:tab/>
      </w:r>
      <w:r w:rsidRPr="00D86EA5">
        <w:rPr>
          <w:szCs w:val="22"/>
          <w:lang w:val="es-ES_tradnl"/>
        </w:rPr>
        <w:t>Toda decisión que tome el PBC con respecto a</w:t>
      </w:r>
      <w:r>
        <w:rPr>
          <w:szCs w:val="22"/>
          <w:lang w:val="es-ES_tradnl"/>
        </w:rPr>
        <w:t xml:space="preserve"> este informe </w:t>
      </w:r>
      <w:r w:rsidRPr="00D86EA5">
        <w:rPr>
          <w:szCs w:val="22"/>
          <w:lang w:val="es-ES_tradnl"/>
        </w:rPr>
        <w:t xml:space="preserve">constará en </w:t>
      </w:r>
      <w:r>
        <w:rPr>
          <w:szCs w:val="22"/>
          <w:lang w:val="es-ES_tradnl"/>
        </w:rPr>
        <w:t>el documento sobre las</w:t>
      </w:r>
      <w:r w:rsidRPr="00D86EA5">
        <w:rPr>
          <w:szCs w:val="22"/>
          <w:lang w:val="es-ES_tradnl"/>
        </w:rPr>
        <w:t xml:space="preserve"> </w:t>
      </w:r>
      <w:r>
        <w:rPr>
          <w:szCs w:val="22"/>
          <w:lang w:val="es-ES_tradnl"/>
        </w:rPr>
        <w:t>d</w:t>
      </w:r>
      <w:r w:rsidRPr="00D86EA5">
        <w:rPr>
          <w:szCs w:val="22"/>
          <w:lang w:val="es-ES_tradnl"/>
        </w:rPr>
        <w:t xml:space="preserve">ecisiones adoptadas por el Comité del Programa y Presupuesto </w:t>
      </w:r>
      <w:r>
        <w:rPr>
          <w:szCs w:val="22"/>
          <w:lang w:val="es-ES_tradnl"/>
        </w:rPr>
        <w:t xml:space="preserve">(documento </w:t>
      </w:r>
      <w:r w:rsidRPr="00D86EA5">
        <w:rPr>
          <w:szCs w:val="22"/>
          <w:lang w:val="es-ES_tradnl"/>
        </w:rPr>
        <w:t>A/55</w:t>
      </w:r>
      <w:r>
        <w:rPr>
          <w:szCs w:val="22"/>
          <w:lang w:val="es-ES_tradnl"/>
        </w:rPr>
        <w:t>/4</w:t>
      </w:r>
      <w:r w:rsidRPr="00D86EA5">
        <w:rPr>
          <w:szCs w:val="22"/>
          <w:lang w:val="es-ES_tradnl"/>
        </w:rPr>
        <w:t xml:space="preserve">). </w:t>
      </w:r>
    </w:p>
    <w:p w:rsidR="004F5393" w:rsidRPr="00D86EA5" w:rsidRDefault="004F5393" w:rsidP="004F5393">
      <w:pPr>
        <w:pStyle w:val="ONUME"/>
        <w:numPr>
          <w:ilvl w:val="0"/>
          <w:numId w:val="0"/>
        </w:numPr>
        <w:tabs>
          <w:tab w:val="left" w:pos="6096"/>
        </w:tabs>
        <w:spacing w:after="0"/>
        <w:ind w:left="5533"/>
        <w:rPr>
          <w:i/>
          <w:szCs w:val="22"/>
          <w:lang w:val="es-ES_tradnl"/>
        </w:rPr>
      </w:pPr>
    </w:p>
    <w:p w:rsidR="004F5393" w:rsidRPr="00D86EA5" w:rsidRDefault="004F5393" w:rsidP="004F5393">
      <w:pPr>
        <w:pStyle w:val="ONUME"/>
        <w:numPr>
          <w:ilvl w:val="0"/>
          <w:numId w:val="0"/>
        </w:numPr>
        <w:tabs>
          <w:tab w:val="left" w:pos="6096"/>
        </w:tabs>
        <w:spacing w:after="0"/>
        <w:ind w:left="5533"/>
        <w:rPr>
          <w:i/>
          <w:szCs w:val="22"/>
          <w:lang w:val="es-ES_tradnl"/>
        </w:rPr>
      </w:pPr>
    </w:p>
    <w:p w:rsidR="004F5393" w:rsidRDefault="004F5393" w:rsidP="004F5393">
      <w:pPr>
        <w:pStyle w:val="Endofdocument-Annex"/>
        <w:ind w:left="5103"/>
        <w:rPr>
          <w:lang w:val="es-ES_tradnl"/>
        </w:rPr>
      </w:pPr>
      <w:r w:rsidRPr="00D86EA5">
        <w:rPr>
          <w:lang w:val="es-ES_tradnl"/>
        </w:rPr>
        <w:t>[Sigue el documento WO/PBC/2</w:t>
      </w:r>
      <w:r>
        <w:rPr>
          <w:lang w:val="es-ES_tradnl"/>
        </w:rPr>
        <w:t>3/</w:t>
      </w:r>
      <w:r w:rsidRPr="00D86EA5">
        <w:rPr>
          <w:lang w:val="es-ES_tradnl"/>
        </w:rPr>
        <w:t>2]</w:t>
      </w:r>
    </w:p>
    <w:p w:rsidR="004F5393" w:rsidRDefault="004F5393" w:rsidP="004F5393">
      <w:pPr>
        <w:rPr>
          <w:rStyle w:val="CharChar4"/>
        </w:rPr>
      </w:pPr>
    </w:p>
    <w:p w:rsidR="004F5393" w:rsidRPr="004F5393" w:rsidRDefault="004F5393" w:rsidP="004F5393">
      <w:pPr>
        <w:rPr>
          <w:rStyle w:val="CharChar4"/>
        </w:rPr>
      </w:pPr>
    </w:p>
    <w:p w:rsidR="004F5393" w:rsidRDefault="004F5393" w:rsidP="00AB613D">
      <w:pPr>
        <w:sectPr w:rsidR="004F5393" w:rsidSect="00C9105A">
          <w:headerReference w:type="even" r:id="rId10"/>
          <w:headerReference w:type="default" r:id="rId11"/>
          <w:footerReference w:type="default" r:id="rId12"/>
          <w:pgSz w:w="11907" w:h="16840" w:code="9"/>
          <w:pgMar w:top="567" w:right="1134" w:bottom="1418" w:left="1418" w:header="510" w:footer="1021" w:gutter="0"/>
          <w:cols w:space="720"/>
          <w:titlePg/>
          <w:docGrid w:linePitch="299"/>
        </w:sectPr>
      </w:pPr>
    </w:p>
    <w:p w:rsidR="004F5393" w:rsidRDefault="004F5393" w:rsidP="00AB613D">
      <w:pPr>
        <w:sectPr w:rsidR="004F5393" w:rsidSect="00C9105A">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9C17AE" w:rsidRPr="00526311" w:rsidTr="0088395E">
        <w:tc>
          <w:tcPr>
            <w:tcW w:w="4513" w:type="dxa"/>
            <w:tcBorders>
              <w:bottom w:val="single" w:sz="4" w:space="0" w:color="auto"/>
            </w:tcBorders>
            <w:tcMar>
              <w:bottom w:w="170" w:type="dxa"/>
            </w:tcMar>
          </w:tcPr>
          <w:p w:rsidR="00E504E5" w:rsidRPr="00526311" w:rsidRDefault="00E504E5" w:rsidP="00AB613D"/>
        </w:tc>
        <w:tc>
          <w:tcPr>
            <w:tcW w:w="4337" w:type="dxa"/>
            <w:tcBorders>
              <w:bottom w:val="single" w:sz="4" w:space="0" w:color="auto"/>
            </w:tcBorders>
            <w:tcMar>
              <w:left w:w="0" w:type="dxa"/>
              <w:right w:w="0" w:type="dxa"/>
            </w:tcMar>
          </w:tcPr>
          <w:p w:rsidR="00E504E5" w:rsidRPr="00526311" w:rsidRDefault="00C12F15" w:rsidP="00AB613D">
            <w:r w:rsidRPr="00526311">
              <w:rPr>
                <w:noProof/>
                <w:lang w:val="en-US" w:eastAsia="en-US"/>
              </w:rPr>
              <w:drawing>
                <wp:inline distT="0" distB="0" distL="0" distR="0" wp14:anchorId="7AB3AA19" wp14:editId="5991773E">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526311" w:rsidRDefault="0040159A" w:rsidP="00F7421C">
            <w:pPr>
              <w:jc w:val="right"/>
            </w:pPr>
            <w:r w:rsidRPr="00526311">
              <w:rPr>
                <w:b/>
                <w:sz w:val="40"/>
                <w:szCs w:val="40"/>
              </w:rPr>
              <w:t>S</w:t>
            </w:r>
          </w:p>
        </w:tc>
      </w:tr>
      <w:tr w:rsidR="009C17AE" w:rsidRPr="00526311"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526311" w:rsidRDefault="00F7421C" w:rsidP="00F7421C">
            <w:pPr>
              <w:jc w:val="right"/>
              <w:rPr>
                <w:rFonts w:ascii="Arial Black" w:hAnsi="Arial Black"/>
                <w:caps/>
                <w:sz w:val="15"/>
              </w:rPr>
            </w:pPr>
            <w:r w:rsidRPr="00526311">
              <w:rPr>
                <w:rFonts w:ascii="Arial Black" w:hAnsi="Arial Black"/>
                <w:caps/>
                <w:sz w:val="15"/>
              </w:rPr>
              <w:t>WO/PBC/23/2</w:t>
            </w:r>
          </w:p>
        </w:tc>
      </w:tr>
      <w:tr w:rsidR="009C17AE" w:rsidRPr="00526311" w:rsidTr="00AB613D">
        <w:trPr>
          <w:trHeight w:hRule="exact" w:val="170"/>
        </w:trPr>
        <w:tc>
          <w:tcPr>
            <w:tcW w:w="9356" w:type="dxa"/>
            <w:gridSpan w:val="3"/>
            <w:noWrap/>
            <w:tcMar>
              <w:left w:w="0" w:type="dxa"/>
              <w:right w:w="0" w:type="dxa"/>
            </w:tcMar>
            <w:vAlign w:val="bottom"/>
          </w:tcPr>
          <w:p w:rsidR="008B2CC1" w:rsidRPr="00526311" w:rsidRDefault="008B2CC1" w:rsidP="00AB613D">
            <w:pPr>
              <w:jc w:val="right"/>
              <w:rPr>
                <w:rFonts w:ascii="Arial Black" w:hAnsi="Arial Black"/>
                <w:caps/>
                <w:sz w:val="15"/>
              </w:rPr>
            </w:pPr>
            <w:r w:rsidRPr="00526311">
              <w:rPr>
                <w:rFonts w:ascii="Arial Black" w:hAnsi="Arial Black"/>
                <w:caps/>
                <w:sz w:val="15"/>
              </w:rPr>
              <w:t>ORIGINAL:</w:t>
            </w:r>
            <w:r w:rsidR="00F84474" w:rsidRPr="00526311">
              <w:rPr>
                <w:rFonts w:ascii="Arial Black" w:hAnsi="Arial Black"/>
                <w:caps/>
                <w:sz w:val="15"/>
              </w:rPr>
              <w:t xml:space="preserve"> </w:t>
            </w:r>
            <w:r w:rsidRPr="00526311">
              <w:rPr>
                <w:rFonts w:ascii="Arial Black" w:hAnsi="Arial Black"/>
                <w:caps/>
                <w:sz w:val="15"/>
              </w:rPr>
              <w:t xml:space="preserve"> </w:t>
            </w:r>
            <w:bookmarkStart w:id="1" w:name="Original"/>
            <w:bookmarkEnd w:id="1"/>
            <w:r w:rsidR="00C9105A" w:rsidRPr="00526311">
              <w:rPr>
                <w:rFonts w:ascii="Arial Black" w:hAnsi="Arial Black"/>
                <w:caps/>
                <w:sz w:val="15"/>
              </w:rPr>
              <w:t>INGLÉS</w:t>
            </w:r>
          </w:p>
        </w:tc>
      </w:tr>
      <w:tr w:rsidR="008B2CC1" w:rsidRPr="00526311" w:rsidTr="00AB613D">
        <w:trPr>
          <w:trHeight w:hRule="exact" w:val="198"/>
        </w:trPr>
        <w:tc>
          <w:tcPr>
            <w:tcW w:w="9356" w:type="dxa"/>
            <w:gridSpan w:val="3"/>
            <w:tcMar>
              <w:left w:w="0" w:type="dxa"/>
              <w:right w:w="0" w:type="dxa"/>
            </w:tcMar>
            <w:vAlign w:val="bottom"/>
          </w:tcPr>
          <w:p w:rsidR="008B2CC1" w:rsidRPr="00526311" w:rsidRDefault="00675021" w:rsidP="00CE7F12">
            <w:pPr>
              <w:jc w:val="right"/>
              <w:rPr>
                <w:rFonts w:ascii="Arial Black" w:hAnsi="Arial Black"/>
                <w:caps/>
                <w:sz w:val="15"/>
              </w:rPr>
            </w:pPr>
            <w:r w:rsidRPr="00526311">
              <w:rPr>
                <w:rFonts w:ascii="Arial Black" w:hAnsi="Arial Black"/>
                <w:caps/>
                <w:sz w:val="15"/>
              </w:rPr>
              <w:t>fecha</w:t>
            </w:r>
            <w:r w:rsidR="008B2CC1" w:rsidRPr="00526311">
              <w:rPr>
                <w:rFonts w:ascii="Arial Black" w:hAnsi="Arial Black"/>
                <w:caps/>
                <w:sz w:val="15"/>
              </w:rPr>
              <w:t>:</w:t>
            </w:r>
            <w:r w:rsidR="00F84474" w:rsidRPr="00526311">
              <w:rPr>
                <w:rFonts w:ascii="Arial Black" w:hAnsi="Arial Black"/>
                <w:caps/>
                <w:sz w:val="15"/>
              </w:rPr>
              <w:t xml:space="preserve"> </w:t>
            </w:r>
            <w:r w:rsidR="008B2CC1" w:rsidRPr="00526311">
              <w:rPr>
                <w:rFonts w:ascii="Arial Black" w:hAnsi="Arial Black"/>
                <w:caps/>
                <w:sz w:val="15"/>
              </w:rPr>
              <w:t xml:space="preserve"> </w:t>
            </w:r>
            <w:bookmarkStart w:id="2" w:name="Date"/>
            <w:bookmarkEnd w:id="2"/>
            <w:r w:rsidR="00CE7F12" w:rsidRPr="00526311">
              <w:rPr>
                <w:rFonts w:ascii="Arial Black" w:hAnsi="Arial Black"/>
                <w:caps/>
                <w:sz w:val="15"/>
              </w:rPr>
              <w:t xml:space="preserve">15 de junio </w:t>
            </w:r>
            <w:r w:rsidR="00C9105A" w:rsidRPr="00526311">
              <w:rPr>
                <w:rFonts w:ascii="Arial Black" w:hAnsi="Arial Black"/>
                <w:caps/>
                <w:sz w:val="15"/>
              </w:rPr>
              <w:t>DE 2015</w:t>
            </w:r>
          </w:p>
        </w:tc>
      </w:tr>
    </w:tbl>
    <w:p w:rsidR="00F7421C" w:rsidRPr="00526311" w:rsidRDefault="00F7421C" w:rsidP="008B2CC1"/>
    <w:p w:rsidR="00F7421C" w:rsidRPr="00526311" w:rsidRDefault="00F7421C" w:rsidP="008B2CC1"/>
    <w:p w:rsidR="00F7421C" w:rsidRPr="00526311" w:rsidRDefault="00F7421C" w:rsidP="008B2CC1"/>
    <w:p w:rsidR="00F7421C" w:rsidRPr="00526311" w:rsidRDefault="00F7421C" w:rsidP="008B2CC1"/>
    <w:p w:rsidR="00F7421C" w:rsidRPr="00526311" w:rsidRDefault="00F7421C" w:rsidP="008B2CC1"/>
    <w:p w:rsidR="00F7421C" w:rsidRPr="00526311" w:rsidRDefault="00C12F15" w:rsidP="00C12F15">
      <w:pPr>
        <w:rPr>
          <w:b/>
          <w:sz w:val="28"/>
          <w:szCs w:val="28"/>
        </w:rPr>
      </w:pPr>
      <w:r w:rsidRPr="00526311">
        <w:rPr>
          <w:b/>
          <w:sz w:val="28"/>
          <w:szCs w:val="28"/>
        </w:rPr>
        <w:t>Comité del Programa y Presupuesto</w:t>
      </w:r>
    </w:p>
    <w:p w:rsidR="00F7421C" w:rsidRPr="00526311" w:rsidRDefault="00F7421C" w:rsidP="003845C1"/>
    <w:p w:rsidR="00F7421C" w:rsidRPr="00526311" w:rsidRDefault="00F7421C" w:rsidP="003845C1"/>
    <w:p w:rsidR="00F7421C" w:rsidRPr="00526311" w:rsidRDefault="00C12F15" w:rsidP="00C12F15">
      <w:pPr>
        <w:rPr>
          <w:b/>
          <w:sz w:val="24"/>
          <w:szCs w:val="24"/>
        </w:rPr>
      </w:pPr>
      <w:r w:rsidRPr="00526311">
        <w:rPr>
          <w:b/>
          <w:sz w:val="24"/>
          <w:szCs w:val="24"/>
        </w:rPr>
        <w:t>Vigesimotercera sesión</w:t>
      </w:r>
    </w:p>
    <w:p w:rsidR="00F7421C" w:rsidRPr="00526311" w:rsidRDefault="00C12F15" w:rsidP="00C12F15">
      <w:pPr>
        <w:rPr>
          <w:b/>
          <w:sz w:val="24"/>
          <w:szCs w:val="24"/>
        </w:rPr>
      </w:pPr>
      <w:r w:rsidRPr="00526311">
        <w:rPr>
          <w:b/>
          <w:sz w:val="24"/>
          <w:szCs w:val="24"/>
        </w:rPr>
        <w:t>Ginebra, 13 a 17 de julio de 2015</w:t>
      </w:r>
    </w:p>
    <w:p w:rsidR="00F7421C" w:rsidRPr="00526311" w:rsidRDefault="00F7421C" w:rsidP="008B2CC1"/>
    <w:p w:rsidR="00F7421C" w:rsidRPr="00526311" w:rsidRDefault="00F7421C" w:rsidP="008B2CC1"/>
    <w:p w:rsidR="00F7421C" w:rsidRPr="00526311" w:rsidRDefault="00F7421C" w:rsidP="008B2CC1"/>
    <w:p w:rsidR="00F7421C" w:rsidRPr="00526311" w:rsidRDefault="00CA51AE" w:rsidP="008B2CC1">
      <w:pPr>
        <w:rPr>
          <w:caps/>
          <w:sz w:val="24"/>
        </w:rPr>
      </w:pPr>
      <w:bookmarkStart w:id="3" w:name="TitleOfDoc"/>
      <w:bookmarkEnd w:id="3"/>
      <w:r w:rsidRPr="00526311">
        <w:rPr>
          <w:caps/>
          <w:sz w:val="24"/>
        </w:rPr>
        <w:t>Informe sobre el rendimiento de los programas en 2014</w:t>
      </w:r>
    </w:p>
    <w:p w:rsidR="00F7421C" w:rsidRPr="00526311" w:rsidRDefault="00F7421C" w:rsidP="008B2CC1"/>
    <w:p w:rsidR="00F7421C" w:rsidRPr="00526311" w:rsidRDefault="00F2789A" w:rsidP="008B2CC1">
      <w:pPr>
        <w:rPr>
          <w:i/>
        </w:rPr>
      </w:pPr>
      <w:bookmarkStart w:id="4" w:name="Prepared"/>
      <w:bookmarkEnd w:id="4"/>
      <w:r w:rsidRPr="00526311">
        <w:rPr>
          <w:i/>
        </w:rPr>
        <w:t xml:space="preserve">presentado </w:t>
      </w:r>
      <w:r w:rsidR="00CA51AE" w:rsidRPr="00526311">
        <w:rPr>
          <w:i/>
        </w:rPr>
        <w:t>por el Director General</w:t>
      </w:r>
    </w:p>
    <w:p w:rsidR="00F7421C" w:rsidRPr="00526311" w:rsidRDefault="00F7421C" w:rsidP="003845C1"/>
    <w:p w:rsidR="00F7421C" w:rsidRPr="00526311" w:rsidRDefault="00F7421C"/>
    <w:p w:rsidR="00F7421C" w:rsidRPr="00526311" w:rsidRDefault="00F7421C"/>
    <w:p w:rsidR="00F7421C" w:rsidRPr="00526311" w:rsidRDefault="00F7421C"/>
    <w:p w:rsidR="00F7421C" w:rsidRPr="00526311" w:rsidRDefault="00004E1F" w:rsidP="00F7421C">
      <w:pPr>
        <w:rPr>
          <w:szCs w:val="22"/>
        </w:rPr>
      </w:pPr>
      <w:r w:rsidRPr="00526311">
        <w:rPr>
          <w:szCs w:val="22"/>
        </w:rPr>
        <w:t>1.</w:t>
      </w:r>
      <w:r w:rsidRPr="00526311">
        <w:rPr>
          <w:szCs w:val="22"/>
        </w:rPr>
        <w:tab/>
      </w:r>
      <w:r w:rsidR="00F7421C" w:rsidRPr="00526311">
        <w:rPr>
          <w:szCs w:val="22"/>
        </w:rPr>
        <w:t xml:space="preserve">El Informe sobre el rendimiento de los programas (en lo sucesivo “el </w:t>
      </w:r>
      <w:r w:rsidR="00AA0C32" w:rsidRPr="00526311">
        <w:rPr>
          <w:szCs w:val="22"/>
        </w:rPr>
        <w:t xml:space="preserve">documento </w:t>
      </w:r>
      <w:r w:rsidR="00F7421C" w:rsidRPr="00526311">
        <w:rPr>
          <w:szCs w:val="22"/>
        </w:rPr>
        <w:t>PPR”, de sus siglas en inglés) en 2014 ha sido preparado de conformidad con el marco de gestión por resultados de la OMPI.</w:t>
      </w:r>
      <w:r w:rsidR="00816F0F" w:rsidRPr="00526311">
        <w:rPr>
          <w:szCs w:val="22"/>
        </w:rPr>
        <w:t xml:space="preserve">  </w:t>
      </w:r>
      <w:r w:rsidRPr="00526311">
        <w:rPr>
          <w:szCs w:val="22"/>
        </w:rPr>
        <w:t>El presente informe se basa en los criterios de rendimiento establecidos en el Presupuesto por Programas de 2014/15, tal como fue aprobado por las Asambleas de los Estados miembros de la OMPI en diciembre de 2013 (publicación N</w:t>
      </w:r>
      <w:r w:rsidR="008761B9" w:rsidRPr="00526311">
        <w:rPr>
          <w:szCs w:val="22"/>
        </w:rPr>
        <w:t>º</w:t>
      </w:r>
      <w:r w:rsidRPr="00526311">
        <w:rPr>
          <w:szCs w:val="22"/>
        </w:rPr>
        <w:t> 360</w:t>
      </w:r>
      <w:r w:rsidR="009C17AE" w:rsidRPr="00526311">
        <w:rPr>
          <w:szCs w:val="22"/>
        </w:rPr>
        <w:t>S</w:t>
      </w:r>
      <w:r w:rsidRPr="00526311">
        <w:rPr>
          <w:szCs w:val="22"/>
        </w:rPr>
        <w:t xml:space="preserve">/PB14/15).  </w:t>
      </w:r>
      <w:r w:rsidR="009C17AE" w:rsidRPr="00526311">
        <w:rPr>
          <w:szCs w:val="22"/>
        </w:rPr>
        <w:t>El informe constituye la evaluación de los avances logrados en</w:t>
      </w:r>
      <w:r w:rsidR="00816F0F" w:rsidRPr="00526311">
        <w:rPr>
          <w:szCs w:val="22"/>
        </w:rPr>
        <w:t xml:space="preserve"> 2014</w:t>
      </w:r>
      <w:r w:rsidR="009C17AE" w:rsidRPr="00526311">
        <w:rPr>
          <w:szCs w:val="22"/>
        </w:rPr>
        <w:t xml:space="preserve"> hacia la consecución de los resultados previstos en el bienio</w:t>
      </w:r>
      <w:r w:rsidR="00816F0F" w:rsidRPr="00526311">
        <w:rPr>
          <w:szCs w:val="22"/>
        </w:rPr>
        <w:t xml:space="preserve"> 2014/15.</w:t>
      </w:r>
    </w:p>
    <w:p w:rsidR="00F7421C" w:rsidRPr="00526311" w:rsidRDefault="00F7421C" w:rsidP="00816F0F">
      <w:pPr>
        <w:rPr>
          <w:color w:val="000000"/>
          <w:szCs w:val="22"/>
        </w:rPr>
      </w:pPr>
    </w:p>
    <w:p w:rsidR="00F7421C" w:rsidRPr="00526311" w:rsidRDefault="00816F0F" w:rsidP="00F1387F">
      <w:pPr>
        <w:pStyle w:val="ListParagraph"/>
        <w:tabs>
          <w:tab w:val="left" w:pos="1134"/>
          <w:tab w:val="left" w:pos="6390"/>
        </w:tabs>
        <w:ind w:left="5954"/>
        <w:contextualSpacing/>
        <w:rPr>
          <w:rFonts w:cs="Arial"/>
          <w:i/>
          <w:sz w:val="22"/>
          <w:szCs w:val="22"/>
          <w:lang w:val="es-ES"/>
        </w:rPr>
      </w:pPr>
      <w:r w:rsidRPr="00526311">
        <w:rPr>
          <w:i/>
          <w:sz w:val="22"/>
          <w:szCs w:val="22"/>
          <w:lang w:val="es-ES"/>
        </w:rPr>
        <w:t>2.</w:t>
      </w:r>
      <w:r w:rsidRPr="00526311">
        <w:rPr>
          <w:sz w:val="22"/>
          <w:szCs w:val="22"/>
          <w:lang w:val="es-ES"/>
        </w:rPr>
        <w:tab/>
      </w:r>
      <w:r w:rsidR="00F1387F" w:rsidRPr="00526311">
        <w:rPr>
          <w:i/>
          <w:sz w:val="22"/>
          <w:szCs w:val="22"/>
          <w:lang w:val="es-ES"/>
        </w:rPr>
        <w:t xml:space="preserve">Tras </w:t>
      </w:r>
      <w:r w:rsidR="00004E1F" w:rsidRPr="00526311">
        <w:rPr>
          <w:i/>
          <w:sz w:val="22"/>
          <w:szCs w:val="22"/>
          <w:lang w:val="es-ES"/>
        </w:rPr>
        <w:t xml:space="preserve">revisar el detallado Informe sobre el </w:t>
      </w:r>
      <w:r w:rsidR="00F1387F" w:rsidRPr="00526311">
        <w:rPr>
          <w:i/>
          <w:sz w:val="22"/>
          <w:szCs w:val="22"/>
          <w:lang w:val="es-ES"/>
        </w:rPr>
        <w:t xml:space="preserve">rendimiento </w:t>
      </w:r>
      <w:r w:rsidR="00004E1F" w:rsidRPr="00526311">
        <w:rPr>
          <w:i/>
          <w:sz w:val="22"/>
          <w:szCs w:val="22"/>
          <w:lang w:val="es-ES"/>
        </w:rPr>
        <w:t xml:space="preserve">de los </w:t>
      </w:r>
      <w:r w:rsidR="00F1387F" w:rsidRPr="00526311">
        <w:rPr>
          <w:i/>
          <w:sz w:val="22"/>
          <w:szCs w:val="22"/>
          <w:lang w:val="es-ES"/>
        </w:rPr>
        <w:t>programas</w:t>
      </w:r>
      <w:r w:rsidR="003D3C62" w:rsidRPr="00526311">
        <w:rPr>
          <w:i/>
          <w:sz w:val="22"/>
          <w:szCs w:val="22"/>
          <w:lang w:val="es-ES"/>
        </w:rPr>
        <w:t xml:space="preserve"> </w:t>
      </w:r>
      <w:r w:rsidR="00004E1F" w:rsidRPr="00526311">
        <w:rPr>
          <w:i/>
          <w:sz w:val="22"/>
          <w:szCs w:val="22"/>
          <w:lang w:val="es-ES"/>
        </w:rPr>
        <w:t xml:space="preserve">en </w:t>
      </w:r>
      <w:r w:rsidRPr="00526311">
        <w:rPr>
          <w:i/>
          <w:sz w:val="22"/>
          <w:szCs w:val="22"/>
          <w:lang w:val="es-ES"/>
        </w:rPr>
        <w:t>2014 (document</w:t>
      </w:r>
      <w:r w:rsidR="00004E1F" w:rsidRPr="00526311">
        <w:rPr>
          <w:i/>
          <w:sz w:val="22"/>
          <w:szCs w:val="22"/>
          <w:lang w:val="es-ES"/>
        </w:rPr>
        <w:t>o</w:t>
      </w:r>
      <w:r w:rsidRPr="00526311">
        <w:rPr>
          <w:i/>
          <w:sz w:val="22"/>
          <w:szCs w:val="22"/>
          <w:lang w:val="es-ES"/>
        </w:rPr>
        <w:t xml:space="preserve"> WO/PBC/23/2), </w:t>
      </w:r>
      <w:r w:rsidR="009C17AE" w:rsidRPr="00526311">
        <w:rPr>
          <w:i/>
          <w:sz w:val="22"/>
          <w:szCs w:val="22"/>
          <w:lang w:val="es-ES"/>
        </w:rPr>
        <w:t>y reconoc</w:t>
      </w:r>
      <w:r w:rsidR="00EC5630" w:rsidRPr="00526311">
        <w:rPr>
          <w:i/>
          <w:sz w:val="22"/>
          <w:szCs w:val="22"/>
          <w:lang w:val="es-ES"/>
        </w:rPr>
        <w:t>i</w:t>
      </w:r>
      <w:r w:rsidR="009C17AE" w:rsidRPr="00526311">
        <w:rPr>
          <w:i/>
          <w:sz w:val="22"/>
          <w:szCs w:val="22"/>
          <w:lang w:val="es-ES"/>
        </w:rPr>
        <w:t>e</w:t>
      </w:r>
      <w:r w:rsidR="00EC5630" w:rsidRPr="00526311">
        <w:rPr>
          <w:i/>
          <w:sz w:val="22"/>
          <w:szCs w:val="22"/>
          <w:lang w:val="es-ES"/>
        </w:rPr>
        <w:t>ndo</w:t>
      </w:r>
      <w:r w:rsidR="009C17AE" w:rsidRPr="00526311">
        <w:rPr>
          <w:i/>
          <w:sz w:val="22"/>
          <w:szCs w:val="22"/>
          <w:lang w:val="es-ES"/>
        </w:rPr>
        <w:t xml:space="preserve"> que constituye una autoevaluación por parte de la Secretaría, </w:t>
      </w:r>
      <w:r w:rsidR="00F1387F" w:rsidRPr="00526311">
        <w:rPr>
          <w:i/>
          <w:sz w:val="22"/>
          <w:szCs w:val="22"/>
          <w:lang w:val="es-ES"/>
        </w:rPr>
        <w:t xml:space="preserve">el Comité del Programa y Presupuesto </w:t>
      </w:r>
      <w:r w:rsidR="009C17AE" w:rsidRPr="00526311">
        <w:rPr>
          <w:i/>
          <w:sz w:val="22"/>
          <w:szCs w:val="22"/>
          <w:lang w:val="es-ES"/>
        </w:rPr>
        <w:t xml:space="preserve">recomendó que las Asambleas de los Estados miembros de la OMPI </w:t>
      </w:r>
      <w:r w:rsidRPr="00526311">
        <w:rPr>
          <w:i/>
          <w:sz w:val="22"/>
          <w:szCs w:val="22"/>
          <w:lang w:val="es-ES"/>
        </w:rPr>
        <w:t xml:space="preserve"> </w:t>
      </w:r>
      <w:r w:rsidR="00EC5630" w:rsidRPr="00526311">
        <w:rPr>
          <w:i/>
          <w:sz w:val="22"/>
          <w:szCs w:val="22"/>
          <w:lang w:val="es-ES"/>
        </w:rPr>
        <w:t>reconozcan los avances logrados en</w:t>
      </w:r>
      <w:r w:rsidR="00EC5630" w:rsidRPr="00526311">
        <w:rPr>
          <w:rFonts w:cs="Arial"/>
          <w:i/>
          <w:sz w:val="22"/>
          <w:szCs w:val="22"/>
          <w:lang w:val="es-ES"/>
        </w:rPr>
        <w:t xml:space="preserve"> </w:t>
      </w:r>
      <w:r w:rsidRPr="00526311">
        <w:rPr>
          <w:rFonts w:cs="Arial"/>
          <w:i/>
          <w:sz w:val="22"/>
          <w:szCs w:val="22"/>
          <w:lang w:val="es-ES"/>
        </w:rPr>
        <w:t>2014</w:t>
      </w:r>
      <w:r w:rsidR="00EC5630" w:rsidRPr="00526311">
        <w:rPr>
          <w:rFonts w:cs="Arial"/>
          <w:i/>
          <w:sz w:val="22"/>
          <w:szCs w:val="22"/>
          <w:lang w:val="es-ES"/>
        </w:rPr>
        <w:t xml:space="preserve"> hacia la consecución de los resultados previstos.</w:t>
      </w:r>
      <w:r w:rsidRPr="00526311">
        <w:rPr>
          <w:rFonts w:cs="Arial"/>
          <w:i/>
          <w:sz w:val="22"/>
          <w:szCs w:val="22"/>
          <w:lang w:val="es-ES"/>
        </w:rPr>
        <w:t xml:space="preserve"> </w:t>
      </w:r>
    </w:p>
    <w:p w:rsidR="00F7421C" w:rsidRPr="00526311" w:rsidRDefault="00F7421C" w:rsidP="00A37F74">
      <w:pPr>
        <w:pStyle w:val="DecisionInvitingPara"/>
        <w:tabs>
          <w:tab w:val="left" w:pos="6096"/>
        </w:tabs>
        <w:spacing w:after="0" w:line="240" w:lineRule="auto"/>
        <w:ind w:left="5529" w:firstLine="5"/>
        <w:rPr>
          <w:sz w:val="22"/>
          <w:szCs w:val="22"/>
          <w:lang w:val="es-ES"/>
        </w:rPr>
      </w:pPr>
    </w:p>
    <w:p w:rsidR="00F7421C" w:rsidRPr="00526311" w:rsidRDefault="00F7421C" w:rsidP="00A37F74">
      <w:pPr>
        <w:pStyle w:val="DecisionInvitingPara"/>
        <w:spacing w:after="0" w:line="240" w:lineRule="auto"/>
        <w:ind w:left="6237" w:hanging="703"/>
        <w:rPr>
          <w:sz w:val="22"/>
          <w:szCs w:val="22"/>
          <w:lang w:val="es-ES"/>
        </w:rPr>
      </w:pPr>
    </w:p>
    <w:p w:rsidR="00152CEA" w:rsidRPr="00526311" w:rsidRDefault="00F7421C" w:rsidP="00A37F74">
      <w:pPr>
        <w:pStyle w:val="DecisionInvitingPara"/>
        <w:spacing w:after="0" w:line="240" w:lineRule="auto"/>
        <w:rPr>
          <w:i w:val="0"/>
          <w:sz w:val="22"/>
          <w:szCs w:val="22"/>
          <w:lang w:val="es-ES"/>
        </w:rPr>
      </w:pPr>
      <w:r w:rsidRPr="00526311">
        <w:rPr>
          <w:i w:val="0"/>
          <w:sz w:val="22"/>
          <w:szCs w:val="22"/>
          <w:lang w:val="es-ES"/>
        </w:rPr>
        <w:t>[Sigue el Informe sobre el rendimiento de los programas en 2014]</w:t>
      </w:r>
    </w:p>
    <w:p w:rsidR="00A37F74" w:rsidRPr="00526311" w:rsidRDefault="00A37F74">
      <w:pPr>
        <w:rPr>
          <w:rFonts w:eastAsia="Times New Roman" w:cs="Times New Roman"/>
          <w:color w:val="808080"/>
          <w:szCs w:val="22"/>
          <w:lang w:eastAsia="en-US"/>
        </w:rPr>
      </w:pPr>
      <w:r w:rsidRPr="00526311">
        <w:rPr>
          <w:i/>
          <w:color w:val="808080"/>
          <w:szCs w:val="22"/>
        </w:rPr>
        <w:br w:type="page"/>
      </w:r>
    </w:p>
    <w:p w:rsidR="00A37F74" w:rsidRPr="00526311" w:rsidRDefault="00A37F74" w:rsidP="00A37F74">
      <w:pPr>
        <w:pStyle w:val="DecisionInvitingPara"/>
        <w:spacing w:after="0" w:line="240" w:lineRule="auto"/>
        <w:rPr>
          <w:i w:val="0"/>
          <w:color w:val="808080"/>
          <w:sz w:val="22"/>
          <w:szCs w:val="22"/>
          <w:lang w:val="es-ES"/>
        </w:rPr>
      </w:pPr>
    </w:p>
    <w:p w:rsidR="00CB4436" w:rsidRPr="00526311" w:rsidRDefault="00CB4436" w:rsidP="00CB4436"/>
    <w:p w:rsidR="002C550C" w:rsidRPr="00526311" w:rsidRDefault="002C550C" w:rsidP="00CB4436">
      <w:pPr>
        <w:sectPr w:rsidR="002C550C" w:rsidRPr="00526311" w:rsidSect="004B4857">
          <w:pgSz w:w="11907" w:h="16840" w:code="9"/>
          <w:pgMar w:top="567" w:right="1134" w:bottom="1418" w:left="1418" w:header="510" w:footer="1021" w:gutter="0"/>
          <w:pgNumType w:start="1"/>
          <w:cols w:space="720"/>
          <w:titlePg/>
          <w:docGrid w:linePitch="299"/>
        </w:sectPr>
      </w:pPr>
    </w:p>
    <w:p w:rsidR="00A37F74" w:rsidRPr="00526311" w:rsidRDefault="00A37F74" w:rsidP="002C550C">
      <w:pPr>
        <w:jc w:val="center"/>
        <w:rPr>
          <w:b/>
          <w:caps/>
          <w:szCs w:val="22"/>
        </w:rPr>
      </w:pPr>
    </w:p>
    <w:p w:rsidR="002C550C" w:rsidRPr="00526311" w:rsidRDefault="002C550C" w:rsidP="002C550C">
      <w:pPr>
        <w:jc w:val="center"/>
        <w:rPr>
          <w:b/>
          <w:caps/>
          <w:szCs w:val="22"/>
        </w:rPr>
      </w:pPr>
      <w:r w:rsidRPr="00526311">
        <w:rPr>
          <w:b/>
          <w:caps/>
          <w:szCs w:val="22"/>
        </w:rPr>
        <w:t>Informe sobre el rendimiento de los programas en 2014</w:t>
      </w:r>
    </w:p>
    <w:p w:rsidR="002C550C" w:rsidRPr="00526311" w:rsidRDefault="002C550C" w:rsidP="002C550C">
      <w:pPr>
        <w:jc w:val="center"/>
        <w:rPr>
          <w:b/>
          <w:caps/>
          <w:szCs w:val="22"/>
        </w:rPr>
      </w:pPr>
    </w:p>
    <w:p w:rsidR="002C550C" w:rsidRPr="00526311" w:rsidRDefault="002C550C" w:rsidP="002C550C">
      <w:pPr>
        <w:jc w:val="center"/>
        <w:rPr>
          <w:b/>
          <w:caps/>
          <w:szCs w:val="22"/>
        </w:rPr>
      </w:pPr>
    </w:p>
    <w:p w:rsidR="002C550C" w:rsidRPr="00526311" w:rsidRDefault="002C550C" w:rsidP="002C550C">
      <w:pPr>
        <w:jc w:val="center"/>
        <w:rPr>
          <w:caps/>
          <w:szCs w:val="22"/>
        </w:rPr>
      </w:pPr>
      <w:r w:rsidRPr="00526311">
        <w:rPr>
          <w:caps/>
          <w:szCs w:val="22"/>
        </w:rPr>
        <w:t>ÍNDICE</w:t>
      </w:r>
    </w:p>
    <w:p w:rsidR="00A37F74" w:rsidRPr="00526311" w:rsidRDefault="00A37F74" w:rsidP="002C550C">
      <w:pPr>
        <w:jc w:val="center"/>
        <w:rPr>
          <w:caps/>
          <w:szCs w:val="22"/>
        </w:rPr>
      </w:pPr>
    </w:p>
    <w:p w:rsidR="006C3168" w:rsidRPr="00940D07" w:rsidRDefault="00A54CE8" w:rsidP="00172EF1">
      <w:pPr>
        <w:pStyle w:val="TOC1"/>
        <w:rPr>
          <w:rFonts w:eastAsiaTheme="minorEastAsia" w:cstheme="minorBidi"/>
          <w:lang w:val="en-US"/>
        </w:rPr>
      </w:pPr>
      <w:r w:rsidRPr="00940D07">
        <w:rPr>
          <w:caps/>
          <w:lang w:val="es-ES"/>
        </w:rPr>
        <w:fldChar w:fldCharType="begin"/>
      </w:r>
      <w:r w:rsidRPr="00940D07">
        <w:rPr>
          <w:caps/>
          <w:lang w:val="es-ES"/>
        </w:rPr>
        <w:instrText xml:space="preserve"> TOC \o "1-3" \h \z \u </w:instrText>
      </w:r>
      <w:r w:rsidRPr="00940D07">
        <w:rPr>
          <w:caps/>
          <w:lang w:val="es-ES"/>
        </w:rPr>
        <w:fldChar w:fldCharType="separate"/>
      </w:r>
      <w:hyperlink w:anchor="_Toc422927398" w:history="1">
        <w:r w:rsidR="006C3168" w:rsidRPr="00940D07">
          <w:rPr>
            <w:rStyle w:val="Hyperlink"/>
            <w:color w:val="auto"/>
          </w:rPr>
          <w:t>I.</w:t>
        </w:r>
        <w:r w:rsidR="006C3168" w:rsidRPr="00940D07">
          <w:rPr>
            <w:rFonts w:eastAsiaTheme="minorEastAsia" w:cstheme="minorBidi"/>
            <w:lang w:val="en-US"/>
          </w:rPr>
          <w:tab/>
        </w:r>
        <w:r w:rsidR="006C3168" w:rsidRPr="00940D07">
          <w:rPr>
            <w:rStyle w:val="Hyperlink"/>
            <w:color w:val="auto"/>
          </w:rPr>
          <w:t>INTRODUCCIÓN</w:t>
        </w:r>
        <w:r w:rsidR="006C3168" w:rsidRPr="00940D07">
          <w:rPr>
            <w:webHidden/>
          </w:rPr>
          <w:tab/>
        </w:r>
        <w:r w:rsidR="006C3168" w:rsidRPr="00940D07">
          <w:rPr>
            <w:webHidden/>
          </w:rPr>
          <w:fldChar w:fldCharType="begin"/>
        </w:r>
        <w:r w:rsidR="006C3168" w:rsidRPr="00940D07">
          <w:rPr>
            <w:webHidden/>
          </w:rPr>
          <w:instrText xml:space="preserve"> PAGEREF _Toc422927398 \h </w:instrText>
        </w:r>
        <w:r w:rsidR="006C3168" w:rsidRPr="00940D07">
          <w:rPr>
            <w:webHidden/>
          </w:rPr>
        </w:r>
        <w:r w:rsidR="006C3168" w:rsidRPr="00940D07">
          <w:rPr>
            <w:webHidden/>
          </w:rPr>
          <w:fldChar w:fldCharType="separate"/>
        </w:r>
        <w:r w:rsidR="00EE6BCA">
          <w:rPr>
            <w:webHidden/>
          </w:rPr>
          <w:t>3</w:t>
        </w:r>
        <w:r w:rsidR="006C3168" w:rsidRPr="00940D07">
          <w:rPr>
            <w:webHidden/>
          </w:rPr>
          <w:fldChar w:fldCharType="end"/>
        </w:r>
      </w:hyperlink>
    </w:p>
    <w:p w:rsidR="006C3168" w:rsidRPr="00940D07" w:rsidRDefault="00EE6BCA" w:rsidP="00172EF1">
      <w:pPr>
        <w:pStyle w:val="TOC1"/>
        <w:rPr>
          <w:rFonts w:eastAsiaTheme="minorEastAsia" w:cstheme="minorBidi"/>
          <w:lang w:val="en-US"/>
        </w:rPr>
      </w:pPr>
      <w:hyperlink w:anchor="_Toc422927399" w:history="1">
        <w:r w:rsidR="006C3168" w:rsidRPr="00940D07">
          <w:rPr>
            <w:rStyle w:val="Hyperlink"/>
            <w:color w:val="auto"/>
          </w:rPr>
          <w:t>II.</w:t>
        </w:r>
        <w:r w:rsidR="006C3168" w:rsidRPr="00940D07">
          <w:rPr>
            <w:rFonts w:eastAsiaTheme="minorEastAsia" w:cstheme="minorBidi"/>
            <w:lang w:val="en-US"/>
          </w:rPr>
          <w:tab/>
        </w:r>
        <w:r w:rsidR="006C3168" w:rsidRPr="00940D07">
          <w:rPr>
            <w:rStyle w:val="Hyperlink"/>
            <w:color w:val="auto"/>
          </w:rPr>
          <w:t>RESEÑA GENERAL DE LOS AVANCES LOGRADOS EN 2014</w:t>
        </w:r>
        <w:r w:rsidR="006C3168" w:rsidRPr="00940D07">
          <w:rPr>
            <w:webHidden/>
          </w:rPr>
          <w:tab/>
        </w:r>
        <w:r w:rsidR="006C3168" w:rsidRPr="00940D07">
          <w:rPr>
            <w:webHidden/>
          </w:rPr>
          <w:fldChar w:fldCharType="begin"/>
        </w:r>
        <w:r w:rsidR="006C3168" w:rsidRPr="00940D07">
          <w:rPr>
            <w:webHidden/>
          </w:rPr>
          <w:instrText xml:space="preserve"> PAGEREF _Toc422927399 \h </w:instrText>
        </w:r>
        <w:r w:rsidR="006C3168" w:rsidRPr="00940D07">
          <w:rPr>
            <w:webHidden/>
          </w:rPr>
        </w:r>
        <w:r w:rsidR="006C3168" w:rsidRPr="00940D07">
          <w:rPr>
            <w:webHidden/>
          </w:rPr>
          <w:fldChar w:fldCharType="separate"/>
        </w:r>
        <w:r>
          <w:rPr>
            <w:webHidden/>
          </w:rPr>
          <w:t>4</w:t>
        </w:r>
        <w:r w:rsidR="006C3168" w:rsidRPr="00940D07">
          <w:rPr>
            <w:webHidden/>
          </w:rPr>
          <w:fldChar w:fldCharType="end"/>
        </w:r>
      </w:hyperlink>
    </w:p>
    <w:p w:rsidR="006C3168" w:rsidRPr="00940D07" w:rsidRDefault="00EE6BCA" w:rsidP="00172EF1">
      <w:pPr>
        <w:pStyle w:val="TOC1"/>
        <w:rPr>
          <w:rStyle w:val="Hyperlink"/>
          <w:color w:val="auto"/>
        </w:rPr>
      </w:pPr>
      <w:hyperlink w:anchor="_Toc422927400" w:history="1">
        <w:r w:rsidR="006C3168" w:rsidRPr="00940D07">
          <w:rPr>
            <w:rStyle w:val="Hyperlink"/>
            <w:color w:val="auto"/>
          </w:rPr>
          <w:t>III.</w:t>
        </w:r>
        <w:r w:rsidR="006C3168" w:rsidRPr="00940D07">
          <w:rPr>
            <w:rStyle w:val="Hyperlink"/>
            <w:color w:val="auto"/>
          </w:rPr>
          <w:tab/>
          <w:t>PANORAMA DE LOS AVANCES LOGRADOS EN 2014, POR META ESTRATÉGICA</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_Toc422927400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20</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Fonts w:eastAsiaTheme="minorEastAsia" w:cstheme="minorBidi"/>
        </w:rPr>
      </w:pPr>
      <w:hyperlink w:anchor="_Toc422927401" w:history="1">
        <w:r w:rsidR="006C3168" w:rsidRPr="00940D07">
          <w:rPr>
            <w:rStyle w:val="Hyperlink"/>
            <w:rFonts w:ascii="Arial" w:hAnsi="Arial"/>
            <w:color w:val="auto"/>
            <w:lang w:val="es-ES"/>
          </w:rPr>
          <w:t>META ESTRATÉGICA I</w:t>
        </w:r>
        <w:r w:rsidR="006C3168" w:rsidRPr="00940D07">
          <w:rPr>
            <w:webHidden/>
          </w:rPr>
          <w:tab/>
        </w:r>
        <w:r w:rsidR="006C3168" w:rsidRPr="00940D07">
          <w:rPr>
            <w:webHidden/>
          </w:rPr>
          <w:fldChar w:fldCharType="begin"/>
        </w:r>
        <w:r w:rsidR="006C3168" w:rsidRPr="00940D07">
          <w:rPr>
            <w:webHidden/>
          </w:rPr>
          <w:instrText xml:space="preserve"> PAGEREF _Toc422927401 \h </w:instrText>
        </w:r>
        <w:r w:rsidR="006C3168" w:rsidRPr="00940D07">
          <w:rPr>
            <w:webHidden/>
          </w:rPr>
        </w:r>
        <w:r w:rsidR="006C3168" w:rsidRPr="00940D07">
          <w:rPr>
            <w:webHidden/>
          </w:rPr>
          <w:fldChar w:fldCharType="separate"/>
        </w:r>
        <w:r>
          <w:rPr>
            <w:webHidden/>
          </w:rPr>
          <w:t>20</w:t>
        </w:r>
        <w:r w:rsidR="006C3168" w:rsidRPr="00940D07">
          <w:rPr>
            <w:webHidden/>
          </w:rPr>
          <w:fldChar w:fldCharType="end"/>
        </w:r>
      </w:hyperlink>
    </w:p>
    <w:p w:rsidR="006C3168" w:rsidRPr="00940D07" w:rsidRDefault="00EE6BCA" w:rsidP="00172EF1">
      <w:pPr>
        <w:pStyle w:val="TOC2"/>
        <w:tabs>
          <w:tab w:val="right" w:leader="dot" w:pos="9072"/>
        </w:tabs>
        <w:rPr>
          <w:rFonts w:eastAsiaTheme="minorEastAsia" w:cstheme="minorBidi"/>
        </w:rPr>
      </w:pPr>
      <w:hyperlink w:anchor="_Toc422927402" w:history="1">
        <w:r w:rsidR="006C3168" w:rsidRPr="00940D07">
          <w:rPr>
            <w:rStyle w:val="Hyperlink"/>
            <w:color w:val="auto"/>
          </w:rPr>
          <w:t>PROGRAMA 1</w:t>
        </w:r>
        <w:r w:rsidR="006C3168" w:rsidRPr="00940D07">
          <w:rPr>
            <w:rFonts w:eastAsiaTheme="minorEastAsia" w:cstheme="minorBidi"/>
          </w:rPr>
          <w:tab/>
        </w:r>
        <w:r w:rsidR="006C3168" w:rsidRPr="00940D07">
          <w:rPr>
            <w:rStyle w:val="Hyperlink"/>
            <w:color w:val="auto"/>
          </w:rPr>
          <w:t>DERECHO DE PATENTES</w:t>
        </w:r>
        <w:r w:rsidR="006C3168" w:rsidRPr="00940D07">
          <w:rPr>
            <w:webHidden/>
          </w:rPr>
          <w:tab/>
        </w:r>
        <w:r w:rsidR="006C3168" w:rsidRPr="00940D07">
          <w:rPr>
            <w:webHidden/>
          </w:rPr>
          <w:fldChar w:fldCharType="begin"/>
        </w:r>
        <w:r w:rsidR="006C3168" w:rsidRPr="00940D07">
          <w:rPr>
            <w:webHidden/>
          </w:rPr>
          <w:instrText xml:space="preserve"> PAGEREF _Toc422927402 \h </w:instrText>
        </w:r>
        <w:r w:rsidR="006C3168" w:rsidRPr="00940D07">
          <w:rPr>
            <w:webHidden/>
          </w:rPr>
        </w:r>
        <w:r w:rsidR="006C3168" w:rsidRPr="00940D07">
          <w:rPr>
            <w:webHidden/>
          </w:rPr>
          <w:fldChar w:fldCharType="separate"/>
        </w:r>
        <w:r>
          <w:rPr>
            <w:webHidden/>
          </w:rPr>
          <w:t>22</w:t>
        </w:r>
        <w:r w:rsidR="006C3168" w:rsidRPr="00940D07">
          <w:rPr>
            <w:webHidden/>
          </w:rPr>
          <w:fldChar w:fldCharType="end"/>
        </w:r>
      </w:hyperlink>
    </w:p>
    <w:p w:rsidR="006C3168" w:rsidRPr="00940D07" w:rsidRDefault="00EE6BCA" w:rsidP="00172EF1">
      <w:pPr>
        <w:pStyle w:val="TOC2"/>
        <w:tabs>
          <w:tab w:val="right" w:leader="dot" w:pos="9072"/>
        </w:tabs>
        <w:rPr>
          <w:rStyle w:val="Hyperlink"/>
          <w:color w:val="auto"/>
        </w:rPr>
      </w:pPr>
      <w:hyperlink w:anchor="_Toc422927403" w:history="1">
        <w:r w:rsidR="006C3168" w:rsidRPr="00940D07">
          <w:rPr>
            <w:rStyle w:val="Hyperlink"/>
            <w:color w:val="auto"/>
          </w:rPr>
          <w:t>PROGRAMA 2</w:t>
        </w:r>
        <w:r w:rsidR="006C3168" w:rsidRPr="00940D07">
          <w:rPr>
            <w:rStyle w:val="Hyperlink"/>
            <w:color w:val="auto"/>
          </w:rPr>
          <w:tab/>
          <w:t>MARCAS, DISEÑOS INDUSTRIALES E INDICACIONES GEOGRÁFICAS</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_Toc422927403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26</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Style w:val="Hyperlink"/>
          <w:color w:val="auto"/>
        </w:rPr>
      </w:pPr>
      <w:hyperlink w:anchor="_Toc422927404" w:history="1">
        <w:r w:rsidR="006C3168" w:rsidRPr="00940D07">
          <w:rPr>
            <w:rStyle w:val="Hyperlink"/>
            <w:color w:val="auto"/>
          </w:rPr>
          <w:t>PROGRAMA 3</w:t>
        </w:r>
        <w:r w:rsidR="006C3168" w:rsidRPr="00940D07">
          <w:rPr>
            <w:rStyle w:val="Hyperlink"/>
            <w:color w:val="auto"/>
          </w:rPr>
          <w:tab/>
          <w:t>DERECHO DE AUTOR Y DERECHOS CONEXOS</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_Toc422927404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30</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Fonts w:eastAsiaTheme="minorEastAsia" w:cstheme="minorBidi"/>
        </w:rPr>
      </w:pPr>
      <w:hyperlink w:anchor="_Toc422927405" w:history="1">
        <w:r w:rsidR="006C3168" w:rsidRPr="00940D07">
          <w:rPr>
            <w:rStyle w:val="Hyperlink"/>
            <w:color w:val="auto"/>
          </w:rPr>
          <w:t>PROGRAMA 4</w:t>
        </w:r>
        <w:r w:rsidR="006C3168" w:rsidRPr="00940D07">
          <w:rPr>
            <w:rFonts w:eastAsiaTheme="minorEastAsia" w:cstheme="minorBidi"/>
          </w:rPr>
          <w:tab/>
        </w:r>
        <w:r w:rsidR="006C3168" w:rsidRPr="00940D07">
          <w:rPr>
            <w:rStyle w:val="Hyperlink"/>
            <w:color w:val="auto"/>
          </w:rPr>
          <w:t>CONOCIMIENTOS TRADICIONALES, EXPRESIONES CULTURALES TRADICIONALES Y RECURSOS GENÉTICOS</w:t>
        </w:r>
        <w:r w:rsidR="006C3168" w:rsidRPr="00940D07">
          <w:rPr>
            <w:webHidden/>
          </w:rPr>
          <w:tab/>
        </w:r>
        <w:r w:rsidR="006C3168" w:rsidRPr="00940D07">
          <w:rPr>
            <w:webHidden/>
          </w:rPr>
          <w:fldChar w:fldCharType="begin"/>
        </w:r>
        <w:r w:rsidR="006C3168" w:rsidRPr="00940D07">
          <w:rPr>
            <w:webHidden/>
          </w:rPr>
          <w:instrText xml:space="preserve"> PAGEREF _Toc422927405 \h </w:instrText>
        </w:r>
        <w:r w:rsidR="006C3168" w:rsidRPr="00940D07">
          <w:rPr>
            <w:webHidden/>
          </w:rPr>
        </w:r>
        <w:r w:rsidR="006C3168" w:rsidRPr="00940D07">
          <w:rPr>
            <w:webHidden/>
          </w:rPr>
          <w:fldChar w:fldCharType="separate"/>
        </w:r>
        <w:r>
          <w:rPr>
            <w:webHidden/>
          </w:rPr>
          <w:t>38</w:t>
        </w:r>
        <w:r w:rsidR="006C3168" w:rsidRPr="00940D07">
          <w:rPr>
            <w:webHidden/>
          </w:rPr>
          <w:fldChar w:fldCharType="end"/>
        </w:r>
      </w:hyperlink>
    </w:p>
    <w:p w:rsidR="006C3168" w:rsidRPr="00940D07" w:rsidRDefault="00EE6BCA" w:rsidP="00172EF1">
      <w:pPr>
        <w:pStyle w:val="TOC2"/>
        <w:tabs>
          <w:tab w:val="right" w:leader="dot" w:pos="9072"/>
        </w:tabs>
        <w:rPr>
          <w:rStyle w:val="Hyperlink"/>
          <w:rFonts w:ascii="Arial" w:hAnsi="Arial"/>
          <w:color w:val="auto"/>
          <w:lang w:val="es-ES"/>
        </w:rPr>
      </w:pPr>
      <w:hyperlink w:anchor="_Toc422927406" w:history="1">
        <w:r w:rsidR="006C3168" w:rsidRPr="00940D07">
          <w:rPr>
            <w:rStyle w:val="Hyperlink"/>
            <w:rFonts w:ascii="Arial" w:hAnsi="Arial"/>
            <w:color w:val="auto"/>
            <w:lang w:val="es-ES"/>
          </w:rPr>
          <w:t>META ESTRATÉGICA II</w:t>
        </w:r>
        <w:r w:rsidR="006C3168" w:rsidRPr="00940D07">
          <w:rPr>
            <w:rStyle w:val="Hyperlink"/>
            <w:rFonts w:ascii="Arial" w:hAnsi="Arial"/>
            <w:webHidden/>
            <w:color w:val="auto"/>
            <w:lang w:val="es-ES"/>
          </w:rPr>
          <w:tab/>
        </w:r>
        <w:r w:rsidR="006C3168" w:rsidRPr="00940D07">
          <w:rPr>
            <w:rStyle w:val="Hyperlink"/>
            <w:rFonts w:ascii="Arial" w:hAnsi="Arial"/>
            <w:webHidden/>
            <w:color w:val="auto"/>
            <w:lang w:val="es-ES"/>
          </w:rPr>
          <w:fldChar w:fldCharType="begin"/>
        </w:r>
        <w:r w:rsidR="006C3168" w:rsidRPr="00940D07">
          <w:rPr>
            <w:rStyle w:val="Hyperlink"/>
            <w:rFonts w:ascii="Arial" w:hAnsi="Arial"/>
            <w:webHidden/>
            <w:color w:val="auto"/>
            <w:lang w:val="es-ES"/>
          </w:rPr>
          <w:instrText xml:space="preserve"> PAGEREF _Toc422927406 \h </w:instrText>
        </w:r>
        <w:r w:rsidR="006C3168" w:rsidRPr="00940D07">
          <w:rPr>
            <w:rStyle w:val="Hyperlink"/>
            <w:rFonts w:ascii="Arial" w:hAnsi="Arial"/>
            <w:webHidden/>
            <w:color w:val="auto"/>
            <w:lang w:val="es-ES"/>
          </w:rPr>
        </w:r>
        <w:r w:rsidR="006C3168" w:rsidRPr="00940D07">
          <w:rPr>
            <w:rStyle w:val="Hyperlink"/>
            <w:rFonts w:ascii="Arial" w:hAnsi="Arial"/>
            <w:webHidden/>
            <w:color w:val="auto"/>
            <w:lang w:val="es-ES"/>
          </w:rPr>
          <w:fldChar w:fldCharType="separate"/>
        </w:r>
        <w:r>
          <w:rPr>
            <w:rStyle w:val="Hyperlink"/>
            <w:rFonts w:ascii="Arial" w:hAnsi="Arial"/>
            <w:webHidden/>
            <w:color w:val="auto"/>
            <w:lang w:val="es-ES"/>
          </w:rPr>
          <w:t>41</w:t>
        </w:r>
        <w:r w:rsidR="006C3168" w:rsidRPr="00940D07">
          <w:rPr>
            <w:rStyle w:val="Hyperlink"/>
            <w:rFonts w:ascii="Arial" w:hAnsi="Arial"/>
            <w:webHidden/>
            <w:color w:val="auto"/>
            <w:lang w:val="es-ES"/>
          </w:rPr>
          <w:fldChar w:fldCharType="end"/>
        </w:r>
      </w:hyperlink>
    </w:p>
    <w:p w:rsidR="006C3168" w:rsidRPr="00940D07" w:rsidRDefault="00EE6BCA" w:rsidP="00172EF1">
      <w:pPr>
        <w:pStyle w:val="TOC2"/>
        <w:tabs>
          <w:tab w:val="right" w:leader="dot" w:pos="9072"/>
        </w:tabs>
        <w:rPr>
          <w:rStyle w:val="Hyperlink"/>
          <w:color w:val="auto"/>
        </w:rPr>
      </w:pPr>
      <w:hyperlink w:anchor="_Toc422927407" w:history="1">
        <w:r w:rsidR="006C3168" w:rsidRPr="00940D07">
          <w:rPr>
            <w:rStyle w:val="Hyperlink"/>
            <w:color w:val="auto"/>
          </w:rPr>
          <w:t>PROGRAMA 5</w:t>
        </w:r>
        <w:r w:rsidR="006C3168" w:rsidRPr="00940D07">
          <w:rPr>
            <w:rStyle w:val="Hyperlink"/>
            <w:color w:val="auto"/>
          </w:rPr>
          <w:tab/>
          <w:t>SISTEMA DEL PCT</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_Toc422927407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45</w:t>
        </w:r>
        <w:r w:rsidR="006C3168" w:rsidRPr="00940D07">
          <w:rPr>
            <w:rStyle w:val="Hyperlink"/>
            <w:webHidden/>
            <w:color w:val="auto"/>
          </w:rPr>
          <w:fldChar w:fldCharType="end"/>
        </w:r>
      </w:hyperlink>
    </w:p>
    <w:p w:rsidR="006C3168" w:rsidRPr="00940D07" w:rsidRDefault="00EE6BCA">
      <w:pPr>
        <w:pStyle w:val="TOC3"/>
        <w:rPr>
          <w:rFonts w:eastAsiaTheme="minorEastAsia" w:cstheme="minorBidi"/>
          <w:i w:val="0"/>
          <w:iCs w:val="0"/>
          <w:lang w:val="en-US"/>
        </w:rPr>
      </w:pPr>
      <w:hyperlink w:anchor="_Toc422927408" w:history="1">
        <w:r w:rsidR="006C3168" w:rsidRPr="00940D07">
          <w:rPr>
            <w:rStyle w:val="Hyperlink"/>
            <w:color w:val="auto"/>
            <w:lang w:val="es-ES"/>
          </w:rPr>
          <w:t>Programa 5, Anexo:  Indicadores de las operaciones del PCT</w:t>
        </w:r>
        <w:r w:rsidR="006C3168" w:rsidRPr="00940D07">
          <w:rPr>
            <w:webHidden/>
          </w:rPr>
          <w:tab/>
        </w:r>
        <w:r w:rsidR="006C3168" w:rsidRPr="00940D07">
          <w:rPr>
            <w:webHidden/>
          </w:rPr>
          <w:fldChar w:fldCharType="begin"/>
        </w:r>
        <w:r w:rsidR="006C3168" w:rsidRPr="00940D07">
          <w:rPr>
            <w:webHidden/>
          </w:rPr>
          <w:instrText xml:space="preserve"> PAGEREF _Toc422927408 \h </w:instrText>
        </w:r>
        <w:r w:rsidR="006C3168" w:rsidRPr="00940D07">
          <w:rPr>
            <w:webHidden/>
          </w:rPr>
        </w:r>
        <w:r w:rsidR="006C3168" w:rsidRPr="00940D07">
          <w:rPr>
            <w:webHidden/>
          </w:rPr>
          <w:fldChar w:fldCharType="separate"/>
        </w:r>
        <w:r>
          <w:rPr>
            <w:webHidden/>
          </w:rPr>
          <w:t>50</w:t>
        </w:r>
        <w:r w:rsidR="006C3168" w:rsidRPr="00940D07">
          <w:rPr>
            <w:webHidden/>
          </w:rPr>
          <w:fldChar w:fldCharType="end"/>
        </w:r>
      </w:hyperlink>
    </w:p>
    <w:p w:rsidR="006C3168" w:rsidRPr="00940D07" w:rsidRDefault="00EE6BCA" w:rsidP="00172EF1">
      <w:pPr>
        <w:pStyle w:val="TOC2"/>
        <w:tabs>
          <w:tab w:val="right" w:leader="dot" w:pos="9072"/>
        </w:tabs>
        <w:rPr>
          <w:rStyle w:val="Hyperlink"/>
          <w:color w:val="auto"/>
        </w:rPr>
      </w:pPr>
      <w:hyperlink w:anchor="_Toc422927409" w:history="1">
        <w:r w:rsidR="006C3168" w:rsidRPr="00940D07">
          <w:rPr>
            <w:rStyle w:val="Hyperlink"/>
            <w:color w:val="auto"/>
          </w:rPr>
          <w:t>PROGRAMA 6</w:t>
        </w:r>
        <w:r w:rsidR="006C3168" w:rsidRPr="00940D07">
          <w:rPr>
            <w:rStyle w:val="Hyperlink"/>
            <w:color w:val="auto"/>
          </w:rPr>
          <w:tab/>
          <w:t>SISTEMAS DE MADRID Y DE LISBOA</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_Toc422927409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62</w:t>
        </w:r>
        <w:r w:rsidR="006C3168" w:rsidRPr="00940D07">
          <w:rPr>
            <w:rStyle w:val="Hyperlink"/>
            <w:webHidden/>
            <w:color w:val="auto"/>
          </w:rPr>
          <w:fldChar w:fldCharType="end"/>
        </w:r>
      </w:hyperlink>
    </w:p>
    <w:p w:rsidR="006C3168" w:rsidRPr="00940D07" w:rsidRDefault="00EE6BCA">
      <w:pPr>
        <w:pStyle w:val="TOC3"/>
        <w:rPr>
          <w:rFonts w:eastAsiaTheme="minorEastAsia" w:cstheme="minorBidi"/>
          <w:i w:val="0"/>
          <w:iCs w:val="0"/>
          <w:lang w:val="en-US"/>
        </w:rPr>
      </w:pPr>
      <w:hyperlink w:anchor="_Toc422927410" w:history="1">
        <w:r w:rsidR="006C3168" w:rsidRPr="00940D07">
          <w:rPr>
            <w:rStyle w:val="Hyperlink"/>
            <w:color w:val="auto"/>
            <w:lang w:val="es-ES"/>
          </w:rPr>
          <w:t>Programa 6, Anexo:  Indicadores de las operaciones del Sistema de Madrid</w:t>
        </w:r>
        <w:r w:rsidR="006C3168" w:rsidRPr="00940D07">
          <w:rPr>
            <w:webHidden/>
          </w:rPr>
          <w:tab/>
        </w:r>
        <w:r w:rsidR="006C3168" w:rsidRPr="00940D07">
          <w:rPr>
            <w:webHidden/>
          </w:rPr>
          <w:fldChar w:fldCharType="begin"/>
        </w:r>
        <w:r w:rsidR="006C3168" w:rsidRPr="00940D07">
          <w:rPr>
            <w:webHidden/>
          </w:rPr>
          <w:instrText xml:space="preserve"> PAGEREF _Toc422927410 \h </w:instrText>
        </w:r>
        <w:r w:rsidR="006C3168" w:rsidRPr="00940D07">
          <w:rPr>
            <w:webHidden/>
          </w:rPr>
        </w:r>
        <w:r w:rsidR="006C3168" w:rsidRPr="00940D07">
          <w:rPr>
            <w:webHidden/>
          </w:rPr>
          <w:fldChar w:fldCharType="separate"/>
        </w:r>
        <w:r>
          <w:rPr>
            <w:webHidden/>
          </w:rPr>
          <w:t>68</w:t>
        </w:r>
        <w:r w:rsidR="006C3168" w:rsidRPr="00940D07">
          <w:rPr>
            <w:webHidden/>
          </w:rPr>
          <w:fldChar w:fldCharType="end"/>
        </w:r>
      </w:hyperlink>
    </w:p>
    <w:p w:rsidR="006C3168" w:rsidRPr="00940D07" w:rsidRDefault="00EE6BCA" w:rsidP="00172EF1">
      <w:pPr>
        <w:pStyle w:val="TOC2"/>
        <w:tabs>
          <w:tab w:val="right" w:leader="dot" w:pos="9072"/>
        </w:tabs>
        <w:rPr>
          <w:rStyle w:val="Hyperlink"/>
          <w:color w:val="auto"/>
        </w:rPr>
      </w:pPr>
      <w:hyperlink w:anchor="_Toc422927411" w:history="1">
        <w:r w:rsidR="006C3168" w:rsidRPr="00940D07">
          <w:rPr>
            <w:rStyle w:val="Hyperlink"/>
            <w:color w:val="auto"/>
          </w:rPr>
          <w:t>PROGRAMA 31</w:t>
        </w:r>
        <w:r w:rsidR="006C3168" w:rsidRPr="00940D07">
          <w:rPr>
            <w:rStyle w:val="Hyperlink"/>
            <w:color w:val="auto"/>
          </w:rPr>
          <w:tab/>
          <w:t>SISTEMA DE LA HAYA</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_Toc422927411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80</w:t>
        </w:r>
        <w:r w:rsidR="006C3168" w:rsidRPr="00940D07">
          <w:rPr>
            <w:rStyle w:val="Hyperlink"/>
            <w:webHidden/>
            <w:color w:val="auto"/>
          </w:rPr>
          <w:fldChar w:fldCharType="end"/>
        </w:r>
      </w:hyperlink>
    </w:p>
    <w:p w:rsidR="006C3168" w:rsidRPr="00940D07" w:rsidRDefault="00EE6BCA">
      <w:pPr>
        <w:pStyle w:val="TOC3"/>
        <w:rPr>
          <w:rFonts w:eastAsiaTheme="minorEastAsia" w:cstheme="minorBidi"/>
          <w:i w:val="0"/>
          <w:iCs w:val="0"/>
          <w:lang w:val="en-US"/>
        </w:rPr>
      </w:pPr>
      <w:hyperlink w:anchor="_Toc422927412" w:history="1">
        <w:r w:rsidR="006C3168" w:rsidRPr="00940D07">
          <w:rPr>
            <w:rStyle w:val="Hyperlink"/>
            <w:color w:val="auto"/>
            <w:lang w:val="es-ES"/>
          </w:rPr>
          <w:t>Programa 31, Anexo:  Indicadores de las operaciones del Sistema de La Haya</w:t>
        </w:r>
        <w:r w:rsidR="006C3168" w:rsidRPr="00940D07">
          <w:rPr>
            <w:webHidden/>
          </w:rPr>
          <w:tab/>
        </w:r>
        <w:r w:rsidR="006C3168" w:rsidRPr="00940D07">
          <w:rPr>
            <w:webHidden/>
          </w:rPr>
          <w:fldChar w:fldCharType="begin"/>
        </w:r>
        <w:r w:rsidR="006C3168" w:rsidRPr="00940D07">
          <w:rPr>
            <w:webHidden/>
          </w:rPr>
          <w:instrText xml:space="preserve"> PAGEREF _Toc422927412 \h </w:instrText>
        </w:r>
        <w:r w:rsidR="006C3168" w:rsidRPr="00940D07">
          <w:rPr>
            <w:webHidden/>
          </w:rPr>
        </w:r>
        <w:r w:rsidR="006C3168" w:rsidRPr="00940D07">
          <w:rPr>
            <w:webHidden/>
          </w:rPr>
          <w:fldChar w:fldCharType="separate"/>
        </w:r>
        <w:r>
          <w:rPr>
            <w:webHidden/>
          </w:rPr>
          <w:t>84</w:t>
        </w:r>
        <w:r w:rsidR="006C3168" w:rsidRPr="00940D07">
          <w:rPr>
            <w:webHidden/>
          </w:rPr>
          <w:fldChar w:fldCharType="end"/>
        </w:r>
      </w:hyperlink>
    </w:p>
    <w:p w:rsidR="006C3168" w:rsidRPr="00940D07" w:rsidRDefault="00EE6BCA" w:rsidP="00172EF1">
      <w:pPr>
        <w:pStyle w:val="TOC2"/>
        <w:tabs>
          <w:tab w:val="right" w:leader="dot" w:pos="9072"/>
        </w:tabs>
        <w:rPr>
          <w:rStyle w:val="Hyperlink"/>
          <w:color w:val="auto"/>
        </w:rPr>
      </w:pPr>
      <w:hyperlink w:anchor="_Toc422927413" w:history="1">
        <w:r w:rsidR="006C3168" w:rsidRPr="00940D07">
          <w:rPr>
            <w:rStyle w:val="Hyperlink"/>
            <w:color w:val="auto"/>
          </w:rPr>
          <w:t>PROGRAMA 7</w:t>
        </w:r>
        <w:r w:rsidR="006C3168" w:rsidRPr="00940D07">
          <w:rPr>
            <w:rStyle w:val="Hyperlink"/>
            <w:color w:val="auto"/>
          </w:rPr>
          <w:tab/>
          <w:t>ARBITRAJE, MEDIACIÓN Y NOMBRES DE DOMINIO</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_Toc422927413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92</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Style w:val="Hyperlink"/>
          <w:rFonts w:ascii="Arial" w:hAnsi="Arial"/>
          <w:color w:val="auto"/>
          <w:lang w:val="es-ES"/>
        </w:rPr>
      </w:pPr>
      <w:hyperlink w:anchor="_Toc422927414" w:history="1">
        <w:r w:rsidR="006C3168" w:rsidRPr="00940D07">
          <w:rPr>
            <w:rStyle w:val="Hyperlink"/>
            <w:rFonts w:ascii="Arial" w:hAnsi="Arial"/>
            <w:color w:val="auto"/>
            <w:lang w:val="es-ES"/>
          </w:rPr>
          <w:t>META ESTRATÉGICA III</w:t>
        </w:r>
        <w:r w:rsidR="006C3168" w:rsidRPr="00940D07">
          <w:rPr>
            <w:rStyle w:val="Hyperlink"/>
            <w:rFonts w:ascii="Arial" w:hAnsi="Arial"/>
            <w:webHidden/>
            <w:color w:val="auto"/>
            <w:lang w:val="es-ES"/>
          </w:rPr>
          <w:tab/>
        </w:r>
        <w:r w:rsidR="006C3168" w:rsidRPr="00940D07">
          <w:rPr>
            <w:rStyle w:val="Hyperlink"/>
            <w:rFonts w:ascii="Arial" w:hAnsi="Arial"/>
            <w:webHidden/>
            <w:color w:val="auto"/>
            <w:lang w:val="es-ES"/>
          </w:rPr>
          <w:fldChar w:fldCharType="begin"/>
        </w:r>
        <w:r w:rsidR="006C3168" w:rsidRPr="00940D07">
          <w:rPr>
            <w:rStyle w:val="Hyperlink"/>
            <w:rFonts w:ascii="Arial" w:hAnsi="Arial"/>
            <w:webHidden/>
            <w:color w:val="auto"/>
            <w:lang w:val="es-ES"/>
          </w:rPr>
          <w:instrText xml:space="preserve"> PAGEREF _Toc422927414 \h </w:instrText>
        </w:r>
        <w:r w:rsidR="006C3168" w:rsidRPr="00940D07">
          <w:rPr>
            <w:rStyle w:val="Hyperlink"/>
            <w:rFonts w:ascii="Arial" w:hAnsi="Arial"/>
            <w:webHidden/>
            <w:color w:val="auto"/>
            <w:lang w:val="es-ES"/>
          </w:rPr>
        </w:r>
        <w:r w:rsidR="006C3168" w:rsidRPr="00940D07">
          <w:rPr>
            <w:rStyle w:val="Hyperlink"/>
            <w:rFonts w:ascii="Arial" w:hAnsi="Arial"/>
            <w:webHidden/>
            <w:color w:val="auto"/>
            <w:lang w:val="es-ES"/>
          </w:rPr>
          <w:fldChar w:fldCharType="separate"/>
        </w:r>
        <w:r>
          <w:rPr>
            <w:rStyle w:val="Hyperlink"/>
            <w:rFonts w:ascii="Arial" w:hAnsi="Arial"/>
            <w:webHidden/>
            <w:color w:val="auto"/>
            <w:lang w:val="es-ES"/>
          </w:rPr>
          <w:t>96</w:t>
        </w:r>
        <w:r w:rsidR="006C3168" w:rsidRPr="00940D07">
          <w:rPr>
            <w:rStyle w:val="Hyperlink"/>
            <w:rFonts w:ascii="Arial" w:hAnsi="Arial"/>
            <w:webHidden/>
            <w:color w:val="auto"/>
            <w:lang w:val="es-ES"/>
          </w:rPr>
          <w:fldChar w:fldCharType="end"/>
        </w:r>
      </w:hyperlink>
    </w:p>
    <w:p w:rsidR="006C3168" w:rsidRPr="00940D07" w:rsidRDefault="00EE6BCA" w:rsidP="00172EF1">
      <w:pPr>
        <w:pStyle w:val="TOC2"/>
        <w:tabs>
          <w:tab w:val="right" w:leader="dot" w:pos="9072"/>
        </w:tabs>
        <w:rPr>
          <w:rStyle w:val="Hyperlink"/>
          <w:color w:val="auto"/>
        </w:rPr>
      </w:pPr>
      <w:hyperlink w:anchor="_Toc422927415" w:history="1">
        <w:r w:rsidR="006C3168" w:rsidRPr="00940D07">
          <w:rPr>
            <w:rStyle w:val="Hyperlink"/>
            <w:color w:val="auto"/>
          </w:rPr>
          <w:t>PROGRAMA 8</w:t>
        </w:r>
        <w:r w:rsidR="006C3168" w:rsidRPr="00940D07">
          <w:rPr>
            <w:rStyle w:val="Hyperlink"/>
            <w:color w:val="auto"/>
          </w:rPr>
          <w:tab/>
          <w:t>COORDINACIÓN DE LA AGENDA PARA EL DESARROLLO</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_Toc422927415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100</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Fonts w:eastAsiaTheme="minorEastAsia" w:cstheme="minorBidi"/>
        </w:rPr>
      </w:pPr>
      <w:hyperlink w:anchor="_Toc422927416" w:history="1">
        <w:r w:rsidR="006C3168" w:rsidRPr="00940D07">
          <w:rPr>
            <w:rStyle w:val="Hyperlink"/>
            <w:color w:val="auto"/>
          </w:rPr>
          <w:t>PROGRAMA 9</w:t>
        </w:r>
        <w:r w:rsidR="006C3168" w:rsidRPr="00940D07">
          <w:rPr>
            <w:rFonts w:eastAsiaTheme="minorEastAsia" w:cstheme="minorBidi"/>
          </w:rPr>
          <w:tab/>
        </w:r>
        <w:r w:rsidR="006C3168" w:rsidRPr="00940D07">
          <w:rPr>
            <w:rStyle w:val="Hyperlink"/>
            <w:color w:val="auto"/>
          </w:rPr>
          <w:t>PAÍSES AFRICANOS, ÁRABES, DE AMÉRICA LATINA Y EL CARIBE, DE ASIA Y EL PACÍFICO Y PAÍSES MENOS ADELANTADOS</w:t>
        </w:r>
        <w:r w:rsidR="006C3168" w:rsidRPr="00940D07">
          <w:rPr>
            <w:webHidden/>
          </w:rPr>
          <w:tab/>
        </w:r>
        <w:r w:rsidR="006C3168" w:rsidRPr="00940D07">
          <w:rPr>
            <w:webHidden/>
          </w:rPr>
          <w:fldChar w:fldCharType="begin"/>
        </w:r>
        <w:r w:rsidR="006C3168" w:rsidRPr="00940D07">
          <w:rPr>
            <w:webHidden/>
          </w:rPr>
          <w:instrText xml:space="preserve"> PAGEREF _Toc422927416 \h </w:instrText>
        </w:r>
        <w:r w:rsidR="006C3168" w:rsidRPr="00940D07">
          <w:rPr>
            <w:webHidden/>
          </w:rPr>
        </w:r>
        <w:r w:rsidR="006C3168" w:rsidRPr="00940D07">
          <w:rPr>
            <w:webHidden/>
          </w:rPr>
          <w:fldChar w:fldCharType="separate"/>
        </w:r>
        <w:r>
          <w:rPr>
            <w:webHidden/>
          </w:rPr>
          <w:t>104</w:t>
        </w:r>
        <w:r w:rsidR="006C3168" w:rsidRPr="00940D07">
          <w:rPr>
            <w:webHidden/>
          </w:rPr>
          <w:fldChar w:fldCharType="end"/>
        </w:r>
      </w:hyperlink>
    </w:p>
    <w:p w:rsidR="006C3168" w:rsidRPr="00940D07" w:rsidRDefault="00EE6BCA" w:rsidP="00172EF1">
      <w:pPr>
        <w:pStyle w:val="TOC2"/>
        <w:tabs>
          <w:tab w:val="right" w:leader="dot" w:pos="9072"/>
        </w:tabs>
        <w:rPr>
          <w:rStyle w:val="Hyperlink"/>
          <w:color w:val="auto"/>
        </w:rPr>
      </w:pPr>
      <w:hyperlink w:anchor="_Toc422927417" w:history="1">
        <w:r w:rsidR="006C3168" w:rsidRPr="00940D07">
          <w:rPr>
            <w:rStyle w:val="Hyperlink"/>
            <w:color w:val="auto"/>
          </w:rPr>
          <w:t>PROGRAMA 10</w:t>
        </w:r>
        <w:r w:rsidR="006C3168" w:rsidRPr="00940D07">
          <w:rPr>
            <w:rStyle w:val="Hyperlink"/>
            <w:color w:val="auto"/>
          </w:rPr>
          <w:tab/>
          <w:t>COOPERACIÓN CON DETERMINADOS PAÍSES DE EUROPA Y ASIA</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_Toc422927417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115</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Style w:val="Hyperlink"/>
          <w:color w:val="auto"/>
        </w:rPr>
      </w:pPr>
      <w:hyperlink w:anchor="_Toc422927418" w:history="1">
        <w:r w:rsidR="006C3168" w:rsidRPr="00940D07">
          <w:rPr>
            <w:rStyle w:val="Hyperlink"/>
            <w:color w:val="auto"/>
          </w:rPr>
          <w:t>PROGRAMA 11</w:t>
        </w:r>
        <w:r w:rsidR="006C3168" w:rsidRPr="00940D07">
          <w:rPr>
            <w:rStyle w:val="Hyperlink"/>
            <w:color w:val="auto"/>
          </w:rPr>
          <w:tab/>
          <w:t>ACADEMIA DE LA OMPI</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_Toc422927418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123</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Style w:val="Hyperlink"/>
          <w:color w:val="auto"/>
        </w:rPr>
      </w:pPr>
      <w:hyperlink w:anchor="_Toc422927419" w:history="1">
        <w:r w:rsidR="006C3168" w:rsidRPr="00940D07">
          <w:rPr>
            <w:rStyle w:val="Hyperlink"/>
            <w:color w:val="auto"/>
          </w:rPr>
          <w:t>PROGRAMA 30</w:t>
        </w:r>
        <w:r w:rsidR="006C3168" w:rsidRPr="00940D07">
          <w:rPr>
            <w:rStyle w:val="Hyperlink"/>
            <w:color w:val="auto"/>
          </w:rPr>
          <w:tab/>
          <w:t>LAS PEQUEÑAS Y MEDIANAS EMPRESAS (PYMES) Y LA INNOVACIÓN</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_Toc422927419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129</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Style w:val="Hyperlink"/>
          <w:rFonts w:ascii="Arial" w:hAnsi="Arial"/>
          <w:color w:val="auto"/>
          <w:lang w:val="es-ES"/>
        </w:rPr>
      </w:pPr>
      <w:hyperlink w:anchor="_Toc422927420" w:history="1">
        <w:r w:rsidR="006C3168" w:rsidRPr="00940D07">
          <w:rPr>
            <w:rStyle w:val="Hyperlink"/>
            <w:rFonts w:ascii="Arial" w:hAnsi="Arial"/>
            <w:color w:val="auto"/>
            <w:lang w:val="es-ES"/>
          </w:rPr>
          <w:t>META ESTRATÉGICA IV</w:t>
        </w:r>
        <w:r w:rsidR="006C3168" w:rsidRPr="00940D07">
          <w:rPr>
            <w:rStyle w:val="Hyperlink"/>
            <w:rFonts w:ascii="Arial" w:hAnsi="Arial"/>
            <w:webHidden/>
            <w:color w:val="auto"/>
            <w:lang w:val="es-ES"/>
          </w:rPr>
          <w:tab/>
        </w:r>
        <w:r w:rsidR="006C3168" w:rsidRPr="00940D07">
          <w:rPr>
            <w:rStyle w:val="Hyperlink"/>
            <w:rFonts w:ascii="Arial" w:hAnsi="Arial"/>
            <w:webHidden/>
            <w:color w:val="auto"/>
            <w:lang w:val="es-ES"/>
          </w:rPr>
          <w:fldChar w:fldCharType="begin"/>
        </w:r>
        <w:r w:rsidR="006C3168" w:rsidRPr="00940D07">
          <w:rPr>
            <w:rStyle w:val="Hyperlink"/>
            <w:rFonts w:ascii="Arial" w:hAnsi="Arial"/>
            <w:webHidden/>
            <w:color w:val="auto"/>
            <w:lang w:val="es-ES"/>
          </w:rPr>
          <w:instrText xml:space="preserve"> PAGEREF _Toc422927420 \h </w:instrText>
        </w:r>
        <w:r w:rsidR="006C3168" w:rsidRPr="00940D07">
          <w:rPr>
            <w:rStyle w:val="Hyperlink"/>
            <w:rFonts w:ascii="Arial" w:hAnsi="Arial"/>
            <w:webHidden/>
            <w:color w:val="auto"/>
            <w:lang w:val="es-ES"/>
          </w:rPr>
        </w:r>
        <w:r w:rsidR="006C3168" w:rsidRPr="00940D07">
          <w:rPr>
            <w:rStyle w:val="Hyperlink"/>
            <w:rFonts w:ascii="Arial" w:hAnsi="Arial"/>
            <w:webHidden/>
            <w:color w:val="auto"/>
            <w:lang w:val="es-ES"/>
          </w:rPr>
          <w:fldChar w:fldCharType="separate"/>
        </w:r>
        <w:r>
          <w:rPr>
            <w:rStyle w:val="Hyperlink"/>
            <w:rFonts w:ascii="Arial" w:hAnsi="Arial"/>
            <w:webHidden/>
            <w:color w:val="auto"/>
            <w:lang w:val="es-ES"/>
          </w:rPr>
          <w:t>136</w:t>
        </w:r>
        <w:r w:rsidR="006C3168" w:rsidRPr="00940D07">
          <w:rPr>
            <w:rStyle w:val="Hyperlink"/>
            <w:rFonts w:ascii="Arial" w:hAnsi="Arial"/>
            <w:webHidden/>
            <w:color w:val="auto"/>
            <w:lang w:val="es-ES"/>
          </w:rPr>
          <w:fldChar w:fldCharType="end"/>
        </w:r>
      </w:hyperlink>
    </w:p>
    <w:p w:rsidR="006C3168" w:rsidRPr="00940D07" w:rsidRDefault="00EE6BCA" w:rsidP="00172EF1">
      <w:pPr>
        <w:pStyle w:val="TOC2"/>
        <w:tabs>
          <w:tab w:val="right" w:leader="dot" w:pos="9072"/>
        </w:tabs>
        <w:rPr>
          <w:rStyle w:val="Hyperlink"/>
          <w:color w:val="auto"/>
        </w:rPr>
      </w:pPr>
      <w:hyperlink w:anchor="_Toc422927421" w:history="1">
        <w:r w:rsidR="006C3168" w:rsidRPr="00940D07">
          <w:rPr>
            <w:rStyle w:val="Hyperlink"/>
            <w:color w:val="auto"/>
          </w:rPr>
          <w:t>PROGRAMA 12</w:t>
        </w:r>
        <w:r w:rsidR="006C3168" w:rsidRPr="00940D07">
          <w:rPr>
            <w:rStyle w:val="Hyperlink"/>
            <w:color w:val="auto"/>
          </w:rPr>
          <w:tab/>
          <w:t>CLASIFICACIONES INTERNACIONALES Y NORMAS TÉCNICAS DE LA OMPI</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_Toc422927421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139</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Style w:val="Hyperlink"/>
          <w:color w:val="auto"/>
        </w:rPr>
      </w:pPr>
      <w:hyperlink w:anchor="_Toc422927422" w:history="1">
        <w:r w:rsidR="006C3168" w:rsidRPr="00940D07">
          <w:rPr>
            <w:rStyle w:val="Hyperlink"/>
            <w:color w:val="auto"/>
          </w:rPr>
          <w:t>PROGRAMA 13</w:t>
        </w:r>
        <w:r w:rsidR="006C3168" w:rsidRPr="00940D07">
          <w:rPr>
            <w:rStyle w:val="Hyperlink"/>
            <w:color w:val="auto"/>
          </w:rPr>
          <w:tab/>
          <w:t>BASES MUNDIALES DE DATOS</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_Toc422927422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142</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Style w:val="Hyperlink"/>
          <w:color w:val="auto"/>
        </w:rPr>
      </w:pPr>
      <w:hyperlink w:anchor="_Toc422927423" w:history="1">
        <w:r w:rsidR="006C3168" w:rsidRPr="00940D07">
          <w:rPr>
            <w:rStyle w:val="Hyperlink"/>
            <w:color w:val="auto"/>
          </w:rPr>
          <w:t>PROGRAMA 14</w:t>
        </w:r>
        <w:r w:rsidR="006C3168" w:rsidRPr="00940D07">
          <w:rPr>
            <w:rStyle w:val="Hyperlink"/>
            <w:color w:val="auto"/>
          </w:rPr>
          <w:tab/>
          <w:t>SERVICIOS DE ACCESO A LA INFORMACIÓN Y A LOS CONOCIMIENTOS</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_Toc422927423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146</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Style w:val="Hyperlink"/>
          <w:color w:val="auto"/>
        </w:rPr>
      </w:pPr>
      <w:hyperlink w:anchor="_Toc422927424" w:history="1">
        <w:r w:rsidR="006C3168" w:rsidRPr="00940D07">
          <w:rPr>
            <w:rStyle w:val="Hyperlink"/>
            <w:color w:val="auto"/>
          </w:rPr>
          <w:t>PROGRAMA 15</w:t>
        </w:r>
        <w:r w:rsidR="006C3168" w:rsidRPr="00940D07">
          <w:rPr>
            <w:rStyle w:val="Hyperlink"/>
            <w:color w:val="auto"/>
          </w:rPr>
          <w:tab/>
          <w:t>SOLUCIONES OPERATIVAS PARA LAS OFICINAS DE P.I.</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_Toc422927424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150</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Style w:val="Hyperlink"/>
          <w:rFonts w:ascii="Arial" w:hAnsi="Arial"/>
          <w:color w:val="auto"/>
          <w:lang w:val="es-ES"/>
        </w:rPr>
      </w:pPr>
      <w:hyperlink w:anchor="_Toc422927425" w:history="1">
        <w:r w:rsidR="006C3168" w:rsidRPr="00940D07">
          <w:rPr>
            <w:rStyle w:val="Hyperlink"/>
            <w:rFonts w:ascii="Arial" w:hAnsi="Arial"/>
            <w:color w:val="auto"/>
            <w:lang w:val="es-ES"/>
          </w:rPr>
          <w:t>META ESTRATÉGICA V</w:t>
        </w:r>
        <w:r w:rsidR="006C3168" w:rsidRPr="00940D07">
          <w:rPr>
            <w:rStyle w:val="Hyperlink"/>
            <w:rFonts w:ascii="Arial" w:hAnsi="Arial"/>
            <w:webHidden/>
            <w:color w:val="auto"/>
            <w:lang w:val="es-ES"/>
          </w:rPr>
          <w:tab/>
        </w:r>
        <w:r w:rsidR="006C3168" w:rsidRPr="00940D07">
          <w:rPr>
            <w:rStyle w:val="Hyperlink"/>
            <w:rFonts w:ascii="Arial" w:hAnsi="Arial"/>
            <w:webHidden/>
            <w:color w:val="auto"/>
            <w:lang w:val="es-ES"/>
          </w:rPr>
          <w:fldChar w:fldCharType="begin"/>
        </w:r>
        <w:r w:rsidR="006C3168" w:rsidRPr="00940D07">
          <w:rPr>
            <w:rStyle w:val="Hyperlink"/>
            <w:rFonts w:ascii="Arial" w:hAnsi="Arial"/>
            <w:webHidden/>
            <w:color w:val="auto"/>
            <w:lang w:val="es-ES"/>
          </w:rPr>
          <w:instrText xml:space="preserve"> PAGEREF _Toc422927425 \h </w:instrText>
        </w:r>
        <w:r w:rsidR="006C3168" w:rsidRPr="00940D07">
          <w:rPr>
            <w:rStyle w:val="Hyperlink"/>
            <w:rFonts w:ascii="Arial" w:hAnsi="Arial"/>
            <w:webHidden/>
            <w:color w:val="auto"/>
            <w:lang w:val="es-ES"/>
          </w:rPr>
        </w:r>
        <w:r w:rsidR="006C3168" w:rsidRPr="00940D07">
          <w:rPr>
            <w:rStyle w:val="Hyperlink"/>
            <w:rFonts w:ascii="Arial" w:hAnsi="Arial"/>
            <w:webHidden/>
            <w:color w:val="auto"/>
            <w:lang w:val="es-ES"/>
          </w:rPr>
          <w:fldChar w:fldCharType="separate"/>
        </w:r>
        <w:r>
          <w:rPr>
            <w:rStyle w:val="Hyperlink"/>
            <w:rFonts w:ascii="Arial" w:hAnsi="Arial"/>
            <w:webHidden/>
            <w:color w:val="auto"/>
            <w:lang w:val="es-ES"/>
          </w:rPr>
          <w:t>154</w:t>
        </w:r>
        <w:r w:rsidR="006C3168" w:rsidRPr="00940D07">
          <w:rPr>
            <w:rStyle w:val="Hyperlink"/>
            <w:rFonts w:ascii="Arial" w:hAnsi="Arial"/>
            <w:webHidden/>
            <w:color w:val="auto"/>
            <w:lang w:val="es-ES"/>
          </w:rPr>
          <w:fldChar w:fldCharType="end"/>
        </w:r>
      </w:hyperlink>
    </w:p>
    <w:p w:rsidR="006C3168" w:rsidRPr="00940D07" w:rsidRDefault="00EE6BCA" w:rsidP="00172EF1">
      <w:pPr>
        <w:pStyle w:val="TOC2"/>
        <w:tabs>
          <w:tab w:val="right" w:leader="dot" w:pos="9072"/>
        </w:tabs>
        <w:rPr>
          <w:rStyle w:val="Hyperlink"/>
          <w:color w:val="auto"/>
        </w:rPr>
      </w:pPr>
      <w:hyperlink w:anchor="_Toc422927426" w:history="1">
        <w:r w:rsidR="006C3168" w:rsidRPr="00940D07">
          <w:rPr>
            <w:rStyle w:val="Hyperlink"/>
            <w:color w:val="auto"/>
          </w:rPr>
          <w:t>PROGRAMA 16</w:t>
        </w:r>
        <w:r w:rsidR="006C3168" w:rsidRPr="00940D07">
          <w:rPr>
            <w:rStyle w:val="Hyperlink"/>
            <w:color w:val="auto"/>
          </w:rPr>
          <w:tab/>
          <w:t>ECONOMÍA Y ESTADÍSTICA</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_Toc422927426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155</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Style w:val="Hyperlink"/>
          <w:rFonts w:ascii="Arial" w:hAnsi="Arial"/>
          <w:color w:val="auto"/>
          <w:lang w:val="es-ES"/>
        </w:rPr>
      </w:pPr>
      <w:hyperlink w:anchor="_Toc422927427" w:history="1">
        <w:r w:rsidR="006C3168" w:rsidRPr="00940D07">
          <w:rPr>
            <w:rStyle w:val="Hyperlink"/>
            <w:rFonts w:ascii="Arial" w:hAnsi="Arial"/>
            <w:color w:val="auto"/>
            <w:lang w:val="es-ES"/>
          </w:rPr>
          <w:t>META ESTRATÉGICA VI</w:t>
        </w:r>
        <w:r w:rsidR="006C3168" w:rsidRPr="00940D07">
          <w:rPr>
            <w:rStyle w:val="Hyperlink"/>
            <w:rFonts w:ascii="Arial" w:hAnsi="Arial"/>
            <w:webHidden/>
            <w:color w:val="auto"/>
            <w:lang w:val="es-ES"/>
          </w:rPr>
          <w:tab/>
        </w:r>
        <w:r w:rsidR="006C3168" w:rsidRPr="00940D07">
          <w:rPr>
            <w:rStyle w:val="Hyperlink"/>
            <w:rFonts w:ascii="Arial" w:hAnsi="Arial"/>
            <w:webHidden/>
            <w:color w:val="auto"/>
            <w:lang w:val="es-ES"/>
          </w:rPr>
          <w:fldChar w:fldCharType="begin"/>
        </w:r>
        <w:r w:rsidR="006C3168" w:rsidRPr="00940D07">
          <w:rPr>
            <w:rStyle w:val="Hyperlink"/>
            <w:rFonts w:ascii="Arial" w:hAnsi="Arial"/>
            <w:webHidden/>
            <w:color w:val="auto"/>
            <w:lang w:val="es-ES"/>
          </w:rPr>
          <w:instrText xml:space="preserve"> PAGEREF _Toc422927427 \h </w:instrText>
        </w:r>
        <w:r w:rsidR="006C3168" w:rsidRPr="00940D07">
          <w:rPr>
            <w:rStyle w:val="Hyperlink"/>
            <w:rFonts w:ascii="Arial" w:hAnsi="Arial"/>
            <w:webHidden/>
            <w:color w:val="auto"/>
            <w:lang w:val="es-ES"/>
          </w:rPr>
        </w:r>
        <w:r w:rsidR="006C3168" w:rsidRPr="00940D07">
          <w:rPr>
            <w:rStyle w:val="Hyperlink"/>
            <w:rFonts w:ascii="Arial" w:hAnsi="Arial"/>
            <w:webHidden/>
            <w:color w:val="auto"/>
            <w:lang w:val="es-ES"/>
          </w:rPr>
          <w:fldChar w:fldCharType="separate"/>
        </w:r>
        <w:r>
          <w:rPr>
            <w:rStyle w:val="Hyperlink"/>
            <w:rFonts w:ascii="Arial" w:hAnsi="Arial"/>
            <w:webHidden/>
            <w:color w:val="auto"/>
            <w:lang w:val="es-ES"/>
          </w:rPr>
          <w:t>158</w:t>
        </w:r>
        <w:r w:rsidR="006C3168" w:rsidRPr="00940D07">
          <w:rPr>
            <w:rStyle w:val="Hyperlink"/>
            <w:rFonts w:ascii="Arial" w:hAnsi="Arial"/>
            <w:webHidden/>
            <w:color w:val="auto"/>
            <w:lang w:val="es-ES"/>
          </w:rPr>
          <w:fldChar w:fldCharType="end"/>
        </w:r>
      </w:hyperlink>
    </w:p>
    <w:p w:rsidR="006C3168" w:rsidRPr="00940D07" w:rsidRDefault="00EE6BCA" w:rsidP="00172EF1">
      <w:pPr>
        <w:pStyle w:val="TOC2"/>
        <w:tabs>
          <w:tab w:val="right" w:leader="dot" w:pos="9072"/>
        </w:tabs>
        <w:rPr>
          <w:rStyle w:val="Hyperlink"/>
          <w:color w:val="auto"/>
        </w:rPr>
      </w:pPr>
      <w:hyperlink w:anchor="_Toc422927428" w:history="1">
        <w:r w:rsidR="006C3168" w:rsidRPr="00940D07">
          <w:rPr>
            <w:rStyle w:val="Hyperlink"/>
            <w:color w:val="auto"/>
          </w:rPr>
          <w:t>PROGRAMA 17</w:t>
        </w:r>
        <w:r w:rsidR="006C3168" w:rsidRPr="00940D07">
          <w:rPr>
            <w:rStyle w:val="Hyperlink"/>
            <w:color w:val="auto"/>
          </w:rPr>
          <w:tab/>
          <w:t>FOMENTAR EL RESPETO POR LA P.I.</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_Toc422927428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159</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Style w:val="Hyperlink"/>
          <w:rFonts w:ascii="Arial" w:hAnsi="Arial"/>
          <w:color w:val="auto"/>
          <w:lang w:val="es-ES"/>
        </w:rPr>
      </w:pPr>
      <w:hyperlink w:anchor="_Toc422927429" w:history="1">
        <w:r w:rsidR="006C3168" w:rsidRPr="00940D07">
          <w:rPr>
            <w:rStyle w:val="Hyperlink"/>
            <w:rFonts w:ascii="Arial" w:hAnsi="Arial"/>
            <w:color w:val="auto"/>
            <w:lang w:val="es-ES"/>
          </w:rPr>
          <w:t>META ESTRATÉGICA VII</w:t>
        </w:r>
        <w:r w:rsidR="006C3168" w:rsidRPr="00940D07">
          <w:rPr>
            <w:rStyle w:val="Hyperlink"/>
            <w:rFonts w:ascii="Arial" w:hAnsi="Arial"/>
            <w:webHidden/>
            <w:color w:val="auto"/>
            <w:lang w:val="es-ES"/>
          </w:rPr>
          <w:tab/>
        </w:r>
        <w:r w:rsidR="006C3168" w:rsidRPr="00940D07">
          <w:rPr>
            <w:rStyle w:val="Hyperlink"/>
            <w:rFonts w:ascii="Arial" w:hAnsi="Arial"/>
            <w:webHidden/>
            <w:color w:val="auto"/>
            <w:lang w:val="es-ES"/>
          </w:rPr>
          <w:fldChar w:fldCharType="begin"/>
        </w:r>
        <w:r w:rsidR="006C3168" w:rsidRPr="00940D07">
          <w:rPr>
            <w:rStyle w:val="Hyperlink"/>
            <w:rFonts w:ascii="Arial" w:hAnsi="Arial"/>
            <w:webHidden/>
            <w:color w:val="auto"/>
            <w:lang w:val="es-ES"/>
          </w:rPr>
          <w:instrText xml:space="preserve"> PAGEREF _Toc422927429 \h </w:instrText>
        </w:r>
        <w:r w:rsidR="006C3168" w:rsidRPr="00940D07">
          <w:rPr>
            <w:rStyle w:val="Hyperlink"/>
            <w:rFonts w:ascii="Arial" w:hAnsi="Arial"/>
            <w:webHidden/>
            <w:color w:val="auto"/>
            <w:lang w:val="es-ES"/>
          </w:rPr>
        </w:r>
        <w:r w:rsidR="006C3168" w:rsidRPr="00940D07">
          <w:rPr>
            <w:rStyle w:val="Hyperlink"/>
            <w:rFonts w:ascii="Arial" w:hAnsi="Arial"/>
            <w:webHidden/>
            <w:color w:val="auto"/>
            <w:lang w:val="es-ES"/>
          </w:rPr>
          <w:fldChar w:fldCharType="separate"/>
        </w:r>
        <w:r>
          <w:rPr>
            <w:rStyle w:val="Hyperlink"/>
            <w:rFonts w:ascii="Arial" w:hAnsi="Arial"/>
            <w:webHidden/>
            <w:color w:val="auto"/>
            <w:lang w:val="es-ES"/>
          </w:rPr>
          <w:t>163</w:t>
        </w:r>
        <w:r w:rsidR="006C3168" w:rsidRPr="00940D07">
          <w:rPr>
            <w:rStyle w:val="Hyperlink"/>
            <w:rFonts w:ascii="Arial" w:hAnsi="Arial"/>
            <w:webHidden/>
            <w:color w:val="auto"/>
            <w:lang w:val="es-ES"/>
          </w:rPr>
          <w:fldChar w:fldCharType="end"/>
        </w:r>
      </w:hyperlink>
    </w:p>
    <w:p w:rsidR="006C3168" w:rsidRPr="00940D07" w:rsidRDefault="00EE6BCA" w:rsidP="00172EF1">
      <w:pPr>
        <w:pStyle w:val="TOC2"/>
        <w:tabs>
          <w:tab w:val="right" w:leader="dot" w:pos="9072"/>
        </w:tabs>
        <w:rPr>
          <w:rStyle w:val="Hyperlink"/>
          <w:color w:val="auto"/>
        </w:rPr>
      </w:pPr>
      <w:hyperlink w:anchor="_Toc422927430" w:history="1">
        <w:r w:rsidR="006C3168" w:rsidRPr="00940D07">
          <w:rPr>
            <w:rStyle w:val="Hyperlink"/>
            <w:color w:val="auto"/>
          </w:rPr>
          <w:t>PROGRAMA 18</w:t>
        </w:r>
        <w:r w:rsidR="006C3168" w:rsidRPr="00940D07">
          <w:rPr>
            <w:rStyle w:val="Hyperlink"/>
            <w:color w:val="auto"/>
          </w:rPr>
          <w:tab/>
          <w:t>LA P.I. Y LOS DESAFÍOS MUNDIALES</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_Toc422927430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165</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Style w:val="Hyperlink"/>
          <w:rFonts w:ascii="Arial" w:hAnsi="Arial"/>
          <w:color w:val="auto"/>
          <w:lang w:val="es-ES"/>
        </w:rPr>
      </w:pPr>
      <w:hyperlink w:anchor="_Toc422927431" w:history="1">
        <w:r w:rsidR="006C3168" w:rsidRPr="00940D07">
          <w:rPr>
            <w:rStyle w:val="Hyperlink"/>
            <w:rFonts w:ascii="Arial" w:hAnsi="Arial"/>
            <w:color w:val="auto"/>
            <w:lang w:val="es-ES"/>
          </w:rPr>
          <w:t>META ESTRATÉGICA VIII</w:t>
        </w:r>
        <w:r w:rsidR="006C3168" w:rsidRPr="00940D07">
          <w:rPr>
            <w:rStyle w:val="Hyperlink"/>
            <w:rFonts w:ascii="Arial" w:hAnsi="Arial"/>
            <w:webHidden/>
            <w:color w:val="auto"/>
            <w:lang w:val="es-ES"/>
          </w:rPr>
          <w:tab/>
        </w:r>
        <w:r w:rsidR="006C3168" w:rsidRPr="00940D07">
          <w:rPr>
            <w:rStyle w:val="Hyperlink"/>
            <w:rFonts w:ascii="Arial" w:hAnsi="Arial"/>
            <w:webHidden/>
            <w:color w:val="auto"/>
            <w:lang w:val="es-ES"/>
          </w:rPr>
          <w:fldChar w:fldCharType="begin"/>
        </w:r>
        <w:r w:rsidR="006C3168" w:rsidRPr="00940D07">
          <w:rPr>
            <w:rStyle w:val="Hyperlink"/>
            <w:rFonts w:ascii="Arial" w:hAnsi="Arial"/>
            <w:webHidden/>
            <w:color w:val="auto"/>
            <w:lang w:val="es-ES"/>
          </w:rPr>
          <w:instrText xml:space="preserve"> PAGEREF _Toc422927431 \h </w:instrText>
        </w:r>
        <w:r w:rsidR="006C3168" w:rsidRPr="00940D07">
          <w:rPr>
            <w:rStyle w:val="Hyperlink"/>
            <w:rFonts w:ascii="Arial" w:hAnsi="Arial"/>
            <w:webHidden/>
            <w:color w:val="auto"/>
            <w:lang w:val="es-ES"/>
          </w:rPr>
        </w:r>
        <w:r w:rsidR="006C3168" w:rsidRPr="00940D07">
          <w:rPr>
            <w:rStyle w:val="Hyperlink"/>
            <w:rFonts w:ascii="Arial" w:hAnsi="Arial"/>
            <w:webHidden/>
            <w:color w:val="auto"/>
            <w:lang w:val="es-ES"/>
          </w:rPr>
          <w:fldChar w:fldCharType="separate"/>
        </w:r>
        <w:r>
          <w:rPr>
            <w:rStyle w:val="Hyperlink"/>
            <w:rFonts w:ascii="Arial" w:hAnsi="Arial"/>
            <w:webHidden/>
            <w:color w:val="auto"/>
            <w:lang w:val="es-ES"/>
          </w:rPr>
          <w:t>171</w:t>
        </w:r>
        <w:r w:rsidR="006C3168" w:rsidRPr="00940D07">
          <w:rPr>
            <w:rStyle w:val="Hyperlink"/>
            <w:rFonts w:ascii="Arial" w:hAnsi="Arial"/>
            <w:webHidden/>
            <w:color w:val="auto"/>
            <w:lang w:val="es-ES"/>
          </w:rPr>
          <w:fldChar w:fldCharType="end"/>
        </w:r>
      </w:hyperlink>
    </w:p>
    <w:p w:rsidR="006C3168" w:rsidRPr="00940D07" w:rsidRDefault="00EE6BCA" w:rsidP="00172EF1">
      <w:pPr>
        <w:pStyle w:val="TOC2"/>
        <w:tabs>
          <w:tab w:val="right" w:leader="dot" w:pos="9072"/>
        </w:tabs>
        <w:rPr>
          <w:rStyle w:val="Hyperlink"/>
          <w:color w:val="auto"/>
        </w:rPr>
      </w:pPr>
      <w:hyperlink w:anchor="_Toc422927432" w:history="1">
        <w:r w:rsidR="006C3168" w:rsidRPr="00940D07">
          <w:rPr>
            <w:rStyle w:val="Hyperlink"/>
            <w:color w:val="auto"/>
          </w:rPr>
          <w:t>PROGRAMA 19</w:t>
        </w:r>
        <w:r w:rsidR="006C3168" w:rsidRPr="00940D07">
          <w:rPr>
            <w:rStyle w:val="Hyperlink"/>
            <w:color w:val="auto"/>
          </w:rPr>
          <w:tab/>
          <w:t>COMUNICACIONES</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_Toc422927432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173</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Style w:val="Hyperlink"/>
          <w:color w:val="auto"/>
        </w:rPr>
      </w:pPr>
      <w:hyperlink w:anchor="_Toc422927433" w:history="1">
        <w:r w:rsidR="006C3168" w:rsidRPr="00940D07">
          <w:rPr>
            <w:rStyle w:val="Hyperlink"/>
            <w:color w:val="auto"/>
          </w:rPr>
          <w:t>PROGRAMA 20</w:t>
        </w:r>
        <w:r w:rsidR="006C3168" w:rsidRPr="00940D07">
          <w:rPr>
            <w:rStyle w:val="Hyperlink"/>
            <w:color w:val="auto"/>
          </w:rPr>
          <w:tab/>
          <w:t>RELACIONES EXTERIORES, ALIANZAS Y OFICINAS EN EL EXTERIOR</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_Toc422927433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179</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Style w:val="Hyperlink"/>
          <w:rFonts w:ascii="Arial" w:hAnsi="Arial"/>
          <w:color w:val="auto"/>
          <w:lang w:val="es-ES"/>
        </w:rPr>
      </w:pPr>
      <w:hyperlink w:anchor="_Toc422927434" w:history="1">
        <w:r w:rsidR="006C3168" w:rsidRPr="00940D07">
          <w:rPr>
            <w:rStyle w:val="Hyperlink"/>
            <w:rFonts w:ascii="Arial" w:hAnsi="Arial"/>
            <w:color w:val="auto"/>
            <w:lang w:val="es-ES"/>
          </w:rPr>
          <w:t>META ESTRATÉGICA IX</w:t>
        </w:r>
        <w:r w:rsidR="006C3168" w:rsidRPr="00940D07">
          <w:rPr>
            <w:rStyle w:val="Hyperlink"/>
            <w:rFonts w:ascii="Arial" w:hAnsi="Arial"/>
            <w:webHidden/>
            <w:color w:val="auto"/>
            <w:lang w:val="es-ES"/>
          </w:rPr>
          <w:tab/>
        </w:r>
        <w:r w:rsidR="006C3168" w:rsidRPr="00940D07">
          <w:rPr>
            <w:rStyle w:val="Hyperlink"/>
            <w:rFonts w:ascii="Arial" w:hAnsi="Arial"/>
            <w:webHidden/>
            <w:color w:val="auto"/>
            <w:lang w:val="es-ES"/>
          </w:rPr>
          <w:fldChar w:fldCharType="begin"/>
        </w:r>
        <w:r w:rsidR="006C3168" w:rsidRPr="00940D07">
          <w:rPr>
            <w:rStyle w:val="Hyperlink"/>
            <w:rFonts w:ascii="Arial" w:hAnsi="Arial"/>
            <w:webHidden/>
            <w:color w:val="auto"/>
            <w:lang w:val="es-ES"/>
          </w:rPr>
          <w:instrText xml:space="preserve"> PAGEREF _Toc422927434 \h </w:instrText>
        </w:r>
        <w:r w:rsidR="006C3168" w:rsidRPr="00940D07">
          <w:rPr>
            <w:rStyle w:val="Hyperlink"/>
            <w:rFonts w:ascii="Arial" w:hAnsi="Arial"/>
            <w:webHidden/>
            <w:color w:val="auto"/>
            <w:lang w:val="es-ES"/>
          </w:rPr>
        </w:r>
        <w:r w:rsidR="006C3168" w:rsidRPr="00940D07">
          <w:rPr>
            <w:rStyle w:val="Hyperlink"/>
            <w:rFonts w:ascii="Arial" w:hAnsi="Arial"/>
            <w:webHidden/>
            <w:color w:val="auto"/>
            <w:lang w:val="es-ES"/>
          </w:rPr>
          <w:fldChar w:fldCharType="separate"/>
        </w:r>
        <w:r>
          <w:rPr>
            <w:rStyle w:val="Hyperlink"/>
            <w:rFonts w:ascii="Arial" w:hAnsi="Arial"/>
            <w:webHidden/>
            <w:color w:val="auto"/>
            <w:lang w:val="es-ES"/>
          </w:rPr>
          <w:t>192</w:t>
        </w:r>
        <w:r w:rsidR="006C3168" w:rsidRPr="00940D07">
          <w:rPr>
            <w:rStyle w:val="Hyperlink"/>
            <w:rFonts w:ascii="Arial" w:hAnsi="Arial"/>
            <w:webHidden/>
            <w:color w:val="auto"/>
            <w:lang w:val="es-ES"/>
          </w:rPr>
          <w:fldChar w:fldCharType="end"/>
        </w:r>
      </w:hyperlink>
    </w:p>
    <w:p w:rsidR="006C3168" w:rsidRPr="00940D07" w:rsidRDefault="00EE6BCA" w:rsidP="00172EF1">
      <w:pPr>
        <w:pStyle w:val="TOC2"/>
        <w:tabs>
          <w:tab w:val="right" w:leader="dot" w:pos="9072"/>
        </w:tabs>
        <w:rPr>
          <w:rStyle w:val="Hyperlink"/>
          <w:color w:val="auto"/>
        </w:rPr>
      </w:pPr>
      <w:hyperlink w:anchor="_Toc422927435" w:history="1">
        <w:r w:rsidR="006C3168" w:rsidRPr="00940D07">
          <w:rPr>
            <w:rStyle w:val="Hyperlink"/>
            <w:color w:val="auto"/>
          </w:rPr>
          <w:t>PROGRAMA 21</w:t>
        </w:r>
        <w:r w:rsidR="006C3168" w:rsidRPr="00940D07">
          <w:rPr>
            <w:rStyle w:val="Hyperlink"/>
            <w:color w:val="auto"/>
          </w:rPr>
          <w:tab/>
          <w:t>GESTIÓN EJECUTIVA</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_Toc422927435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197</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Style w:val="Hyperlink"/>
          <w:color w:val="auto"/>
        </w:rPr>
      </w:pPr>
      <w:hyperlink w:anchor="_Toc422927436" w:history="1">
        <w:r w:rsidR="006C3168" w:rsidRPr="00940D07">
          <w:rPr>
            <w:rStyle w:val="Hyperlink"/>
            <w:color w:val="auto"/>
          </w:rPr>
          <w:t>PROGRAMA 22</w:t>
        </w:r>
        <w:r w:rsidR="006C3168" w:rsidRPr="00940D07">
          <w:rPr>
            <w:rStyle w:val="Hyperlink"/>
            <w:color w:val="auto"/>
          </w:rPr>
          <w:tab/>
          <w:t>GESTIÓN DE PROGRAMAS Y RECURSOS</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_Toc422927436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203</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Style w:val="Hyperlink"/>
          <w:color w:val="auto"/>
        </w:rPr>
      </w:pPr>
      <w:hyperlink w:anchor="_Toc422927437" w:history="1">
        <w:r w:rsidR="006C3168" w:rsidRPr="00940D07">
          <w:rPr>
            <w:rStyle w:val="Hyperlink"/>
            <w:color w:val="auto"/>
          </w:rPr>
          <w:t>PROGRAMA 23</w:t>
        </w:r>
        <w:r w:rsidR="006C3168" w:rsidRPr="00940D07">
          <w:rPr>
            <w:rStyle w:val="Hyperlink"/>
            <w:color w:val="auto"/>
          </w:rPr>
          <w:tab/>
          <w:t>GESTIÓN Y DESARROLLO DE LOS RECURSOS HUMANOS</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_Toc422927437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209</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Style w:val="Hyperlink"/>
          <w:color w:val="auto"/>
        </w:rPr>
      </w:pPr>
      <w:hyperlink w:anchor="_Toc422927438" w:history="1">
        <w:r w:rsidR="006C3168" w:rsidRPr="00940D07">
          <w:rPr>
            <w:rStyle w:val="Hyperlink"/>
            <w:color w:val="auto"/>
          </w:rPr>
          <w:t>PROGRAMA 24</w:t>
        </w:r>
        <w:r w:rsidR="006C3168" w:rsidRPr="00940D07">
          <w:rPr>
            <w:rStyle w:val="Hyperlink"/>
            <w:color w:val="auto"/>
          </w:rPr>
          <w:tab/>
          <w:t>SERVICIOS GENERALES DE APOYO</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_Toc422927438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215</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Style w:val="Hyperlink"/>
          <w:color w:val="auto"/>
        </w:rPr>
      </w:pPr>
      <w:hyperlink w:anchor="_Toc422927439" w:history="1">
        <w:r w:rsidR="006C3168" w:rsidRPr="00940D07">
          <w:rPr>
            <w:rStyle w:val="Hyperlink"/>
            <w:color w:val="auto"/>
          </w:rPr>
          <w:t>PROGRAMA 25</w:t>
        </w:r>
        <w:r w:rsidR="006C3168" w:rsidRPr="00940D07">
          <w:rPr>
            <w:rStyle w:val="Hyperlink"/>
            <w:color w:val="auto"/>
          </w:rPr>
          <w:tab/>
          <w:t>TECNOLOGÍAS DE LA INFORMACIÓN Y DE LAS COMUNICACIONES</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_Toc422927439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223</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Style w:val="Hyperlink"/>
          <w:color w:val="auto"/>
        </w:rPr>
      </w:pPr>
      <w:hyperlink w:anchor="_Toc422927440" w:history="1">
        <w:r w:rsidR="006C3168" w:rsidRPr="00940D07">
          <w:rPr>
            <w:rStyle w:val="Hyperlink"/>
            <w:color w:val="auto"/>
          </w:rPr>
          <w:t>PROGRAMA 26</w:t>
        </w:r>
        <w:r w:rsidR="006C3168" w:rsidRPr="00940D07">
          <w:rPr>
            <w:rStyle w:val="Hyperlink"/>
            <w:color w:val="auto"/>
          </w:rPr>
          <w:tab/>
          <w:t>SUPERVISIÓN INTERNA</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_Toc422927440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228</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Style w:val="Hyperlink"/>
          <w:color w:val="auto"/>
        </w:rPr>
      </w:pPr>
      <w:hyperlink w:anchor="_Toc422927441" w:history="1">
        <w:r w:rsidR="006C3168" w:rsidRPr="00940D07">
          <w:rPr>
            <w:rStyle w:val="Hyperlink"/>
            <w:color w:val="auto"/>
          </w:rPr>
          <w:t>PROGRAMA 27</w:t>
        </w:r>
        <w:r w:rsidR="006C3168" w:rsidRPr="00940D07">
          <w:rPr>
            <w:rStyle w:val="Hyperlink"/>
            <w:color w:val="auto"/>
          </w:rPr>
          <w:tab/>
          <w:t>SERVICIOS DE CONFERENCIAS Y LINGÜÍSTICOS</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_Toc422927441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231</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Style w:val="Hyperlink"/>
          <w:color w:val="auto"/>
        </w:rPr>
      </w:pPr>
      <w:hyperlink w:anchor="_Toc422927442" w:history="1">
        <w:r w:rsidR="006C3168" w:rsidRPr="00940D07">
          <w:rPr>
            <w:rStyle w:val="Hyperlink"/>
            <w:color w:val="auto"/>
          </w:rPr>
          <w:t>PROGRAMA 28</w:t>
        </w:r>
        <w:r w:rsidR="006C3168" w:rsidRPr="00940D07">
          <w:rPr>
            <w:rStyle w:val="Hyperlink"/>
            <w:color w:val="auto"/>
          </w:rPr>
          <w:tab/>
          <w:t>SEGURIDAD Y VIGILANCIA</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_Toc422927442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235</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Style w:val="Hyperlink"/>
          <w:color w:val="auto"/>
        </w:rPr>
      </w:pPr>
      <w:hyperlink w:anchor="_Toc422927443" w:history="1">
        <w:r w:rsidR="006C3168" w:rsidRPr="00940D07">
          <w:rPr>
            <w:rStyle w:val="Hyperlink"/>
            <w:color w:val="auto"/>
          </w:rPr>
          <w:t>PROGRAMA 29</w:t>
        </w:r>
        <w:r w:rsidR="006C3168" w:rsidRPr="00940D07">
          <w:rPr>
            <w:rStyle w:val="Hyperlink"/>
            <w:color w:val="auto"/>
          </w:rPr>
          <w:tab/>
          <w:t>PROYECTOS DE CONSTRUCCIÓN</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_Toc422927443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238</w:t>
        </w:r>
        <w:r w:rsidR="006C3168" w:rsidRPr="00940D07">
          <w:rPr>
            <w:rStyle w:val="Hyperlink"/>
            <w:webHidden/>
            <w:color w:val="auto"/>
          </w:rPr>
          <w:fldChar w:fldCharType="end"/>
        </w:r>
      </w:hyperlink>
    </w:p>
    <w:p w:rsidR="006C3168" w:rsidRPr="00940D07" w:rsidRDefault="00EE6BCA" w:rsidP="00172EF1">
      <w:pPr>
        <w:pStyle w:val="TOC1"/>
        <w:rPr>
          <w:rStyle w:val="Hyperlink"/>
          <w:rFonts w:ascii="Arial" w:hAnsi="Arial"/>
          <w:color w:val="auto"/>
        </w:rPr>
      </w:pPr>
      <w:hyperlink w:anchor="_Toc422927444" w:history="1">
        <w:r w:rsidR="006C3168" w:rsidRPr="00940D07">
          <w:rPr>
            <w:rStyle w:val="Hyperlink"/>
            <w:color w:val="auto"/>
          </w:rPr>
          <w:t>IV.</w:t>
        </w:r>
        <w:r w:rsidR="006C3168" w:rsidRPr="00940D07">
          <w:rPr>
            <w:rStyle w:val="Hyperlink"/>
            <w:rFonts w:ascii="Arial" w:hAnsi="Arial"/>
            <w:color w:val="auto"/>
          </w:rPr>
          <w:tab/>
        </w:r>
        <w:r w:rsidR="006C3168" w:rsidRPr="00940D07">
          <w:rPr>
            <w:rStyle w:val="Hyperlink"/>
            <w:color w:val="auto"/>
          </w:rPr>
          <w:t>APÉNDICES</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_Toc422927444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243</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Fonts w:eastAsiaTheme="minorEastAsia" w:cstheme="minorBidi"/>
        </w:rPr>
      </w:pPr>
      <w:hyperlink w:anchor="_Toc422927445" w:history="1">
        <w:r w:rsidR="006C3168" w:rsidRPr="00940D07">
          <w:rPr>
            <w:rStyle w:val="Hyperlink"/>
            <w:color w:val="auto"/>
          </w:rPr>
          <w:t>APÉNDICE I  DESGLOSE DE LA EVALUACIÓN DEL RENDIMIENTO DE CADA PROGRAMA</w:t>
        </w:r>
        <w:r w:rsidR="006C3168" w:rsidRPr="00940D07">
          <w:rPr>
            <w:webHidden/>
          </w:rPr>
          <w:tab/>
        </w:r>
        <w:r w:rsidR="006C3168" w:rsidRPr="00940D07">
          <w:rPr>
            <w:webHidden/>
          </w:rPr>
          <w:fldChar w:fldCharType="begin"/>
        </w:r>
        <w:r w:rsidR="006C3168" w:rsidRPr="00940D07">
          <w:rPr>
            <w:webHidden/>
          </w:rPr>
          <w:instrText xml:space="preserve"> PAGEREF _Toc422927445 \h </w:instrText>
        </w:r>
        <w:r w:rsidR="006C3168" w:rsidRPr="00940D07">
          <w:rPr>
            <w:webHidden/>
          </w:rPr>
        </w:r>
        <w:r w:rsidR="006C3168" w:rsidRPr="00940D07">
          <w:rPr>
            <w:webHidden/>
          </w:rPr>
          <w:fldChar w:fldCharType="separate"/>
        </w:r>
        <w:r>
          <w:rPr>
            <w:webHidden/>
          </w:rPr>
          <w:t>243</w:t>
        </w:r>
        <w:r w:rsidR="006C3168" w:rsidRPr="00940D07">
          <w:rPr>
            <w:webHidden/>
          </w:rPr>
          <w:fldChar w:fldCharType="end"/>
        </w:r>
      </w:hyperlink>
    </w:p>
    <w:p w:rsidR="006C3168" w:rsidRPr="00940D07" w:rsidRDefault="00EE6BCA" w:rsidP="00172EF1">
      <w:pPr>
        <w:pStyle w:val="TOC2"/>
        <w:tabs>
          <w:tab w:val="right" w:leader="dot" w:pos="9072"/>
        </w:tabs>
        <w:rPr>
          <w:rStyle w:val="Hyperlink"/>
          <w:color w:val="auto"/>
        </w:rPr>
      </w:pPr>
      <w:hyperlink w:anchor="_Toc422927446" w:history="1">
        <w:r w:rsidR="006C3168" w:rsidRPr="00940D07">
          <w:rPr>
            <w:rStyle w:val="Hyperlink"/>
            <w:color w:val="auto"/>
          </w:rPr>
          <w:t>APÉNDICE II  ACTIVIDADES REALIZADAS CON CARGO A LOS FONDOS FIDUCIARIOS EN 2014</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_Toc422927446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245</w:t>
        </w:r>
        <w:r w:rsidR="006C3168" w:rsidRPr="00940D07">
          <w:rPr>
            <w:rStyle w:val="Hyperlink"/>
            <w:webHidden/>
            <w:color w:val="auto"/>
          </w:rPr>
          <w:fldChar w:fldCharType="end"/>
        </w:r>
      </w:hyperlink>
    </w:p>
    <w:p w:rsidR="006C3168" w:rsidRPr="00940D07" w:rsidRDefault="00EE6BCA" w:rsidP="00172EF1">
      <w:pPr>
        <w:pStyle w:val="TOC2"/>
        <w:tabs>
          <w:tab w:val="right" w:leader="dot" w:pos="9072"/>
        </w:tabs>
        <w:rPr>
          <w:rFonts w:eastAsiaTheme="minorEastAsia" w:cstheme="minorBidi"/>
        </w:rPr>
      </w:pPr>
      <w:hyperlink w:anchor="_Toc422927447" w:history="1">
        <w:r w:rsidR="006C3168" w:rsidRPr="00940D07">
          <w:rPr>
            <w:rStyle w:val="Hyperlink"/>
            <w:color w:val="auto"/>
          </w:rPr>
          <w:t>APÉNDICE III  INFORME SOBRE LA MARCHA DEL Plan maestro de mejoras de infraestructura EN 2014</w:t>
        </w:r>
        <w:r w:rsidR="006C3168" w:rsidRPr="00940D07">
          <w:rPr>
            <w:webHidden/>
          </w:rPr>
          <w:tab/>
        </w:r>
        <w:r w:rsidR="006C3168" w:rsidRPr="00940D07">
          <w:rPr>
            <w:webHidden/>
          </w:rPr>
          <w:fldChar w:fldCharType="begin"/>
        </w:r>
        <w:r w:rsidR="006C3168" w:rsidRPr="00940D07">
          <w:rPr>
            <w:webHidden/>
          </w:rPr>
          <w:instrText xml:space="preserve"> PAGEREF _Toc422927447 \h </w:instrText>
        </w:r>
        <w:r w:rsidR="006C3168" w:rsidRPr="00940D07">
          <w:rPr>
            <w:webHidden/>
          </w:rPr>
        </w:r>
        <w:r w:rsidR="006C3168" w:rsidRPr="00940D07">
          <w:rPr>
            <w:webHidden/>
          </w:rPr>
          <w:fldChar w:fldCharType="separate"/>
        </w:r>
        <w:r>
          <w:rPr>
            <w:webHidden/>
          </w:rPr>
          <w:t>277</w:t>
        </w:r>
        <w:r w:rsidR="006C3168" w:rsidRPr="00940D07">
          <w:rPr>
            <w:webHidden/>
          </w:rPr>
          <w:fldChar w:fldCharType="end"/>
        </w:r>
      </w:hyperlink>
    </w:p>
    <w:p w:rsidR="006C3168" w:rsidRPr="00940D07" w:rsidRDefault="00EE6BCA">
      <w:pPr>
        <w:pStyle w:val="TOC3"/>
        <w:rPr>
          <w:rFonts w:eastAsiaTheme="minorEastAsia" w:cstheme="minorBidi"/>
          <w:i w:val="0"/>
          <w:iCs w:val="0"/>
          <w:lang w:val="en-US"/>
        </w:rPr>
      </w:pPr>
      <w:hyperlink w:anchor="_Toc422927448" w:history="1">
        <w:r w:rsidR="006C3168" w:rsidRPr="00940D07">
          <w:rPr>
            <w:rStyle w:val="Hyperlink"/>
            <w:color w:val="auto"/>
            <w:lang w:val="es-ES"/>
          </w:rPr>
          <w:t>PROYECTO:  MEJORA DE LA SEGURIDAD:  CIFRADO DE DATOS Y GESTIÓN DE USUARIOS (PMM 1)</w:t>
        </w:r>
        <w:r w:rsidR="006C3168" w:rsidRPr="00940D07">
          <w:rPr>
            <w:webHidden/>
          </w:rPr>
          <w:tab/>
        </w:r>
        <w:r w:rsidR="006C3168" w:rsidRPr="00940D07">
          <w:rPr>
            <w:webHidden/>
          </w:rPr>
          <w:fldChar w:fldCharType="begin"/>
        </w:r>
        <w:r w:rsidR="006C3168" w:rsidRPr="00940D07">
          <w:rPr>
            <w:webHidden/>
          </w:rPr>
          <w:instrText xml:space="preserve"> PAGEREF _Toc422927448 \h </w:instrText>
        </w:r>
        <w:r w:rsidR="006C3168" w:rsidRPr="00940D07">
          <w:rPr>
            <w:webHidden/>
          </w:rPr>
        </w:r>
        <w:r w:rsidR="006C3168" w:rsidRPr="00940D07">
          <w:rPr>
            <w:webHidden/>
          </w:rPr>
          <w:fldChar w:fldCharType="separate"/>
        </w:r>
        <w:r>
          <w:rPr>
            <w:webHidden/>
          </w:rPr>
          <w:t>278</w:t>
        </w:r>
        <w:r w:rsidR="006C3168" w:rsidRPr="00940D07">
          <w:rPr>
            <w:webHidden/>
          </w:rPr>
          <w:fldChar w:fldCharType="end"/>
        </w:r>
      </w:hyperlink>
    </w:p>
    <w:p w:rsidR="006C3168" w:rsidRPr="00940D07" w:rsidRDefault="00EE6BCA">
      <w:pPr>
        <w:pStyle w:val="TOC3"/>
        <w:rPr>
          <w:rFonts w:eastAsiaTheme="minorEastAsia" w:cstheme="minorBidi"/>
          <w:i w:val="0"/>
          <w:iCs w:val="0"/>
          <w:lang w:val="en-US"/>
        </w:rPr>
      </w:pPr>
      <w:hyperlink w:anchor="_Toc422927449" w:history="1">
        <w:r w:rsidR="006C3168" w:rsidRPr="00940D07">
          <w:rPr>
            <w:rStyle w:val="Hyperlink"/>
            <w:color w:val="auto"/>
            <w:lang w:val="es-ES"/>
          </w:rPr>
          <w:t>PROYECTO:  APLICACIÓN DE LA GESTIÓN DE CONTENIDOS INSTITUCIONALES (PMM 2)</w:t>
        </w:r>
        <w:r w:rsidR="006C3168" w:rsidRPr="00940D07">
          <w:rPr>
            <w:webHidden/>
          </w:rPr>
          <w:tab/>
        </w:r>
        <w:r w:rsidR="006C3168" w:rsidRPr="00940D07">
          <w:rPr>
            <w:webHidden/>
          </w:rPr>
          <w:fldChar w:fldCharType="begin"/>
        </w:r>
        <w:r w:rsidR="006C3168" w:rsidRPr="00940D07">
          <w:rPr>
            <w:webHidden/>
          </w:rPr>
          <w:instrText xml:space="preserve"> PAGEREF _Toc422927449 \h </w:instrText>
        </w:r>
        <w:r w:rsidR="006C3168" w:rsidRPr="00940D07">
          <w:rPr>
            <w:webHidden/>
          </w:rPr>
        </w:r>
        <w:r w:rsidR="006C3168" w:rsidRPr="00940D07">
          <w:rPr>
            <w:webHidden/>
          </w:rPr>
          <w:fldChar w:fldCharType="separate"/>
        </w:r>
        <w:r>
          <w:rPr>
            <w:webHidden/>
          </w:rPr>
          <w:t>280</w:t>
        </w:r>
        <w:r w:rsidR="006C3168" w:rsidRPr="00940D07">
          <w:rPr>
            <w:webHidden/>
          </w:rPr>
          <w:fldChar w:fldCharType="end"/>
        </w:r>
      </w:hyperlink>
    </w:p>
    <w:p w:rsidR="006C3168" w:rsidRPr="00940D07" w:rsidRDefault="00EE6BCA">
      <w:pPr>
        <w:pStyle w:val="TOC3"/>
        <w:rPr>
          <w:rFonts w:eastAsiaTheme="minorEastAsia" w:cstheme="minorBidi"/>
          <w:i w:val="0"/>
          <w:iCs w:val="0"/>
          <w:lang w:val="en-US"/>
        </w:rPr>
      </w:pPr>
      <w:hyperlink w:anchor="_Toc422927450" w:history="1">
        <w:r w:rsidR="006C3168" w:rsidRPr="00940D07">
          <w:rPr>
            <w:rStyle w:val="Hyperlink"/>
            <w:color w:val="auto"/>
            <w:lang w:val="es-ES"/>
          </w:rPr>
          <w:t>PROYECTO:  RENOVACIÓN DE LAS FACHADAS E INSTALACIÓN DE REFRIGERACIÓN/CALEFACCIÓN</w:t>
        </w:r>
        <w:r w:rsidR="00172EF1" w:rsidRPr="00940D07">
          <w:rPr>
            <w:rStyle w:val="Hyperlink"/>
            <w:color w:val="auto"/>
            <w:lang w:val="es-ES"/>
          </w:rPr>
          <w:br/>
          <w:t xml:space="preserve">                     </w:t>
        </w:r>
        <w:r w:rsidR="006C3168" w:rsidRPr="00940D07">
          <w:rPr>
            <w:rStyle w:val="Hyperlink"/>
            <w:color w:val="auto"/>
            <w:lang w:val="es-ES"/>
          </w:rPr>
          <w:t xml:space="preserve"> EN EL EDIFICIO PCT (PMM 3)</w:t>
        </w:r>
        <w:r w:rsidR="006C3168" w:rsidRPr="00940D07">
          <w:rPr>
            <w:webHidden/>
          </w:rPr>
          <w:tab/>
        </w:r>
        <w:r w:rsidR="006C3168" w:rsidRPr="00940D07">
          <w:rPr>
            <w:webHidden/>
          </w:rPr>
          <w:fldChar w:fldCharType="begin"/>
        </w:r>
        <w:r w:rsidR="006C3168" w:rsidRPr="00940D07">
          <w:rPr>
            <w:webHidden/>
          </w:rPr>
          <w:instrText xml:space="preserve"> PAGEREF _Toc422927450 \h </w:instrText>
        </w:r>
        <w:r w:rsidR="006C3168" w:rsidRPr="00940D07">
          <w:rPr>
            <w:webHidden/>
          </w:rPr>
        </w:r>
        <w:r w:rsidR="006C3168" w:rsidRPr="00940D07">
          <w:rPr>
            <w:webHidden/>
          </w:rPr>
          <w:fldChar w:fldCharType="separate"/>
        </w:r>
        <w:r>
          <w:rPr>
            <w:webHidden/>
          </w:rPr>
          <w:t>285</w:t>
        </w:r>
        <w:r w:rsidR="006C3168" w:rsidRPr="00940D07">
          <w:rPr>
            <w:webHidden/>
          </w:rPr>
          <w:fldChar w:fldCharType="end"/>
        </w:r>
      </w:hyperlink>
    </w:p>
    <w:p w:rsidR="006C3168" w:rsidRPr="00940D07" w:rsidRDefault="00EE6BCA">
      <w:pPr>
        <w:pStyle w:val="TOC3"/>
        <w:rPr>
          <w:rFonts w:eastAsiaTheme="minorEastAsia" w:cstheme="minorBidi"/>
          <w:i w:val="0"/>
          <w:iCs w:val="0"/>
          <w:lang w:val="en-US"/>
        </w:rPr>
      </w:pPr>
      <w:hyperlink w:anchor="_Toc422927451" w:history="1">
        <w:r w:rsidR="006C3168" w:rsidRPr="00940D07">
          <w:rPr>
            <w:rStyle w:val="Hyperlink"/>
            <w:color w:val="auto"/>
            <w:lang w:val="es-ES"/>
          </w:rPr>
          <w:t>PROYECTO:  INSTALACIÓN EN LOS EDIFICIOS AB Y PCT DE UN SISTEMA DE REFRIGERACIÓN QUE</w:t>
        </w:r>
        <w:r w:rsidR="00172EF1" w:rsidRPr="00940D07">
          <w:rPr>
            <w:rStyle w:val="Hyperlink"/>
            <w:color w:val="auto"/>
            <w:lang w:val="es-ES"/>
          </w:rPr>
          <w:br/>
          <w:t xml:space="preserve">                     </w:t>
        </w:r>
        <w:r w:rsidR="006C3168" w:rsidRPr="00940D07">
          <w:rPr>
            <w:rStyle w:val="Hyperlink"/>
            <w:color w:val="auto"/>
            <w:lang w:val="es-ES"/>
          </w:rPr>
          <w:t xml:space="preserve"> UTILIZA EL AGUA DEL LAGO DE GINEBRA (“GLN”) (PMM 4)</w:t>
        </w:r>
        <w:r w:rsidR="006C3168" w:rsidRPr="00940D07">
          <w:rPr>
            <w:webHidden/>
          </w:rPr>
          <w:tab/>
        </w:r>
        <w:r w:rsidR="006C3168" w:rsidRPr="00940D07">
          <w:rPr>
            <w:webHidden/>
          </w:rPr>
          <w:fldChar w:fldCharType="begin"/>
        </w:r>
        <w:r w:rsidR="006C3168" w:rsidRPr="00940D07">
          <w:rPr>
            <w:webHidden/>
          </w:rPr>
          <w:instrText xml:space="preserve"> PAGEREF _Toc422927451 \h </w:instrText>
        </w:r>
        <w:r w:rsidR="006C3168" w:rsidRPr="00940D07">
          <w:rPr>
            <w:webHidden/>
          </w:rPr>
        </w:r>
        <w:r w:rsidR="006C3168" w:rsidRPr="00940D07">
          <w:rPr>
            <w:webHidden/>
          </w:rPr>
          <w:fldChar w:fldCharType="separate"/>
        </w:r>
        <w:r>
          <w:rPr>
            <w:webHidden/>
          </w:rPr>
          <w:t>289</w:t>
        </w:r>
        <w:r w:rsidR="006C3168" w:rsidRPr="00940D07">
          <w:rPr>
            <w:webHidden/>
          </w:rPr>
          <w:fldChar w:fldCharType="end"/>
        </w:r>
      </w:hyperlink>
    </w:p>
    <w:p w:rsidR="006C3168" w:rsidRPr="00940D07" w:rsidRDefault="00EE6BCA">
      <w:pPr>
        <w:pStyle w:val="TOC3"/>
        <w:rPr>
          <w:rFonts w:eastAsiaTheme="minorEastAsia" w:cstheme="minorBidi"/>
          <w:i w:val="0"/>
          <w:iCs w:val="0"/>
          <w:lang w:val="en-US"/>
        </w:rPr>
      </w:pPr>
      <w:hyperlink w:anchor="_Toc422927452" w:history="1">
        <w:r w:rsidR="006C3168" w:rsidRPr="00940D07">
          <w:rPr>
            <w:rStyle w:val="Hyperlink"/>
            <w:color w:val="auto"/>
            <w:lang w:val="es-ES"/>
          </w:rPr>
          <w:t>PROYECTO:  EDIFICIO ARPAD BOGSCH – FASE 1 DE LA RENOVACIÓN DEL SUBSUELO (ADAPTACIÓN</w:t>
        </w:r>
        <w:r w:rsidR="00172EF1" w:rsidRPr="00940D07">
          <w:rPr>
            <w:rStyle w:val="Hyperlink"/>
            <w:color w:val="auto"/>
            <w:lang w:val="es-ES"/>
          </w:rPr>
          <w:br/>
          <w:t xml:space="preserve">                     </w:t>
        </w:r>
        <w:r w:rsidR="006C3168" w:rsidRPr="00940D07">
          <w:rPr>
            <w:rStyle w:val="Hyperlink"/>
            <w:color w:val="auto"/>
            <w:lang w:val="es-ES"/>
          </w:rPr>
          <w:t xml:space="preserve"> DE LAS DIMENSIONES DEL CENTRO DE DATOS Y RENOVACIÓN DE LA IMPRENTA)</w:t>
        </w:r>
        <w:r w:rsidR="00172EF1" w:rsidRPr="00940D07">
          <w:rPr>
            <w:rStyle w:val="Hyperlink"/>
            <w:color w:val="auto"/>
            <w:lang w:val="es-ES"/>
          </w:rPr>
          <w:br/>
          <w:t xml:space="preserve">                    </w:t>
        </w:r>
        <w:r w:rsidR="006C3168" w:rsidRPr="00940D07">
          <w:rPr>
            <w:rStyle w:val="Hyperlink"/>
            <w:color w:val="auto"/>
            <w:lang w:val="es-ES"/>
          </w:rPr>
          <w:t xml:space="preserve"> (PMM 5)</w:t>
        </w:r>
        <w:r w:rsidR="006C3168" w:rsidRPr="00940D07">
          <w:rPr>
            <w:webHidden/>
          </w:rPr>
          <w:tab/>
        </w:r>
        <w:r w:rsidR="006C3168" w:rsidRPr="00940D07">
          <w:rPr>
            <w:webHidden/>
          </w:rPr>
          <w:fldChar w:fldCharType="begin"/>
        </w:r>
        <w:r w:rsidR="006C3168" w:rsidRPr="00940D07">
          <w:rPr>
            <w:webHidden/>
          </w:rPr>
          <w:instrText xml:space="preserve"> PAGEREF _Toc422927452 \h </w:instrText>
        </w:r>
        <w:r w:rsidR="006C3168" w:rsidRPr="00940D07">
          <w:rPr>
            <w:webHidden/>
          </w:rPr>
        </w:r>
        <w:r w:rsidR="006C3168" w:rsidRPr="00940D07">
          <w:rPr>
            <w:webHidden/>
          </w:rPr>
          <w:fldChar w:fldCharType="separate"/>
        </w:r>
        <w:r>
          <w:rPr>
            <w:webHidden/>
          </w:rPr>
          <w:t>293</w:t>
        </w:r>
        <w:r w:rsidR="006C3168" w:rsidRPr="00940D07">
          <w:rPr>
            <w:webHidden/>
          </w:rPr>
          <w:fldChar w:fldCharType="end"/>
        </w:r>
      </w:hyperlink>
    </w:p>
    <w:p w:rsidR="006C3168" w:rsidRPr="00940D07" w:rsidRDefault="00EE6BCA">
      <w:pPr>
        <w:pStyle w:val="TOC3"/>
        <w:rPr>
          <w:rFonts w:eastAsiaTheme="minorEastAsia" w:cstheme="minorBidi"/>
          <w:i w:val="0"/>
          <w:iCs w:val="0"/>
          <w:lang w:val="en-US"/>
        </w:rPr>
      </w:pPr>
      <w:hyperlink w:anchor="_Toc422927453" w:history="1">
        <w:r w:rsidR="006C3168" w:rsidRPr="00940D07">
          <w:rPr>
            <w:rStyle w:val="Hyperlink"/>
            <w:color w:val="auto"/>
            <w:lang w:val="es-ES"/>
          </w:rPr>
          <w:t>PROYECTO:  EDIFICIO ARPAD BOGSCH – SUSTITUCIÓN DE DETERMINADAS VENTANAS (PMM 6)</w:t>
        </w:r>
        <w:r w:rsidR="006C3168" w:rsidRPr="00940D07">
          <w:rPr>
            <w:webHidden/>
          </w:rPr>
          <w:tab/>
        </w:r>
        <w:r w:rsidR="006C3168" w:rsidRPr="00940D07">
          <w:rPr>
            <w:webHidden/>
          </w:rPr>
          <w:fldChar w:fldCharType="begin"/>
        </w:r>
        <w:r w:rsidR="006C3168" w:rsidRPr="00940D07">
          <w:rPr>
            <w:webHidden/>
          </w:rPr>
          <w:instrText xml:space="preserve"> PAGEREF _Toc422927453 \h </w:instrText>
        </w:r>
        <w:r w:rsidR="006C3168" w:rsidRPr="00940D07">
          <w:rPr>
            <w:webHidden/>
          </w:rPr>
        </w:r>
        <w:r w:rsidR="006C3168" w:rsidRPr="00940D07">
          <w:rPr>
            <w:webHidden/>
          </w:rPr>
          <w:fldChar w:fldCharType="separate"/>
        </w:r>
        <w:r>
          <w:rPr>
            <w:webHidden/>
          </w:rPr>
          <w:t>296</w:t>
        </w:r>
        <w:r w:rsidR="006C3168" w:rsidRPr="00940D07">
          <w:rPr>
            <w:webHidden/>
          </w:rPr>
          <w:fldChar w:fldCharType="end"/>
        </w:r>
      </w:hyperlink>
    </w:p>
    <w:p w:rsidR="006C3168" w:rsidRPr="00940D07" w:rsidRDefault="00EE6BCA">
      <w:pPr>
        <w:pStyle w:val="TOC3"/>
        <w:rPr>
          <w:rFonts w:eastAsiaTheme="minorEastAsia" w:cstheme="minorBidi"/>
          <w:i w:val="0"/>
          <w:iCs w:val="0"/>
          <w:lang w:val="en-US"/>
        </w:rPr>
      </w:pPr>
      <w:hyperlink w:anchor="_Toc422927454" w:history="1">
        <w:r w:rsidR="006C3168" w:rsidRPr="00940D07">
          <w:rPr>
            <w:rStyle w:val="Hyperlink"/>
            <w:color w:val="auto"/>
            <w:lang w:val="es-ES"/>
          </w:rPr>
          <w:t>PROYECTO:  MEDIDAS DE SEGURIDAD Y DE PROTECCIÓN CONTRA INCENDIOS (PMM 7)</w:t>
        </w:r>
        <w:r w:rsidR="006C3168" w:rsidRPr="00940D07">
          <w:rPr>
            <w:webHidden/>
          </w:rPr>
          <w:tab/>
        </w:r>
        <w:r w:rsidR="006C3168" w:rsidRPr="00940D07">
          <w:rPr>
            <w:webHidden/>
          </w:rPr>
          <w:fldChar w:fldCharType="begin"/>
        </w:r>
        <w:r w:rsidR="006C3168" w:rsidRPr="00940D07">
          <w:rPr>
            <w:webHidden/>
          </w:rPr>
          <w:instrText xml:space="preserve"> PAGEREF _Toc422927454 \h </w:instrText>
        </w:r>
        <w:r w:rsidR="006C3168" w:rsidRPr="00940D07">
          <w:rPr>
            <w:webHidden/>
          </w:rPr>
        </w:r>
        <w:r w:rsidR="006C3168" w:rsidRPr="00940D07">
          <w:rPr>
            <w:webHidden/>
          </w:rPr>
          <w:fldChar w:fldCharType="separate"/>
        </w:r>
        <w:r>
          <w:rPr>
            <w:webHidden/>
          </w:rPr>
          <w:t>299</w:t>
        </w:r>
        <w:r w:rsidR="006C3168" w:rsidRPr="00940D07">
          <w:rPr>
            <w:webHidden/>
          </w:rPr>
          <w:fldChar w:fldCharType="end"/>
        </w:r>
      </w:hyperlink>
    </w:p>
    <w:p w:rsidR="006C3168" w:rsidRPr="00940D07" w:rsidRDefault="00EE6BCA" w:rsidP="008A516A">
      <w:pPr>
        <w:pStyle w:val="TOC2"/>
        <w:tabs>
          <w:tab w:val="right" w:leader="dot" w:pos="9072"/>
        </w:tabs>
        <w:rPr>
          <w:rFonts w:eastAsiaTheme="minorEastAsia" w:cstheme="minorBidi"/>
        </w:rPr>
      </w:pPr>
      <w:hyperlink w:anchor="_Toc422927455" w:history="1">
        <w:r w:rsidR="006C3168" w:rsidRPr="008A516A">
          <w:rPr>
            <w:rStyle w:val="Hyperlink"/>
            <w:color w:val="auto"/>
          </w:rPr>
          <w:t>APÉNDICE</w:t>
        </w:r>
        <w:r w:rsidR="006C3168" w:rsidRPr="00940D07">
          <w:rPr>
            <w:rStyle w:val="Hyperlink"/>
            <w:color w:val="auto"/>
          </w:rPr>
          <w:t xml:space="preserve"> IV  SIGLAS Y ABREVIATURAS EMPLEADAS EN EL PRESENTE DOCUMENTO</w:t>
        </w:r>
        <w:r w:rsidR="006C3168" w:rsidRPr="00940D07">
          <w:rPr>
            <w:webHidden/>
          </w:rPr>
          <w:tab/>
        </w:r>
        <w:r w:rsidR="006C3168" w:rsidRPr="00940D07">
          <w:rPr>
            <w:webHidden/>
          </w:rPr>
          <w:fldChar w:fldCharType="begin"/>
        </w:r>
        <w:r w:rsidR="006C3168" w:rsidRPr="00940D07">
          <w:rPr>
            <w:webHidden/>
          </w:rPr>
          <w:instrText xml:space="preserve"> PAGEREF _Toc422927455 \h </w:instrText>
        </w:r>
        <w:r w:rsidR="006C3168" w:rsidRPr="00940D07">
          <w:rPr>
            <w:webHidden/>
          </w:rPr>
        </w:r>
        <w:r w:rsidR="006C3168" w:rsidRPr="00940D07">
          <w:rPr>
            <w:webHidden/>
          </w:rPr>
          <w:fldChar w:fldCharType="separate"/>
        </w:r>
        <w:r>
          <w:rPr>
            <w:webHidden/>
          </w:rPr>
          <w:t>303</w:t>
        </w:r>
        <w:r w:rsidR="006C3168" w:rsidRPr="00940D07">
          <w:rPr>
            <w:webHidden/>
          </w:rPr>
          <w:fldChar w:fldCharType="end"/>
        </w:r>
      </w:hyperlink>
    </w:p>
    <w:p w:rsidR="00A37F74" w:rsidRPr="006C3168" w:rsidRDefault="00A54CE8">
      <w:pPr>
        <w:rPr>
          <w:caps/>
          <w:sz w:val="20"/>
        </w:rPr>
      </w:pPr>
      <w:r w:rsidRPr="00940D07">
        <w:rPr>
          <w:rFonts w:asciiTheme="minorHAnsi" w:hAnsiTheme="minorHAnsi"/>
          <w:caps/>
          <w:sz w:val="20"/>
        </w:rPr>
        <w:fldChar w:fldCharType="end"/>
      </w:r>
    </w:p>
    <w:p w:rsidR="00A37F74" w:rsidRPr="00526311" w:rsidRDefault="00A37F74" w:rsidP="00A37F74">
      <w:pPr>
        <w:rPr>
          <w:szCs w:val="22"/>
        </w:rPr>
      </w:pPr>
    </w:p>
    <w:p w:rsidR="00A37F74" w:rsidRPr="00526311" w:rsidRDefault="00A37F74">
      <w:pPr>
        <w:rPr>
          <w:szCs w:val="22"/>
        </w:rPr>
      </w:pPr>
      <w:r w:rsidRPr="00526311">
        <w:rPr>
          <w:szCs w:val="22"/>
        </w:rPr>
        <w:br w:type="page"/>
      </w:r>
    </w:p>
    <w:p w:rsidR="00F777B4" w:rsidRPr="00526311" w:rsidRDefault="00F777B4" w:rsidP="00B45FC3">
      <w:pPr>
        <w:pStyle w:val="Heading1"/>
        <w:keepNext w:val="0"/>
        <w:numPr>
          <w:ilvl w:val="0"/>
          <w:numId w:val="4"/>
        </w:numPr>
        <w:tabs>
          <w:tab w:val="clear" w:pos="284"/>
        </w:tabs>
        <w:ind w:hanging="578"/>
        <w:rPr>
          <w:szCs w:val="22"/>
        </w:rPr>
      </w:pPr>
      <w:bookmarkStart w:id="5" w:name="_Toc422927398"/>
      <w:r w:rsidRPr="00526311">
        <w:rPr>
          <w:szCs w:val="22"/>
        </w:rPr>
        <w:lastRenderedPageBreak/>
        <w:t>INTRODUCCIÓN</w:t>
      </w:r>
      <w:bookmarkEnd w:id="5"/>
    </w:p>
    <w:p w:rsidR="00F777B4" w:rsidRPr="00526311" w:rsidRDefault="00F777B4" w:rsidP="0063039A"/>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 xml:space="preserve">El Informe sobre el rendimiento de los programas (documento PPR) es el principal mecanismo de rendición de cuentas que se utiliza para informar a los Estados miembros sobre el rendimiento de la Organización, y un elemento esencial del marco de la OMPI de gestión por resultados.  El Informe constituye asimismo una importante herramienta de aprendizaje que garantiza la asimilación de las lecciones que se desprenden del rendimiento logrado en el pasado y su debida incorporación a la aplicación futura de las actividades de la OMPI.  El  documento PPR constituye una autoevaluación a cargo de los directores de programa basada en el marco de resultados aprobado por los Estados miembros.  Para reforzar la validez de la información contenida en el documento PPR, la División de Supervisión Interna (DSI) realiza cada dos años una validación de los datos sobre el rendimiento.  El próximo ejercicio de validación se llevará a cabo en relación con el documento PPR correspondiente al bienio 2014/15.  Por primera vez en 2014 se ha integrado la evaluación de la aplicación de la Agenda para el Desarrollo (A.D.) en la </w:t>
      </w:r>
      <w:r w:rsidRPr="00526311">
        <w:rPr>
          <w:i/>
          <w:lang w:val="es-ES"/>
        </w:rPr>
        <w:t>reseña de los avances logrados</w:t>
      </w:r>
      <w:r w:rsidRPr="00526311">
        <w:rPr>
          <w:lang w:val="es-ES"/>
        </w:rPr>
        <w:t xml:space="preserve"> en lugar de examinarla en otra sección.</w:t>
      </w:r>
    </w:p>
    <w:p w:rsidR="00F777B4" w:rsidRPr="00526311" w:rsidRDefault="00F777B4" w:rsidP="0063039A">
      <w:pPr>
        <w:tabs>
          <w:tab w:val="left" w:pos="567"/>
        </w:tabs>
        <w:jc w:val="both"/>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El documento PPR 2014 es un informe que se elabora a mitad del bienio para valorar los avances logrados en la consecución de los resultados previstos (en comparación con el informe que se presenta a fines del bienio en el que se evalúa el grado de consecución de los resultados previstos), medidos éstos a través de los indicadores de rendimiento y teniendo en cuenta los recursos aprobados en el presupuesto por programas de  2014/15.  La medición de un mismo indicador de rendimiento puede hacerse por medio de más de un objetivo.  En estos casos, se proporciona la calificación de cada objetivo, dándose con ello lugar a múltiples calificaciones.  En el documento PPR 2014 se han utilizado los siguientes criterios de evaluación:</w:t>
      </w:r>
    </w:p>
    <w:p w:rsidR="00F777B4" w:rsidRPr="00526311" w:rsidRDefault="00F777B4" w:rsidP="0063039A">
      <w:pPr>
        <w:tabs>
          <w:tab w:val="left" w:pos="567"/>
        </w:tabs>
        <w:jc w:val="both"/>
      </w:pPr>
    </w:p>
    <w:p w:rsidR="00F777B4" w:rsidRPr="00526311" w:rsidRDefault="00F777B4" w:rsidP="00B45FC3">
      <w:pPr>
        <w:pStyle w:val="BodyText"/>
        <w:widowControl w:val="0"/>
        <w:numPr>
          <w:ilvl w:val="0"/>
          <w:numId w:val="7"/>
        </w:numPr>
        <w:tabs>
          <w:tab w:val="left" w:pos="567"/>
        </w:tabs>
        <w:autoSpaceDE w:val="0"/>
        <w:autoSpaceDN w:val="0"/>
        <w:adjustRightInd w:val="0"/>
        <w:spacing w:after="0"/>
        <w:ind w:left="0" w:firstLine="0"/>
        <w:jc w:val="both"/>
        <w:rPr>
          <w:sz w:val="20"/>
        </w:rPr>
      </w:pPr>
      <w:r w:rsidRPr="00526311">
        <w:rPr>
          <w:color w:val="000000"/>
          <w:sz w:val="20"/>
        </w:rPr>
        <w:t>Clave de colores:</w:t>
      </w:r>
    </w:p>
    <w:p w:rsidR="00F777B4" w:rsidRPr="00526311" w:rsidRDefault="00F777B4" w:rsidP="0063039A">
      <w:pPr>
        <w:pStyle w:val="BodyText"/>
        <w:widowControl w:val="0"/>
        <w:autoSpaceDE w:val="0"/>
        <w:autoSpaceDN w:val="0"/>
        <w:adjustRightInd w:val="0"/>
        <w:jc w:val="both"/>
        <w:rPr>
          <w:sz w:val="20"/>
        </w:rPr>
      </w:pPr>
    </w:p>
    <w:p w:rsidR="00F777B4" w:rsidRPr="00526311" w:rsidRDefault="00F777B4" w:rsidP="00B45FC3">
      <w:pPr>
        <w:numPr>
          <w:ilvl w:val="0"/>
          <w:numId w:val="6"/>
        </w:numPr>
        <w:spacing w:before="120"/>
        <w:jc w:val="both"/>
        <w:rPr>
          <w:sz w:val="20"/>
        </w:rPr>
      </w:pPr>
      <w:r w:rsidRPr="00526311">
        <w:rPr>
          <w:b/>
          <w:color w:val="00B050"/>
          <w:sz w:val="20"/>
        </w:rPr>
        <w:t>Avanza</w:t>
      </w:r>
      <w:r w:rsidRPr="00526311">
        <w:rPr>
          <w:color w:val="00B050"/>
          <w:sz w:val="20"/>
        </w:rPr>
        <w:t xml:space="preserve"> </w:t>
      </w:r>
      <w:r w:rsidRPr="00526311">
        <w:rPr>
          <w:color w:val="000000"/>
          <w:sz w:val="20"/>
        </w:rPr>
        <w:t xml:space="preserve">se aplica cuando los avances realizados señalan una consecución del objetivo del 40% o más; </w:t>
      </w:r>
    </w:p>
    <w:p w:rsidR="00F777B4" w:rsidRPr="00526311" w:rsidRDefault="00F777B4" w:rsidP="00B45FC3">
      <w:pPr>
        <w:numPr>
          <w:ilvl w:val="0"/>
          <w:numId w:val="6"/>
        </w:numPr>
        <w:spacing w:before="120"/>
        <w:jc w:val="both"/>
        <w:rPr>
          <w:sz w:val="20"/>
        </w:rPr>
      </w:pPr>
      <w:r w:rsidRPr="00526311">
        <w:rPr>
          <w:b/>
          <w:bCs/>
          <w:color w:val="FF0000"/>
          <w:sz w:val="20"/>
        </w:rPr>
        <w:t xml:space="preserve">No avanza </w:t>
      </w:r>
      <w:r w:rsidRPr="00526311">
        <w:rPr>
          <w:bCs/>
          <w:color w:val="000000"/>
          <w:sz w:val="20"/>
        </w:rPr>
        <w:t xml:space="preserve">se aplica cuando los avances realizados señalan una consecución del objetivo de menos del 40%; </w:t>
      </w:r>
    </w:p>
    <w:p w:rsidR="00F777B4" w:rsidRPr="00526311" w:rsidRDefault="00F777B4" w:rsidP="00B45FC3">
      <w:pPr>
        <w:numPr>
          <w:ilvl w:val="0"/>
          <w:numId w:val="6"/>
        </w:numPr>
        <w:spacing w:before="120"/>
        <w:jc w:val="both"/>
        <w:rPr>
          <w:sz w:val="20"/>
        </w:rPr>
      </w:pPr>
      <w:r w:rsidRPr="00526311">
        <w:rPr>
          <w:b/>
          <w:bCs/>
          <w:color w:val="0070C0"/>
          <w:sz w:val="20"/>
        </w:rPr>
        <w:t>No disponible para 2014</w:t>
      </w:r>
      <w:r w:rsidRPr="00526311">
        <w:rPr>
          <w:bCs/>
          <w:color w:val="0070C0"/>
          <w:sz w:val="20"/>
        </w:rPr>
        <w:t xml:space="preserve"> </w:t>
      </w:r>
      <w:r w:rsidRPr="00526311">
        <w:rPr>
          <w:bCs/>
          <w:sz w:val="20"/>
        </w:rPr>
        <w:t>se aplica cuando no existen datos sobre el rendimiento para 2014 pero se prevé disponer de ellos al término del bienio;</w:t>
      </w:r>
    </w:p>
    <w:p w:rsidR="00F777B4" w:rsidRPr="00526311" w:rsidRDefault="00F777B4" w:rsidP="00B45FC3">
      <w:pPr>
        <w:numPr>
          <w:ilvl w:val="0"/>
          <w:numId w:val="6"/>
        </w:numPr>
        <w:spacing w:before="120"/>
        <w:jc w:val="both"/>
        <w:rPr>
          <w:color w:val="A6A6A6" w:themeColor="background1" w:themeShade="A6"/>
          <w:sz w:val="20"/>
        </w:rPr>
      </w:pPr>
      <w:r w:rsidRPr="00526311">
        <w:rPr>
          <w:b/>
          <w:bCs/>
          <w:color w:val="7F7F7F" w:themeColor="text1" w:themeTint="80"/>
          <w:sz w:val="20"/>
        </w:rPr>
        <w:t>No mensurable</w:t>
      </w:r>
      <w:r w:rsidRPr="00526311">
        <w:rPr>
          <w:rStyle w:val="FootnoteReference"/>
          <w:color w:val="000000"/>
          <w:sz w:val="20"/>
        </w:rPr>
        <w:footnoteReference w:id="2"/>
      </w:r>
      <w:r w:rsidRPr="00526311">
        <w:rPr>
          <w:color w:val="000000"/>
          <w:sz w:val="20"/>
        </w:rPr>
        <w:t xml:space="preserve"> se aplica cuando no resulta viable evaluar el rendimiento por no haberse definido adecuadamente los datos objetivo, cuando no se dispone de referencia o cuando los datos de rendimiento son insuficientes para determinar la clave de colores, e;  </w:t>
      </w:r>
    </w:p>
    <w:p w:rsidR="00F777B4" w:rsidRPr="00526311" w:rsidRDefault="00F777B4" w:rsidP="00B45FC3">
      <w:pPr>
        <w:numPr>
          <w:ilvl w:val="0"/>
          <w:numId w:val="6"/>
        </w:numPr>
        <w:spacing w:before="120"/>
        <w:jc w:val="both"/>
        <w:rPr>
          <w:sz w:val="20"/>
        </w:rPr>
      </w:pPr>
      <w:r w:rsidRPr="00526311">
        <w:rPr>
          <w:b/>
          <w:sz w:val="20"/>
        </w:rPr>
        <w:t xml:space="preserve">Discontinuado </w:t>
      </w:r>
      <w:r w:rsidRPr="00526311">
        <w:rPr>
          <w:sz w:val="20"/>
        </w:rPr>
        <w:t>se aplica cuando un indicador de rendimiento deja de usarse para medir el rendimiento del programa.</w:t>
      </w:r>
    </w:p>
    <w:p w:rsidR="00F777B4" w:rsidRPr="00526311" w:rsidRDefault="00F777B4" w:rsidP="0063039A">
      <w:pPr>
        <w:jc w:val="both"/>
        <w:rPr>
          <w:sz w:val="20"/>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Del total de 358 indicadores de rendimiento previstos en el presupuesto por programas de 2014/15, 254 indicadores (el 71%) recibieron la calificación “Avanza”.  A un total de 56 indicadores (el 16%) se les aplicó la calificación “No avanza” y a 27 indicadores (alrededor del 8%) la de “No disponible para 2014”.  Aproximadamente 17 indicadores (el 5%) fueron calificados como “No mensurables” y otros 4 (el 1%) recibieron la calificación “Discontinuado”.</w:t>
      </w:r>
    </w:p>
    <w:p w:rsidR="00F777B4" w:rsidRPr="00526311" w:rsidRDefault="00F777B4" w:rsidP="0063039A">
      <w:pPr>
        <w:tabs>
          <w:tab w:val="left" w:pos="567"/>
        </w:tabs>
        <w:jc w:val="both"/>
        <w:rPr>
          <w:sz w:val="20"/>
        </w:rPr>
      </w:pPr>
    </w:p>
    <w:p w:rsidR="00F777B4" w:rsidRPr="00526311" w:rsidRDefault="002332F1" w:rsidP="0063039A">
      <w:pPr>
        <w:jc w:val="both"/>
      </w:pPr>
      <w:r w:rsidRPr="00526311">
        <w:rPr>
          <w:noProof/>
          <w:lang w:val="en-US" w:eastAsia="en-US"/>
        </w:rPr>
        <w:lastRenderedPageBreak/>
        <w:drawing>
          <wp:inline distT="0" distB="0" distL="0" distR="0" wp14:anchorId="2CB39FF4" wp14:editId="020C1D13">
            <wp:extent cx="5940425" cy="2831406"/>
            <wp:effectExtent l="0" t="0" r="317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831406"/>
                    </a:xfrm>
                    <a:prstGeom prst="rect">
                      <a:avLst/>
                    </a:prstGeom>
                    <a:noFill/>
                    <a:ln>
                      <a:noFill/>
                    </a:ln>
                  </pic:spPr>
                </pic:pic>
              </a:graphicData>
            </a:graphic>
          </wp:inline>
        </w:drawing>
      </w:r>
    </w:p>
    <w:p w:rsidR="00F777B4" w:rsidRPr="00526311" w:rsidRDefault="00F777B4" w:rsidP="0063039A">
      <w:pPr>
        <w:jc w:val="both"/>
        <w:rPr>
          <w:sz w:val="20"/>
        </w:rPr>
      </w:pPr>
    </w:p>
    <w:p w:rsidR="007D396F" w:rsidRPr="00526311" w:rsidRDefault="007D396F" w:rsidP="0063039A">
      <w:pPr>
        <w:jc w:val="both"/>
        <w:rPr>
          <w:sz w:val="20"/>
        </w:rPr>
      </w:pPr>
    </w:p>
    <w:p w:rsidR="00F777B4" w:rsidRPr="00526311" w:rsidRDefault="00F777B4" w:rsidP="00B45FC3">
      <w:pPr>
        <w:pStyle w:val="Heading1"/>
        <w:keepNext w:val="0"/>
        <w:numPr>
          <w:ilvl w:val="0"/>
          <w:numId w:val="4"/>
        </w:numPr>
        <w:tabs>
          <w:tab w:val="clear" w:pos="284"/>
          <w:tab w:val="left" w:pos="709"/>
        </w:tabs>
        <w:spacing w:before="0" w:after="0"/>
        <w:ind w:left="142" w:firstLine="0"/>
      </w:pPr>
      <w:bookmarkStart w:id="6" w:name="_Toc422927399"/>
      <w:r w:rsidRPr="00526311">
        <w:t>RESEÑA GENERAL DE LOS AVANCES LOGRADOS EN</w:t>
      </w:r>
      <w:r w:rsidR="00F1387F" w:rsidRPr="00526311">
        <w:t xml:space="preserve"> </w:t>
      </w:r>
      <w:r w:rsidRPr="00526311">
        <w:t>2014</w:t>
      </w:r>
      <w:bookmarkEnd w:id="6"/>
    </w:p>
    <w:p w:rsidR="00F777B4" w:rsidRPr="00526311" w:rsidRDefault="00F777B4" w:rsidP="0063039A">
      <w:pPr>
        <w:rPr>
          <w:sz w:val="20"/>
        </w:rPr>
      </w:pPr>
    </w:p>
    <w:p w:rsidR="00F777B4" w:rsidRPr="00526311" w:rsidRDefault="00F777B4" w:rsidP="00B45FC3">
      <w:pPr>
        <w:pStyle w:val="ListParagraph"/>
        <w:numPr>
          <w:ilvl w:val="0"/>
          <w:numId w:val="7"/>
        </w:numPr>
        <w:tabs>
          <w:tab w:val="left" w:pos="567"/>
        </w:tabs>
        <w:ind w:left="0" w:firstLine="0"/>
        <w:jc w:val="both"/>
        <w:rPr>
          <w:color w:val="000000"/>
          <w:lang w:val="es-ES"/>
        </w:rPr>
      </w:pPr>
      <w:r w:rsidRPr="00526311">
        <w:rPr>
          <w:color w:val="000000"/>
          <w:lang w:val="es-ES"/>
        </w:rPr>
        <w:t xml:space="preserve">En respuesta a la solicitud formulada por los Estados miembros y en consonancia con las mejoras realizadas en el último período analizado, en el documento PPR de 2014 se incluye información relativa a los gastos reales por resultado previsto a fines de 2014 y cuadros sobre el rendimiento a medio plazo para cada una de las nueve metas estratégicas, que proporcionan una reseña general en formato gráfico de los avances en la consecución de los resultados previstos en 2014 medidos por los indicadores de rendimiento relativos a los programas que contribuyen a las respectivas metas estratégicas. </w:t>
      </w:r>
      <w:r w:rsidRPr="00526311">
        <w:rPr>
          <w:lang w:val="es-ES"/>
        </w:rPr>
        <w:t xml:space="preserve"> </w:t>
      </w:r>
      <w:r w:rsidRPr="00526311">
        <w:rPr>
          <w:color w:val="000000"/>
          <w:lang w:val="es-ES"/>
        </w:rPr>
        <w:t xml:space="preserve">Al evaluar el rendimiento, se tuvo debidamente en cuenta la incidencia de los riesgos identificados en el </w:t>
      </w:r>
      <w:r w:rsidRPr="00526311">
        <w:rPr>
          <w:lang w:val="es-ES"/>
        </w:rPr>
        <w:t xml:space="preserve">presupuesto por programas </w:t>
      </w:r>
      <w:r w:rsidRPr="00526311">
        <w:rPr>
          <w:color w:val="000000"/>
          <w:lang w:val="es-ES"/>
        </w:rPr>
        <w:t>de 2014/15.  En la meta estratégica IX y en el Programa 22 figura una visión de conjunto de los procesos mejorados de gestión de riesgos de la OMPI.  En el documento PPR 2014/15 se llevará a cabo un análisis más a fondo de los riesgos y su incidencia en la consecución de los objetivos previstos.</w:t>
      </w:r>
    </w:p>
    <w:p w:rsidR="00F777B4" w:rsidRPr="00526311" w:rsidRDefault="00F777B4" w:rsidP="0063039A">
      <w:pPr>
        <w:jc w:val="both"/>
        <w:rPr>
          <w:sz w:val="20"/>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A continuación se describen de forma resumida los avances más destacados acaecidos en 2014 en el marco de las nueve metas estratégicas.</w:t>
      </w:r>
    </w:p>
    <w:p w:rsidR="00F777B4" w:rsidRPr="00526311" w:rsidRDefault="00F777B4" w:rsidP="0063039A">
      <w:pPr>
        <w:jc w:val="both"/>
        <w:rPr>
          <w:sz w:val="20"/>
        </w:rPr>
      </w:pPr>
    </w:p>
    <w:p w:rsidR="00F777B4" w:rsidRPr="00526311" w:rsidRDefault="00F777B4" w:rsidP="0063039A">
      <w:pPr>
        <w:rPr>
          <w:sz w:val="20"/>
        </w:rPr>
      </w:pPr>
    </w:p>
    <w:p w:rsidR="00F777B4" w:rsidRPr="00526311" w:rsidRDefault="00F777B4" w:rsidP="0063039A">
      <w:pPr>
        <w:jc w:val="center"/>
        <w:rPr>
          <w:b/>
          <w:sz w:val="18"/>
          <w:szCs w:val="18"/>
        </w:rPr>
      </w:pPr>
      <w:r w:rsidRPr="00526311">
        <w:rPr>
          <w:b/>
          <w:color w:val="000000"/>
          <w:sz w:val="18"/>
          <w:szCs w:val="18"/>
        </w:rPr>
        <w:t>Síntesis unificada de los avances logrados en 2014 hacia la consecución</w:t>
      </w:r>
      <w:r w:rsidRPr="00526311">
        <w:rPr>
          <w:b/>
          <w:color w:val="000000"/>
          <w:sz w:val="18"/>
          <w:szCs w:val="18"/>
        </w:rPr>
        <w:br/>
        <w:t>de los objetivos previstos por meta estratégica</w:t>
      </w:r>
    </w:p>
    <w:p w:rsidR="00F777B4" w:rsidRPr="00526311" w:rsidRDefault="00F777B4" w:rsidP="0063039A">
      <w:pPr>
        <w:rPr>
          <w:iCs/>
          <w:sz w:val="16"/>
          <w:szCs w:val="16"/>
        </w:rPr>
      </w:pPr>
    </w:p>
    <w:p w:rsidR="00F777B4" w:rsidRPr="00526311" w:rsidRDefault="003D3C62" w:rsidP="0063039A">
      <w:pPr>
        <w:rPr>
          <w:iCs/>
          <w:sz w:val="20"/>
        </w:rPr>
      </w:pPr>
      <w:r w:rsidRPr="00526311">
        <w:rPr>
          <w:noProof/>
          <w:lang w:val="en-US" w:eastAsia="en-US"/>
        </w:rPr>
        <w:drawing>
          <wp:inline distT="0" distB="0" distL="0" distR="0" wp14:anchorId="25C415AE" wp14:editId="6E807B65">
            <wp:extent cx="5789250" cy="2988000"/>
            <wp:effectExtent l="0" t="0" r="254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9250" cy="2988000"/>
                    </a:xfrm>
                    <a:prstGeom prst="rect">
                      <a:avLst/>
                    </a:prstGeom>
                    <a:noFill/>
                    <a:ln>
                      <a:noFill/>
                    </a:ln>
                  </pic:spPr>
                </pic:pic>
              </a:graphicData>
            </a:graphic>
          </wp:inline>
        </w:drawing>
      </w:r>
    </w:p>
    <w:p w:rsidR="00F777B4" w:rsidRPr="00526311" w:rsidRDefault="00F777B4" w:rsidP="0063039A">
      <w:pPr>
        <w:rPr>
          <w:iCs/>
          <w:sz w:val="20"/>
        </w:rPr>
      </w:pPr>
    </w:p>
    <w:p w:rsidR="00F777B4" w:rsidRPr="00526311" w:rsidRDefault="00F777B4" w:rsidP="0063039A">
      <w:pPr>
        <w:rPr>
          <w:iCs/>
          <w:sz w:val="20"/>
        </w:rPr>
      </w:pPr>
    </w:p>
    <w:p w:rsidR="00F777B4" w:rsidRPr="00526311" w:rsidRDefault="00F777B4" w:rsidP="0063039A">
      <w:pPr>
        <w:jc w:val="center"/>
        <w:rPr>
          <w:b/>
          <w:iCs/>
        </w:rPr>
      </w:pPr>
      <w:r w:rsidRPr="00526311">
        <w:rPr>
          <w:b/>
          <w:iCs/>
        </w:rPr>
        <w:t>Meta estratégica I:  Evolución equilibrada del marco normativo internacional de P.I.</w:t>
      </w:r>
    </w:p>
    <w:p w:rsidR="00F777B4" w:rsidRPr="00526311" w:rsidRDefault="009A5995" w:rsidP="009A5995">
      <w:pPr>
        <w:jc w:val="center"/>
        <w:rPr>
          <w:sz w:val="20"/>
        </w:rPr>
      </w:pPr>
      <w:r w:rsidRPr="00526311">
        <w:rPr>
          <w:noProof/>
          <w:lang w:val="en-US" w:eastAsia="en-US"/>
        </w:rPr>
        <w:drawing>
          <wp:inline distT="0" distB="0" distL="0" distR="0" wp14:anchorId="520AB199" wp14:editId="7F4C2799">
            <wp:extent cx="5486400" cy="29368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936810"/>
                    </a:xfrm>
                    <a:prstGeom prst="rect">
                      <a:avLst/>
                    </a:prstGeom>
                    <a:noFill/>
                    <a:ln>
                      <a:noFill/>
                    </a:ln>
                  </pic:spPr>
                </pic:pic>
              </a:graphicData>
            </a:graphic>
          </wp:inline>
        </w:drawing>
      </w:r>
    </w:p>
    <w:p w:rsidR="00F777B4" w:rsidRPr="00526311" w:rsidRDefault="00F777B4" w:rsidP="00B45FC3">
      <w:pPr>
        <w:pStyle w:val="ListParagraph"/>
        <w:numPr>
          <w:ilvl w:val="0"/>
          <w:numId w:val="7"/>
        </w:numPr>
        <w:tabs>
          <w:tab w:val="left" w:pos="567"/>
        </w:tabs>
        <w:ind w:left="0" w:firstLine="0"/>
        <w:jc w:val="both"/>
        <w:rPr>
          <w:rFonts w:cs="Arial"/>
          <w:color w:val="000000"/>
          <w:lang w:val="es-ES" w:eastAsia="zh-CN"/>
        </w:rPr>
      </w:pPr>
      <w:r w:rsidRPr="00526311">
        <w:rPr>
          <w:rFonts w:cs="Arial"/>
          <w:color w:val="000000"/>
          <w:lang w:val="es-ES" w:eastAsia="zh-CN"/>
        </w:rPr>
        <w:t>En 2014 siguieron los avances en el marco de esta meta estratégica, si bien a un ritmo más moderado que el esperado.  A fines de 2014, todavía quedaban varias cuestiones pendientes en los comités permanentes.</w:t>
      </w:r>
    </w:p>
    <w:p w:rsidR="00F777B4" w:rsidRPr="00526311" w:rsidRDefault="00F777B4" w:rsidP="0063039A">
      <w:pPr>
        <w:pStyle w:val="ListParagraph"/>
        <w:tabs>
          <w:tab w:val="left" w:pos="567"/>
        </w:tabs>
        <w:ind w:left="0"/>
        <w:jc w:val="both"/>
        <w:rPr>
          <w:rFonts w:cs="Arial"/>
          <w:color w:val="000000"/>
          <w:lang w:val="es-ES" w:eastAsia="zh-CN"/>
        </w:rPr>
      </w:pPr>
    </w:p>
    <w:p w:rsidR="00F777B4" w:rsidRPr="00526311" w:rsidRDefault="00F777B4" w:rsidP="00B45FC3">
      <w:pPr>
        <w:pStyle w:val="ListParagraph"/>
        <w:numPr>
          <w:ilvl w:val="0"/>
          <w:numId w:val="7"/>
        </w:numPr>
        <w:tabs>
          <w:tab w:val="left" w:pos="567"/>
        </w:tabs>
        <w:ind w:left="0" w:firstLine="0"/>
        <w:jc w:val="both"/>
        <w:rPr>
          <w:rFonts w:cs="Arial"/>
          <w:color w:val="000000"/>
          <w:lang w:val="es-ES" w:eastAsia="zh-CN"/>
        </w:rPr>
      </w:pPr>
      <w:r w:rsidRPr="00526311">
        <w:rPr>
          <w:rFonts w:eastAsia="SimSun" w:cs="Arial"/>
          <w:bCs/>
          <w:lang w:val="es-ES" w:eastAsia="zh-CN"/>
        </w:rPr>
        <w:t>En 2014 se siguió avanzando en el proceso hacia la entrada en vigor de los dos nuevos tratados sobre derechos de autor</w:t>
      </w:r>
      <w:r w:rsidRPr="00526311">
        <w:rPr>
          <w:rFonts w:eastAsia="SimSun" w:cs="Arial"/>
          <w:bCs/>
          <w:color w:val="000000"/>
          <w:lang w:val="es-ES" w:eastAsia="zh-CN"/>
        </w:rPr>
        <w:t xml:space="preserve">. </w:t>
      </w:r>
      <w:r w:rsidRPr="00526311">
        <w:rPr>
          <w:rFonts w:eastAsia="SimSun" w:cs="Arial"/>
          <w:bCs/>
          <w:lang w:val="es-ES" w:eastAsia="zh-CN"/>
        </w:rPr>
        <w:t xml:space="preserve"> El Tratado de Beijing sobre Interpretaciones y Ejecuciones Audiovisuales (el “Tratado de Beijing”) obtuvo cuatro nuevas ratificaciones y adhesiones (China, Japón, Eslovaquia, Emiratos Árabes Unidos), alcanzando así un total de seis de las 30 ratificaciones o adhesiones que son necesarias para su entrada en vigor.  El Tratado de Marrakech para facilitar el acceso a las obras publicadas a las personas ciegas, con discapacidad visual o con otras dificultades para acceder al texto impreso (el “Tratado de Marrakech”), obtuvo 80 firmas en total antes del plazo de junio, y consiguió sus primeras cinco ratificaciones y adhesiones (El Salvador, India, Malí, Emiratos Árabes Unidos, Uruguay), avanzando así hacia las 20 ratificaciones o adhesiones necesarias para su entrada en vigor.  Los objetivos de ratificación o adhesión a esos tratados que se habían establecido para el bienio 2014/15 en la vigésima sesión del Comité del Programa y Presupuesto (PBC) eran bastante ambiciosos, por eso una de las prioridades del programa ha sido y sigue siendo la asistencia a los Estados miembros en el proceso de ratificación de los tratados.  Es probable que el objetivo fijado para el Tratado de Marrakech se alcance antes del fin del bienio.</w:t>
      </w:r>
    </w:p>
    <w:p w:rsidR="00F777B4" w:rsidRPr="00526311" w:rsidRDefault="00F777B4" w:rsidP="0063039A">
      <w:pPr>
        <w:jc w:val="both"/>
        <w:rPr>
          <w:bCs/>
          <w:sz w:val="20"/>
        </w:rPr>
      </w:pPr>
    </w:p>
    <w:p w:rsidR="00F777B4" w:rsidRPr="00526311" w:rsidRDefault="00F777B4" w:rsidP="00B45FC3">
      <w:pPr>
        <w:pStyle w:val="ListParagraph"/>
        <w:numPr>
          <w:ilvl w:val="0"/>
          <w:numId w:val="7"/>
        </w:numPr>
        <w:tabs>
          <w:tab w:val="left" w:pos="567"/>
        </w:tabs>
        <w:ind w:left="0" w:firstLine="0"/>
        <w:jc w:val="both"/>
        <w:rPr>
          <w:rFonts w:eastAsia="SimSun" w:cs="Arial"/>
          <w:bCs/>
          <w:lang w:val="es-ES" w:eastAsia="zh-CN"/>
        </w:rPr>
      </w:pPr>
      <w:r w:rsidRPr="00526311">
        <w:rPr>
          <w:rFonts w:eastAsia="SimSun" w:cs="Arial"/>
          <w:bCs/>
          <w:lang w:val="es-ES" w:eastAsia="zh-CN"/>
        </w:rPr>
        <w:t>Se volvieron a examinar las otras cuestiones del orden del día del Comité Permanente de Derecho de Autor y Derechos Conexos (SCCR) durante las tres sesiones celebradas en abril/mayo, junio/julio y diciembre de 2014.  En el SCCR se celebró un debate sobre la propuesta de tratado sobre los organismos de radiodifusión, y sobre las limitaciones y excepciones relativas a las bibliotecas y los archivos, las instituciones docentes y de investigación y las personas con otras discapacidades.</w:t>
      </w:r>
    </w:p>
    <w:p w:rsidR="00F777B4" w:rsidRPr="00526311" w:rsidRDefault="00F777B4" w:rsidP="0063039A">
      <w:pPr>
        <w:jc w:val="both"/>
        <w:rPr>
          <w:bCs/>
          <w:sz w:val="20"/>
        </w:rPr>
      </w:pPr>
    </w:p>
    <w:p w:rsidR="00F777B4" w:rsidRPr="00526311" w:rsidRDefault="00F777B4" w:rsidP="00B45FC3">
      <w:pPr>
        <w:pStyle w:val="ListParagraph"/>
        <w:numPr>
          <w:ilvl w:val="0"/>
          <w:numId w:val="7"/>
        </w:numPr>
        <w:tabs>
          <w:tab w:val="left" w:pos="567"/>
        </w:tabs>
        <w:ind w:left="0" w:firstLine="0"/>
        <w:jc w:val="both"/>
        <w:rPr>
          <w:rFonts w:cs="Arial"/>
          <w:color w:val="000000"/>
          <w:lang w:val="es-ES" w:eastAsia="zh-CN"/>
        </w:rPr>
      </w:pPr>
      <w:r w:rsidRPr="00526311">
        <w:rPr>
          <w:rFonts w:cs="Arial"/>
          <w:color w:val="000000"/>
          <w:lang w:val="es-ES" w:eastAsia="zh-CN"/>
        </w:rPr>
        <w:t>El</w:t>
      </w:r>
      <w:r w:rsidRPr="00526311">
        <w:rPr>
          <w:rFonts w:cs="Arial"/>
          <w:lang w:val="es-ES" w:eastAsia="zh-CN"/>
        </w:rPr>
        <w:t xml:space="preserve"> Comité Permanente sobre el Derecho de Marcas, Diseños Industriales e Indicaciones Geográficas (SCT) prosiguió en sus sesiones trigésima primera y trigésima segunda el trabajo relativo a un proyecto de tratado sobre el Derecho de los diseños a fin de que fuera adoptado en una conferencia diplomática</w:t>
      </w:r>
      <w:r w:rsidRPr="00526311">
        <w:rPr>
          <w:rFonts w:cs="Arial"/>
          <w:color w:val="000000"/>
          <w:lang w:val="es-ES" w:eastAsia="zh-CN"/>
        </w:rPr>
        <w:t xml:space="preserve">.  </w:t>
      </w:r>
      <w:r w:rsidRPr="00526311">
        <w:rPr>
          <w:rFonts w:cs="Arial"/>
          <w:lang w:val="es-ES" w:eastAsia="zh-CN"/>
        </w:rPr>
        <w:t>La cuestión de convocar esa conferencia diplomática fue tratada por la Asamblea General de la OMPI en su cuadragésimo quinto período de sesiones</w:t>
      </w:r>
      <w:r w:rsidR="00F1387F" w:rsidRPr="00526311">
        <w:rPr>
          <w:rFonts w:cs="Arial"/>
          <w:lang w:val="es-ES" w:eastAsia="zh-CN"/>
        </w:rPr>
        <w:t xml:space="preserve"> (24º extraordinario)</w:t>
      </w:r>
      <w:r w:rsidRPr="00526311">
        <w:rPr>
          <w:rFonts w:cs="Arial"/>
          <w:lang w:val="es-ES" w:eastAsia="zh-CN"/>
        </w:rPr>
        <w:t>, en mayo de 2014, y en su cuadragésimo sexto período de sesiones</w:t>
      </w:r>
      <w:r w:rsidR="00F1387F" w:rsidRPr="00526311">
        <w:rPr>
          <w:rFonts w:cs="Arial"/>
          <w:lang w:val="es-ES" w:eastAsia="zh-CN"/>
        </w:rPr>
        <w:t xml:space="preserve"> (25º extraordinario)</w:t>
      </w:r>
      <w:r w:rsidRPr="00526311">
        <w:rPr>
          <w:rFonts w:cs="Arial"/>
          <w:lang w:val="es-ES" w:eastAsia="zh-CN"/>
        </w:rPr>
        <w:t>, en septiembre de 2014, sin que se haya adoptado una decisión al respecto.</w:t>
      </w:r>
      <w:r w:rsidRPr="00526311">
        <w:rPr>
          <w:rFonts w:cs="Arial"/>
          <w:color w:val="000000"/>
          <w:lang w:val="es-ES" w:eastAsia="zh-CN"/>
        </w:rPr>
        <w:t xml:space="preserve">  E</w:t>
      </w:r>
      <w:r w:rsidRPr="00526311">
        <w:rPr>
          <w:rFonts w:cs="Arial"/>
          <w:lang w:val="es-ES" w:eastAsia="zh-CN"/>
        </w:rPr>
        <w:t>l SCT continuó con su labor en torno a la protección de los nombres de países y examinó un estudio preparado por la Secretaría, así como una propuesta formulada por la Delegación de Jamaica</w:t>
      </w:r>
      <w:r w:rsidRPr="00526311">
        <w:rPr>
          <w:rFonts w:cs="Arial"/>
          <w:color w:val="000000"/>
          <w:lang w:val="es-ES" w:eastAsia="zh-CN"/>
        </w:rPr>
        <w:t>.</w:t>
      </w:r>
    </w:p>
    <w:p w:rsidR="00F777B4" w:rsidRPr="00526311" w:rsidRDefault="00F777B4" w:rsidP="0063039A">
      <w:pPr>
        <w:pStyle w:val="ListParagraph"/>
        <w:tabs>
          <w:tab w:val="left" w:pos="709"/>
        </w:tabs>
        <w:autoSpaceDE w:val="0"/>
        <w:autoSpaceDN w:val="0"/>
        <w:ind w:left="0"/>
        <w:jc w:val="both"/>
        <w:rPr>
          <w:rFonts w:cs="Arial"/>
          <w:color w:val="000000"/>
          <w:lang w:val="es-ES" w:eastAsia="zh-CN"/>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 xml:space="preserve">En el año objeto de examen siguieron avanzando las negociaciones en el Comité Intergubernamental sobre Propiedad Intelectual y Recursos Genéticos, Conocimientos Tradicionales y Folclore de la OMPI (CIG).  En el marco de su nuevo mandato para el bienio en curso, establecido en 2013, el CIG se reunió en tres ocasiones (26ª, 27ª y 28ª sesiones del CIG).  El CIG se acogió a un </w:t>
      </w:r>
      <w:r w:rsidRPr="00526311">
        <w:rPr>
          <w:lang w:val="es-ES"/>
        </w:rPr>
        <w:lastRenderedPageBreak/>
        <w:t>programa de trabajo bien definido y unos métodos de trabajo adecuados</w:t>
      </w:r>
      <w:r w:rsidRPr="00526311">
        <w:rPr>
          <w:color w:val="008000"/>
          <w:lang w:val="es-ES"/>
        </w:rPr>
        <w:t>.</w:t>
      </w:r>
      <w:r w:rsidRPr="00526311">
        <w:rPr>
          <w:lang w:val="es-ES"/>
        </w:rPr>
        <w:t xml:space="preserve">  Los Estados miembros siguieron organizando consultas y reuniones preparatorias antes de las sesiones del CIG</w:t>
      </w:r>
      <w:r w:rsidRPr="00526311">
        <w:rPr>
          <w:color w:val="000000"/>
          <w:lang w:val="es-ES"/>
        </w:rPr>
        <w:t xml:space="preserve">.  </w:t>
      </w:r>
      <w:r w:rsidRPr="00526311">
        <w:rPr>
          <w:lang w:val="es-ES"/>
        </w:rPr>
        <w:t>El Comité realizó progresos en las “negociaciones basadas en textos”, en cumplimiento de su mandato.</w:t>
      </w:r>
      <w:r w:rsidRPr="00526311">
        <w:rPr>
          <w:color w:val="000000"/>
          <w:lang w:val="es-ES"/>
        </w:rPr>
        <w:t xml:space="preserve"> </w:t>
      </w:r>
      <w:r w:rsidRPr="00526311">
        <w:rPr>
          <w:lang w:val="es-ES"/>
        </w:rPr>
        <w:t xml:space="preserve"> En la tercera y última sesión del año (la 28ª sesión del CIG) el Comité había simplificado más el texto consolidado sobre los recursos genéticos (RR.GG.) y conseguido nuevos avances en lo que atañe a los textos sobre los conocimientos tradicionales (CC.TT.) y las expresiones culturales tradicionales (ECT)</w:t>
      </w:r>
      <w:r w:rsidRPr="00526311">
        <w:rPr>
          <w:color w:val="000000"/>
          <w:lang w:val="es-ES"/>
        </w:rPr>
        <w:t xml:space="preserve">.  </w:t>
      </w:r>
      <w:r w:rsidRPr="00526311">
        <w:rPr>
          <w:lang w:val="es-ES"/>
        </w:rPr>
        <w:t>La Secretaría siguió esforzándose por cumplir una función de apoyo neutral, profesional y eficaz al proceso del CIG y por mejorar los servicios prestados a los participantes en el Comité, tras la evaluación realizada por la División de Supervisión Interna de la OMPI (DSI) en 2013, que determinó que el índice de satisfacción entre los participantes en el CIG era elevado (96%).  Aunque la Secretaría siguió facilitando, en la medida de lo posible, la participación en el CIG de los pueblos indígenas y las comunidades locales, el Fondo de Contribuciones Voluntarias para las Comunidades Indígenas y Locales Acreditadas carecía de recursos.  Si bien la Asamblea General de la OMPI en octubre de 2014 examinó y ponderó los textos y los avances realizados, no logró llegar en ese momento a un acuerdo sobre el programa de trabajo del CIG para 2015.</w:t>
      </w:r>
    </w:p>
    <w:p w:rsidR="00F777B4" w:rsidRPr="00526311" w:rsidRDefault="00F777B4" w:rsidP="0063039A">
      <w:pPr>
        <w:rPr>
          <w:bCs/>
          <w:sz w:val="20"/>
        </w:rPr>
      </w:pPr>
    </w:p>
    <w:p w:rsidR="00F777B4" w:rsidRPr="00526311" w:rsidRDefault="00F777B4" w:rsidP="00B45FC3">
      <w:pPr>
        <w:pStyle w:val="ListParagraph"/>
        <w:numPr>
          <w:ilvl w:val="0"/>
          <w:numId w:val="7"/>
        </w:numPr>
        <w:tabs>
          <w:tab w:val="left" w:pos="567"/>
        </w:tabs>
        <w:ind w:left="0" w:firstLine="0"/>
        <w:jc w:val="both"/>
        <w:rPr>
          <w:rFonts w:cs="Arial"/>
          <w:lang w:val="es-ES" w:eastAsia="zh-CN"/>
        </w:rPr>
      </w:pPr>
      <w:r w:rsidRPr="00526311">
        <w:rPr>
          <w:rFonts w:cs="Arial"/>
          <w:lang w:val="es-ES" w:eastAsia="zh-CN"/>
        </w:rPr>
        <w:t>Con el fin de mejorar la cooperación entre los Estados miembros en lo que atañe a seguir elaborando marcos normativos y de política equilibrados para el sistema internacional de patentes, en enero y noviembre de 2014, se celebraron la vigésima y la vigesimoprimera sesiones del Comité Permanente sobre el Derecho de Patentes (SCP).  El SCP continuó prestando atención a cinco cuestiones en su orden del día, a saber:  i) las excepciones y limitaciones a los derechos conferidos por las patentes;  ii) la calidad de las patentes, incluidos los procedimientos de oposición;  iii) las patentes y la salud;  iv) la confidencialidad de las comunicaciones entre asesores de patente y sus clientes;  y v) la transferencia de tecnología.</w:t>
      </w:r>
    </w:p>
    <w:p w:rsidR="00F777B4" w:rsidRPr="00526311" w:rsidRDefault="00F777B4" w:rsidP="0063039A">
      <w:pPr>
        <w:rPr>
          <w:bCs/>
          <w:sz w:val="20"/>
        </w:rPr>
      </w:pPr>
    </w:p>
    <w:p w:rsidR="00F777B4" w:rsidRPr="00526311" w:rsidRDefault="00F777B4" w:rsidP="0063039A">
      <w:pPr>
        <w:rPr>
          <w:bCs/>
          <w:sz w:val="20"/>
        </w:rPr>
      </w:pPr>
    </w:p>
    <w:p w:rsidR="00F777B4" w:rsidRPr="00526311" w:rsidRDefault="00F777B4" w:rsidP="0063039A">
      <w:pPr>
        <w:jc w:val="center"/>
        <w:rPr>
          <w:i/>
          <w:iCs/>
          <w:sz w:val="20"/>
        </w:rPr>
      </w:pPr>
      <w:r w:rsidRPr="00526311">
        <w:rPr>
          <w:b/>
          <w:iCs/>
        </w:rPr>
        <w:t>Meta estratégica II:  Prestación de servicios mundiales de P.I. de calidad</w:t>
      </w:r>
    </w:p>
    <w:p w:rsidR="00F777B4" w:rsidRPr="00526311" w:rsidRDefault="009A5995" w:rsidP="0063039A">
      <w:pPr>
        <w:rPr>
          <w:sz w:val="20"/>
        </w:rPr>
      </w:pPr>
      <w:r w:rsidRPr="00526311">
        <w:rPr>
          <w:noProof/>
          <w:lang w:val="en-US" w:eastAsia="en-US"/>
        </w:rPr>
        <w:drawing>
          <wp:inline distT="0" distB="0" distL="0" distR="0" wp14:anchorId="279823CD" wp14:editId="12A235AF">
            <wp:extent cx="5940425" cy="2543830"/>
            <wp:effectExtent l="0" t="0" r="317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2543830"/>
                    </a:xfrm>
                    <a:prstGeom prst="rect">
                      <a:avLst/>
                    </a:prstGeom>
                    <a:noFill/>
                    <a:ln>
                      <a:noFill/>
                    </a:ln>
                  </pic:spPr>
                </pic:pic>
              </a:graphicData>
            </a:graphic>
          </wp:inline>
        </w:drawing>
      </w:r>
    </w:p>
    <w:p w:rsidR="00F777B4" w:rsidRPr="00526311" w:rsidRDefault="00F777B4" w:rsidP="0063039A">
      <w:pPr>
        <w:rPr>
          <w:b/>
          <w:sz w:val="18"/>
          <w:szCs w:val="18"/>
        </w:rPr>
      </w:pPr>
    </w:p>
    <w:p w:rsidR="00F777B4" w:rsidRPr="00526311" w:rsidRDefault="00F777B4" w:rsidP="00B45FC3">
      <w:pPr>
        <w:pStyle w:val="ListParagraph"/>
        <w:numPr>
          <w:ilvl w:val="0"/>
          <w:numId w:val="7"/>
        </w:numPr>
        <w:tabs>
          <w:tab w:val="left" w:pos="567"/>
        </w:tabs>
        <w:ind w:left="0" w:firstLine="0"/>
        <w:jc w:val="both"/>
        <w:rPr>
          <w:b/>
          <w:sz w:val="18"/>
          <w:szCs w:val="18"/>
          <w:lang w:val="es-ES"/>
        </w:rPr>
      </w:pPr>
      <w:r w:rsidRPr="00526311">
        <w:rPr>
          <w:lang w:val="es-ES"/>
        </w:rPr>
        <w:t>En 2014 se observó un crecimiento considerable de los sistemas de registro internacional por quinto año consecutivo a pesar de la persistente fragilidad económica a nivel mundial.  La Organización logró prestar servicios de calidad y mejorar la experiencia de los clientes, al tiempo que se incrementó la productividad a través de iniciativas bien diseñadas en materia de tecnologías de la información y las comunicaciones (TIC).</w:t>
      </w:r>
    </w:p>
    <w:p w:rsidR="00F777B4" w:rsidRPr="00526311" w:rsidRDefault="00F777B4" w:rsidP="0063039A">
      <w:pPr>
        <w:jc w:val="both"/>
        <w:rPr>
          <w:sz w:val="20"/>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Las solicitudes internacionales de patente presentadas en virtud del Tratado de Cooperación en materia de Patentes (PCT) registraron un gran aumento en 2014, con un total de 214.500 solicitudes de patente presentadas, lo que supone un crecimiento del 4,5% en relación con 2013.  Tres gigantes de las telecomunicaciones de China y los Estados Unidos de América lideraron la actividad de presentación de solicitudes internacionales de patente en 2014.</w:t>
      </w:r>
    </w:p>
    <w:p w:rsidR="00F777B4" w:rsidRPr="00526311" w:rsidRDefault="00F777B4" w:rsidP="0063039A">
      <w:pPr>
        <w:shd w:val="clear" w:color="auto" w:fill="FFFFFF"/>
        <w:jc w:val="both"/>
        <w:rPr>
          <w:sz w:val="20"/>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rFonts w:cs="Arial"/>
          <w:lang w:val="es-ES"/>
        </w:rPr>
        <w:t xml:space="preserve">En su séptima reunión, celebrada en junio de 2014, el Grupo de Trabajo del PCT continuó los debates sobre algunas propuestas para mejorar el funcionamiento del Sistema del PCT, de conformidad con las recomendaciones refrendadas por el Grupo de Trabajo en su tercera reunión.  Entre los logros de 2014 cabe mencionar el acuerdo sobre los nuevos criterios que deben cumplir los solicitantes de determinados países para obtener una reducción de las tasas, en cuyo marco se amplió el número de </w:t>
      </w:r>
      <w:r w:rsidRPr="00526311">
        <w:rPr>
          <w:rFonts w:cs="Arial"/>
          <w:lang w:val="es-ES"/>
        </w:rPr>
        <w:lastRenderedPageBreak/>
        <w:t>países en desarrollo y de PMA que pueden acceder a dichas reducciones de tasas.  Los Estados miembros concluyeron los debates sobre las posibles reducciones de tasas en favor de las pequeñas y medianas empresas (pymes), habiendo llegado al acuerdo de que no hay una clara vía a seguir y que no se seguirá trabajando en esa cuestión hasta que los Estados miembros no presenten una propuesta concreta.  En 2015 proseguirán los debates entre los Estados miembros sobre las posibles reducciones de tasas en favor de las universidades y las instituciones de investigación sin fines de lucro, especialmente las de los países en desarrollo y PMA, pero no exclusivamente.  Además, los Estados miembros aprobaron un procedimiento revisado para la designación de nuevas Administraciones encargadas de la búsqueda internacional y del examen preliminar internacional e impulsaron los debates sobre cómo mejorar la calidad y la puntualidad de los textos producidos en el marco del PCT (informes de búsqueda internacional y de examen preliminar internacional).  También avanzaron en lo que respecta a la aceptación de parámetros destinados a evaluar el rendimiento global del sistema del PCT y, en particular, los textos producidos en el marco del PCT.</w:t>
      </w:r>
    </w:p>
    <w:p w:rsidR="00F777B4" w:rsidRPr="00526311" w:rsidRDefault="00F777B4" w:rsidP="0063039A">
      <w:pPr>
        <w:pStyle w:val="ListParagraph"/>
        <w:tabs>
          <w:tab w:val="left" w:pos="709"/>
        </w:tabs>
        <w:ind w:left="0"/>
        <w:jc w:val="both"/>
        <w:rPr>
          <w:szCs w:val="24"/>
          <w:lang w:val="es-ES"/>
        </w:rPr>
      </w:pPr>
    </w:p>
    <w:p w:rsidR="00F777B4" w:rsidRPr="00526311" w:rsidRDefault="00F777B4" w:rsidP="00B45FC3">
      <w:pPr>
        <w:pStyle w:val="ListParagraph"/>
        <w:numPr>
          <w:ilvl w:val="0"/>
          <w:numId w:val="7"/>
        </w:numPr>
        <w:tabs>
          <w:tab w:val="left" w:pos="567"/>
        </w:tabs>
        <w:ind w:left="0" w:firstLine="0"/>
        <w:jc w:val="both"/>
        <w:rPr>
          <w:rFonts w:cs="Arial"/>
          <w:lang w:val="es-ES"/>
        </w:rPr>
      </w:pPr>
      <w:r w:rsidRPr="00526311">
        <w:rPr>
          <w:rFonts w:cs="Arial"/>
          <w:lang w:val="es-ES"/>
        </w:rPr>
        <w:t>El uso del Sistema de Madrid también aumentó en 2014, aunque a un ritmo menor al que se anticipaba originalmente.  En 2014, se recibió el número récord de 47.885 solicitudes, lo que supuso un aumento del 2,3% respecto de 2013.  En 2014, más de la mitad del crecimiento total correspondió a los Estados Unidos de América que se convirtió en el mayor usuario del Sistema, en detrimento de Alemania, lo que constituye un considerable logro y una prueba de que el Sistema de Madrid ha pasado a ser un auténtico sistema mundial.  También se registraron progresos importantes a raíz de la ampliación del alcance geográfico del Sistema.  En diciembre, Zimbabwe y la Organización Africana de la Propiedad Intelectual (OAPI) se adhirieron al Protocolo de Madrid.  Puesto que la OAPI es una organización intergubernamental que cuenta con 17 Estados miembros, estas dos adhesiones aumentaron de 94 a 110 el número de países en que los usuarios pueden proteger y gestionar sus marcas de forma centralizada a través del Sistema de Madrid, contribuyendo enormemente a la transformación del Sistema.</w:t>
      </w:r>
    </w:p>
    <w:p w:rsidR="00F777B4" w:rsidRPr="00526311" w:rsidRDefault="00F777B4" w:rsidP="0063039A">
      <w:pPr>
        <w:pStyle w:val="ListParagraph"/>
        <w:tabs>
          <w:tab w:val="left" w:pos="709"/>
        </w:tabs>
        <w:ind w:left="0"/>
        <w:jc w:val="both"/>
        <w:rPr>
          <w:rFonts w:cs="Arial"/>
          <w:lang w:val="es-ES"/>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color w:val="000000"/>
          <w:lang w:val="es-ES"/>
        </w:rPr>
        <w:t xml:space="preserve">En 2014, se registraron 14.441 dibujos y modelos contenidos en las solicitudes internacionales de </w:t>
      </w:r>
      <w:r w:rsidRPr="00526311">
        <w:rPr>
          <w:lang w:val="es-ES"/>
        </w:rPr>
        <w:t xml:space="preserve">registro de dibujos o modelos industriales en virtud del </w:t>
      </w:r>
      <w:r w:rsidR="00DF7826" w:rsidRPr="00526311">
        <w:rPr>
          <w:lang w:val="es-ES"/>
        </w:rPr>
        <w:t>Sistema de La Haya</w:t>
      </w:r>
      <w:r w:rsidRPr="00526311">
        <w:rPr>
          <w:lang w:val="es-ES"/>
        </w:rPr>
        <w:t>, lo que supone un aumento del 9,6% respecto de 2013, aunque el crecimiento global fue menor de lo previsto.  En 2014, se lograron avances significativos en la mejora del marco jurídico del Sistema de La Haya.  Cabe destacar que, tras la cuarta reunión del Grupo de Trabajo sobre el Desarrollo Jurídico del Sistema de La Haya para el Registro Internacional de Dibujos y Modelos Industriales, la Asamblea de la Unión de La Haya adoptó disposiciones que permitieron la introducción de un "mecanismo de información".  Además, se modificaron las Instrucciones Administrativas para que los usuarios dispusieran de mayor flexibilidad respecto de la divulgación formal de sus dibujos y modelos.  En 2014, la República de Corea pasó a ser parte en el Acta de Ginebra (1999) del Arreglo de La Haya relativo al registro internacional de dibujos y modelos industriales (denominados en lo sucesivo "el Acta de 1999").  Las adhesiones de otros posibles miembros, en particular el Japón y los Estados Unidos de América, fueron aplazadas para 2015, lo que se tradujo en un crecimiento inferior a lo previsto en el número de miembros en 2014.  Además, a fines de 2014, todavía se necesitaban tres autorizaciones para el cese de la aplicación del Acta de 1934, y cuatro Partes Contratantes al margen de la Unión Europea (UE) y la OAPI continuaban obligadas por el Acta de 1960.</w:t>
      </w:r>
    </w:p>
    <w:p w:rsidR="00F777B4" w:rsidRPr="00526311" w:rsidRDefault="00F777B4" w:rsidP="0063039A">
      <w:pPr>
        <w:jc w:val="both"/>
        <w:rPr>
          <w:sz w:val="20"/>
        </w:rPr>
      </w:pPr>
    </w:p>
    <w:p w:rsidR="00F777B4" w:rsidRPr="00526311" w:rsidRDefault="00F777B4" w:rsidP="00B45FC3">
      <w:pPr>
        <w:pStyle w:val="ListParagraph"/>
        <w:numPr>
          <w:ilvl w:val="0"/>
          <w:numId w:val="7"/>
        </w:numPr>
        <w:tabs>
          <w:tab w:val="left" w:pos="567"/>
        </w:tabs>
        <w:ind w:left="0" w:firstLine="0"/>
        <w:jc w:val="both"/>
        <w:rPr>
          <w:rFonts w:cs="Arial"/>
          <w:bCs/>
          <w:lang w:val="es-ES"/>
        </w:rPr>
      </w:pPr>
      <w:r w:rsidRPr="00526311">
        <w:rPr>
          <w:rFonts w:cs="Arial"/>
          <w:bCs/>
          <w:lang w:val="es-ES"/>
        </w:rPr>
        <w:t>La Asamblea de la Unión de Lisboa encargó en 2009 al Grupo de Trabajo sobre el Desarrollo del Sistema de Lisboa que realizara una revisión completa del Sistema de Lisboa para hacerlo más atractivo para los usuarios y los posibles nuevos miembros, manteniendo sus principios y objetivos.  Ante los avances realizados por el Grupo de Trabajo, la Asamblea de la Unión de Lisboa aprobó, en 2013, la convocación de una conferencia diplomática para la adopción en 2015 de un Arreglo de Lisboa revisado sobre las denominaciones de origen y las indicaciones geográficas.  En octubre de 2014, el Grupo de Trabajo concluyó su labor preparatoria para una nueva Acta del Arreglo de Lisboa relativa a la Protección de las Denominaciones de Origen y las Indicaciones Geográficas, y el Comité Preparatorio convino en celebrar la conferencia diplomática en Ginebra, del 11 al 21 de mayo de 2015.</w:t>
      </w:r>
    </w:p>
    <w:p w:rsidR="00F777B4" w:rsidRPr="00526311" w:rsidRDefault="00F777B4" w:rsidP="0063039A">
      <w:pPr>
        <w:tabs>
          <w:tab w:val="left" w:pos="5309"/>
        </w:tabs>
        <w:jc w:val="both"/>
        <w:rPr>
          <w:sz w:val="20"/>
        </w:rPr>
      </w:pPr>
    </w:p>
    <w:p w:rsidR="00F777B4" w:rsidRPr="00526311" w:rsidRDefault="00F777B4" w:rsidP="00B45FC3">
      <w:pPr>
        <w:pStyle w:val="ListParagraph"/>
        <w:numPr>
          <w:ilvl w:val="0"/>
          <w:numId w:val="7"/>
        </w:numPr>
        <w:tabs>
          <w:tab w:val="left" w:pos="567"/>
        </w:tabs>
        <w:ind w:left="0" w:firstLine="0"/>
        <w:jc w:val="both"/>
        <w:rPr>
          <w:rFonts w:cs="Arial"/>
          <w:lang w:val="es-ES"/>
        </w:rPr>
      </w:pPr>
      <w:r w:rsidRPr="00526311">
        <w:rPr>
          <w:rFonts w:cs="Arial"/>
          <w:lang w:val="es-ES"/>
        </w:rPr>
        <w:t xml:space="preserve">Sobre la base de las conclusiones de la Encuesta internacional sobre solución de controversias en el ámbito de las transacciones de tecnología efectuada por el Centro de Arbitraje y Mediación de la OMPI en 2013, el Centro procuró optimizar en 2014 el potencial de sus procedimientos para satisfacer las necesidades de los titulares y </w:t>
      </w:r>
      <w:r w:rsidRPr="00526311">
        <w:rPr>
          <w:rFonts w:cs="Arial"/>
          <w:color w:val="000000"/>
          <w:lang w:val="es-ES"/>
        </w:rPr>
        <w:t>los usuarios de derechos de P.I.</w:t>
      </w:r>
      <w:r w:rsidRPr="00526311">
        <w:rPr>
          <w:rFonts w:cs="Arial"/>
          <w:lang w:val="es-ES"/>
        </w:rPr>
        <w:t xml:space="preserve">  </w:t>
      </w:r>
      <w:r w:rsidRPr="00526311">
        <w:rPr>
          <w:rFonts w:cs="Arial"/>
          <w:color w:val="000000"/>
          <w:lang w:val="es-ES"/>
        </w:rPr>
        <w:t xml:space="preserve">En 2014, las demandas por ciberocupación presentadas ante la OMPI aumentaron en un 2% y los propietarios de marcas presentaron 2.634 demandas en relación con 5.591 nombres de dominio que infringían supuestamente sus marcas. </w:t>
      </w:r>
      <w:r w:rsidRPr="00526311">
        <w:rPr>
          <w:noProof/>
          <w:lang w:val="es-ES"/>
        </w:rPr>
        <w:t xml:space="preserve"> </w:t>
      </w:r>
      <w:r w:rsidRPr="00526311">
        <w:rPr>
          <w:noProof/>
          <w:color w:val="000000"/>
          <w:lang w:val="es-ES"/>
        </w:rPr>
        <w:t xml:space="preserve">El 13% de las demandas presentadas tenía que ver con los </w:t>
      </w:r>
      <w:r w:rsidRPr="00526311">
        <w:rPr>
          <w:noProof/>
          <w:lang w:val="es-ES"/>
        </w:rPr>
        <w:t xml:space="preserve">dominios de nivel superior correspondientes a códigos de países (ccTLD)), y actualmente 72 registradores de dominios nacionales </w:t>
      </w:r>
      <w:r w:rsidRPr="00526311">
        <w:rPr>
          <w:noProof/>
          <w:lang w:val="es-ES"/>
        </w:rPr>
        <w:lastRenderedPageBreak/>
        <w:t>utilizan los servicios de la OMPI a ese respecto.</w:t>
      </w:r>
      <w:r w:rsidRPr="00526311">
        <w:rPr>
          <w:lang w:val="es-ES"/>
        </w:rPr>
        <w:t xml:space="preserve">  En las demandas presentadas ante la OMPI en 2014 en virtud de la Política Uniforme intervinieron partes de 108 países.  Entre los cinco primeros usuarios, los Estados Unidos de América </w:t>
      </w:r>
      <w:r w:rsidRPr="00526311">
        <w:rPr>
          <w:color w:val="000000"/>
          <w:lang w:val="es-ES"/>
        </w:rPr>
        <w:t>(+14,3%) experimentaron el índice más alto de crecimiento en cuanto a las demandas presentadas.  Los tres principales sectores de actividad de los demandantes fueron el comercio minorista (13% de las demandas), la banca y las finanzas (11%) y la moda (10%).  Para dirimir las controversias se recurrió a 297 expertos de la OMPI procedentes de 43 países y se utilizaron 16 idiomas distintos en los procedimientos.</w:t>
      </w:r>
    </w:p>
    <w:p w:rsidR="00F777B4" w:rsidRPr="00526311" w:rsidRDefault="00F777B4" w:rsidP="0063039A">
      <w:pPr>
        <w:rPr>
          <w:iCs/>
          <w:sz w:val="20"/>
        </w:rPr>
      </w:pPr>
    </w:p>
    <w:p w:rsidR="00F777B4" w:rsidRPr="00526311" w:rsidRDefault="00F777B4" w:rsidP="0063039A">
      <w:pPr>
        <w:rPr>
          <w:iCs/>
          <w:sz w:val="20"/>
        </w:rPr>
      </w:pPr>
    </w:p>
    <w:p w:rsidR="00F777B4" w:rsidRPr="00526311" w:rsidRDefault="00F777B4" w:rsidP="0063039A">
      <w:pPr>
        <w:jc w:val="center"/>
        <w:rPr>
          <w:b/>
          <w:iCs/>
        </w:rPr>
      </w:pPr>
      <w:r w:rsidRPr="00526311">
        <w:rPr>
          <w:b/>
          <w:iCs/>
        </w:rPr>
        <w:t>Meta estratégica III:  Facilitar el uso de la P.I. en aras del desarrollo</w:t>
      </w:r>
    </w:p>
    <w:p w:rsidR="00F777B4" w:rsidRPr="00526311" w:rsidRDefault="009A5995" w:rsidP="0063039A">
      <w:pPr>
        <w:rPr>
          <w:sz w:val="20"/>
        </w:rPr>
      </w:pPr>
      <w:r w:rsidRPr="00526311">
        <w:rPr>
          <w:noProof/>
          <w:lang w:val="en-US" w:eastAsia="en-US"/>
        </w:rPr>
        <w:drawing>
          <wp:inline distT="0" distB="0" distL="0" distR="0" wp14:anchorId="73F2359D" wp14:editId="2DFFCD56">
            <wp:extent cx="5742305" cy="3057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2305" cy="3057525"/>
                    </a:xfrm>
                    <a:prstGeom prst="rect">
                      <a:avLst/>
                    </a:prstGeom>
                    <a:noFill/>
                    <a:ln>
                      <a:noFill/>
                    </a:ln>
                  </pic:spPr>
                </pic:pic>
              </a:graphicData>
            </a:graphic>
          </wp:inline>
        </w:drawing>
      </w:r>
    </w:p>
    <w:p w:rsidR="00F777B4" w:rsidRPr="00526311" w:rsidRDefault="00F777B4" w:rsidP="0063039A">
      <w:pPr>
        <w:jc w:val="both"/>
        <w:rPr>
          <w:sz w:val="20"/>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Facilitar el uso de la P.I. en aras del desarrollo y potenciar a los países en desarrollo y los PMA a fin de que utilicen la P.I. para aumentar el potencial y las capacidades de innovación nacional siguieron siendo prioridades en 2014.</w:t>
      </w:r>
    </w:p>
    <w:p w:rsidR="00F777B4" w:rsidRPr="00526311" w:rsidRDefault="00F777B4" w:rsidP="0063039A">
      <w:pPr>
        <w:jc w:val="both"/>
        <w:rPr>
          <w:sz w:val="20"/>
        </w:rPr>
      </w:pPr>
    </w:p>
    <w:p w:rsidR="00F777B4" w:rsidRPr="00526311" w:rsidRDefault="00F777B4" w:rsidP="00B45FC3">
      <w:pPr>
        <w:pStyle w:val="ListParagraph"/>
        <w:numPr>
          <w:ilvl w:val="0"/>
          <w:numId w:val="7"/>
        </w:numPr>
        <w:tabs>
          <w:tab w:val="left" w:pos="567"/>
        </w:tabs>
        <w:ind w:left="0" w:firstLine="0"/>
        <w:jc w:val="both"/>
        <w:rPr>
          <w:rFonts w:eastAsia="SimSun"/>
          <w:bCs/>
          <w:lang w:val="es-ES" w:eastAsia="zh-CN"/>
        </w:rPr>
      </w:pPr>
      <w:r w:rsidRPr="00526311">
        <w:rPr>
          <w:rFonts w:eastAsia="SimSun"/>
          <w:bCs/>
          <w:lang w:val="es-ES" w:eastAsia="zh-CN"/>
        </w:rPr>
        <w:t>En 2014, la OMPI siguió asistiendo a los países en desarrollo y los PMA en el diseño, desarrollo y aplicación de estrategias nacionales de P.I. coherentes con sus planes generales de desarrollo y</w:t>
      </w:r>
      <w:r w:rsidR="003D3C62" w:rsidRPr="00526311">
        <w:rPr>
          <w:rFonts w:eastAsia="SimSun"/>
          <w:bCs/>
          <w:lang w:val="es-ES" w:eastAsia="zh-CN"/>
        </w:rPr>
        <w:t>,</w:t>
      </w:r>
      <w:r w:rsidRPr="00526311">
        <w:rPr>
          <w:rFonts w:eastAsia="SimSun"/>
          <w:bCs/>
          <w:lang w:val="es-ES" w:eastAsia="zh-CN"/>
        </w:rPr>
        <w:t xml:space="preserve"> al mismo tiempo</w:t>
      </w:r>
      <w:r w:rsidR="003D3C62" w:rsidRPr="00526311">
        <w:rPr>
          <w:rFonts w:eastAsia="SimSun"/>
          <w:bCs/>
          <w:lang w:val="es-ES" w:eastAsia="zh-CN"/>
        </w:rPr>
        <w:t>,</w:t>
      </w:r>
      <w:r w:rsidRPr="00526311">
        <w:rPr>
          <w:rFonts w:eastAsia="SimSun"/>
          <w:bCs/>
          <w:lang w:val="es-ES" w:eastAsia="zh-CN"/>
        </w:rPr>
        <w:t xml:space="preserve"> capaces de fomentar la innovación y la creatividad.  </w:t>
      </w:r>
      <w:r w:rsidRPr="00526311">
        <w:rPr>
          <w:rFonts w:eastAsia="SimSun"/>
          <w:bCs/>
          <w:color w:val="000000"/>
          <w:lang w:val="es-ES" w:eastAsia="zh-CN"/>
        </w:rPr>
        <w:t>El proceso siguió orientándose por la aplicación de una metodología normalizada, pero flexible, y un repertorio de herramientas prácticas para la formulación de estrategias y planes nacionales de P.I., creadas en el marco del proyecto de la A.D. sobre la mejora de la capacidad de las instituciones de P.I. de ámbito nacional, subregional y regional y de los respectivos usuarios en 2012.</w:t>
      </w:r>
      <w:r w:rsidRPr="00526311">
        <w:rPr>
          <w:rFonts w:eastAsia="SimSun"/>
          <w:bCs/>
          <w:lang w:val="es-ES" w:eastAsia="zh-CN"/>
        </w:rPr>
        <w:t xml:space="preserve">  </w:t>
      </w:r>
      <w:r w:rsidRPr="00526311">
        <w:rPr>
          <w:rFonts w:eastAsia="SimSun"/>
          <w:bCs/>
          <w:color w:val="000000"/>
          <w:lang w:val="es-ES" w:eastAsia="zh-CN"/>
        </w:rPr>
        <w:t>Como resultado de ello, a finales de 2014 nueve países (seis en África, dos en Asia y el Pacífico y uno en América Latina y el Caribe) iniciaron el proceso de formulación de estrategias y planes de desarrollo nacionales de P.I., y 18 países (seis en África, tres en la región Árabe, cuatro en Asia y el Pacífico y cinco en América Latina y el Caribe) estaban todavía en el proceso de formulación o de adopción.  Además, se habían adoptado, o estaban en vías de aplicación, planes de desarrollo o estrategias nacionales en materia de P.I. en un total de 37 países (21 en África, dos en los países árabes, ocho en Asia y el Pacífico y seis en América Latina y el Caribe), de los que 17 eran países menos adelantados.</w:t>
      </w:r>
    </w:p>
    <w:p w:rsidR="00F777B4" w:rsidRPr="00526311" w:rsidRDefault="00F777B4" w:rsidP="0063039A">
      <w:pPr>
        <w:jc w:val="both"/>
        <w:rPr>
          <w:sz w:val="20"/>
        </w:rPr>
      </w:pPr>
    </w:p>
    <w:p w:rsidR="00F777B4" w:rsidRPr="00526311" w:rsidRDefault="00F777B4" w:rsidP="00B45FC3">
      <w:pPr>
        <w:pStyle w:val="ListParagraph"/>
        <w:numPr>
          <w:ilvl w:val="0"/>
          <w:numId w:val="7"/>
        </w:numPr>
        <w:tabs>
          <w:tab w:val="left" w:pos="567"/>
        </w:tabs>
        <w:ind w:left="0" w:firstLine="0"/>
        <w:jc w:val="both"/>
        <w:rPr>
          <w:color w:val="000000"/>
          <w:lang w:val="es-ES"/>
        </w:rPr>
      </w:pPr>
      <w:r w:rsidRPr="00526311">
        <w:rPr>
          <w:color w:val="000000"/>
          <w:lang w:val="es-ES"/>
        </w:rPr>
        <w:t>Los siguientes Estados de Europa Central y del Báltico, Asia Central, Europa Oriental y el Cáucaso, así como algunos países mediterráneos, modificaron su legislación nacional en materia de P.I. en sintonía con sus estrategias nacionales de P.I</w:t>
      </w:r>
      <w:r w:rsidRPr="00526311">
        <w:rPr>
          <w:lang w:val="es-ES"/>
        </w:rPr>
        <w:t xml:space="preserve">.:  Kazajstán, Lituania, Montenegro, República de Moldova y Tayikistán.  En 2014, siguió siendo prioritario fomentar </w:t>
      </w:r>
      <w:r w:rsidRPr="00526311">
        <w:rPr>
          <w:color w:val="000000"/>
          <w:lang w:val="es-ES"/>
        </w:rPr>
        <w:t>la importancia de elaborar y aplicar estrategias nacionales exhaustivas y de largo plazo, así como prestar asistencia a ese respecto, para satisfacer las necesidades de los Estados miembros.  Tres países (Eslovenia, Tayikistán y Turquía) adoptaron estrategias nacionales de P.I. y cuatro países (Bulgaria, Polonia, Turkmenistán y Ucrania) comenzaron a elaborar una nueva estrategia.</w:t>
      </w:r>
    </w:p>
    <w:p w:rsidR="00F777B4" w:rsidRPr="00526311" w:rsidRDefault="00F777B4" w:rsidP="0063039A">
      <w:pPr>
        <w:autoSpaceDE w:val="0"/>
        <w:autoSpaceDN w:val="0"/>
        <w:adjustRightInd w:val="0"/>
        <w:jc w:val="both"/>
        <w:rPr>
          <w:rFonts w:eastAsia="MS Mincho"/>
          <w:sz w:val="20"/>
          <w:lang w:eastAsia="ja-JP"/>
        </w:rPr>
      </w:pPr>
    </w:p>
    <w:p w:rsidR="00F777B4" w:rsidRPr="00526311" w:rsidRDefault="00F777B4" w:rsidP="00B45FC3">
      <w:pPr>
        <w:pStyle w:val="ListParagraph"/>
        <w:numPr>
          <w:ilvl w:val="0"/>
          <w:numId w:val="7"/>
        </w:numPr>
        <w:tabs>
          <w:tab w:val="left" w:pos="567"/>
        </w:tabs>
        <w:ind w:left="0" w:firstLine="0"/>
        <w:jc w:val="both"/>
        <w:rPr>
          <w:rFonts w:eastAsiaTheme="minorHAnsi" w:cs="Arial"/>
          <w:color w:val="000000"/>
          <w:lang w:val="es-ES"/>
        </w:rPr>
      </w:pPr>
      <w:r w:rsidRPr="00526311">
        <w:rPr>
          <w:rFonts w:eastAsiaTheme="minorHAnsi" w:cs="Arial"/>
          <w:color w:val="000000"/>
          <w:lang w:val="es-ES"/>
        </w:rPr>
        <w:t xml:space="preserve">En 2014, la Academia de la OMPI dio inicio a un proceso de reforma con miras a volver a situarse en la posición de principal entidad de la Organización en materia de formación y fortalecimiento de </w:t>
      </w:r>
      <w:r w:rsidRPr="00526311">
        <w:rPr>
          <w:rFonts w:eastAsiaTheme="minorHAnsi" w:cs="Arial"/>
          <w:color w:val="000000"/>
          <w:lang w:val="es-ES"/>
        </w:rPr>
        <w:lastRenderedPageBreak/>
        <w:t xml:space="preserve">capacidades en P.I. para funcionarios gubernamentales y otras partes interesadas.  Dentro de los esfuerzos encaminados a mejorar las capacidades nacionales y regionales para el uso eficaz de la P.I. en aras del desarrollo, un importante logro en 2014 fue la extensión, a los demás programas de la Academia, de la plataforma de la OMPI de enseñanza a distancia (WeLC), elaborada por el Programa de enseñanza a distancia en 2011, con el fin de facilitar los trámites de inscripción, selección y matriculación de candidatos.  En 2014, 34.935 personas (30.552 para los cursos generales y 4.383 para los cursos de nivel avanzado) de más de 192 países utilizaron la plataforma mejorada de enseñanza a distancia (WeLC).  Se inauguraron en 2014 dos nuevos cursos piloto de enseñanza a distancia:  i) </w:t>
      </w:r>
      <w:r w:rsidRPr="00526311">
        <w:rPr>
          <w:rFonts w:eastAsiaTheme="minorHAnsi" w:cs="Arial"/>
          <w:i/>
          <w:color w:val="000000"/>
          <w:lang w:val="es-ES"/>
        </w:rPr>
        <w:t xml:space="preserve">Propiedad intelectual, conocimientos tradicionales y expresiones culturales tradicionales (DL-203) </w:t>
      </w:r>
      <w:r w:rsidRPr="00526311">
        <w:rPr>
          <w:rFonts w:eastAsiaTheme="minorHAnsi" w:cs="Arial"/>
          <w:color w:val="000000"/>
          <w:lang w:val="es-ES"/>
        </w:rPr>
        <w:t xml:space="preserve">y ii) </w:t>
      </w:r>
      <w:r w:rsidRPr="00526311">
        <w:rPr>
          <w:rFonts w:eastAsiaTheme="minorHAnsi" w:cs="Arial"/>
          <w:i/>
          <w:color w:val="000000"/>
          <w:lang w:val="es-ES"/>
        </w:rPr>
        <w:t xml:space="preserve">Gestión colectiva del Derecho de autor y los derechos conexos (DL-501). </w:t>
      </w:r>
      <w:r w:rsidRPr="00526311">
        <w:rPr>
          <w:rFonts w:eastAsiaTheme="minorHAnsi" w:cs="Arial"/>
          <w:color w:val="000000"/>
          <w:lang w:val="es-ES"/>
        </w:rPr>
        <w:t xml:space="preserve"> En 2014 se completó la segunda fase del proyecto de creación de academias nacionales de P.I. que comenzó en 2012.</w:t>
      </w:r>
      <w:r w:rsidRPr="00526311">
        <w:rPr>
          <w:rFonts w:eastAsiaTheme="minorHAnsi" w:cs="Arial"/>
          <w:lang w:val="es-ES"/>
        </w:rPr>
        <w:t xml:space="preserve">  </w:t>
      </w:r>
      <w:r w:rsidRPr="00526311">
        <w:rPr>
          <w:rFonts w:eastAsiaTheme="minorHAnsi" w:cs="Arial"/>
          <w:color w:val="000000"/>
          <w:lang w:val="es-ES"/>
        </w:rPr>
        <w:t xml:space="preserve">En la decimocuarta sesión del CDIP (CDIP/14/4) se presentó un informe externo independiente de evaluación.  En 2014, se firmaron dos nuevos acuerdos con los Gobiernos de Camboya y el Ecuador para el establecimiento de academias de P.I. </w:t>
      </w:r>
      <w:r w:rsidRPr="00526311">
        <w:rPr>
          <w:rFonts w:eastAsiaTheme="minorHAnsi" w:cs="Arial"/>
          <w:lang w:val="es-ES"/>
        </w:rPr>
        <w:t xml:space="preserve"> </w:t>
      </w:r>
      <w:r w:rsidRPr="00526311">
        <w:rPr>
          <w:rFonts w:eastAsiaTheme="minorHAnsi" w:cs="Arial"/>
          <w:color w:val="000000"/>
          <w:lang w:val="es-ES"/>
        </w:rPr>
        <w:t>La cooperación se inició formalmente con el Ecuador en septiembre de 2014.</w:t>
      </w:r>
    </w:p>
    <w:p w:rsidR="00F777B4" w:rsidRPr="00526311" w:rsidRDefault="00F777B4" w:rsidP="0063039A">
      <w:pPr>
        <w:autoSpaceDE w:val="0"/>
        <w:autoSpaceDN w:val="0"/>
        <w:adjustRightInd w:val="0"/>
        <w:jc w:val="both"/>
        <w:rPr>
          <w:sz w:val="20"/>
        </w:rPr>
      </w:pPr>
    </w:p>
    <w:p w:rsidR="00F777B4" w:rsidRPr="00526311" w:rsidRDefault="00F777B4" w:rsidP="00B45FC3">
      <w:pPr>
        <w:pStyle w:val="ListParagraph"/>
        <w:numPr>
          <w:ilvl w:val="0"/>
          <w:numId w:val="7"/>
        </w:numPr>
        <w:tabs>
          <w:tab w:val="left" w:pos="567"/>
        </w:tabs>
        <w:ind w:left="0" w:firstLine="0"/>
        <w:jc w:val="both"/>
        <w:rPr>
          <w:rFonts w:eastAsiaTheme="minorHAnsi" w:cs="Arial"/>
          <w:lang w:val="es-ES"/>
        </w:rPr>
      </w:pPr>
      <w:r w:rsidRPr="00526311">
        <w:rPr>
          <w:rFonts w:eastAsia="SimSun"/>
          <w:bCs/>
          <w:color w:val="000000"/>
          <w:lang w:val="es-ES" w:eastAsia="zh-CN"/>
        </w:rPr>
        <w:t>En 2014, siguió siendo prioritaria la tarea de mejorar las capacidades en el ámbito de los recursos humanos para hacer frente al amplio espectro de exigencias que supone la utilización eficaz de la P.I. en aras del desarrollo y potenciar la innovación y la creatividad.  Se llevaron a cabo programas, en los planos nacional, subregional y regional, de fortalecimiento de capacidades y de desarrollo de aptitudes destinados a grupos específicos tales como funcionarios gubernamentales, responsables de la elaboración de políticas, profesionales de la P.I., funcionarios encargados de hacer cumplir la ley, investigadores y académicos, empresarios y miembros del sector industrial así como pymes.</w:t>
      </w:r>
    </w:p>
    <w:p w:rsidR="00F777B4" w:rsidRPr="00526311" w:rsidRDefault="00F777B4" w:rsidP="0063039A">
      <w:pPr>
        <w:autoSpaceDE w:val="0"/>
        <w:autoSpaceDN w:val="0"/>
        <w:adjustRightInd w:val="0"/>
        <w:jc w:val="both"/>
        <w:rPr>
          <w:rFonts w:eastAsiaTheme="minorHAnsi"/>
          <w:sz w:val="20"/>
        </w:rPr>
      </w:pPr>
    </w:p>
    <w:p w:rsidR="00F777B4" w:rsidRPr="00526311" w:rsidRDefault="00F777B4" w:rsidP="00B45FC3">
      <w:pPr>
        <w:pStyle w:val="ListParagraph"/>
        <w:numPr>
          <w:ilvl w:val="0"/>
          <w:numId w:val="7"/>
        </w:numPr>
        <w:tabs>
          <w:tab w:val="left" w:pos="567"/>
        </w:tabs>
        <w:ind w:left="0" w:firstLine="0"/>
        <w:jc w:val="both"/>
        <w:rPr>
          <w:rFonts w:eastAsia="SimSun"/>
          <w:bCs/>
          <w:color w:val="000000"/>
          <w:lang w:val="es-ES" w:eastAsia="zh-CN"/>
        </w:rPr>
      </w:pPr>
      <w:r w:rsidRPr="00526311">
        <w:rPr>
          <w:rFonts w:eastAsia="SimSun"/>
          <w:bCs/>
          <w:color w:val="000000"/>
          <w:lang w:val="es-ES" w:eastAsia="zh-CN"/>
        </w:rPr>
        <w:t>A fin de establecer una estructura cohesiva, orientada a la potenciación del desarrollo y propicia a la innovación en los PMA, en 2014 se atribuyó mayor atención a la puesta en práctica de las aportaciones concretas de la OMPI, una serie de esferas temáticas prioritarias para impulsar la cooperación con los PMA señaladas por los ministros de los PMA con motivo de la Cuarta Conferencia de las Naciones Unidas sobre los Países Menos Adelantados (ONU PMA IV).</w:t>
      </w:r>
      <w:r w:rsidRPr="00526311">
        <w:rPr>
          <w:rFonts w:eastAsia="SimSun"/>
          <w:bCs/>
          <w:lang w:val="es-ES" w:eastAsia="zh-CN"/>
        </w:rPr>
        <w:t xml:space="preserve">  </w:t>
      </w:r>
      <w:r w:rsidRPr="00526311">
        <w:rPr>
          <w:rFonts w:eastAsia="SimSun"/>
          <w:bCs/>
          <w:color w:val="000000"/>
          <w:lang w:val="es-ES" w:eastAsia="zh-CN"/>
        </w:rPr>
        <w:t>Tras la satisfactoria finalización de la fase I del proyecto de la A.D. sobre el fortalecimiento de capacidades en el uso de información técnica y científica relativa a tecnologías apropiadas para solucionar determinados problemas de desarrollo, en la decimotercera sesión del CDIP, celebrada en mayo de 2014, se aprobó la fase II (CDIP/13/9).</w:t>
      </w:r>
      <w:r w:rsidRPr="00526311">
        <w:rPr>
          <w:rFonts w:eastAsia="SimSun"/>
          <w:bCs/>
          <w:lang w:val="es-ES" w:eastAsia="zh-CN"/>
        </w:rPr>
        <w:t xml:space="preserve">  </w:t>
      </w:r>
      <w:r w:rsidRPr="00526311">
        <w:rPr>
          <w:rFonts w:eastAsia="SimSun"/>
          <w:bCs/>
          <w:color w:val="000000"/>
          <w:lang w:val="es-ES" w:eastAsia="zh-CN"/>
        </w:rPr>
        <w:t>El resto del año se lograron importantes avances en la elaboración de memorandos de entendimiento en los que se señalan claramente las responsabilidades de los socios, esto es,</w:t>
      </w:r>
      <w:r w:rsidRPr="00526311">
        <w:rPr>
          <w:rFonts w:eastAsia="SimSun"/>
          <w:bCs/>
          <w:lang w:val="es-ES" w:eastAsia="zh-CN"/>
        </w:rPr>
        <w:t xml:space="preserve"> </w:t>
      </w:r>
      <w:r w:rsidRPr="00526311">
        <w:rPr>
          <w:rFonts w:eastAsia="SimSun"/>
          <w:bCs/>
          <w:color w:val="000000"/>
          <w:lang w:val="es-ES" w:eastAsia="zh-CN"/>
        </w:rPr>
        <w:t>la OMPI y el país destinatario (un PMA) en el proceso general de ejecución del proyecto.</w:t>
      </w:r>
      <w:r w:rsidRPr="00526311">
        <w:rPr>
          <w:rFonts w:eastAsia="SimSun"/>
          <w:bCs/>
          <w:lang w:val="es-ES" w:eastAsia="zh-CN"/>
        </w:rPr>
        <w:t xml:space="preserve">  </w:t>
      </w:r>
      <w:r w:rsidRPr="00526311">
        <w:rPr>
          <w:rFonts w:eastAsia="SimSun"/>
          <w:bCs/>
          <w:color w:val="000000"/>
          <w:lang w:val="es-ES" w:eastAsia="zh-CN"/>
        </w:rPr>
        <w:t>Se mantuvieron consultas con los ministerios de relaciones exteriores, de justicia y de ciencia y tecnología, las misiones permanentes en Ginebra y los representantes de P.I. de los cuatros países destinatarios.</w:t>
      </w:r>
      <w:r w:rsidRPr="00526311">
        <w:rPr>
          <w:rFonts w:eastAsia="SimSun"/>
          <w:bCs/>
          <w:lang w:val="es-ES" w:eastAsia="zh-CN"/>
        </w:rPr>
        <w:t xml:space="preserve">  </w:t>
      </w:r>
      <w:r w:rsidRPr="00526311">
        <w:rPr>
          <w:rFonts w:eastAsia="SimSun"/>
          <w:bCs/>
          <w:color w:val="000000"/>
          <w:lang w:val="es-ES" w:eastAsia="zh-CN"/>
        </w:rPr>
        <w:t>Está previsto que los memorandos de entendimiento se firmen en 2015.</w:t>
      </w:r>
    </w:p>
    <w:p w:rsidR="00F777B4" w:rsidRPr="00526311" w:rsidRDefault="00F777B4" w:rsidP="0063039A">
      <w:pPr>
        <w:autoSpaceDE w:val="0"/>
        <w:autoSpaceDN w:val="0"/>
        <w:adjustRightInd w:val="0"/>
        <w:jc w:val="both"/>
        <w:rPr>
          <w:rFonts w:cs="Tahoma"/>
          <w:sz w:val="20"/>
        </w:rPr>
      </w:pPr>
    </w:p>
    <w:p w:rsidR="00F777B4" w:rsidRPr="00526311" w:rsidRDefault="00F777B4" w:rsidP="00B45FC3">
      <w:pPr>
        <w:pStyle w:val="ListParagraph"/>
        <w:numPr>
          <w:ilvl w:val="0"/>
          <w:numId w:val="7"/>
        </w:numPr>
        <w:tabs>
          <w:tab w:val="left" w:pos="567"/>
        </w:tabs>
        <w:ind w:left="0" w:firstLine="0"/>
        <w:jc w:val="both"/>
        <w:rPr>
          <w:bCs/>
          <w:color w:val="000000"/>
          <w:lang w:val="es-ES"/>
        </w:rPr>
      </w:pPr>
      <w:r w:rsidRPr="00526311">
        <w:rPr>
          <w:rFonts w:cs="Arial"/>
          <w:color w:val="000000"/>
          <w:lang w:val="es-ES"/>
        </w:rPr>
        <w:t xml:space="preserve">En sus sesiones decimotercera y decimocuarta, celebradas en 2014, el CDIP examinó:  i) el Informe anual del Director General sobre la aplicación de la Agenda para el Desarrollo;  ii) un informe sobre la marcha de la labor relativa a las recomendaciones que deben aplicarse inmediatamente y de la ejecución de los proyectos de la Agenda para el Desarrollo;  iii) ocho informes de evaluación independiente y un informe de evaluación interna de proyectos de la A.D.;  y iv) un documento sobre la Decisión de la Asamblea General de la OMPI sobre asuntos relativos al CDIP. </w:t>
      </w:r>
      <w:r w:rsidRPr="00526311">
        <w:rPr>
          <w:rFonts w:cs="Arial"/>
          <w:lang w:val="es-ES"/>
        </w:rPr>
        <w:t xml:space="preserve"> </w:t>
      </w:r>
      <w:r w:rsidRPr="00526311">
        <w:rPr>
          <w:rFonts w:cs="Arial"/>
          <w:color w:val="000000"/>
          <w:lang w:val="es-ES"/>
        </w:rPr>
        <w:t xml:space="preserve">Además, el Comité aprobó la ejecución de la segunda fase de dos proyectos finalizados y evaluados, la realización de nuevas actividades relacionadas con la utilización del derecho de autor para promover el acceso a la información y al contenido creativo, y estudió una propuesta de proyecto presentada por la República Árabe de Egipto sobre la propiedad intelectual y el turismo. </w:t>
      </w:r>
      <w:r w:rsidRPr="00526311">
        <w:rPr>
          <w:rFonts w:cs="Arial"/>
          <w:lang w:val="es-ES"/>
        </w:rPr>
        <w:t xml:space="preserve"> </w:t>
      </w:r>
      <w:r w:rsidRPr="00526311">
        <w:rPr>
          <w:rFonts w:cs="Arial"/>
          <w:color w:val="000000"/>
          <w:lang w:val="es-ES"/>
        </w:rPr>
        <w:t xml:space="preserve">El Comité también examinó:  i) un documento remitido por la Asamblea General sobre la descripción de la contribución de los órganos pertinentes de la OMPI a la aplicación de las recomendaciones de la Agenda para el Desarrollo que les conciernen y ii) un informe revisado sobre la medición de los Objetivos de Desarrollo del Milenio (ODM) en otras organizaciones de las Naciones Unidas y organismos especializados, así como la contribución de la OMPI a la aplicación de esos objetivos. </w:t>
      </w:r>
      <w:r w:rsidRPr="00526311">
        <w:rPr>
          <w:bCs/>
          <w:lang w:val="es-ES"/>
        </w:rPr>
        <w:t xml:space="preserve"> </w:t>
      </w:r>
      <w:r w:rsidRPr="00526311">
        <w:rPr>
          <w:bCs/>
          <w:color w:val="000000"/>
          <w:lang w:val="es-ES"/>
        </w:rPr>
        <w:t>Asimismo, el Comité aprobó el mandato relativo al examen independiente de la aplicación de las recomendaciones de la Agenda para el Desarrollo y la posible convocatoria de una conferencia internacional sobre propiedad intelectual y desarrollo.</w:t>
      </w:r>
    </w:p>
    <w:p w:rsidR="00F777B4" w:rsidRPr="00526311" w:rsidRDefault="00F777B4" w:rsidP="0063039A">
      <w:pPr>
        <w:rPr>
          <w:iCs/>
          <w:sz w:val="20"/>
        </w:rPr>
      </w:pPr>
    </w:p>
    <w:p w:rsidR="00F777B4" w:rsidRPr="00526311" w:rsidRDefault="00F777B4" w:rsidP="0063039A">
      <w:pPr>
        <w:rPr>
          <w:iCs/>
          <w:sz w:val="20"/>
        </w:rPr>
      </w:pPr>
    </w:p>
    <w:p w:rsidR="00F777B4" w:rsidRPr="00526311" w:rsidRDefault="00F777B4" w:rsidP="0063039A">
      <w:pPr>
        <w:keepNext/>
        <w:jc w:val="center"/>
        <w:rPr>
          <w:b/>
          <w:iCs/>
        </w:rPr>
      </w:pPr>
      <w:r w:rsidRPr="00526311">
        <w:rPr>
          <w:b/>
          <w:iCs/>
        </w:rPr>
        <w:lastRenderedPageBreak/>
        <w:t>Meta estratégica IV:  Coordinación y desarrollo de la infraestructura mundial de P.I.</w:t>
      </w:r>
    </w:p>
    <w:p w:rsidR="00F777B4" w:rsidRPr="00526311" w:rsidRDefault="009A5995" w:rsidP="0063039A">
      <w:pPr>
        <w:keepNext/>
        <w:rPr>
          <w:sz w:val="20"/>
        </w:rPr>
      </w:pPr>
      <w:r w:rsidRPr="00526311">
        <w:rPr>
          <w:noProof/>
          <w:lang w:val="en-US" w:eastAsia="en-US"/>
        </w:rPr>
        <w:drawing>
          <wp:inline distT="0" distB="0" distL="0" distR="0" wp14:anchorId="4975151D" wp14:editId="2BB7CE35">
            <wp:extent cx="5552440" cy="28822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52440" cy="2882265"/>
                    </a:xfrm>
                    <a:prstGeom prst="rect">
                      <a:avLst/>
                    </a:prstGeom>
                    <a:noFill/>
                    <a:ln>
                      <a:noFill/>
                    </a:ln>
                  </pic:spPr>
                </pic:pic>
              </a:graphicData>
            </a:graphic>
          </wp:inline>
        </w:drawing>
      </w:r>
    </w:p>
    <w:p w:rsidR="00F777B4" w:rsidRPr="00526311" w:rsidRDefault="00F777B4" w:rsidP="0063039A">
      <w:pPr>
        <w:jc w:val="both"/>
        <w:rPr>
          <w:sz w:val="20"/>
        </w:rPr>
      </w:pPr>
    </w:p>
    <w:p w:rsidR="00F777B4" w:rsidRPr="00526311" w:rsidRDefault="00F777B4" w:rsidP="00B45FC3">
      <w:pPr>
        <w:numPr>
          <w:ilvl w:val="0"/>
          <w:numId w:val="7"/>
        </w:numPr>
        <w:tabs>
          <w:tab w:val="left" w:pos="567"/>
        </w:tabs>
        <w:ind w:left="0" w:firstLine="0"/>
        <w:jc w:val="both"/>
        <w:rPr>
          <w:bCs/>
          <w:sz w:val="20"/>
        </w:rPr>
      </w:pPr>
      <w:r w:rsidRPr="00526311">
        <w:rPr>
          <w:bCs/>
          <w:sz w:val="20"/>
        </w:rPr>
        <w:t>Con la mira puesta en fomentar la infraestructura mundial de P.I. para contribuir a satisfacer la creciente demanda mundial con respecto al sistema de P.I. y facilitar la participación de los países en desarrollo y los PMA en el sistema, en 2014 se lograron importantes avances en los ámbitos de las bases mundiales de datos de P.I., las clasificaciones, la modernización de las oficinas de P.I. y los centros de apoyo a la tecnología y la innovación (CATI).</w:t>
      </w:r>
    </w:p>
    <w:p w:rsidR="00F777B4" w:rsidRPr="00526311" w:rsidRDefault="00F777B4" w:rsidP="0063039A">
      <w:pPr>
        <w:autoSpaceDE w:val="0"/>
        <w:autoSpaceDN w:val="0"/>
        <w:adjustRightInd w:val="0"/>
        <w:jc w:val="both"/>
        <w:rPr>
          <w:bCs/>
          <w:sz w:val="20"/>
        </w:rPr>
      </w:pPr>
    </w:p>
    <w:p w:rsidR="00F777B4" w:rsidRPr="00526311" w:rsidRDefault="00F777B4" w:rsidP="00B45FC3">
      <w:pPr>
        <w:numPr>
          <w:ilvl w:val="0"/>
          <w:numId w:val="7"/>
        </w:numPr>
        <w:tabs>
          <w:tab w:val="left" w:pos="567"/>
        </w:tabs>
        <w:ind w:left="0" w:firstLine="0"/>
        <w:jc w:val="both"/>
        <w:rPr>
          <w:sz w:val="20"/>
        </w:rPr>
      </w:pPr>
      <w:r w:rsidRPr="00526311">
        <w:rPr>
          <w:sz w:val="20"/>
        </w:rPr>
        <w:t xml:space="preserve">En 2014 se siguió fortaleciendo el sistema PATENTSCOPE y se prestó especial atención a mejorar el acceso al sistema en las regiones que experimentaban retrasos en las conexiones.  Se hicieron los preparativos necesarios para incorporar otros dos idiomas al sistema de búsqueda plurilingüe </w:t>
      </w:r>
      <w:r w:rsidRPr="00526311">
        <w:rPr>
          <w:i/>
          <w:sz w:val="20"/>
        </w:rPr>
        <w:t>Cross Lingual Information Retrieval</w:t>
      </w:r>
      <w:r w:rsidRPr="00526311">
        <w:rPr>
          <w:sz w:val="20"/>
        </w:rPr>
        <w:t xml:space="preserve"> (CLIR) a fin de ampliar la lista de 12 idiomas existentes antes de que finalice el bienio, siempre y cuando se ponga a punto la interfaz.  Se perfeccionó la herramienta TAPTA,</w:t>
      </w:r>
      <w:r w:rsidRPr="00526311">
        <w:rPr>
          <w:vertAlign w:val="superscript"/>
        </w:rPr>
        <w:footnoteReference w:id="3"/>
      </w:r>
      <w:r w:rsidRPr="00526311">
        <w:rPr>
          <w:sz w:val="20"/>
        </w:rPr>
        <w:t xml:space="preserve"> el auxiliar de traducción de títulos y resúmenes de patentes, un sistema de traducción asistida por computadora puesto a punto en la Organización para dar cabida a otro par de idiomas que ofrece dificultades, el inglés y el chino, con lo que se eleva a cinco el número total de pares de idiomas disponibles.</w:t>
      </w:r>
    </w:p>
    <w:p w:rsidR="00F777B4" w:rsidRPr="00526311" w:rsidRDefault="00F777B4" w:rsidP="0063039A">
      <w:pPr>
        <w:autoSpaceDE w:val="0"/>
        <w:autoSpaceDN w:val="0"/>
        <w:adjustRightInd w:val="0"/>
        <w:jc w:val="both"/>
        <w:rPr>
          <w:sz w:val="20"/>
        </w:rPr>
      </w:pPr>
    </w:p>
    <w:p w:rsidR="00F777B4" w:rsidRPr="00526311" w:rsidRDefault="00F777B4" w:rsidP="00B45FC3">
      <w:pPr>
        <w:numPr>
          <w:ilvl w:val="0"/>
          <w:numId w:val="7"/>
        </w:numPr>
        <w:tabs>
          <w:tab w:val="left" w:pos="567"/>
        </w:tabs>
        <w:ind w:left="0" w:firstLine="0"/>
        <w:jc w:val="both"/>
        <w:rPr>
          <w:sz w:val="20"/>
        </w:rPr>
      </w:pPr>
      <w:r w:rsidRPr="00526311">
        <w:rPr>
          <w:sz w:val="20"/>
        </w:rPr>
        <w:t>El uso de PATENTSCOPE aumentó en un 3,5%, pasando de 237.446 usuarios por trimestre en 2013 a 245.769 usuarios por trimestre en 2014, de 169 países;  además, en 2014 también aumentó en un 12% el número de colecciones contenidas en PATENTSCOPE, con lo que se eleva a 41 el número total de colecciones nacionales y regionales, y el número total de registros contenidos en ellas asciende a 43 millones, un aumento del 26% con respecto a 2013.</w:t>
      </w:r>
    </w:p>
    <w:p w:rsidR="00F777B4" w:rsidRPr="00526311" w:rsidRDefault="00F777B4" w:rsidP="0063039A">
      <w:pPr>
        <w:autoSpaceDE w:val="0"/>
        <w:autoSpaceDN w:val="0"/>
        <w:adjustRightInd w:val="0"/>
        <w:jc w:val="both"/>
        <w:rPr>
          <w:sz w:val="20"/>
        </w:rPr>
      </w:pPr>
    </w:p>
    <w:p w:rsidR="00F777B4" w:rsidRPr="00526311" w:rsidRDefault="00F777B4" w:rsidP="00B45FC3">
      <w:pPr>
        <w:numPr>
          <w:ilvl w:val="0"/>
          <w:numId w:val="7"/>
        </w:numPr>
        <w:tabs>
          <w:tab w:val="left" w:pos="567"/>
        </w:tabs>
        <w:ind w:left="0" w:firstLine="0"/>
        <w:jc w:val="both"/>
        <w:rPr>
          <w:bCs/>
          <w:sz w:val="20"/>
        </w:rPr>
      </w:pPr>
      <w:r w:rsidRPr="00526311">
        <w:rPr>
          <w:bCs/>
          <w:sz w:val="20"/>
        </w:rPr>
        <w:t>Gracias a la introducción de una potente función de búsqueda de imágenes similares, en 2014 el uso de la Base Mundial de datos sobre Marcas superó las expectativas previstas, ya que el número de usuarios por trimestre aumentó en más del doble, pasando de 23.000 en 2013 a 49.977 en 2014.  El número de colecciones nacionales aumentó notablemente (50%), con lo que el número total se eleva a 18 en 2014.  Asimismo, el número total de registros contenidos en el sistema aumentó en un 28%, pasando de 12 millones en 2013 a 15,4 millones en 2014.</w:t>
      </w:r>
    </w:p>
    <w:p w:rsidR="00F777B4" w:rsidRPr="00526311" w:rsidRDefault="00F777B4" w:rsidP="0063039A">
      <w:pPr>
        <w:jc w:val="both"/>
        <w:rPr>
          <w:bCs/>
          <w:sz w:val="20"/>
        </w:rPr>
      </w:pPr>
    </w:p>
    <w:p w:rsidR="00F777B4" w:rsidRPr="00526311" w:rsidRDefault="00F777B4" w:rsidP="00B45FC3">
      <w:pPr>
        <w:numPr>
          <w:ilvl w:val="0"/>
          <w:numId w:val="7"/>
        </w:numPr>
        <w:tabs>
          <w:tab w:val="left" w:pos="567"/>
        </w:tabs>
        <w:ind w:left="0" w:firstLine="0"/>
        <w:jc w:val="both"/>
        <w:rPr>
          <w:bCs/>
          <w:sz w:val="20"/>
        </w:rPr>
      </w:pPr>
      <w:r w:rsidRPr="00526311">
        <w:rPr>
          <w:bCs/>
          <w:sz w:val="20"/>
        </w:rPr>
        <w:t xml:space="preserve">En 2014 se logró un avance desigual en lo que respecta a las clasificaciones internacionales y las normas técnicas de la OMPI sobre propiedad industrial, ya que en determinados ámbitos se superaron las expectativas y en otros se acusaron retrasos.  En lo que respecta a la Clasificación de Niza, en 2014 se introdujeron 570 nuevas modificaciones y 20 ficheros de información nuevos.  El número de modificaciones aumentó en un 32% con respecto a 2013.  </w:t>
      </w:r>
      <w:r w:rsidRPr="00526311">
        <w:rPr>
          <w:sz w:val="20"/>
        </w:rPr>
        <w:t>Además, en noviembre de 2014 pasó a estar a disposición en formato XLS la versión oficial en español de la</w:t>
      </w:r>
      <w:r w:rsidRPr="00526311">
        <w:rPr>
          <w:bCs/>
          <w:sz w:val="20"/>
        </w:rPr>
        <w:t xml:space="preserve"> décima edición de la Clasificación de Niza.  En el marco de la CIP, en abril de 2014 empezó a utilizarse una plataforma de publicación modificada para facilitar el uso del sistema, que incluye una herramienta de búsqueda nueva y la función </w:t>
      </w:r>
      <w:r w:rsidRPr="00526311">
        <w:rPr>
          <w:bCs/>
          <w:sz w:val="20"/>
        </w:rPr>
        <w:lastRenderedPageBreak/>
        <w:t>“Parallel Viewer”  de la Clasificación Internacional de Patentes, la Clasificación de Patentes Cooperativa y el sistema File Index (CIP/CPC/FI).  En su cuarta sesión, el Comité de Normas Técnicas de la OMPI (CWS) no logró aprobar el orden del día, es decir que no fue posible tomar decisiones oficiales.  A pesar de ese contratiempo, en 2014 pudo aprobarse una nueva norma técnica y pudo revisarse otra de manera oficiosa.  El uso de herramientas de Internet para acceder a las publicaciones de clasificaciones y de normas técnicas aumentó de forma estable, registrándose un número considerablemente mayor de visitas de la CIP (un 61% frente a 2013), debido a la inclusión de clasificaciones revisadas y de nuevas herramientas.</w:t>
      </w:r>
    </w:p>
    <w:p w:rsidR="00F777B4" w:rsidRPr="00526311" w:rsidRDefault="00F777B4" w:rsidP="0063039A">
      <w:pPr>
        <w:tabs>
          <w:tab w:val="left" w:pos="567"/>
        </w:tabs>
        <w:jc w:val="both"/>
        <w:rPr>
          <w:bCs/>
          <w:sz w:val="20"/>
        </w:rPr>
      </w:pPr>
    </w:p>
    <w:p w:rsidR="00F777B4" w:rsidRPr="00526311" w:rsidRDefault="00F777B4" w:rsidP="00B45FC3">
      <w:pPr>
        <w:numPr>
          <w:ilvl w:val="0"/>
          <w:numId w:val="7"/>
        </w:numPr>
        <w:tabs>
          <w:tab w:val="left" w:pos="567"/>
        </w:tabs>
        <w:ind w:left="0" w:firstLine="0"/>
        <w:jc w:val="both"/>
        <w:rPr>
          <w:bCs/>
          <w:sz w:val="20"/>
        </w:rPr>
      </w:pPr>
      <w:r w:rsidRPr="00526311">
        <w:rPr>
          <w:bCs/>
          <w:sz w:val="20"/>
        </w:rPr>
        <w:t>En 2014, el número de Estados miembros que habían establecido CATI en sus países ascendió a 45.  Se siguió prestando atención a la sostenibilidad a largo plazo de las redes, y, a finales de 2014, se determinó que 20 redes de CATI eran sostenibles.  Siguió aumentando considerablemente el número de miembros de la plataforma de gestión de conocimientos “eTISC”;  así, el número de miembros inscritos aumentó un 57%, pasando de 700 miembros a finales de 2013 a más de 1.100 miembros a finales de 2014 de más de 90 países.  En 2014 se incorporaron en la plataforma 14 nuevos seminarios de formación por Internet y se celebraron seis sesiones de preguntas y respuestas en directo con expertos de ayuda a la innovación.</w:t>
      </w:r>
    </w:p>
    <w:p w:rsidR="00F777B4" w:rsidRPr="00526311" w:rsidRDefault="00F777B4" w:rsidP="0063039A">
      <w:pPr>
        <w:jc w:val="both"/>
        <w:rPr>
          <w:sz w:val="20"/>
        </w:rPr>
      </w:pPr>
    </w:p>
    <w:p w:rsidR="00F777B4" w:rsidRPr="00526311" w:rsidRDefault="00F777B4" w:rsidP="00B45FC3">
      <w:pPr>
        <w:numPr>
          <w:ilvl w:val="0"/>
          <w:numId w:val="7"/>
        </w:numPr>
        <w:tabs>
          <w:tab w:val="left" w:pos="567"/>
        </w:tabs>
        <w:ind w:left="0" w:firstLine="0"/>
        <w:jc w:val="both"/>
        <w:rPr>
          <w:bCs/>
          <w:sz w:val="20"/>
        </w:rPr>
      </w:pPr>
      <w:r w:rsidRPr="00526311">
        <w:rPr>
          <w:bCs/>
          <w:sz w:val="20"/>
        </w:rPr>
        <w:t>La OMPI siguió elaborando instrumentos para dar apoyo a los procesos operacionales de las Oficinas de P.I., en particular, el Sistema de Automatización de la Propiedad Industrial (IPAS).  A finales de 2014, unas 68 Oficinas de P.I. utilizaban los sistemas de administración de P.I. proporcionados por la OMPI (esto es, el sistema IPAS, el Sistema de Gestión de la Propiedad Industrial de la OMPI en Árabe (AIPMS), el EDMS, WIPOScan y el módulo de Madrid de la OMPI).  Además, se desarrollaron dos nuevos módulos que actualmente se están contrastando y aplicando con carácter piloto en diversas Oficinas de P.I.:</w:t>
      </w:r>
      <w:r w:rsidRPr="00526311">
        <w:rPr>
          <w:sz w:val="20"/>
        </w:rPr>
        <w:t xml:space="preserve"> </w:t>
      </w:r>
    </w:p>
    <w:p w:rsidR="00F777B4" w:rsidRPr="00526311" w:rsidRDefault="00F777B4" w:rsidP="0063039A">
      <w:pPr>
        <w:jc w:val="both"/>
        <w:rPr>
          <w:sz w:val="20"/>
        </w:rPr>
      </w:pPr>
    </w:p>
    <w:p w:rsidR="00F777B4" w:rsidRPr="00526311" w:rsidRDefault="00F777B4" w:rsidP="00B45FC3">
      <w:pPr>
        <w:numPr>
          <w:ilvl w:val="0"/>
          <w:numId w:val="5"/>
        </w:numPr>
        <w:ind w:left="993" w:hanging="426"/>
        <w:jc w:val="both"/>
        <w:rPr>
          <w:sz w:val="20"/>
        </w:rPr>
      </w:pPr>
      <w:r w:rsidRPr="00526311">
        <w:rPr>
          <w:i/>
          <w:sz w:val="20"/>
        </w:rPr>
        <w:t>WIPO Publish</w:t>
      </w:r>
      <w:r w:rsidRPr="00526311">
        <w:rPr>
          <w:sz w:val="20"/>
        </w:rPr>
        <w:t xml:space="preserve"> fue diseñado para satisfacer las necesidades de las oficinas en lo que respecta a la publicación en Internet de datos de P.I., documentos, información sobre la situación jurídica y los expedientes así como las necesidades de intercambio de datos (lo que incluye el intercambio de datos de las bases de datos mundiales de la OMPI).</w:t>
      </w:r>
    </w:p>
    <w:p w:rsidR="00F777B4" w:rsidRPr="00526311" w:rsidRDefault="00F777B4" w:rsidP="0063039A">
      <w:pPr>
        <w:jc w:val="both"/>
        <w:rPr>
          <w:sz w:val="20"/>
        </w:rPr>
      </w:pPr>
    </w:p>
    <w:p w:rsidR="00F777B4" w:rsidRPr="00526311" w:rsidRDefault="00F777B4" w:rsidP="00B45FC3">
      <w:pPr>
        <w:numPr>
          <w:ilvl w:val="0"/>
          <w:numId w:val="5"/>
        </w:numPr>
        <w:ind w:left="993" w:hanging="426"/>
        <w:jc w:val="both"/>
        <w:rPr>
          <w:sz w:val="20"/>
        </w:rPr>
      </w:pPr>
      <w:r w:rsidRPr="00526311">
        <w:rPr>
          <w:i/>
          <w:sz w:val="20"/>
        </w:rPr>
        <w:t>WIPO File</w:t>
      </w:r>
      <w:r w:rsidRPr="00526311">
        <w:rPr>
          <w:sz w:val="20"/>
        </w:rPr>
        <w:t xml:space="preserve"> fue diseñado para facilitar una solución electrónica de presentación de solicitudes a las oficinas pequeñas y medianas, sin olvidar la flexibilidad para permitir una amplia adaptación a las condiciones locales (por ejemplo, a los sistemas de pago locales).</w:t>
      </w:r>
    </w:p>
    <w:p w:rsidR="00F777B4" w:rsidRPr="00526311" w:rsidRDefault="00F777B4" w:rsidP="0063039A">
      <w:pPr>
        <w:shd w:val="clear" w:color="auto" w:fill="FFFFFF"/>
        <w:jc w:val="both"/>
        <w:rPr>
          <w:bCs/>
          <w:sz w:val="20"/>
        </w:rPr>
      </w:pPr>
    </w:p>
    <w:p w:rsidR="00F777B4" w:rsidRPr="00526311" w:rsidRDefault="00F777B4" w:rsidP="00B45FC3">
      <w:pPr>
        <w:numPr>
          <w:ilvl w:val="0"/>
          <w:numId w:val="7"/>
        </w:numPr>
        <w:tabs>
          <w:tab w:val="left" w:pos="567"/>
        </w:tabs>
        <w:ind w:left="0" w:firstLine="0"/>
        <w:jc w:val="both"/>
        <w:rPr>
          <w:sz w:val="20"/>
        </w:rPr>
      </w:pPr>
      <w:r w:rsidRPr="00526311">
        <w:rPr>
          <w:sz w:val="20"/>
        </w:rPr>
        <w:t>A partir de un proceso de publicación de especificaciones y su examen, en colaboración con las Oficinas participantes, en diciembre de 2014 se publicó una nueva versión del servicio de acceso digital para la transmisión de documentos de prioridad (DAS) en apoyo del marco revisado de DAS 2.0.  En 2014, el número de Oficinas participantes permaneció estable, manteniéndose en 11.  En abril de 2014, el acceso centralizado a documentos de búsqueda y examen de la OMPI (CASE)</w:t>
      </w:r>
      <w:r w:rsidR="008761B9" w:rsidRPr="00526311">
        <w:rPr>
          <w:sz w:val="20"/>
        </w:rPr>
        <w:t xml:space="preserve"> quedó vinculado</w:t>
      </w:r>
      <w:r w:rsidRPr="00526311">
        <w:rPr>
          <w:sz w:val="20"/>
        </w:rPr>
        <w:t xml:space="preserve"> con la plataforma </w:t>
      </w:r>
      <w:r w:rsidRPr="00526311">
        <w:rPr>
          <w:i/>
          <w:sz w:val="20"/>
        </w:rPr>
        <w:t>IP5 One Portal Dossier</w:t>
      </w:r>
      <w:r w:rsidRPr="00526311">
        <w:rPr>
          <w:sz w:val="20"/>
        </w:rPr>
        <w:t xml:space="preserve">, que permite el intercambio recíproco de información sobre expedientes entre el sistema </w:t>
      </w:r>
      <w:r w:rsidR="008761B9" w:rsidRPr="00526311">
        <w:rPr>
          <w:sz w:val="20"/>
        </w:rPr>
        <w:t xml:space="preserve">WIPO </w:t>
      </w:r>
      <w:r w:rsidRPr="00526311">
        <w:rPr>
          <w:sz w:val="20"/>
        </w:rPr>
        <w:t>CASE y las Oficinas de la Cooperación Pentalateral.  A mediados de 2014, diversas oficinas utilizaban el sistema como parte de un proyecto piloto.  Además, se inscribieron cinco nuevas oficinas para utilizar WIPO CASE, lo que eleva a 14 el número total de oficinas participantes en el proyecto.</w:t>
      </w:r>
    </w:p>
    <w:p w:rsidR="00F777B4" w:rsidRPr="00526311" w:rsidRDefault="00F777B4" w:rsidP="0063039A">
      <w:pPr>
        <w:shd w:val="clear" w:color="auto" w:fill="FFFFFF"/>
        <w:jc w:val="both"/>
        <w:rPr>
          <w:sz w:val="20"/>
        </w:rPr>
      </w:pPr>
    </w:p>
    <w:p w:rsidR="00F777B4" w:rsidRPr="00526311" w:rsidRDefault="00F777B4" w:rsidP="00B45FC3">
      <w:pPr>
        <w:numPr>
          <w:ilvl w:val="0"/>
          <w:numId w:val="7"/>
        </w:numPr>
        <w:tabs>
          <w:tab w:val="left" w:pos="567"/>
        </w:tabs>
        <w:ind w:left="0" w:firstLine="0"/>
        <w:jc w:val="both"/>
        <w:rPr>
          <w:bCs/>
          <w:sz w:val="20"/>
        </w:rPr>
      </w:pPr>
      <w:r w:rsidRPr="00526311">
        <w:rPr>
          <w:bCs/>
          <w:sz w:val="20"/>
        </w:rPr>
        <w:t>Se creó una nueva entidad de múltiples sectores interesados para aumentar el número de libros en todo el mundo en formatos accesibles, como el braille, audio y tipos de imprenta grandes, y para ponerlos a disposición de las personas con dificultad para acceder al texto impreso.  El Consorcio de Libros Accesibles (ABC) está integrado por la OMPI, organizaciones que sirven los intereses de las personas con dificultad para acceder al texto impreso, bibliotecas en favor de las personas con ese tipo de discapacidad y organizaciones que representan a autores y editores.  El Consorcio de Libros Accesibles llevó a cabo tres actividades principales:  el fortalecimiento de capacidades (con financiación de los Gobiernos de Australia y de la República de Corea) en Bangladesh, la India, Nepal y Sri Lanka;  el fomento de la publicación inclusiva, que promueve tecnologías que facilitan la edición de obras “que nacen accesibles”, de suerte que puedan utilizar desde el principio las obras de reciente creación tanto las personas sin dificultad visual como las personas con dificultad para acceder al texto impreso;  y el sistema internacional de intercambio de libros (conocido como el servicio TIGAR), base de datos internacional integrada por unos 286.000 títulos accesibles en 55 idiomas.  A finales de 2014 se registraron unos 2.500 libros de audio descargados por parte de las bibliotecas participantes, y unas 16.000 personas con dificultades para acceder al texto impreso destinatarias de tales servicios.</w:t>
      </w:r>
    </w:p>
    <w:p w:rsidR="00F777B4" w:rsidRPr="00526311" w:rsidRDefault="00F777B4" w:rsidP="0063039A">
      <w:pPr>
        <w:rPr>
          <w:iCs/>
          <w:sz w:val="20"/>
        </w:rPr>
      </w:pPr>
    </w:p>
    <w:p w:rsidR="00F777B4" w:rsidRPr="00526311" w:rsidRDefault="00F777B4" w:rsidP="0063039A">
      <w:pPr>
        <w:rPr>
          <w:iCs/>
          <w:sz w:val="20"/>
        </w:rPr>
      </w:pPr>
    </w:p>
    <w:p w:rsidR="00F777B4" w:rsidRPr="00526311" w:rsidRDefault="00F777B4" w:rsidP="0063039A">
      <w:pPr>
        <w:jc w:val="center"/>
        <w:rPr>
          <w:b/>
          <w:iCs/>
        </w:rPr>
      </w:pPr>
      <w:r w:rsidRPr="00526311">
        <w:rPr>
          <w:b/>
          <w:iCs/>
        </w:rPr>
        <w:t xml:space="preserve">Meta estratégica V:  Fuente de referencia en el mundo de información y análisis </w:t>
      </w:r>
      <w:r w:rsidRPr="00526311">
        <w:rPr>
          <w:b/>
          <w:iCs/>
        </w:rPr>
        <w:br/>
        <w:t>en materia de P.I.</w:t>
      </w:r>
    </w:p>
    <w:p w:rsidR="00F777B4" w:rsidRPr="00526311" w:rsidRDefault="009A5995" w:rsidP="0063039A">
      <w:pPr>
        <w:rPr>
          <w:sz w:val="20"/>
        </w:rPr>
      </w:pPr>
      <w:r w:rsidRPr="00526311">
        <w:rPr>
          <w:noProof/>
          <w:lang w:val="en-US" w:eastAsia="en-US"/>
        </w:rPr>
        <w:drawing>
          <wp:inline distT="0" distB="0" distL="0" distR="0" wp14:anchorId="456E8478" wp14:editId="3BDCD8CB">
            <wp:extent cx="5449570" cy="28968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9570" cy="2896870"/>
                    </a:xfrm>
                    <a:prstGeom prst="rect">
                      <a:avLst/>
                    </a:prstGeom>
                    <a:noFill/>
                    <a:ln>
                      <a:noFill/>
                    </a:ln>
                  </pic:spPr>
                </pic:pic>
              </a:graphicData>
            </a:graphic>
          </wp:inline>
        </w:drawing>
      </w:r>
    </w:p>
    <w:p w:rsidR="00F777B4" w:rsidRPr="00526311" w:rsidRDefault="00F777B4" w:rsidP="0063039A">
      <w:pPr>
        <w:jc w:val="both"/>
        <w:rPr>
          <w:iCs/>
          <w:sz w:val="20"/>
        </w:rPr>
      </w:pPr>
    </w:p>
    <w:p w:rsidR="00F777B4" w:rsidRPr="00526311" w:rsidRDefault="00F777B4" w:rsidP="00B45FC3">
      <w:pPr>
        <w:numPr>
          <w:ilvl w:val="0"/>
          <w:numId w:val="7"/>
        </w:numPr>
        <w:tabs>
          <w:tab w:val="left" w:pos="567"/>
        </w:tabs>
        <w:ind w:left="0" w:firstLine="0"/>
        <w:jc w:val="both"/>
        <w:rPr>
          <w:sz w:val="20"/>
        </w:rPr>
      </w:pPr>
      <w:r w:rsidRPr="00526311">
        <w:rPr>
          <w:sz w:val="20"/>
        </w:rPr>
        <w:t>Durante el bienio, entre los principales logros en el marco de este objetivo cabe mencionar la mejora de los servicios del Centro de Datos, lo que incluye la elaboración de las interfaces de usuario en español y en francés y la reelaboración del informe sobre Indicadores mundiales de propiedad intelectual, a fin de facilitar a los lectores la búsqueda de información de su interés.  También se logró avanzar considerablemente en la elaboración de un nuevo Informe mundial sobre la P.I., que se publicará en el segundo semestre de 2015.  Como en años anteriores, la OMPI copublicó el Índice Mundial de Innovación, junto con el INSEAD y la Universidad de Cornell.  El Índice de 2014 abarcaba 143 economías y fue presentado en Sydney (Australia), en un encuentro de líderes empresariales internacionales conocido como el B20.  Posteriormente, se presentó en conferencias nacionales e internacionales en todo el mundo.  La publicación del Índice siguió asimismo atrayendo una notable atención de los medios de comunicación.  Por otra parte, los gobiernos nacionales, las organizaciones internacionales y otros sectores interesados en el sistema de innovación utilizaron con regularidad el Índice como fuente de referencia para evaluar los resultados en el ámbito de la innovación, como queda reflejado en las citas, las solicitudes de datos y las solicitudes de servicios de asesoramiento recibidas.</w:t>
      </w:r>
    </w:p>
    <w:p w:rsidR="00F777B4" w:rsidRPr="00526311" w:rsidRDefault="00F777B4" w:rsidP="0063039A">
      <w:pPr>
        <w:jc w:val="both"/>
        <w:rPr>
          <w:sz w:val="20"/>
        </w:rPr>
      </w:pPr>
    </w:p>
    <w:p w:rsidR="00F777B4" w:rsidRPr="00526311" w:rsidRDefault="00F777B4" w:rsidP="00B45FC3">
      <w:pPr>
        <w:numPr>
          <w:ilvl w:val="0"/>
          <w:numId w:val="7"/>
        </w:numPr>
        <w:tabs>
          <w:tab w:val="left" w:pos="567"/>
        </w:tabs>
        <w:ind w:left="0" w:firstLine="0"/>
        <w:jc w:val="both"/>
        <w:rPr>
          <w:sz w:val="20"/>
        </w:rPr>
      </w:pPr>
      <w:r w:rsidRPr="00526311">
        <w:rPr>
          <w:sz w:val="20"/>
        </w:rPr>
        <w:t>Por otra parte, la prestación de asistencia a los Estados miembros de la OMPI con los estudios por país siguió siendo un pilar importante de la labor de análisis económico del Programa, asistencia que se prestó en el marco del proyecto de la A.D. sobre propiedad intelectual y desarrollo socioeconómico.  En 2014, se llevó a término la primera fase de este proyecto (CDIP/5/7), que fue objeto de una evaluación externa (CDIP/14/3) presentada en la decimocuarta sesión del CDIP.  Los Estados miembros de la OMPI aprobaron una segunda fase del proyecto (CDIP/14/7) que se llevará a la práctica entre 2015 y 2017.</w:t>
      </w:r>
    </w:p>
    <w:p w:rsidR="00F777B4" w:rsidRPr="00526311" w:rsidRDefault="00F777B4" w:rsidP="0063039A">
      <w:pPr>
        <w:rPr>
          <w:iCs/>
          <w:sz w:val="20"/>
        </w:rPr>
      </w:pPr>
    </w:p>
    <w:p w:rsidR="00F777B4" w:rsidRPr="00526311" w:rsidRDefault="00F777B4" w:rsidP="0063039A">
      <w:pPr>
        <w:rPr>
          <w:iCs/>
          <w:sz w:val="20"/>
        </w:rPr>
      </w:pPr>
    </w:p>
    <w:p w:rsidR="00F777B4" w:rsidRPr="00526311" w:rsidRDefault="00F777B4" w:rsidP="0063039A">
      <w:pPr>
        <w:keepNext/>
        <w:jc w:val="center"/>
        <w:rPr>
          <w:b/>
          <w:iCs/>
        </w:rPr>
      </w:pPr>
      <w:r w:rsidRPr="00526311">
        <w:rPr>
          <w:b/>
          <w:iCs/>
        </w:rPr>
        <w:lastRenderedPageBreak/>
        <w:t>Meta estratégica VI:  Cooperación internacional para fomentar el respeto por la P.I.</w:t>
      </w:r>
    </w:p>
    <w:p w:rsidR="00F777B4" w:rsidRPr="00526311" w:rsidRDefault="009A5995" w:rsidP="0063039A">
      <w:pPr>
        <w:keepNext/>
        <w:rPr>
          <w:b/>
          <w:sz w:val="18"/>
          <w:szCs w:val="18"/>
        </w:rPr>
      </w:pPr>
      <w:r w:rsidRPr="00526311">
        <w:rPr>
          <w:noProof/>
          <w:lang w:val="en-US" w:eastAsia="en-US"/>
        </w:rPr>
        <w:drawing>
          <wp:inline distT="0" distB="0" distL="0" distR="0" wp14:anchorId="2275BE7D" wp14:editId="1A19739D">
            <wp:extent cx="5537835" cy="29337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37835" cy="2933700"/>
                    </a:xfrm>
                    <a:prstGeom prst="rect">
                      <a:avLst/>
                    </a:prstGeom>
                    <a:noFill/>
                    <a:ln>
                      <a:noFill/>
                    </a:ln>
                  </pic:spPr>
                </pic:pic>
              </a:graphicData>
            </a:graphic>
          </wp:inline>
        </w:drawing>
      </w:r>
    </w:p>
    <w:p w:rsidR="00F777B4" w:rsidRPr="00526311" w:rsidRDefault="00F777B4" w:rsidP="0063039A">
      <w:pPr>
        <w:jc w:val="both"/>
        <w:rPr>
          <w:iCs/>
          <w:sz w:val="20"/>
        </w:rPr>
      </w:pPr>
    </w:p>
    <w:p w:rsidR="00F777B4" w:rsidRPr="00526311" w:rsidRDefault="00F777B4" w:rsidP="00B45FC3">
      <w:pPr>
        <w:numPr>
          <w:ilvl w:val="0"/>
          <w:numId w:val="7"/>
        </w:numPr>
        <w:tabs>
          <w:tab w:val="left" w:pos="567"/>
        </w:tabs>
        <w:ind w:left="0" w:firstLine="0"/>
        <w:jc w:val="both"/>
        <w:rPr>
          <w:sz w:val="20"/>
        </w:rPr>
      </w:pPr>
      <w:r w:rsidRPr="00526311">
        <w:rPr>
          <w:sz w:val="20"/>
        </w:rPr>
        <w:t>Con miras a conseguir avances en el diálogo internacional sobre políticas entre los Estados miembros de la OMPI para fomentar el respeto por la P.I., la 9ª sesión del Comité Asesor en materia de Observancia (ACE) (celebrada del 3 al 5 de marzo de 2014) sirvió como un "mercado de ideas" propicio para el intercambio de experiencias y prácticas nacionales.  En la reunión de tres días de duración se observó el creciente interés que despiertan las estrategias de prevención eficaces, desde las actividades de sensibilización, los nuevos modelos de negocios y la seguridad en la cadena de suministro, hasta los mecanismos extrajudiciales de solución de controversias en materia de P.I.  Por primera vez se organizó, junto con la sesión, una exposición audiovisual en la que se presentaron 9 iniciativas de sensibilización a nivel nacional y una a nivel regional.  Los Estados miembros acordaron que el programa de trabajo de la 10ª sesión se siguiera consagrando a:  i) prácticas de solución extrajudicial de controversias en materia de P.I. y ii) acciones y medidas preventivas o experiencias positivas que complementen las medidas de observancia con miras a reducir el mercado de productos falsificados o pirateados.</w:t>
      </w:r>
    </w:p>
    <w:p w:rsidR="00F777B4" w:rsidRPr="00526311" w:rsidRDefault="00F777B4" w:rsidP="0063039A">
      <w:pPr>
        <w:tabs>
          <w:tab w:val="left" w:pos="567"/>
        </w:tabs>
        <w:jc w:val="both"/>
        <w:rPr>
          <w:sz w:val="20"/>
        </w:rPr>
      </w:pPr>
    </w:p>
    <w:p w:rsidR="00F777B4" w:rsidRPr="00526311" w:rsidRDefault="00F777B4" w:rsidP="0063039A">
      <w:pPr>
        <w:jc w:val="center"/>
        <w:rPr>
          <w:b/>
          <w:iCs/>
        </w:rPr>
      </w:pPr>
    </w:p>
    <w:p w:rsidR="00F777B4" w:rsidRPr="00526311" w:rsidRDefault="00F777B4" w:rsidP="0063039A">
      <w:pPr>
        <w:jc w:val="center"/>
        <w:rPr>
          <w:b/>
          <w:iCs/>
        </w:rPr>
      </w:pPr>
      <w:r w:rsidRPr="00526311">
        <w:rPr>
          <w:b/>
          <w:iCs/>
        </w:rPr>
        <w:t>Meta estratégica VII:  Vínculos entre la P.I. y los problemas mundiales de política pública</w:t>
      </w:r>
    </w:p>
    <w:p w:rsidR="00F777B4" w:rsidRPr="00526311" w:rsidRDefault="009A5995" w:rsidP="0063039A">
      <w:pPr>
        <w:rPr>
          <w:sz w:val="20"/>
        </w:rPr>
      </w:pPr>
      <w:r w:rsidRPr="00526311">
        <w:rPr>
          <w:noProof/>
          <w:lang w:val="en-US" w:eastAsia="en-US"/>
        </w:rPr>
        <w:drawing>
          <wp:inline distT="0" distB="0" distL="0" distR="0" wp14:anchorId="5D751C55" wp14:editId="70CCE1F6">
            <wp:extent cx="5449570" cy="30721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9570" cy="3072130"/>
                    </a:xfrm>
                    <a:prstGeom prst="rect">
                      <a:avLst/>
                    </a:prstGeom>
                    <a:noFill/>
                    <a:ln>
                      <a:noFill/>
                    </a:ln>
                  </pic:spPr>
                </pic:pic>
              </a:graphicData>
            </a:graphic>
          </wp:inline>
        </w:drawing>
      </w:r>
    </w:p>
    <w:p w:rsidR="00F777B4" w:rsidRPr="00526311" w:rsidRDefault="00F777B4" w:rsidP="0063039A">
      <w:pPr>
        <w:tabs>
          <w:tab w:val="left" w:pos="567"/>
        </w:tabs>
        <w:jc w:val="both"/>
        <w:rPr>
          <w:sz w:val="20"/>
        </w:rPr>
      </w:pPr>
    </w:p>
    <w:p w:rsidR="00F777B4" w:rsidRPr="00526311" w:rsidRDefault="00F777B4" w:rsidP="00B45FC3">
      <w:pPr>
        <w:keepLines/>
        <w:numPr>
          <w:ilvl w:val="0"/>
          <w:numId w:val="7"/>
        </w:numPr>
        <w:tabs>
          <w:tab w:val="left" w:pos="567"/>
        </w:tabs>
        <w:ind w:left="0" w:firstLine="0"/>
        <w:jc w:val="both"/>
        <w:rPr>
          <w:bCs/>
          <w:sz w:val="20"/>
        </w:rPr>
      </w:pPr>
      <w:r w:rsidRPr="00526311">
        <w:rPr>
          <w:bCs/>
          <w:sz w:val="20"/>
        </w:rPr>
        <w:lastRenderedPageBreak/>
        <w:t>En la confluencia de varios problemas mundiales de carácter urgente relacionados entre sí, en particular la salud mundial, el cambio climático y la seguridad alimentaria, se logró un considerable avance en mejorar la comprensión de los responsables de la elaboración de políticas acerca de la relación entre los desafíos mundiales, la innovación y la propiedad intelectual.  Tras su p</w:t>
      </w:r>
      <w:r w:rsidR="009A5995" w:rsidRPr="00526311">
        <w:rPr>
          <w:bCs/>
          <w:sz w:val="20"/>
        </w:rPr>
        <w:t xml:space="preserve">uesta en marcha en noviembre de </w:t>
      </w:r>
      <w:r w:rsidRPr="00526311">
        <w:rPr>
          <w:bCs/>
          <w:sz w:val="20"/>
        </w:rPr>
        <w:t>2013, el año</w:t>
      </w:r>
      <w:r w:rsidR="009A5995" w:rsidRPr="00526311">
        <w:rPr>
          <w:bCs/>
          <w:sz w:val="20"/>
        </w:rPr>
        <w:t xml:space="preserve"> </w:t>
      </w:r>
      <w:r w:rsidRPr="00526311">
        <w:rPr>
          <w:bCs/>
          <w:sz w:val="20"/>
        </w:rPr>
        <w:t>2014 supuso el primer año completo de actividad de la plataforma WIPO GREEN.  Mediante una campaña de sensibilización dirigida a destinatarios específicos, se logró potenciar considerablemente la visibilidad de WIPO GREEN.  La red de asociados se amplió de 36 a 54, y el número de usuarios inscritos casi se duplicó, pasando de 160 a 300.  Este crecimiento puso de manifiesto el éxito de la labor de divulgación, que incluyó la utilización de una multitud de canales de comunicación, como las redes sociales y los medios especializados, el Boletín periódico de noticias WIPO GREEN y la participación en diversos foros nacionales, regionales y mundiales.  La base de datos de WIPO GREEN aumentó a más del doble, pasando de 830 a 1.773 registros, gracias a la combinación de los acuerdos de integración de bases de datos y las aportaciones individuales de datos.</w:t>
      </w:r>
    </w:p>
    <w:p w:rsidR="00F777B4" w:rsidRPr="00526311" w:rsidRDefault="00F777B4" w:rsidP="0063039A">
      <w:pPr>
        <w:jc w:val="both"/>
        <w:rPr>
          <w:iCs/>
          <w:sz w:val="20"/>
        </w:rPr>
      </w:pPr>
    </w:p>
    <w:p w:rsidR="00F777B4" w:rsidRPr="00526311" w:rsidRDefault="00526311" w:rsidP="00B45FC3">
      <w:pPr>
        <w:numPr>
          <w:ilvl w:val="0"/>
          <w:numId w:val="7"/>
        </w:numPr>
        <w:tabs>
          <w:tab w:val="left" w:pos="567"/>
        </w:tabs>
        <w:ind w:left="0" w:firstLine="0"/>
        <w:jc w:val="both"/>
        <w:rPr>
          <w:color w:val="000000" w:themeColor="text1"/>
          <w:sz w:val="20"/>
        </w:rPr>
      </w:pPr>
      <w:r w:rsidRPr="00526311">
        <w:rPr>
          <w:i/>
          <w:color w:val="000000" w:themeColor="text1"/>
          <w:sz w:val="20"/>
        </w:rPr>
        <w:t>WIPO Re:Search</w:t>
      </w:r>
      <w:r w:rsidR="00F777B4" w:rsidRPr="00526311">
        <w:rPr>
          <w:color w:val="000000" w:themeColor="text1"/>
          <w:sz w:val="20"/>
        </w:rPr>
        <w:t>, consorcio en el que participan muy diferentes instituciones del sector público y privado, tanto de países desarrollados como países en desarrollo, que brinda acceso exento de regalías a activos de P.I. para estimular nueva I+D sobre las enfermedades tropicales desatendidas, la tuberculosis y el paludismo, ha logrado ser reconocido como plataforma de apoyo a la innovación y la transferencia de tecnología relacionada con la investigación en el ámbito de las enfermedades tropicales desatendidas, la tuberculosis y el paludismo.  En 2014 se obtuvieron 38 nuevas colaboraciones y se incorporaron 16 miembros nuevos, alcanzando un total de 82 colaboraciones y 96 miembros, de los cuales seis procedían de países en desarrollo.  Además, el potencial de la plataforma para la transferencia de tecnología de países desarrollados a países en desarrollo respecto de los activos de P.I., incluidos los conocimientos especializados y la capacidad técnica, se concretó con la continuación de la concesión de licencias sabáticas a cinco científicos africanos para que efectuaran labores de investigación en instituciones de investigación de otros países.  Las licencias sabáticas, que arrancaron en el pasado bienio, fueron posibles gracias a un fondo fiduciario dotado por el Gobierno de Australia.  Cuatro de ellas finalizaron antes del fin de 2014.</w:t>
      </w:r>
    </w:p>
    <w:p w:rsidR="00F777B4" w:rsidRPr="00526311" w:rsidRDefault="00F777B4" w:rsidP="0063039A">
      <w:pPr>
        <w:tabs>
          <w:tab w:val="left" w:pos="567"/>
          <w:tab w:val="left" w:pos="709"/>
        </w:tabs>
        <w:autoSpaceDE w:val="0"/>
        <w:autoSpaceDN w:val="0"/>
        <w:adjustRightInd w:val="0"/>
        <w:jc w:val="both"/>
        <w:rPr>
          <w:rFonts w:eastAsia="Batang"/>
          <w:color w:val="000000" w:themeColor="text1"/>
          <w:sz w:val="20"/>
          <w:lang w:eastAsia="ja-JP"/>
        </w:rPr>
      </w:pPr>
    </w:p>
    <w:p w:rsidR="00F777B4" w:rsidRPr="00526311" w:rsidRDefault="00F777B4" w:rsidP="00B45FC3">
      <w:pPr>
        <w:numPr>
          <w:ilvl w:val="0"/>
          <w:numId w:val="7"/>
        </w:numPr>
        <w:tabs>
          <w:tab w:val="left" w:pos="567"/>
        </w:tabs>
        <w:ind w:left="0" w:firstLine="0"/>
        <w:jc w:val="both"/>
        <w:rPr>
          <w:color w:val="000000" w:themeColor="text1"/>
          <w:sz w:val="20"/>
        </w:rPr>
      </w:pPr>
      <w:r w:rsidRPr="00526311">
        <w:rPr>
          <w:color w:val="000000" w:themeColor="text1"/>
          <w:sz w:val="20"/>
        </w:rPr>
        <w:t xml:space="preserve">En 2014 se organizó un seminario de la OMPI sobre desafíos mundiales (http://www.wipo.int/meetings/es/details.jsp?meeting_id=35262) </w:t>
      </w:r>
      <w:r w:rsidRPr="00526311">
        <w:rPr>
          <w:rFonts w:eastAsia="Batang"/>
          <w:sz w:val="20"/>
          <w:lang w:eastAsia="ja-JP"/>
        </w:rPr>
        <w:t>que constituyó un foro para que los participantes intercambiaran ideas, experiencias e información relacionadas con tres ámbitos fundamentales, y se publicaron dos resúmenes sobre los desafíos mundiales.</w:t>
      </w:r>
    </w:p>
    <w:p w:rsidR="00F777B4" w:rsidRPr="00526311" w:rsidRDefault="00F777B4" w:rsidP="0063039A">
      <w:pPr>
        <w:tabs>
          <w:tab w:val="left" w:pos="709"/>
        </w:tabs>
        <w:jc w:val="both"/>
        <w:rPr>
          <w:rFonts w:eastAsia="Batang"/>
          <w:color w:val="000000" w:themeColor="text1"/>
          <w:sz w:val="20"/>
          <w:lang w:eastAsia="ja-JP"/>
        </w:rPr>
      </w:pPr>
    </w:p>
    <w:p w:rsidR="00F777B4" w:rsidRPr="00526311" w:rsidRDefault="00F777B4" w:rsidP="00B45FC3">
      <w:pPr>
        <w:numPr>
          <w:ilvl w:val="0"/>
          <w:numId w:val="7"/>
        </w:numPr>
        <w:tabs>
          <w:tab w:val="left" w:pos="567"/>
        </w:tabs>
        <w:ind w:left="0" w:firstLine="0"/>
        <w:jc w:val="both"/>
        <w:rPr>
          <w:sz w:val="20"/>
        </w:rPr>
      </w:pPr>
      <w:r w:rsidRPr="00526311">
        <w:rPr>
          <w:color w:val="000000" w:themeColor="text1"/>
          <w:sz w:val="20"/>
        </w:rPr>
        <w:t>La cooperación trilateral con la OMS y la OMC siguió centrándose en mejorar la comprensión, entre los responsables de la elaboración de políticas, acerca de la interacción entre la salud, la P.I. y el comercio.  En el cuarto simposio trilateral, que tuvo lugar en noviembre de 2014 en Ginebra, se examinaron los desafíos y las oportunidades en la esfera de la innovación en materia de salud en los países de ingresos medianos y las políticas públicas necesarias para asegurar que el rápido crecimiento económico contribuya al acceso y a una cobertura sanitaria universal</w:t>
      </w:r>
      <w:r w:rsidRPr="00526311">
        <w:rPr>
          <w:sz w:val="20"/>
        </w:rPr>
        <w:t>.</w:t>
      </w:r>
    </w:p>
    <w:p w:rsidR="00F777B4" w:rsidRPr="00526311" w:rsidRDefault="00F777B4" w:rsidP="0063039A">
      <w:pPr>
        <w:tabs>
          <w:tab w:val="left" w:pos="567"/>
          <w:tab w:val="left" w:pos="709"/>
        </w:tabs>
        <w:autoSpaceDE w:val="0"/>
        <w:autoSpaceDN w:val="0"/>
        <w:adjustRightInd w:val="0"/>
        <w:jc w:val="both"/>
        <w:rPr>
          <w:rFonts w:eastAsia="Batang"/>
          <w:color w:val="000000" w:themeColor="text1"/>
          <w:sz w:val="20"/>
          <w:lang w:eastAsia="ja-JP"/>
        </w:rPr>
      </w:pPr>
    </w:p>
    <w:p w:rsidR="00F777B4" w:rsidRPr="00526311" w:rsidRDefault="00F777B4" w:rsidP="0063039A">
      <w:pPr>
        <w:rPr>
          <w:iCs/>
          <w:sz w:val="20"/>
        </w:rPr>
      </w:pPr>
    </w:p>
    <w:p w:rsidR="00F777B4" w:rsidRPr="00526311" w:rsidRDefault="00F777B4" w:rsidP="0063039A">
      <w:pPr>
        <w:keepNext/>
        <w:jc w:val="center"/>
        <w:rPr>
          <w:b/>
          <w:iCs/>
        </w:rPr>
      </w:pPr>
      <w:r w:rsidRPr="00526311">
        <w:rPr>
          <w:b/>
          <w:iCs/>
        </w:rPr>
        <w:lastRenderedPageBreak/>
        <w:t>Meta estratégica VIII:  Comunicación eficaz entre la OMPI, sus Estados miembros y todas las partes interesadas</w:t>
      </w:r>
    </w:p>
    <w:p w:rsidR="00F777B4" w:rsidRPr="00526311" w:rsidRDefault="009A5995" w:rsidP="0063039A">
      <w:pPr>
        <w:keepNext/>
        <w:jc w:val="center"/>
        <w:rPr>
          <w:sz w:val="20"/>
          <w:szCs w:val="18"/>
        </w:rPr>
      </w:pPr>
      <w:r w:rsidRPr="00526311">
        <w:rPr>
          <w:noProof/>
          <w:lang w:val="en-US" w:eastAsia="en-US"/>
        </w:rPr>
        <w:drawing>
          <wp:inline distT="0" distB="0" distL="0" distR="0" wp14:anchorId="7F058895" wp14:editId="1255C3D4">
            <wp:extent cx="5486400" cy="28092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2809240"/>
                    </a:xfrm>
                    <a:prstGeom prst="rect">
                      <a:avLst/>
                    </a:prstGeom>
                    <a:noFill/>
                    <a:ln>
                      <a:noFill/>
                    </a:ln>
                  </pic:spPr>
                </pic:pic>
              </a:graphicData>
            </a:graphic>
          </wp:inline>
        </w:drawing>
      </w:r>
    </w:p>
    <w:p w:rsidR="00F777B4" w:rsidRPr="00526311" w:rsidRDefault="00F777B4" w:rsidP="0063039A">
      <w:pPr>
        <w:tabs>
          <w:tab w:val="left" w:pos="567"/>
        </w:tabs>
        <w:jc w:val="both"/>
        <w:rPr>
          <w:sz w:val="20"/>
        </w:rPr>
      </w:pPr>
    </w:p>
    <w:p w:rsidR="00F777B4" w:rsidRPr="00526311" w:rsidRDefault="00F777B4" w:rsidP="00B45FC3">
      <w:pPr>
        <w:numPr>
          <w:ilvl w:val="0"/>
          <w:numId w:val="7"/>
        </w:numPr>
        <w:tabs>
          <w:tab w:val="left" w:pos="567"/>
        </w:tabs>
        <w:ind w:left="0" w:firstLine="0"/>
        <w:jc w:val="both"/>
        <w:rPr>
          <w:sz w:val="20"/>
        </w:rPr>
      </w:pPr>
      <w:r w:rsidRPr="00526311">
        <w:rPr>
          <w:sz w:val="20"/>
        </w:rPr>
        <w:t>En 2014, las prioridades se centraron en consolidar los resultados de una serie de importantes proyectos estratégicos que incumbían a toda la Organización, finalizados en 2013, sobre comunicaciones por Internet, desarrollo de marcas, comunicaciones internas y servicios de atención al cliente;  y en continuar aplicando estrategias centrales destinadas a mejorar la distribución y la calidad de los contenidos producidos por la OMPI, aumentar la visibilidad de la Organización y el entendimiento del público hacia sus actividades, y fortalecer su cultura orientada a la prestación de servicios.  El programa también sentó las bases para adoptar más iniciativas destinadas a mejorar la eficacia de las actividades de comunicación.</w:t>
      </w:r>
    </w:p>
    <w:p w:rsidR="00F777B4" w:rsidRPr="00526311" w:rsidRDefault="00F777B4" w:rsidP="0063039A">
      <w:pPr>
        <w:tabs>
          <w:tab w:val="left" w:pos="567"/>
        </w:tabs>
        <w:jc w:val="both"/>
        <w:rPr>
          <w:sz w:val="20"/>
        </w:rPr>
      </w:pPr>
    </w:p>
    <w:p w:rsidR="00F777B4" w:rsidRPr="00526311" w:rsidRDefault="0005441D" w:rsidP="00B45FC3">
      <w:pPr>
        <w:numPr>
          <w:ilvl w:val="0"/>
          <w:numId w:val="7"/>
        </w:numPr>
        <w:tabs>
          <w:tab w:val="left" w:pos="567"/>
        </w:tabs>
        <w:ind w:left="0" w:firstLine="0"/>
        <w:jc w:val="both"/>
        <w:rPr>
          <w:color w:val="000000"/>
          <w:sz w:val="20"/>
        </w:rPr>
      </w:pPr>
      <w:r w:rsidRPr="00526311">
        <w:rPr>
          <w:sz w:val="20"/>
        </w:rPr>
        <w:t xml:space="preserve">La visibilidad de eventos, ofertas y resultados clave de la OMPI, desde el Consorcio de Libros Accesibles (ABC) hasta las nuevas herramientas como el portal terminológico </w:t>
      </w:r>
      <w:r w:rsidRPr="00526311">
        <w:rPr>
          <w:i/>
          <w:sz w:val="20"/>
        </w:rPr>
        <w:t>WIPO Pearl</w:t>
      </w:r>
      <w:r w:rsidRPr="00526311">
        <w:rPr>
          <w:sz w:val="20"/>
        </w:rPr>
        <w:t xml:space="preserve">, aumentó gracias a la adopción de un enfoque plenamente integrado respecto de la prensa, las redes sociales, los vídeos, las comunicaciones impresas y en línea, que se ejecuta a través de distintas plataformas.  </w:t>
      </w:r>
      <w:r w:rsidR="00F777B4" w:rsidRPr="00526311">
        <w:rPr>
          <w:sz w:val="20"/>
        </w:rPr>
        <w:t xml:space="preserve">Se concedió alta prioridad a la promoción de los informes económicos y estadísticos emblemáticos de la Organización a fin de reforzar la imagen de la OMPI como referencia mundial de información fidedigna en materia de P.I.  Gracias a los esfuerzos concertados de promoción se obtuvo un aumento del 16%, respecto de 2013, en las visitas a páginas web sobre la publicación del Índice Mundial de Innovación de 2014, y un incremento exponencial (1.300%) en los vídeos visionados sobre el tema.  Los Indicadores mundiales de propiedad intelectual de 2014 recibieron una amplia cobertura mediática a través de influyentes medios de comunicación de todo el mundo y se logró un aumento del 18% en las consultas del correspondiente comunicado de prensa.  </w:t>
      </w:r>
      <w:r w:rsidR="00F777B4" w:rsidRPr="00526311">
        <w:rPr>
          <w:color w:val="000000"/>
          <w:sz w:val="20"/>
        </w:rPr>
        <w:t>La base de seguidores de la OMPI en Twitter aumentó más del 60%, además del incremento del 76,8% en el número de mensajes retuiteados.</w:t>
      </w:r>
    </w:p>
    <w:p w:rsidR="00F777B4" w:rsidRPr="00526311" w:rsidRDefault="00F777B4" w:rsidP="0063039A">
      <w:pPr>
        <w:tabs>
          <w:tab w:val="left" w:pos="709"/>
        </w:tabs>
        <w:jc w:val="both"/>
        <w:rPr>
          <w:sz w:val="20"/>
        </w:rPr>
      </w:pPr>
    </w:p>
    <w:p w:rsidR="00F777B4" w:rsidRPr="00526311" w:rsidRDefault="00F777B4" w:rsidP="00B45FC3">
      <w:pPr>
        <w:numPr>
          <w:ilvl w:val="0"/>
          <w:numId w:val="7"/>
        </w:numPr>
        <w:tabs>
          <w:tab w:val="left" w:pos="567"/>
        </w:tabs>
        <w:ind w:left="0" w:firstLine="0"/>
        <w:jc w:val="both"/>
        <w:rPr>
          <w:sz w:val="20"/>
        </w:rPr>
      </w:pPr>
      <w:r w:rsidRPr="00526311">
        <w:rPr>
          <w:sz w:val="20"/>
        </w:rPr>
        <w:t>La participación de los Estados miembros y el público en la campaña del Día Mundial de la P.I. alcanzó un nivel sin precedentes.  El tema “El cine, una pasión universal”, fue el centro de más de 350 eventos en 110 países (en comparación con los 236 eventos celebrados en 93</w:t>
      </w:r>
      <w:r w:rsidRPr="00526311">
        <w:rPr>
          <w:vertAlign w:val="superscript"/>
        </w:rPr>
        <w:footnoteReference w:id="4"/>
      </w:r>
      <w:r w:rsidRPr="00526311">
        <w:rPr>
          <w:sz w:val="20"/>
        </w:rPr>
        <w:t xml:space="preserve"> países en 2013).  Los tuits sobre el Día Mundial de la P.I. obtuvieron 1,67 millones de impresiones potenciales, en comparación con la cifra de 1,55 obtenida en 2013;  además, se registraron más de 9.000 descargas, desde el sitio web, del material promocional creado para la campaña.  Por primera vez, la versión en chino de la página web del Día Mundial de la P.I. recibió más visitas que la versión en inglés, y el mayor número de "me gusta" en Facebook procedió del Brasil, Egipto, los Estados Unidos de América, la India y México.  El mini festival de cine celebrado en Ginebra del 24 al 28 de abril de 2014 contó con una buena participación del público local, sobre todo, el estreno en Suiza de la coproducción nigeriana </w:t>
      </w:r>
      <w:r w:rsidRPr="00526311">
        <w:rPr>
          <w:i/>
          <w:sz w:val="20"/>
        </w:rPr>
        <w:t>Half of a Yellow Sun</w:t>
      </w:r>
      <w:r w:rsidRPr="00526311">
        <w:rPr>
          <w:sz w:val="20"/>
        </w:rPr>
        <w:t xml:space="preserve"> (Medio sol amarillo), que llenó la sala.</w:t>
      </w:r>
    </w:p>
    <w:p w:rsidR="00F777B4" w:rsidRPr="00526311" w:rsidRDefault="00F777B4" w:rsidP="0063039A">
      <w:pPr>
        <w:tabs>
          <w:tab w:val="left" w:pos="709"/>
        </w:tabs>
        <w:jc w:val="both"/>
        <w:rPr>
          <w:sz w:val="20"/>
        </w:rPr>
      </w:pPr>
    </w:p>
    <w:p w:rsidR="00F777B4" w:rsidRPr="00526311" w:rsidRDefault="00F777B4" w:rsidP="00B45FC3">
      <w:pPr>
        <w:keepNext/>
        <w:keepLines/>
        <w:numPr>
          <w:ilvl w:val="0"/>
          <w:numId w:val="7"/>
        </w:numPr>
        <w:tabs>
          <w:tab w:val="left" w:pos="567"/>
        </w:tabs>
        <w:ind w:left="0" w:firstLine="0"/>
        <w:jc w:val="both"/>
        <w:rPr>
          <w:sz w:val="20"/>
        </w:rPr>
      </w:pPr>
      <w:r w:rsidRPr="00526311">
        <w:rPr>
          <w:sz w:val="20"/>
        </w:rPr>
        <w:lastRenderedPageBreak/>
        <w:t>En lo que respecta a las relaciones exteriores, como organismo especializado de las NN.UU., y en sintonía con su mandato y con las recomendaciones 30 y 40 de la A.D., la OMPI siguió desempeñando la función que le incumbe en el apoyo de los principales procesos de las NN.UU. mediante su participación y contribución estratégicas, en particular, con respecto a, entre otras cosas:  i) la Agenda para el Desarrollo posterior a 2015 mediante la labor del Equipo de Tareas del Sistema de las Naciones Unidas (UNTT), de carácter interinstitucional, y el Equipo de Apoyo Técnico del Grupo de Trabajo de composición abierta sobre los objetivos de desarrollo sostenible;  y ii) las actividades en el ámbito de la tecnología relativas a la Convención Marco de las NN.UU. sobre el cambio climático (CMNUCC), en particular, el Mecanismo de Tecnología de la CMNUCC, el Comité Ejecutivo de Tecnología y el Centro y Red de Tecnología del Clima (C</w:t>
      </w:r>
      <w:r w:rsidR="00F1387F" w:rsidRPr="00526311">
        <w:rPr>
          <w:sz w:val="20"/>
        </w:rPr>
        <w:t>R</w:t>
      </w:r>
      <w:r w:rsidRPr="00526311">
        <w:rPr>
          <w:sz w:val="20"/>
        </w:rPr>
        <w:t>TC).</w:t>
      </w:r>
    </w:p>
    <w:p w:rsidR="00F777B4" w:rsidRPr="00526311" w:rsidRDefault="00F777B4" w:rsidP="0063039A">
      <w:pPr>
        <w:tabs>
          <w:tab w:val="left" w:pos="709"/>
        </w:tabs>
        <w:jc w:val="both"/>
        <w:rPr>
          <w:sz w:val="20"/>
        </w:rPr>
      </w:pPr>
    </w:p>
    <w:p w:rsidR="00F777B4" w:rsidRPr="00526311" w:rsidRDefault="00F777B4" w:rsidP="00B45FC3">
      <w:pPr>
        <w:numPr>
          <w:ilvl w:val="0"/>
          <w:numId w:val="7"/>
        </w:numPr>
        <w:tabs>
          <w:tab w:val="left" w:pos="567"/>
        </w:tabs>
        <w:ind w:left="0" w:firstLine="0"/>
        <w:jc w:val="both"/>
        <w:rPr>
          <w:sz w:val="20"/>
        </w:rPr>
      </w:pPr>
      <w:r w:rsidRPr="00526311">
        <w:rPr>
          <w:sz w:val="20"/>
        </w:rPr>
        <w:t>La red de oficinas de la OMPI en el exterior siguió formando parte integrante de la Organización, con la finalidad de acercar los servicios y la cooperación de la OMPI a los Estados miembros, las partes interesadas y los asociados, en aras de una mayor eficacia en la ejecución de los programas y de responder a las necesidades y prioridades específicas de los países o regiones en los que operan.  En 2014, la red aumentó a 5 oficinas a raíz de la apertura de las Oficinas de la OMPI en China (OOC) y en la Federación de Rusia (OOR).</w:t>
      </w:r>
    </w:p>
    <w:p w:rsidR="00F777B4" w:rsidRPr="00526311" w:rsidRDefault="00F777B4" w:rsidP="0063039A">
      <w:pPr>
        <w:rPr>
          <w:iCs/>
          <w:sz w:val="20"/>
        </w:rPr>
      </w:pPr>
    </w:p>
    <w:p w:rsidR="00F777B4" w:rsidRPr="00526311" w:rsidRDefault="00F777B4" w:rsidP="0063039A">
      <w:pPr>
        <w:rPr>
          <w:iCs/>
          <w:sz w:val="20"/>
        </w:rPr>
      </w:pPr>
    </w:p>
    <w:p w:rsidR="00F777B4" w:rsidRPr="00526311" w:rsidRDefault="00F777B4" w:rsidP="0063039A">
      <w:pPr>
        <w:keepNext/>
        <w:keepLines/>
        <w:jc w:val="center"/>
        <w:rPr>
          <w:b/>
          <w:iCs/>
        </w:rPr>
      </w:pPr>
      <w:r w:rsidRPr="00526311">
        <w:rPr>
          <w:b/>
          <w:iCs/>
        </w:rPr>
        <w:t>Meta estratégica IX:  Estructura eficiente de apoyo administrativo y financiero que facilite la ejecución de los programas de la OMPI</w:t>
      </w:r>
    </w:p>
    <w:p w:rsidR="00F777B4" w:rsidRPr="00526311" w:rsidRDefault="00F777B4" w:rsidP="0063039A">
      <w:pPr>
        <w:keepNext/>
        <w:keepLines/>
        <w:jc w:val="center"/>
        <w:rPr>
          <w:b/>
          <w:iCs/>
        </w:rPr>
      </w:pPr>
    </w:p>
    <w:p w:rsidR="00F777B4" w:rsidRPr="00526311" w:rsidRDefault="009A5995" w:rsidP="0063039A">
      <w:pPr>
        <w:keepNext/>
        <w:keepLines/>
        <w:jc w:val="center"/>
        <w:rPr>
          <w:b/>
          <w:sz w:val="18"/>
          <w:szCs w:val="18"/>
        </w:rPr>
      </w:pPr>
      <w:r w:rsidRPr="00526311">
        <w:rPr>
          <w:noProof/>
          <w:lang w:val="en-US" w:eastAsia="en-US"/>
        </w:rPr>
        <w:drawing>
          <wp:inline distT="0" distB="0" distL="0" distR="0" wp14:anchorId="7F464DB1" wp14:editId="471F698D">
            <wp:extent cx="5764530" cy="284543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4530" cy="2845435"/>
                    </a:xfrm>
                    <a:prstGeom prst="rect">
                      <a:avLst/>
                    </a:prstGeom>
                    <a:noFill/>
                    <a:ln>
                      <a:noFill/>
                    </a:ln>
                  </pic:spPr>
                </pic:pic>
              </a:graphicData>
            </a:graphic>
          </wp:inline>
        </w:drawing>
      </w:r>
    </w:p>
    <w:p w:rsidR="00F777B4" w:rsidRPr="00526311" w:rsidRDefault="00F777B4" w:rsidP="0063039A">
      <w:pPr>
        <w:jc w:val="both"/>
        <w:rPr>
          <w:sz w:val="20"/>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El Sector de Administración y Gestión ayudó a la Organización, a través de sus programas, a obtener los resultados esperados por los Estados miembros y los sectores interesados y, al mismo tiempo, abrirse paso en medio de la prolongada inestabilidad económica y la grave incertidumbre del entorno económico.</w:t>
      </w:r>
    </w:p>
    <w:p w:rsidR="00F777B4" w:rsidRPr="00526311" w:rsidRDefault="00F777B4" w:rsidP="0063039A">
      <w:pPr>
        <w:pStyle w:val="ListParagraph"/>
        <w:tabs>
          <w:tab w:val="left" w:pos="567"/>
        </w:tabs>
        <w:ind w:left="0"/>
        <w:jc w:val="both"/>
        <w:rPr>
          <w:lang w:val="es-ES"/>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A pesar de estas circunstancias, la OMPI cerró el año con un resultado global positivo de 37 millones de francos suizos sobre la base de las IPSAS, como consecuencia de unos ingresos superiores a los previstos, la aplicación de medidas de fomento de la eficacia en función de los costos y una gestión prudente del gasto.</w:t>
      </w:r>
    </w:p>
    <w:p w:rsidR="00F777B4" w:rsidRPr="00526311" w:rsidRDefault="00F777B4" w:rsidP="0063039A">
      <w:pPr>
        <w:pStyle w:val="ListParagraph"/>
        <w:ind w:left="0"/>
        <w:rPr>
          <w:lang w:val="es-ES"/>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En 2014 se siguió fortaleciendo la gestión de los programas y la gestión financiera con el fin de utilizar más eficazmente los recursos así como de establecer mejores prácticas en el ámbito de la administración, que atañen a la planificación, la gestión del rendimiento, la facilitación y el apoyo de diversas actividades operacionales a través de la Organización.</w:t>
      </w:r>
    </w:p>
    <w:p w:rsidR="00F777B4" w:rsidRPr="00526311" w:rsidRDefault="00F777B4" w:rsidP="0063039A">
      <w:pPr>
        <w:pStyle w:val="ListParagraph"/>
        <w:ind w:left="0"/>
        <w:rPr>
          <w:lang w:val="es-ES"/>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El estudio exhaustivo de las prácticas y riesgos de tesorería de la OMPI, emprendido en 2013, se terminó de realizar en la primavera de 2014, dando lugar a una serie de recomendaciones, entre las que figuraba el empleo de instrumentos de cobertura como medio de reducir la exposición a las fluctuaciones de los tipos de cambio en el PCT.  La Secretaría está examinando la serie completa de recomendaciones y definiendo una estrategia de ejecución a ese respecto.</w:t>
      </w:r>
    </w:p>
    <w:p w:rsidR="00F777B4" w:rsidRPr="00526311" w:rsidRDefault="00F777B4" w:rsidP="0063039A">
      <w:pPr>
        <w:pStyle w:val="ListParagraph"/>
        <w:ind w:left="0"/>
        <w:rPr>
          <w:lang w:val="es-ES"/>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En 2014, se lograron positivos avances en el arraigo de una cultura basada en los resultados y en el fortalecimiento del ciclo de gestión del rendimiento de la OMPI.  Asimismo, en 2014, se siguió mejorando el proceso de planificación de la labor con la introducción de una planificación basada en los cargos.  Para respaldar esta mejora, se introdujeron nuevas funciones en el módulo de planificación de la labor de gestión del rendimiento institucional del sistema de planificación de los recursos institucionales (PRI) para posibilitar la asignación de miembros del personal a determinadas actividades de programas, intensificando los vínculos entre los resultados previstos para cada programa y los objetivos de cada miembro del personal.  Además, a raíz de esa mejora aumentaron la transparencia y la precisión en cuanto a la asignación y utilización de recursos relativos a personal.</w:t>
      </w:r>
    </w:p>
    <w:p w:rsidR="00F777B4" w:rsidRPr="00526311" w:rsidRDefault="00F777B4" w:rsidP="0063039A">
      <w:pPr>
        <w:jc w:val="both"/>
        <w:rPr>
          <w:sz w:val="20"/>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 xml:space="preserve">Siguió desarrollándose la cartera de proyectos del sistema de PRI, aprobada en las series de reuniones de las Asambleas de la OMPI en 2010, como parte de la modernización del Sector de Administración y de Gestión.  Con tal fin, en el año 2014 se produjo la puesta en marcha de dos nuevos módulos esenciales para el ciclo de rendimiento de la OMPI, a saber, los módulos de “Ejecución y supervisión” y “Evaluación del rendimiento”.  </w:t>
      </w:r>
      <w:r w:rsidRPr="00526311">
        <w:rPr>
          <w:bCs/>
          <w:lang w:val="es-ES"/>
        </w:rPr>
        <w:t xml:space="preserve">La integración aún mayor de los componentes del sistema de PRI en 2014 contribuyó a mejorar la presentación de informes y las herramientas analíticas.  </w:t>
      </w:r>
      <w:r w:rsidRPr="00526311">
        <w:rPr>
          <w:lang w:val="es-ES"/>
        </w:rPr>
        <w:t xml:space="preserve">Por primera vez en 2014, se integraron conjuntamente los sistemas de planificación de la gestión del rendimiento institucional y los componentes financieros del sistema automatizado de gestión de la información (AIMS), lo que facilitó la presentación de informes comparativos entre el presupuesto y los gastos reales.  </w:t>
      </w:r>
      <w:r w:rsidRPr="00526311">
        <w:rPr>
          <w:bCs/>
          <w:lang w:val="es-ES"/>
        </w:rPr>
        <w:t>Además, en enero de 2014, comenzó a funcionar el sistema de g</w:t>
      </w:r>
      <w:r w:rsidRPr="00526311">
        <w:rPr>
          <w:lang w:val="es-ES"/>
        </w:rPr>
        <w:t>estión de los recursos humanos y de las nóminas</w:t>
      </w:r>
      <w:r w:rsidRPr="00526311">
        <w:rPr>
          <w:bCs/>
          <w:lang w:val="es-ES"/>
        </w:rPr>
        <w:t xml:space="preserve"> en el marco de la PRI y, en abril de 2014, se completó la integración con el sistema de gestión del rendimiento institucional, mejorando considerablemente la capacidad de gestión de los cargos.  </w:t>
      </w:r>
      <w:r w:rsidRPr="00526311">
        <w:rPr>
          <w:bCs/>
          <w:szCs w:val="24"/>
          <w:lang w:val="es-ES"/>
        </w:rPr>
        <w:t>Se registraron avances en el módulo de inteligencia institucional, con la creación y la puesta en marcha de tableros de control en los principales sectores administrativos (gestión de recursos humanos, adquisiciones y viajes, planificación de programas y finanzas).  Se prevé su integración en toda la Organización en el segundo semestre de 2015.</w:t>
      </w:r>
    </w:p>
    <w:p w:rsidR="00F777B4" w:rsidRPr="00526311" w:rsidRDefault="00F777B4" w:rsidP="0063039A">
      <w:pPr>
        <w:tabs>
          <w:tab w:val="left" w:pos="567"/>
        </w:tabs>
        <w:jc w:val="both"/>
        <w:rPr>
          <w:sz w:val="20"/>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A lo largo de 2014 la Organización elaboró varios documentos que establecen un marco formal y coherente de gestión de riesgos y control interno, entre otros, el marco de rendición de cuentas de la OMPI, la declaración de apetito de riesgo de la OMPI, órdenes de servicio sobre el establecimiento del Grupo de Gestión de Riesgos de la OMPI (RMG) así como su política de gestión de riesgos y el manual de gestión de riesgos y control interno.</w:t>
      </w:r>
    </w:p>
    <w:p w:rsidR="00F777B4" w:rsidRPr="00526311" w:rsidRDefault="00F777B4" w:rsidP="0063039A">
      <w:pPr>
        <w:pStyle w:val="ListParagraph"/>
        <w:tabs>
          <w:tab w:val="left" w:pos="567"/>
        </w:tabs>
        <w:ind w:left="0"/>
        <w:jc w:val="both"/>
        <w:rPr>
          <w:lang w:val="es-ES"/>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A fines de 2014 los Estados miembros examinaron y refrendaron el marco de rendición de cuentas de la OMPI y la declaración de apetito de riesgo de la OMPI.</w:t>
      </w:r>
    </w:p>
    <w:p w:rsidR="00F777B4" w:rsidRPr="00526311" w:rsidRDefault="00F777B4" w:rsidP="0063039A">
      <w:pPr>
        <w:jc w:val="both"/>
        <w:rPr>
          <w:sz w:val="20"/>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En octubre de 2014 comenzó a funcionar una nueva herramienta de gestión del riesgo institucional, mediante la que se integran en un único registro de riesgos institucionales todos los riesgos de seguridad de la información de la OMPI, así como los riesgos institucionales y de los programas.</w:t>
      </w:r>
    </w:p>
    <w:p w:rsidR="00F777B4" w:rsidRPr="00526311" w:rsidRDefault="00F777B4" w:rsidP="0063039A">
      <w:pPr>
        <w:jc w:val="both"/>
        <w:rPr>
          <w:sz w:val="20"/>
        </w:rPr>
      </w:pPr>
    </w:p>
    <w:p w:rsidR="00F777B4" w:rsidRPr="00526311" w:rsidRDefault="00F777B4" w:rsidP="00B45FC3">
      <w:pPr>
        <w:pStyle w:val="ListParagraph"/>
        <w:numPr>
          <w:ilvl w:val="0"/>
          <w:numId w:val="7"/>
        </w:numPr>
        <w:tabs>
          <w:tab w:val="left" w:pos="567"/>
        </w:tabs>
        <w:ind w:left="0" w:firstLine="0"/>
        <w:jc w:val="both"/>
        <w:rPr>
          <w:rFonts w:cs="Arial"/>
          <w:lang w:val="es-ES"/>
        </w:rPr>
      </w:pPr>
      <w:r w:rsidRPr="00526311">
        <w:rPr>
          <w:rFonts w:cs="Arial"/>
          <w:lang w:val="es-ES"/>
        </w:rPr>
        <w:t>En el año 2014 se aplicó por primera vez la estrategia de recursos humanos (RR.HH.) aprobada por los Estados miembros en 2013, que sentó las bases del plan de acción de RR.HH. a corto y mediano plazo para el bienio 2014/15.  Se siguió avanzando en la incorporación del diseño orgánico y la planificación de los recursos humanos a las actividades de la Organización, de suerte que queden plenamente integradas como actividades institucionales clave.  Entre los logros de 2014 cabe señalar:  i) el mayor compromiso de los directivos mediante la celebración de talleres introductorios sobre la planificación de los recursos humanos y la elaboración de directrices conexas;  ii) la elaboración de los planes de acción de recursos humanos de 2014/15 para cada unidad organizativa a fin de determinar e inscribir medidas clave de RR.HH. destinadas a satisfacer las necesidades institucionales y iii) la mayor armonización entre las descripciones de puestos y los planes de trabajo anuales.  Como parte del ejercicio de planificación de los RR.HH., se alentó a los directivos a examinar la combinación de recursos más adecuada para atender eficazmente sus necesidades institucionales.</w:t>
      </w:r>
    </w:p>
    <w:p w:rsidR="00F777B4" w:rsidRPr="00526311" w:rsidRDefault="00F777B4" w:rsidP="0063039A">
      <w:pPr>
        <w:pStyle w:val="ListParagraph"/>
        <w:ind w:left="0"/>
        <w:rPr>
          <w:rFonts w:cs="Arial"/>
          <w:lang w:val="es-ES"/>
        </w:rPr>
      </w:pPr>
    </w:p>
    <w:p w:rsidR="00F777B4" w:rsidRPr="00526311" w:rsidRDefault="00F777B4" w:rsidP="00B45FC3">
      <w:pPr>
        <w:pStyle w:val="ListParagraph"/>
        <w:numPr>
          <w:ilvl w:val="0"/>
          <w:numId w:val="7"/>
        </w:numPr>
        <w:tabs>
          <w:tab w:val="left" w:pos="567"/>
        </w:tabs>
        <w:ind w:left="0" w:firstLine="0"/>
        <w:jc w:val="both"/>
        <w:rPr>
          <w:rFonts w:cs="Arial"/>
          <w:lang w:val="es-ES"/>
        </w:rPr>
      </w:pPr>
      <w:r w:rsidRPr="00526311">
        <w:rPr>
          <w:rFonts w:cs="Arial"/>
          <w:lang w:val="es-ES"/>
        </w:rPr>
        <w:t>En agosto de 2014, la OMPI publicó su primera Política sobre la igualdad de género, que comprendía el objetivo, ajustado a un plazo específico, de lograr el equilibrio de género entre los miembros del personal.  Si bien en diciembre de 2014 los porcentajes de mujeres con grado P4 (44,4%) y P5 (34,4%) mostraban tan solo un ligero aumento con respecto a 2013 (43,3% y 34,3%, respectivamente), representaban, no obstante, el nivel más alto alcanzado en la historia de la OMPI.  A fin de impulsar el objetivo de política relativo a la integración de las perspectivas de género en la labor de la OMPI, en cada programa se designaron coordinadores de cuestiones de género.</w:t>
      </w:r>
    </w:p>
    <w:p w:rsidR="00F777B4" w:rsidRPr="00526311" w:rsidRDefault="00F777B4" w:rsidP="0063039A">
      <w:pPr>
        <w:pStyle w:val="ListParagraph"/>
        <w:tabs>
          <w:tab w:val="left" w:pos="567"/>
        </w:tabs>
        <w:ind w:left="0"/>
        <w:jc w:val="both"/>
        <w:rPr>
          <w:rFonts w:cs="Arial"/>
          <w:lang w:val="es-ES"/>
        </w:rPr>
      </w:pPr>
    </w:p>
    <w:p w:rsidR="00F777B4" w:rsidRPr="00526311" w:rsidRDefault="00F777B4" w:rsidP="008761B9">
      <w:pPr>
        <w:pStyle w:val="ListParagraph"/>
        <w:numPr>
          <w:ilvl w:val="0"/>
          <w:numId w:val="7"/>
        </w:numPr>
        <w:tabs>
          <w:tab w:val="left" w:pos="567"/>
        </w:tabs>
        <w:ind w:left="0" w:firstLine="0"/>
        <w:jc w:val="both"/>
        <w:rPr>
          <w:lang w:val="es-ES"/>
        </w:rPr>
      </w:pPr>
      <w:r w:rsidRPr="00526311">
        <w:rPr>
          <w:lang w:val="es-ES"/>
        </w:rPr>
        <w:lastRenderedPageBreak/>
        <w:t>En 2014 se llevó a término el proceso de regularización de empleados temporales con muchos años de servicio, en cuyo marco se regularizó la situación de 31 empleados de este tipo como consecuencia de un concurso.  En 2016 se completará la regularización de los 66 empleados temporales restantes con funciones de carácter continuo, aprobada por los Estados miembros.  En 2014, se publicaron unos 23 puestos abiertos a concurso externo.  En 2014 también tuvo lugar una importante actividad de contratación, con 97 concursos a puestos de plazo fijo y 37 a puestos temporales, lo que constituye un aumento del 26% con respecto a 2013.  En 2014, la duración del proceso de contratación estaba bien encaminada para cumplir el objetivo fijado de 14,7 semanas, sin embargo, todavía no se habían completado 20 de los procesos de selección.</w:t>
      </w:r>
    </w:p>
    <w:p w:rsidR="00F777B4" w:rsidRPr="00526311" w:rsidRDefault="00F777B4" w:rsidP="0063039A">
      <w:pPr>
        <w:pStyle w:val="ListParagraph"/>
        <w:ind w:left="0"/>
        <w:rPr>
          <w:lang w:val="es-ES"/>
        </w:rPr>
      </w:pPr>
    </w:p>
    <w:p w:rsidR="00F777B4" w:rsidRPr="00526311" w:rsidRDefault="00F777B4" w:rsidP="008761B9">
      <w:pPr>
        <w:pStyle w:val="ListParagraph"/>
        <w:numPr>
          <w:ilvl w:val="0"/>
          <w:numId w:val="7"/>
        </w:numPr>
        <w:tabs>
          <w:tab w:val="left" w:pos="567"/>
        </w:tabs>
        <w:ind w:left="0" w:firstLine="0"/>
        <w:jc w:val="both"/>
        <w:rPr>
          <w:lang w:val="es-ES"/>
        </w:rPr>
      </w:pPr>
      <w:r w:rsidRPr="00526311">
        <w:rPr>
          <w:lang w:val="es-ES"/>
        </w:rPr>
        <w:t xml:space="preserve">En el ámbito de las compras y los viajes, </w:t>
      </w:r>
      <w:r w:rsidRPr="00526311">
        <w:rPr>
          <w:bCs/>
          <w:lang w:val="es-ES"/>
        </w:rPr>
        <w:t>gracias a una mayor tenacidad en las negociaciones de precios prosiguieron los ahorros en la adquisición de productos y servicios, lo que se tradujo en un ahorro global de 2.663.000 francos suizos en 2014.  En lo que respecta a los gastos de viajes, el precio medio del billete de avión se redujo en un 7,5%, pasando a ser de 1.598 francos suizos, en comparación con el precio medio de 2013, de 1.728 francos suizos, gracias a la obtención de tarifas más económicas.  Cabe señalar también que en 2014 se realizaron esfuerzos considerables para reducir los gastos de viaje, con lo que disminuyó el número de billetes emitidos y el número de casos de presentación tardía de solicitudes de viaje.  Por último, mediante la estrecha supervisión de los procesos administrativos, el tiempo medio de tramitación de las solicitudes de compra se redujo a la mitad en cuatro años, dando lugar a una mayor eficiencia y agilidad en la adquisición de productos y servicios.</w:t>
      </w:r>
    </w:p>
    <w:p w:rsidR="00F777B4" w:rsidRPr="00526311" w:rsidRDefault="00F777B4" w:rsidP="0063039A">
      <w:pPr>
        <w:pStyle w:val="ListParagraph"/>
        <w:ind w:left="0"/>
        <w:rPr>
          <w:lang w:val="es-ES"/>
        </w:rPr>
      </w:pPr>
    </w:p>
    <w:p w:rsidR="00F777B4" w:rsidRPr="00526311" w:rsidRDefault="00F777B4" w:rsidP="00B45FC3">
      <w:pPr>
        <w:pStyle w:val="ListParagraph"/>
        <w:numPr>
          <w:ilvl w:val="0"/>
          <w:numId w:val="7"/>
        </w:numPr>
        <w:tabs>
          <w:tab w:val="left" w:pos="567"/>
        </w:tabs>
        <w:ind w:left="0" w:firstLine="0"/>
        <w:jc w:val="both"/>
        <w:rPr>
          <w:rFonts w:cs="Arial"/>
          <w:lang w:val="es-ES"/>
        </w:rPr>
      </w:pPr>
      <w:r w:rsidRPr="00526311">
        <w:rPr>
          <w:lang w:val="es-ES"/>
        </w:rPr>
        <w:t xml:space="preserve">En cuanto a las mejoras de las TIC, en 2014 tuvieron lugar varios logros concretos:  las pruebas preliminares sobre mejoras de la capacidad de reacción y recuperación de la infraestructura de las TIC, que arrojaron resultados prometedores;  la finalización de la estructura de las TIC para la nueva sala de conferencias de la OMPI en el plazo previsto para acoger la vigesimosegunda sesión del </w:t>
      </w:r>
      <w:r w:rsidRPr="00526311">
        <w:rPr>
          <w:bCs/>
          <w:lang w:val="es-ES"/>
        </w:rPr>
        <w:t>PBC y la quincuagésima cuarta serie de reuniones de las Asambleas de los Estados miembros de la OMPI;  el establecimiento de acuerdos de prestación de servicios para determinar explícitamente las necesidades en materia de TIC de sectores de actividad concretos y asegurar igualmente un seguimiento y supervisión más sistemáticos;  la mejora de las telecomunicaciones móviles, dotadas de unos servicios más integrados a un costo reducido;  y los avances en la migración de las plataformas de servidores tradicionales a servidores virtuales, la consolidación de las licencias de bases de datos y la optimización de las políticas para la gestión de las cuentas de usuario no utilizadas.</w:t>
      </w:r>
    </w:p>
    <w:p w:rsidR="00F777B4" w:rsidRPr="00526311" w:rsidRDefault="00F777B4" w:rsidP="0063039A">
      <w:pPr>
        <w:pStyle w:val="Test"/>
        <w:numPr>
          <w:ilvl w:val="0"/>
          <w:numId w:val="0"/>
        </w:numPr>
        <w:jc w:val="both"/>
        <w:rPr>
          <w:sz w:val="20"/>
          <w:szCs w:val="20"/>
          <w:lang w:val="es-ES"/>
        </w:rPr>
      </w:pPr>
    </w:p>
    <w:p w:rsidR="00F777B4" w:rsidRPr="00526311" w:rsidRDefault="00F777B4" w:rsidP="008761B9">
      <w:pPr>
        <w:pStyle w:val="ListParagraph"/>
        <w:numPr>
          <w:ilvl w:val="0"/>
          <w:numId w:val="7"/>
        </w:numPr>
        <w:tabs>
          <w:tab w:val="left" w:pos="567"/>
        </w:tabs>
        <w:ind w:left="0" w:firstLine="0"/>
        <w:jc w:val="both"/>
        <w:rPr>
          <w:lang w:val="es-ES"/>
        </w:rPr>
      </w:pPr>
      <w:r w:rsidRPr="00526311">
        <w:rPr>
          <w:lang w:val="es-ES"/>
        </w:rPr>
        <w:t xml:space="preserve">En el campo del aseguramiento de la información, como parte del proceso de mejora constante promovido por la Norma ISO 27001, el PCT obtuvo una nueva certificación respecto a la versión actualizada de 2013 de la Norma (ISO 27001:2013), sin que se detectaran casos de falta de conformidad de mayor o menor importancia.  En el marco de ese proceso, se realizaron varias evaluaciones de riesgos de proveedores de servicios externos con el fin de garantizar una mejor seguridad en la cadena de suministro de los servicios.  También en 2014 se puso en marcha un sistema destinado a sensibilizar a los usuarios acerca del fenómeno de estafa por suplantación de identidad o </w:t>
      </w:r>
      <w:r w:rsidRPr="00526311">
        <w:rPr>
          <w:i/>
          <w:lang w:val="es-ES"/>
        </w:rPr>
        <w:t>phishing</w:t>
      </w:r>
      <w:r w:rsidRPr="00526311">
        <w:rPr>
          <w:lang w:val="es-ES"/>
        </w:rPr>
        <w:t>.  La primera campaña de sensibilización dio lugar a un fuerte aumento del número de denuncias de intentos de estafa por suplantación de identidad provenientes de la comunidad de usuarios.</w:t>
      </w:r>
    </w:p>
    <w:p w:rsidR="00F777B4" w:rsidRPr="00526311" w:rsidRDefault="00F777B4" w:rsidP="0063039A">
      <w:pPr>
        <w:pStyle w:val="ListParagraph"/>
        <w:ind w:left="0"/>
        <w:rPr>
          <w:lang w:val="es-ES"/>
        </w:rPr>
      </w:pPr>
    </w:p>
    <w:p w:rsidR="00F777B4" w:rsidRPr="00526311" w:rsidRDefault="00F777B4" w:rsidP="008761B9">
      <w:pPr>
        <w:pStyle w:val="ListParagraph"/>
        <w:numPr>
          <w:ilvl w:val="0"/>
          <w:numId w:val="7"/>
        </w:numPr>
        <w:tabs>
          <w:tab w:val="left" w:pos="567"/>
        </w:tabs>
        <w:ind w:left="0" w:firstLine="0"/>
        <w:jc w:val="both"/>
        <w:rPr>
          <w:lang w:val="es-ES"/>
        </w:rPr>
      </w:pPr>
      <w:r w:rsidRPr="00526311">
        <w:rPr>
          <w:lang w:val="es-ES"/>
        </w:rPr>
        <w:t>Se siguió aplicando eficazmente la Política lingüística de la OMPI al ampliar la cobertura en seis idiomas a los grupos de trabajo de manera gradual y eficaz en función de los costos.  De conformidad con el calendario establecido por los Estados miembros, en 2014 se amplió la cobertura al Grupo de Trabajo del PCT y al Grupo de Trabajo sobre el Desarrollo Jurídico del Sistema de La Haya para el Registro Internacional de Dibujos y Modelos Industriales.</w:t>
      </w:r>
    </w:p>
    <w:p w:rsidR="00F777B4" w:rsidRPr="00526311" w:rsidRDefault="00F777B4" w:rsidP="0063039A">
      <w:pPr>
        <w:pStyle w:val="ListParagraph"/>
        <w:ind w:left="0"/>
        <w:rPr>
          <w:rFonts w:cs="Arial"/>
          <w:bCs/>
          <w:lang w:val="es-ES" w:eastAsia="zh-CN"/>
        </w:rPr>
      </w:pPr>
    </w:p>
    <w:p w:rsidR="00F777B4" w:rsidRPr="00526311" w:rsidRDefault="00F777B4" w:rsidP="008761B9">
      <w:pPr>
        <w:pStyle w:val="ListParagraph"/>
        <w:numPr>
          <w:ilvl w:val="0"/>
          <w:numId w:val="7"/>
        </w:numPr>
        <w:tabs>
          <w:tab w:val="left" w:pos="567"/>
        </w:tabs>
        <w:ind w:left="0" w:firstLine="0"/>
        <w:jc w:val="both"/>
        <w:rPr>
          <w:rFonts w:cs="Arial"/>
          <w:bCs/>
          <w:lang w:val="es-ES" w:eastAsia="zh-CN"/>
        </w:rPr>
      </w:pPr>
      <w:r w:rsidRPr="00526311">
        <w:rPr>
          <w:rFonts w:cs="Arial"/>
          <w:bCs/>
          <w:lang w:val="es-ES" w:eastAsia="zh-CN"/>
        </w:rPr>
        <w:t>Un logro reseñable en 2014 fue la inauguración de la nueva sala de conferencias de la OMPI.  El proyecto se entregó en varias etapas y se realizaron en paralelo diversas pruebas técnicas y de los sistemas, zona por zona.  El nuevo Centro de Acceso se entregó en julio de 2014 y los elementos paisajísticos exteriores situados entre el nuevo edificio, la nueva sala de conferencias de la OMPI y el edificio AB se entregaron a finales de agosto de 2014.  Al ser entregada en agosto de 2014, la nueva sala de conferencias de la OMPI pudo utilizarse para la sesión del PBC, celebrada del 1 al 5 de septiembre de 2014;  en septiembre de 2014, se terminaron todas las obras de construcción y renovación en la nueva sala de conferencias de la OMPI y en tres plantas del edificio AB, quedando a disposición para celebrar las reuniones de las Asambleas de la OMPI del 22 al 30 de septiembre de 2014, en las que tuvo lugar la inauguración de la sala de conferencias el día de la apertura de las reuniones en presencia de los Estados miembros de la OMPI y los observadores, funcionarios del país anfitrión (de nivel federal, cantonal y municipal), representantes de otros organismos de las NN.UU., y de unas 70 empresas y entidades que habían contribuido a la construcción y finalización del proyecto.</w:t>
      </w:r>
    </w:p>
    <w:p w:rsidR="00F777B4" w:rsidRPr="00526311" w:rsidRDefault="00F777B4" w:rsidP="0063039A">
      <w:pPr>
        <w:jc w:val="both"/>
        <w:rPr>
          <w:bCs/>
          <w:sz w:val="20"/>
        </w:rPr>
      </w:pPr>
    </w:p>
    <w:p w:rsidR="00F777B4" w:rsidRPr="00526311" w:rsidRDefault="00F777B4" w:rsidP="00B45FC3">
      <w:pPr>
        <w:pStyle w:val="ListParagraph"/>
        <w:numPr>
          <w:ilvl w:val="0"/>
          <w:numId w:val="7"/>
        </w:numPr>
        <w:tabs>
          <w:tab w:val="left" w:pos="567"/>
        </w:tabs>
        <w:ind w:left="0" w:firstLine="0"/>
        <w:jc w:val="both"/>
        <w:rPr>
          <w:bCs/>
          <w:lang w:val="es-ES"/>
        </w:rPr>
      </w:pPr>
      <w:r w:rsidRPr="00526311">
        <w:rPr>
          <w:bCs/>
          <w:lang w:val="es-ES"/>
        </w:rPr>
        <w:t xml:space="preserve">En 2014 también se consiguieron algunos logros importantes en materia de seguridad y vigilancia, entre los que destacó la apertura del nuevo Centro de Acceso de la OMPI (recepción AB) y del Centro de Operaciones de Coordinación en materia de Seguridad (SCOC).  Además, el proyecto de Normas mínimas de seguridad operacional para las sedes de las Naciones Unidas (H-MOSS) estaba casi finalizado, y el 95% de los sistemas funcionaba plenamente a fines de 2014.  Esas mejoras reforzaron considerablemente la seguridad en todo el recinto de la OMPI y, en consonancia con el plan del proyecto, permitieron una reducción gradual, aunque inferior a lo previsto, del personal de seguridad </w:t>
      </w:r>
      <w:r w:rsidRPr="00526311">
        <w:rPr>
          <w:bCs/>
          <w:i/>
          <w:lang w:val="es-ES"/>
        </w:rPr>
        <w:t>in situ</w:t>
      </w:r>
      <w:r w:rsidRPr="00526311">
        <w:rPr>
          <w:bCs/>
          <w:lang w:val="es-ES"/>
        </w:rPr>
        <w:t xml:space="preserve"> en 2014.</w:t>
      </w:r>
    </w:p>
    <w:p w:rsidR="00F777B4" w:rsidRPr="00526311" w:rsidRDefault="00F777B4" w:rsidP="0063039A">
      <w:pPr>
        <w:rPr>
          <w:sz w:val="20"/>
        </w:rPr>
      </w:pPr>
    </w:p>
    <w:p w:rsidR="00F777B4" w:rsidRPr="00526311" w:rsidRDefault="00F777B4" w:rsidP="0063039A">
      <w:pPr>
        <w:rPr>
          <w:sz w:val="20"/>
        </w:rPr>
      </w:pPr>
    </w:p>
    <w:p w:rsidR="00F777B4" w:rsidRPr="00526311" w:rsidRDefault="00F777B4" w:rsidP="0063039A">
      <w:pPr>
        <w:rPr>
          <w:iCs/>
          <w:sz w:val="20"/>
        </w:rPr>
      </w:pPr>
    </w:p>
    <w:p w:rsidR="00DD13E3" w:rsidRPr="00526311" w:rsidRDefault="00DD13E3">
      <w:pPr>
        <w:rPr>
          <w:iCs/>
          <w:sz w:val="20"/>
        </w:rPr>
      </w:pPr>
      <w:r w:rsidRPr="00526311">
        <w:rPr>
          <w:iCs/>
          <w:sz w:val="20"/>
        </w:rPr>
        <w:br w:type="page"/>
      </w:r>
    </w:p>
    <w:p w:rsidR="00F777B4" w:rsidRPr="00526311" w:rsidRDefault="00F777B4" w:rsidP="0063039A">
      <w:pPr>
        <w:rPr>
          <w:iCs/>
          <w:sz w:val="20"/>
        </w:rPr>
      </w:pPr>
      <w:bookmarkStart w:id="7" w:name="_GoBack"/>
      <w:bookmarkEnd w:id="7"/>
    </w:p>
    <w:p w:rsidR="00F777B4" w:rsidRPr="00526311" w:rsidRDefault="00F1387F" w:rsidP="00B45FC3">
      <w:pPr>
        <w:pStyle w:val="Heading1"/>
        <w:keepNext w:val="0"/>
        <w:numPr>
          <w:ilvl w:val="0"/>
          <w:numId w:val="4"/>
        </w:numPr>
        <w:tabs>
          <w:tab w:val="clear" w:pos="284"/>
          <w:tab w:val="left" w:pos="709"/>
        </w:tabs>
        <w:spacing w:before="0" w:after="0"/>
        <w:ind w:left="142" w:firstLine="0"/>
      </w:pPr>
      <w:bookmarkStart w:id="8" w:name="_Toc294535814"/>
      <w:bookmarkStart w:id="9" w:name="_Toc327875006"/>
      <w:bookmarkStart w:id="10" w:name="_Toc358366918"/>
      <w:bookmarkStart w:id="11" w:name="_Toc422210475"/>
      <w:bookmarkStart w:id="12" w:name="_Toc422927400"/>
      <w:r w:rsidRPr="00526311">
        <w:t>PANORAMA DE LOS AVANCES LOGRADOS EN</w:t>
      </w:r>
      <w:r w:rsidR="00F777B4" w:rsidRPr="00526311">
        <w:t xml:space="preserve"> 2014</w:t>
      </w:r>
      <w:r w:rsidRPr="00526311">
        <w:t>, POR META E</w:t>
      </w:r>
      <w:r w:rsidR="00F777B4" w:rsidRPr="00526311">
        <w:t>STRAT</w:t>
      </w:r>
      <w:r w:rsidRPr="00526311">
        <w:t>É</w:t>
      </w:r>
      <w:r w:rsidR="00F777B4" w:rsidRPr="00526311">
        <w:t>GICA</w:t>
      </w:r>
      <w:bookmarkEnd w:id="8"/>
      <w:bookmarkEnd w:id="9"/>
      <w:bookmarkEnd w:id="10"/>
      <w:bookmarkEnd w:id="11"/>
      <w:bookmarkEnd w:id="12"/>
    </w:p>
    <w:p w:rsidR="00F777B4" w:rsidRPr="00526311" w:rsidRDefault="00F777B4" w:rsidP="00DD13E3">
      <w:pPr>
        <w:rPr>
          <w:iCs/>
          <w:sz w:val="20"/>
        </w:rPr>
      </w:pPr>
    </w:p>
    <w:p w:rsidR="00F777B4" w:rsidRPr="00526311" w:rsidRDefault="00F777B4" w:rsidP="0063039A">
      <w:pPr>
        <w:pStyle w:val="StyleHeading214ptAuto"/>
        <w:rPr>
          <w:rFonts w:ascii="Arial" w:hAnsi="Arial"/>
          <w:bCs w:val="0"/>
          <w:caps w:val="0"/>
          <w:sz w:val="20"/>
          <w:szCs w:val="24"/>
          <w:lang w:val="es-ES" w:eastAsia="en-US"/>
        </w:rPr>
      </w:pPr>
      <w:bookmarkStart w:id="13" w:name="_Toc422927401"/>
      <w:r w:rsidRPr="00526311">
        <w:rPr>
          <w:rFonts w:ascii="Arial" w:hAnsi="Arial"/>
          <w:bCs w:val="0"/>
          <w:caps w:val="0"/>
          <w:sz w:val="20"/>
          <w:szCs w:val="24"/>
          <w:lang w:val="es-ES" w:eastAsia="en-US"/>
        </w:rPr>
        <w:t>META ESTRATÉGICA I</w:t>
      </w:r>
      <w:bookmarkEnd w:id="13"/>
    </w:p>
    <w:p w:rsidR="00F777B4" w:rsidRPr="00526311" w:rsidRDefault="00F777B4" w:rsidP="0063039A">
      <w:pPr>
        <w:jc w:val="center"/>
        <w:rPr>
          <w:b/>
          <w:sz w:val="20"/>
        </w:rPr>
      </w:pPr>
    </w:p>
    <w:p w:rsidR="00F777B4" w:rsidRPr="00526311" w:rsidRDefault="00F777B4" w:rsidP="0063039A">
      <w:pPr>
        <w:jc w:val="center"/>
        <w:rPr>
          <w:b/>
          <w:sz w:val="20"/>
        </w:rPr>
      </w:pPr>
      <w:r w:rsidRPr="00526311">
        <w:rPr>
          <w:b/>
          <w:sz w:val="20"/>
        </w:rPr>
        <w:t>EVOLUCIÓN EQUILIBRADA DEL MARCO NORMATIVO INTERNACIONAL DE P.I.</w:t>
      </w:r>
    </w:p>
    <w:p w:rsidR="00F777B4" w:rsidRPr="00526311" w:rsidRDefault="00F777B4" w:rsidP="0063039A">
      <w:pPr>
        <w:jc w:val="center"/>
        <w:rPr>
          <w:b/>
          <w:sz w:val="20"/>
        </w:rPr>
      </w:pPr>
    </w:p>
    <w:p w:rsidR="00F777B4" w:rsidRPr="00526311" w:rsidRDefault="00F777B4" w:rsidP="0063039A">
      <w:pPr>
        <w:jc w:val="center"/>
        <w:rPr>
          <w:b/>
          <w:sz w:val="20"/>
        </w:rPr>
      </w:pPr>
      <w:r w:rsidRPr="00526311">
        <w:rPr>
          <w:b/>
          <w:sz w:val="20"/>
        </w:rPr>
        <w:t>Tablero de control del rendimiento a mediano plazo (2014)</w:t>
      </w:r>
    </w:p>
    <w:p w:rsidR="00F777B4" w:rsidRPr="00526311" w:rsidRDefault="00F777B4" w:rsidP="0063039A">
      <w:pPr>
        <w:jc w:val="center"/>
        <w:rPr>
          <w:b/>
          <w:sz w:val="20"/>
        </w:rPr>
      </w:pPr>
    </w:p>
    <w:p w:rsidR="00F777B4" w:rsidRPr="00526311" w:rsidRDefault="00F777B4" w:rsidP="005C46C4">
      <w:pPr>
        <w:jc w:val="both"/>
        <w:rPr>
          <w:sz w:val="20"/>
        </w:rPr>
      </w:pPr>
      <w:r w:rsidRPr="00526311">
        <w:rPr>
          <w:sz w:val="20"/>
        </w:rPr>
        <w:t>En el siguiente tablero de control se reseñan los avances realizados hacia la consecución de los resultados en 2014, medidos con arreglo a los indicadores del programa o programas que contribuyen al logro de esta meta estratégica.</w:t>
      </w:r>
    </w:p>
    <w:p w:rsidR="00F777B4" w:rsidRPr="00526311" w:rsidRDefault="00B365D5" w:rsidP="0063039A">
      <w:pPr>
        <w:jc w:val="both"/>
        <w:rPr>
          <w:sz w:val="20"/>
        </w:rPr>
      </w:pPr>
      <w:r w:rsidRPr="00526311">
        <w:rPr>
          <w:noProof/>
          <w:lang w:val="en-US" w:eastAsia="en-US"/>
        </w:rPr>
        <w:drawing>
          <wp:inline distT="0" distB="0" distL="0" distR="0" wp14:anchorId="1B210F6E" wp14:editId="5E59B431">
            <wp:extent cx="5868670" cy="31388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8670" cy="3138805"/>
                    </a:xfrm>
                    <a:prstGeom prst="rect">
                      <a:avLst/>
                    </a:prstGeom>
                    <a:noFill/>
                    <a:ln>
                      <a:noFill/>
                    </a:ln>
                  </pic:spPr>
                </pic:pic>
              </a:graphicData>
            </a:graphic>
          </wp:inline>
        </w:drawing>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38"/>
        <w:gridCol w:w="3928"/>
        <w:gridCol w:w="1608"/>
        <w:gridCol w:w="1097"/>
      </w:tblGrid>
      <w:tr w:rsidR="00F777B4" w:rsidRPr="00526311" w:rsidTr="0063039A">
        <w:trPr>
          <w:cantSplit/>
          <w:tblHeader/>
        </w:trPr>
        <w:tc>
          <w:tcPr>
            <w:tcW w:w="1535" w:type="pct"/>
            <w:tcBorders>
              <w:top w:val="single" w:sz="4" w:space="0" w:color="auto"/>
              <w:bottom w:val="single" w:sz="4" w:space="0" w:color="auto"/>
            </w:tcBorders>
            <w:shd w:val="clear" w:color="auto" w:fill="CCFFFF"/>
            <w:tcMar>
              <w:top w:w="113" w:type="dxa"/>
              <w:bottom w:w="113" w:type="dxa"/>
            </w:tcMar>
            <w:vAlign w:val="center"/>
          </w:tcPr>
          <w:p w:rsidR="00F777B4" w:rsidRPr="00526311" w:rsidRDefault="00F777B4" w:rsidP="0063039A">
            <w:pPr>
              <w:spacing w:after="120"/>
              <w:jc w:val="center"/>
              <w:rPr>
                <w:b/>
                <w:bCs/>
                <w:sz w:val="18"/>
                <w:szCs w:val="18"/>
              </w:rPr>
            </w:pPr>
            <w:r w:rsidRPr="00526311">
              <w:rPr>
                <w:b/>
                <w:bCs/>
                <w:sz w:val="18"/>
                <w:szCs w:val="18"/>
              </w:rPr>
              <w:t>Resultados previstos</w:t>
            </w:r>
          </w:p>
        </w:tc>
        <w:tc>
          <w:tcPr>
            <w:tcW w:w="2052" w:type="pct"/>
            <w:tcBorders>
              <w:top w:val="single" w:sz="4" w:space="0" w:color="auto"/>
              <w:bottom w:val="single" w:sz="4" w:space="0" w:color="auto"/>
            </w:tcBorders>
            <w:shd w:val="clear" w:color="auto" w:fill="CCFFFF"/>
            <w:tcMar>
              <w:top w:w="113" w:type="dxa"/>
              <w:bottom w:w="113" w:type="dxa"/>
            </w:tcMar>
            <w:vAlign w:val="center"/>
          </w:tcPr>
          <w:p w:rsidR="00F777B4" w:rsidRPr="00526311" w:rsidRDefault="00F777B4" w:rsidP="0063039A">
            <w:pPr>
              <w:spacing w:after="120"/>
              <w:jc w:val="center"/>
              <w:rPr>
                <w:b/>
                <w:sz w:val="18"/>
                <w:szCs w:val="18"/>
              </w:rPr>
            </w:pPr>
            <w:r w:rsidRPr="00526311">
              <w:rPr>
                <w:b/>
                <w:sz w:val="18"/>
                <w:szCs w:val="18"/>
              </w:rPr>
              <w:t>Indicadores de rendimiento</w:t>
            </w:r>
          </w:p>
        </w:tc>
        <w:tc>
          <w:tcPr>
            <w:tcW w:w="840" w:type="pct"/>
            <w:tcBorders>
              <w:top w:val="single" w:sz="4" w:space="0" w:color="auto"/>
              <w:bottom w:val="single" w:sz="4" w:space="0" w:color="auto"/>
            </w:tcBorders>
            <w:shd w:val="clear" w:color="auto" w:fill="CCFFFF"/>
            <w:tcMar>
              <w:top w:w="113" w:type="dxa"/>
              <w:bottom w:w="113" w:type="dxa"/>
            </w:tcMar>
            <w:vAlign w:val="center"/>
          </w:tcPr>
          <w:p w:rsidR="00F777B4" w:rsidRPr="00526311" w:rsidRDefault="00F777B4" w:rsidP="0063039A">
            <w:pPr>
              <w:spacing w:after="120"/>
              <w:ind w:left="85"/>
              <w:jc w:val="center"/>
              <w:rPr>
                <w:sz w:val="18"/>
                <w:szCs w:val="18"/>
              </w:rPr>
            </w:pPr>
            <w:r w:rsidRPr="00526311">
              <w:rPr>
                <w:b/>
                <w:sz w:val="18"/>
                <w:szCs w:val="18"/>
              </w:rPr>
              <w:t>Programas responsables</w:t>
            </w:r>
          </w:p>
        </w:tc>
        <w:tc>
          <w:tcPr>
            <w:tcW w:w="574" w:type="pct"/>
            <w:tcBorders>
              <w:top w:val="single" w:sz="4" w:space="0" w:color="auto"/>
              <w:bottom w:val="single" w:sz="4" w:space="0" w:color="auto"/>
            </w:tcBorders>
            <w:shd w:val="clear" w:color="auto" w:fill="CCFFFF"/>
            <w:vAlign w:val="center"/>
          </w:tcPr>
          <w:p w:rsidR="00F777B4" w:rsidRPr="00526311" w:rsidRDefault="00F777B4" w:rsidP="0063039A">
            <w:pPr>
              <w:spacing w:after="120"/>
              <w:ind w:left="85"/>
              <w:jc w:val="center"/>
              <w:rPr>
                <w:b/>
                <w:bCs/>
                <w:sz w:val="18"/>
                <w:szCs w:val="18"/>
              </w:rPr>
            </w:pPr>
            <w:r w:rsidRPr="00526311">
              <w:rPr>
                <w:b/>
                <w:bCs/>
                <w:sz w:val="18"/>
                <w:szCs w:val="18"/>
              </w:rPr>
              <w:t>Clave de colores</w:t>
            </w:r>
          </w:p>
        </w:tc>
      </w:tr>
      <w:tr w:rsidR="00F777B4" w:rsidRPr="00526311" w:rsidTr="0063039A">
        <w:trPr>
          <w:cantSplit/>
        </w:trPr>
        <w:tc>
          <w:tcPr>
            <w:tcW w:w="1535" w:type="pct"/>
            <w:tcBorders>
              <w:top w:val="single" w:sz="4" w:space="0" w:color="auto"/>
            </w:tcBorders>
            <w:shd w:val="clear" w:color="auto" w:fill="auto"/>
            <w:tcMar>
              <w:top w:w="113" w:type="dxa"/>
              <w:bottom w:w="113" w:type="dxa"/>
            </w:tcMar>
          </w:tcPr>
          <w:p w:rsidR="00F777B4" w:rsidRPr="00526311" w:rsidRDefault="00F777B4" w:rsidP="0063039A">
            <w:pPr>
              <w:rPr>
                <w:sz w:val="16"/>
                <w:szCs w:val="16"/>
              </w:rPr>
            </w:pPr>
            <w:r w:rsidRPr="00526311">
              <w:rPr>
                <w:sz w:val="16"/>
                <w:szCs w:val="16"/>
              </w:rPr>
              <w:t>I.1 Mejor cooperación entre los Estados miembros en lo que atañe a la elaboración de marcos normativos internacionales equilibrados para la P.I. y fomento de acuerdos sobre las cuestiones específicas respecto de las que se acuerdan instrumentos internacionales</w:t>
            </w:r>
          </w:p>
        </w:tc>
        <w:tc>
          <w:tcPr>
            <w:tcW w:w="2052" w:type="pct"/>
            <w:tcBorders>
              <w:top w:val="single" w:sz="4" w:space="0" w:color="auto"/>
            </w:tcBorders>
            <w:shd w:val="clear" w:color="auto" w:fill="auto"/>
            <w:tcMar>
              <w:top w:w="113" w:type="dxa"/>
              <w:bottom w:w="113" w:type="dxa"/>
            </w:tcMar>
          </w:tcPr>
          <w:p w:rsidR="00F777B4" w:rsidRPr="00526311" w:rsidRDefault="00F777B4" w:rsidP="0063039A">
            <w:pPr>
              <w:rPr>
                <w:sz w:val="16"/>
                <w:szCs w:val="16"/>
              </w:rPr>
            </w:pPr>
            <w:r w:rsidRPr="00526311">
              <w:rPr>
                <w:sz w:val="16"/>
                <w:szCs w:val="16"/>
              </w:rPr>
              <w:t>Progresos en la puesta en práctica de medidas/planes concertados por el SCP</w:t>
            </w:r>
          </w:p>
        </w:tc>
        <w:tc>
          <w:tcPr>
            <w:tcW w:w="840" w:type="pct"/>
            <w:tcBorders>
              <w:top w:val="single" w:sz="4" w:space="0" w:color="auto"/>
            </w:tcBorders>
            <w:shd w:val="clear" w:color="auto" w:fill="FFFFFF"/>
            <w:tcMar>
              <w:top w:w="113" w:type="dxa"/>
              <w:bottom w:w="113" w:type="dxa"/>
            </w:tcMar>
          </w:tcPr>
          <w:p w:rsidR="00F777B4" w:rsidRPr="00526311" w:rsidRDefault="00F777B4" w:rsidP="0063039A">
            <w:pPr>
              <w:jc w:val="center"/>
              <w:rPr>
                <w:sz w:val="16"/>
                <w:szCs w:val="16"/>
              </w:rPr>
            </w:pPr>
            <w:r w:rsidRPr="00526311">
              <w:rPr>
                <w:sz w:val="16"/>
                <w:szCs w:val="16"/>
              </w:rPr>
              <w:t>Programa 1</w:t>
            </w:r>
          </w:p>
        </w:tc>
        <w:tc>
          <w:tcPr>
            <w:tcW w:w="574" w:type="pct"/>
            <w:tcBorders>
              <w:top w:val="single" w:sz="4" w:space="0" w:color="auto"/>
            </w:tcBorders>
            <w:shd w:val="clear" w:color="auto" w:fill="FFFFFF"/>
          </w:tcPr>
          <w:p w:rsidR="00F777B4" w:rsidRPr="00526311" w:rsidRDefault="00F777B4" w:rsidP="0063039A">
            <w:pPr>
              <w:spacing w:before="40"/>
              <w:jc w:val="center"/>
              <w:rPr>
                <w:color w:val="008000"/>
                <w:szCs w:val="22"/>
              </w:rPr>
            </w:pPr>
            <w:r w:rsidRPr="00526311">
              <w:rPr>
                <w:color w:val="008000"/>
                <w:szCs w:val="22"/>
              </w:rPr>
              <w:sym w:font="Wingdings" w:char="F06C"/>
            </w:r>
          </w:p>
        </w:tc>
      </w:tr>
      <w:tr w:rsidR="00F777B4" w:rsidRPr="00526311" w:rsidTr="0063039A">
        <w:trPr>
          <w:cantSplit/>
          <w:trHeight w:val="600"/>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Porcentaje de participantes en talleres/seminarios/conferencias sobre cuestiones específicas relacionadas con las patentes que expresaron satisfacción al respecto</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1</w:t>
            </w:r>
          </w:p>
        </w:tc>
        <w:tc>
          <w:tcPr>
            <w:tcW w:w="574" w:type="pct"/>
            <w:shd w:val="clear" w:color="auto" w:fill="FFFFFF"/>
          </w:tcPr>
          <w:p w:rsidR="00F777B4" w:rsidRPr="00526311" w:rsidRDefault="00F777B4" w:rsidP="0063039A">
            <w:pPr>
              <w:spacing w:before="40"/>
              <w:jc w:val="center"/>
            </w:pPr>
            <w:r w:rsidRPr="00526311">
              <w:rPr>
                <w:color w:val="008000"/>
                <w:szCs w:val="22"/>
              </w:rPr>
              <w:sym w:font="Wingdings" w:char="F06C"/>
            </w:r>
          </w:p>
        </w:tc>
      </w:tr>
      <w:tr w:rsidR="00F777B4" w:rsidRPr="00526311" w:rsidTr="0063039A">
        <w:trPr>
          <w:cantSplit/>
          <w:trHeight w:val="536"/>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Acuerdo sobre un marco normativo para los procedimientos de registro y mantenimiento de los diseños industriales</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2</w:t>
            </w:r>
          </w:p>
        </w:tc>
        <w:tc>
          <w:tcPr>
            <w:tcW w:w="574" w:type="pct"/>
            <w:shd w:val="clear" w:color="auto" w:fill="FFFFFF"/>
          </w:tcPr>
          <w:p w:rsidR="00F777B4" w:rsidRPr="00526311" w:rsidRDefault="00F777B4" w:rsidP="0063039A">
            <w:pPr>
              <w:jc w:val="center"/>
            </w:pPr>
            <w:r w:rsidRPr="00526311">
              <w:rPr>
                <w:b/>
                <w:bCs/>
                <w:color w:val="FF0000"/>
                <w:szCs w:val="22"/>
              </w:rPr>
              <w:sym w:font="Wingdings" w:char="F06C"/>
            </w:r>
          </w:p>
        </w:tc>
      </w:tr>
      <w:tr w:rsidR="00F777B4" w:rsidRPr="00526311" w:rsidTr="0063039A">
        <w:trPr>
          <w:cantSplit/>
          <w:trHeight w:val="970"/>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i/>
                <w:sz w:val="16"/>
                <w:szCs w:val="16"/>
              </w:rPr>
            </w:pPr>
            <w:r w:rsidRPr="00526311">
              <w:rPr>
                <w:sz w:val="16"/>
                <w:szCs w:val="16"/>
                <w:lang w:bidi="th-TH"/>
              </w:rPr>
              <w:t>Progresos en pos de un acuerdo relativo a las cuestiones que están en el orden del día del SCT</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2</w:t>
            </w:r>
          </w:p>
        </w:tc>
        <w:tc>
          <w:tcPr>
            <w:tcW w:w="574" w:type="pct"/>
            <w:shd w:val="clear" w:color="auto" w:fill="FFFFFF"/>
          </w:tcPr>
          <w:p w:rsidR="00F777B4" w:rsidRPr="00526311" w:rsidRDefault="00F777B4" w:rsidP="0063039A">
            <w:pPr>
              <w:spacing w:before="40"/>
              <w:jc w:val="center"/>
            </w:pPr>
            <w:r w:rsidRPr="00526311">
              <w:rPr>
                <w:color w:val="008000"/>
                <w:szCs w:val="22"/>
              </w:rPr>
              <w:sym w:font="Wingdings" w:char="F06C"/>
            </w:r>
          </w:p>
        </w:tc>
      </w:tr>
      <w:tr w:rsidR="00F777B4" w:rsidRPr="00526311" w:rsidTr="0063039A">
        <w:trPr>
          <w:cantSplit/>
          <w:trHeight w:val="432"/>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ratificaciones/adhesiones al Tratado de Singapur</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2</w:t>
            </w:r>
          </w:p>
        </w:tc>
        <w:tc>
          <w:tcPr>
            <w:tcW w:w="574" w:type="pct"/>
            <w:shd w:val="clear" w:color="auto" w:fill="FFFFFF"/>
          </w:tcPr>
          <w:p w:rsidR="00F777B4" w:rsidRPr="00526311" w:rsidRDefault="00F777B4" w:rsidP="0063039A">
            <w:pPr>
              <w:spacing w:before="40"/>
              <w:jc w:val="center"/>
            </w:pPr>
            <w:r w:rsidRPr="00526311">
              <w:rPr>
                <w:color w:val="008000"/>
                <w:szCs w:val="22"/>
              </w:rPr>
              <w:sym w:font="Wingdings" w:char="F06C"/>
            </w:r>
          </w:p>
        </w:tc>
      </w:tr>
      <w:tr w:rsidR="00F777B4" w:rsidRPr="00526311" w:rsidTr="0063039A">
        <w:trPr>
          <w:cantSplit/>
          <w:trHeight w:val="494"/>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Progresos en pos de un acuerdo relativo a las cuestiones que están en el orden del día del SCCR</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3</w:t>
            </w:r>
          </w:p>
        </w:tc>
        <w:tc>
          <w:tcPr>
            <w:tcW w:w="574" w:type="pct"/>
            <w:shd w:val="clear" w:color="auto" w:fill="FFFFFF"/>
          </w:tcPr>
          <w:p w:rsidR="00F777B4" w:rsidRPr="00526311" w:rsidRDefault="00F777B4" w:rsidP="0063039A">
            <w:pPr>
              <w:jc w:val="center"/>
            </w:pPr>
            <w:r w:rsidRPr="00526311">
              <w:rPr>
                <w:b/>
                <w:bCs/>
                <w:color w:val="FF0000"/>
                <w:szCs w:val="22"/>
              </w:rPr>
              <w:sym w:font="Wingdings" w:char="F06C"/>
            </w:r>
          </w:p>
        </w:tc>
      </w:tr>
      <w:tr w:rsidR="00F777B4" w:rsidRPr="00526311" w:rsidTr="0063039A">
        <w:trPr>
          <w:cantSplit/>
          <w:trHeight w:val="671"/>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Acuerdo en las negociaciones del CIG en torno a uno o varios instrumentos jurídicos internacionales sobre CC.TT., ECT y RR.GG.</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4</w:t>
            </w:r>
          </w:p>
        </w:tc>
        <w:tc>
          <w:tcPr>
            <w:tcW w:w="574" w:type="pct"/>
            <w:shd w:val="clear" w:color="auto" w:fill="FFFFFF"/>
          </w:tcPr>
          <w:p w:rsidR="00F777B4" w:rsidRPr="00526311" w:rsidRDefault="00F777B4" w:rsidP="0063039A">
            <w:pPr>
              <w:jc w:val="center"/>
            </w:pPr>
            <w:r w:rsidRPr="00526311">
              <w:rPr>
                <w:color w:val="FF0000"/>
                <w:szCs w:val="22"/>
              </w:rPr>
              <w:sym w:font="Wingdings" w:char="F06C"/>
            </w:r>
          </w:p>
        </w:tc>
      </w:tr>
      <w:tr w:rsidR="00F777B4" w:rsidRPr="00526311" w:rsidTr="0063039A">
        <w:trPr>
          <w:cantSplit/>
          <w:trHeight w:val="1300"/>
        </w:trPr>
        <w:tc>
          <w:tcPr>
            <w:tcW w:w="1535"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I.2 Marcos de P.I. adaptados y equilibrados en el ámbito legislativo, reglamentario y de política.</w:t>
            </w: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y porcentaje de Estados miembros que consideran útil la información proporcionada en relación con los principios y prácticas jurídicos del sistema de patentes, como, por ejemplo, las flexibilidades que ofrece el sistema y los desafíos que se plantean en la materia</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1</w:t>
            </w:r>
          </w:p>
        </w:tc>
        <w:tc>
          <w:tcPr>
            <w:tcW w:w="574" w:type="pct"/>
            <w:shd w:val="clear" w:color="auto" w:fill="FFFFFF"/>
          </w:tcPr>
          <w:p w:rsidR="00F777B4" w:rsidRPr="00526311" w:rsidRDefault="00F777B4" w:rsidP="0063039A">
            <w:pPr>
              <w:spacing w:before="40"/>
              <w:jc w:val="center"/>
            </w:pPr>
            <w:r w:rsidRPr="00526311">
              <w:rPr>
                <w:color w:val="008000"/>
                <w:szCs w:val="22"/>
              </w:rPr>
              <w:sym w:font="Wingdings" w:char="F06C"/>
            </w:r>
          </w:p>
        </w:tc>
      </w:tr>
      <w:tr w:rsidR="00F777B4" w:rsidRPr="00526311" w:rsidTr="0063039A">
        <w:trPr>
          <w:cantSplit/>
          <w:trHeight w:val="378"/>
        </w:trPr>
        <w:tc>
          <w:tcPr>
            <w:tcW w:w="1535" w:type="pct"/>
            <w:vMerge w:val="restart"/>
            <w:shd w:val="clear" w:color="auto" w:fill="auto"/>
            <w:tcMar>
              <w:top w:w="113" w:type="dxa"/>
              <w:bottom w:w="113" w:type="dxa"/>
            </w:tcMar>
          </w:tcPr>
          <w:p w:rsidR="00F777B4" w:rsidRPr="00526311" w:rsidRDefault="00F777B4" w:rsidP="0063039A">
            <w:pPr>
              <w:rPr>
                <w:sz w:val="16"/>
                <w:szCs w:val="16"/>
              </w:rPr>
            </w:pPr>
          </w:p>
        </w:tc>
        <w:tc>
          <w:tcPr>
            <w:tcW w:w="2052" w:type="pct"/>
            <w:vMerge w:val="restar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y porcentaje de Estados miembros satisfechos con la calidad del asesoramiento jurídico sobre patentes, modelos de utilidad, secretos comerciales y circuitos integrados</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1</w:t>
            </w:r>
          </w:p>
        </w:tc>
        <w:tc>
          <w:tcPr>
            <w:tcW w:w="574" w:type="pct"/>
            <w:shd w:val="clear" w:color="auto" w:fill="FFFFFF"/>
          </w:tcPr>
          <w:p w:rsidR="00F777B4" w:rsidRPr="00526311" w:rsidRDefault="00F777B4" w:rsidP="0063039A">
            <w:pPr>
              <w:spacing w:before="40"/>
              <w:jc w:val="center"/>
              <w:rPr>
                <w:color w:val="008000"/>
                <w:szCs w:val="22"/>
              </w:rPr>
            </w:pPr>
            <w:r w:rsidRPr="00526311">
              <w:rPr>
                <w:color w:val="008000"/>
                <w:szCs w:val="22"/>
              </w:rPr>
              <w:sym w:font="Wingdings" w:char="F06C"/>
            </w:r>
          </w:p>
        </w:tc>
      </w:tr>
      <w:tr w:rsidR="00F777B4" w:rsidRPr="00526311" w:rsidTr="0063039A">
        <w:trPr>
          <w:cantSplit/>
          <w:trHeight w:val="303"/>
        </w:trPr>
        <w:tc>
          <w:tcPr>
            <w:tcW w:w="1535" w:type="pct"/>
            <w:vMerge/>
            <w:shd w:val="clear" w:color="auto" w:fill="auto"/>
            <w:tcMar>
              <w:top w:w="113" w:type="dxa"/>
              <w:bottom w:w="113" w:type="dxa"/>
            </w:tcMar>
          </w:tcPr>
          <w:p w:rsidR="00F777B4" w:rsidRPr="00526311" w:rsidRDefault="00F777B4" w:rsidP="0063039A">
            <w:pPr>
              <w:rPr>
                <w:sz w:val="16"/>
                <w:szCs w:val="16"/>
              </w:rPr>
            </w:pPr>
          </w:p>
        </w:tc>
        <w:tc>
          <w:tcPr>
            <w:tcW w:w="2052" w:type="pct"/>
            <w:vMerge/>
            <w:shd w:val="clear" w:color="auto" w:fill="auto"/>
            <w:tcMar>
              <w:top w:w="113" w:type="dxa"/>
              <w:bottom w:w="113" w:type="dxa"/>
            </w:tcMar>
          </w:tcPr>
          <w:p w:rsidR="00F777B4" w:rsidRPr="00526311" w:rsidRDefault="00F777B4" w:rsidP="0063039A">
            <w:pPr>
              <w:rPr>
                <w:sz w:val="16"/>
                <w:szCs w:val="16"/>
              </w:rPr>
            </w:pP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9</w:t>
            </w:r>
          </w:p>
        </w:tc>
        <w:tc>
          <w:tcPr>
            <w:tcW w:w="574" w:type="pct"/>
            <w:shd w:val="clear" w:color="auto" w:fill="FFFFFF"/>
          </w:tcPr>
          <w:p w:rsidR="00F777B4" w:rsidRPr="00526311" w:rsidRDefault="00F777B4" w:rsidP="0063039A">
            <w:pPr>
              <w:spacing w:before="40"/>
              <w:jc w:val="center"/>
              <w:rPr>
                <w:color w:val="008000"/>
                <w:szCs w:val="22"/>
              </w:rPr>
            </w:pPr>
            <w:r w:rsidRPr="00526311">
              <w:rPr>
                <w:color w:val="008000"/>
                <w:szCs w:val="22"/>
              </w:rPr>
              <w:sym w:font="Wingdings" w:char="F06C"/>
            </w:r>
          </w:p>
        </w:tc>
      </w:tr>
      <w:tr w:rsidR="00F777B4" w:rsidRPr="00526311" w:rsidTr="0063039A">
        <w:trPr>
          <w:cantSplit/>
          <w:trHeight w:val="650"/>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Con sujeción a la aprobación de los Estados miembros, avance en la revisión de la ley tipo sobre patentes para los países en desarrollo y los PMA</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1</w:t>
            </w:r>
          </w:p>
        </w:tc>
        <w:tc>
          <w:tcPr>
            <w:tcW w:w="574" w:type="pct"/>
            <w:shd w:val="clear" w:color="auto" w:fill="FFFFFF"/>
          </w:tcPr>
          <w:p w:rsidR="00F777B4" w:rsidRPr="00526311" w:rsidRDefault="00F777B4" w:rsidP="0063039A">
            <w:pPr>
              <w:jc w:val="center"/>
              <w:rPr>
                <w:szCs w:val="22"/>
              </w:rPr>
            </w:pPr>
            <w:r w:rsidRPr="00526311">
              <w:rPr>
                <w:b/>
                <w:bCs/>
                <w:color w:val="FF0000"/>
                <w:szCs w:val="22"/>
              </w:rPr>
              <w:sym w:font="Wingdings" w:char="F06C"/>
            </w:r>
          </w:p>
        </w:tc>
      </w:tr>
      <w:tr w:rsidR="00F777B4" w:rsidRPr="00526311" w:rsidTr="0063039A">
        <w:trPr>
          <w:cantSplit/>
          <w:trHeight w:val="389"/>
        </w:trPr>
        <w:tc>
          <w:tcPr>
            <w:tcW w:w="1535" w:type="pct"/>
            <w:vMerge w:val="restart"/>
            <w:shd w:val="clear" w:color="auto" w:fill="auto"/>
            <w:tcMar>
              <w:top w:w="113" w:type="dxa"/>
              <w:bottom w:w="113" w:type="dxa"/>
            </w:tcMar>
          </w:tcPr>
          <w:p w:rsidR="00F777B4" w:rsidRPr="00526311" w:rsidRDefault="00F777B4" w:rsidP="0063039A">
            <w:pPr>
              <w:rPr>
                <w:sz w:val="16"/>
                <w:szCs w:val="16"/>
              </w:rPr>
            </w:pPr>
          </w:p>
        </w:tc>
        <w:tc>
          <w:tcPr>
            <w:tcW w:w="2052" w:type="pct"/>
            <w:vMerge w:val="restar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y porcentaje de Estados miembros/organizaciones regionales que han presentado comentarios positivos sobre el asesoramiento legislativo proporcionado en la esfera de las marcas, los diseños industriales y las indicaciones geográficas</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2</w:t>
            </w:r>
          </w:p>
        </w:tc>
        <w:tc>
          <w:tcPr>
            <w:tcW w:w="574" w:type="pct"/>
            <w:shd w:val="clear" w:color="auto" w:fill="FFFFFF"/>
          </w:tcPr>
          <w:p w:rsidR="00F777B4" w:rsidRPr="00526311" w:rsidRDefault="00F777B4" w:rsidP="0063039A">
            <w:pPr>
              <w:spacing w:before="40"/>
              <w:jc w:val="center"/>
              <w:rPr>
                <w:color w:val="008000"/>
                <w:szCs w:val="22"/>
              </w:rPr>
            </w:pPr>
            <w:r w:rsidRPr="00526311">
              <w:rPr>
                <w:color w:val="008000"/>
                <w:szCs w:val="22"/>
              </w:rPr>
              <w:sym w:font="Wingdings" w:char="F06C"/>
            </w:r>
          </w:p>
        </w:tc>
      </w:tr>
      <w:tr w:rsidR="00F777B4" w:rsidRPr="00526311" w:rsidTr="0063039A">
        <w:trPr>
          <w:cantSplit/>
          <w:trHeight w:val="58"/>
        </w:trPr>
        <w:tc>
          <w:tcPr>
            <w:tcW w:w="1535" w:type="pct"/>
            <w:vMerge/>
            <w:shd w:val="clear" w:color="auto" w:fill="auto"/>
            <w:tcMar>
              <w:top w:w="113" w:type="dxa"/>
              <w:bottom w:w="113" w:type="dxa"/>
            </w:tcMar>
          </w:tcPr>
          <w:p w:rsidR="00F777B4" w:rsidRPr="00526311" w:rsidRDefault="00F777B4" w:rsidP="0063039A">
            <w:pPr>
              <w:rPr>
                <w:sz w:val="16"/>
                <w:szCs w:val="16"/>
              </w:rPr>
            </w:pPr>
          </w:p>
        </w:tc>
        <w:tc>
          <w:tcPr>
            <w:tcW w:w="2052" w:type="pct"/>
            <w:vMerge/>
            <w:shd w:val="clear" w:color="auto" w:fill="auto"/>
            <w:tcMar>
              <w:top w:w="113" w:type="dxa"/>
              <w:bottom w:w="113" w:type="dxa"/>
            </w:tcMar>
          </w:tcPr>
          <w:p w:rsidR="00F777B4" w:rsidRPr="00526311" w:rsidRDefault="00F777B4" w:rsidP="0063039A">
            <w:pPr>
              <w:rPr>
                <w:sz w:val="16"/>
                <w:szCs w:val="16"/>
              </w:rPr>
            </w:pP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9</w:t>
            </w:r>
          </w:p>
        </w:tc>
        <w:tc>
          <w:tcPr>
            <w:tcW w:w="574" w:type="pct"/>
            <w:shd w:val="clear" w:color="auto" w:fill="FFFFFF"/>
          </w:tcPr>
          <w:p w:rsidR="00F777B4" w:rsidRPr="00526311" w:rsidRDefault="00F777B4" w:rsidP="0063039A">
            <w:pPr>
              <w:spacing w:before="40"/>
              <w:jc w:val="center"/>
              <w:rPr>
                <w:color w:val="008000"/>
                <w:szCs w:val="22"/>
              </w:rPr>
            </w:pPr>
            <w:r w:rsidRPr="00526311">
              <w:rPr>
                <w:color w:val="008000"/>
                <w:szCs w:val="22"/>
              </w:rPr>
              <w:sym w:font="Wingdings" w:char="F06C"/>
            </w:r>
          </w:p>
        </w:tc>
      </w:tr>
      <w:tr w:rsidR="00F777B4" w:rsidRPr="00526311" w:rsidTr="0063039A">
        <w:trPr>
          <w:cantSplit/>
          <w:trHeight w:val="403"/>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países que han ratificado el Tratado de Beijing</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3</w:t>
            </w:r>
          </w:p>
          <w:p w:rsidR="00F777B4" w:rsidRPr="00526311" w:rsidRDefault="00F777B4" w:rsidP="0063039A">
            <w:pPr>
              <w:jc w:val="center"/>
              <w:rPr>
                <w:sz w:val="16"/>
                <w:szCs w:val="16"/>
                <w:lang w:bidi="th-TH"/>
              </w:rPr>
            </w:pPr>
          </w:p>
        </w:tc>
        <w:tc>
          <w:tcPr>
            <w:tcW w:w="574" w:type="pct"/>
            <w:shd w:val="clear" w:color="auto" w:fill="FFFFFF"/>
          </w:tcPr>
          <w:p w:rsidR="00F777B4" w:rsidRPr="00526311" w:rsidRDefault="00F777B4" w:rsidP="0063039A">
            <w:pPr>
              <w:jc w:val="center"/>
              <w:rPr>
                <w:color w:val="0070C0"/>
              </w:rPr>
            </w:pPr>
            <w:r w:rsidRPr="00526311">
              <w:rPr>
                <w:b/>
                <w:bCs/>
                <w:color w:val="FF0000"/>
                <w:szCs w:val="22"/>
              </w:rPr>
              <w:sym w:font="Wingdings" w:char="F06C"/>
            </w:r>
          </w:p>
        </w:tc>
      </w:tr>
      <w:tr w:rsidR="00F777B4" w:rsidRPr="00526311" w:rsidTr="0063039A">
        <w:trPr>
          <w:cantSplit/>
          <w:trHeight w:val="232"/>
        </w:trPr>
        <w:tc>
          <w:tcPr>
            <w:tcW w:w="1535" w:type="pct"/>
            <w:vMerge w:val="restart"/>
            <w:shd w:val="clear" w:color="auto" w:fill="auto"/>
            <w:tcMar>
              <w:top w:w="113" w:type="dxa"/>
              <w:bottom w:w="113" w:type="dxa"/>
            </w:tcMar>
          </w:tcPr>
          <w:p w:rsidR="00F777B4" w:rsidRPr="00526311" w:rsidRDefault="00F777B4" w:rsidP="0063039A">
            <w:pPr>
              <w:rPr>
                <w:sz w:val="16"/>
                <w:szCs w:val="16"/>
              </w:rPr>
            </w:pPr>
          </w:p>
        </w:tc>
        <w:tc>
          <w:tcPr>
            <w:tcW w:w="2052" w:type="pct"/>
            <w:vMerge w:val="restar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y porcentaje de países que han presentado comentarios positivos sobre el asesoramiento legislativo de la OMPI</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3</w:t>
            </w:r>
          </w:p>
        </w:tc>
        <w:tc>
          <w:tcPr>
            <w:tcW w:w="574" w:type="pct"/>
            <w:shd w:val="clear" w:color="auto" w:fill="FFFFFF"/>
          </w:tcPr>
          <w:p w:rsidR="00F777B4" w:rsidRPr="00526311" w:rsidRDefault="00F777B4" w:rsidP="0063039A">
            <w:pPr>
              <w:jc w:val="center"/>
              <w:rPr>
                <w:color w:val="0070C0"/>
                <w:szCs w:val="22"/>
              </w:rPr>
            </w:pPr>
            <w:r w:rsidRPr="00526311">
              <w:rPr>
                <w:color w:val="0070C0"/>
                <w:szCs w:val="22"/>
              </w:rPr>
              <w:sym w:font="Wingdings" w:char="F06C"/>
            </w:r>
          </w:p>
        </w:tc>
      </w:tr>
      <w:tr w:rsidR="00F777B4" w:rsidRPr="00526311" w:rsidTr="0063039A">
        <w:trPr>
          <w:cantSplit/>
          <w:trHeight w:val="231"/>
        </w:trPr>
        <w:tc>
          <w:tcPr>
            <w:tcW w:w="1535" w:type="pct"/>
            <w:vMerge/>
            <w:shd w:val="clear" w:color="auto" w:fill="auto"/>
            <w:tcMar>
              <w:top w:w="113" w:type="dxa"/>
              <w:bottom w:w="113" w:type="dxa"/>
            </w:tcMar>
          </w:tcPr>
          <w:p w:rsidR="00F777B4" w:rsidRPr="00526311" w:rsidRDefault="00F777B4" w:rsidP="0063039A">
            <w:pPr>
              <w:rPr>
                <w:sz w:val="16"/>
                <w:szCs w:val="16"/>
              </w:rPr>
            </w:pPr>
          </w:p>
        </w:tc>
        <w:tc>
          <w:tcPr>
            <w:tcW w:w="2052" w:type="pct"/>
            <w:vMerge/>
            <w:shd w:val="clear" w:color="auto" w:fill="auto"/>
            <w:tcMar>
              <w:top w:w="113" w:type="dxa"/>
              <w:bottom w:w="113" w:type="dxa"/>
            </w:tcMar>
          </w:tcPr>
          <w:p w:rsidR="00F777B4" w:rsidRPr="00526311" w:rsidRDefault="00F777B4" w:rsidP="0063039A">
            <w:pPr>
              <w:jc w:val="center"/>
              <w:rPr>
                <w:sz w:val="16"/>
                <w:szCs w:val="16"/>
              </w:rPr>
            </w:pP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9</w:t>
            </w:r>
          </w:p>
        </w:tc>
        <w:tc>
          <w:tcPr>
            <w:tcW w:w="574" w:type="pct"/>
            <w:shd w:val="clear" w:color="auto" w:fill="FFFFFF"/>
          </w:tcPr>
          <w:p w:rsidR="00F777B4" w:rsidRPr="00526311" w:rsidRDefault="00F777B4" w:rsidP="0063039A">
            <w:pPr>
              <w:jc w:val="center"/>
              <w:rPr>
                <w:color w:val="0070C0"/>
                <w:szCs w:val="22"/>
              </w:rPr>
            </w:pPr>
            <w:r w:rsidRPr="00526311">
              <w:rPr>
                <w:color w:val="0070C0"/>
                <w:szCs w:val="22"/>
              </w:rPr>
              <w:sym w:font="Wingdings" w:char="F06C"/>
            </w:r>
          </w:p>
        </w:tc>
      </w:tr>
      <w:tr w:rsidR="00F777B4" w:rsidRPr="00526311" w:rsidTr="0063039A">
        <w:trPr>
          <w:cantSplit/>
          <w:trHeight w:val="346"/>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ratificaciones de los Tratados Internet de la OMPI</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3</w:t>
            </w:r>
          </w:p>
          <w:p w:rsidR="00F777B4" w:rsidRPr="00526311" w:rsidRDefault="00F777B4" w:rsidP="0063039A">
            <w:pPr>
              <w:jc w:val="center"/>
              <w:rPr>
                <w:sz w:val="16"/>
                <w:szCs w:val="16"/>
                <w:lang w:bidi="th-TH"/>
              </w:rPr>
            </w:pPr>
          </w:p>
        </w:tc>
        <w:tc>
          <w:tcPr>
            <w:tcW w:w="574" w:type="pct"/>
            <w:shd w:val="clear" w:color="auto" w:fill="FFFFFF"/>
          </w:tcPr>
          <w:p w:rsidR="00F777B4" w:rsidRPr="00526311" w:rsidRDefault="00F777B4" w:rsidP="0063039A">
            <w:pPr>
              <w:spacing w:before="40"/>
              <w:jc w:val="center"/>
            </w:pPr>
            <w:r w:rsidRPr="00526311">
              <w:rPr>
                <w:color w:val="008000"/>
                <w:szCs w:val="22"/>
              </w:rPr>
              <w:sym w:font="Wingdings" w:char="F06C"/>
            </w:r>
          </w:p>
        </w:tc>
      </w:tr>
      <w:tr w:rsidR="00F777B4" w:rsidRPr="00526311" w:rsidTr="0063039A">
        <w:trPr>
          <w:cantSplit/>
          <w:trHeight w:val="399"/>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países que han ratificado el Tratado de Marrakech sobre las personas con discapacidad visual</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3</w:t>
            </w:r>
          </w:p>
          <w:p w:rsidR="00F777B4" w:rsidRPr="00526311" w:rsidRDefault="00F777B4" w:rsidP="0063039A">
            <w:pPr>
              <w:jc w:val="center"/>
              <w:rPr>
                <w:sz w:val="16"/>
                <w:szCs w:val="16"/>
                <w:lang w:bidi="th-TH"/>
              </w:rPr>
            </w:pPr>
          </w:p>
        </w:tc>
        <w:tc>
          <w:tcPr>
            <w:tcW w:w="574" w:type="pct"/>
            <w:shd w:val="clear" w:color="auto" w:fill="FFFFFF"/>
          </w:tcPr>
          <w:p w:rsidR="00F777B4" w:rsidRPr="00526311" w:rsidRDefault="00F777B4" w:rsidP="0063039A">
            <w:pPr>
              <w:jc w:val="center"/>
            </w:pPr>
            <w:r w:rsidRPr="00526311">
              <w:rPr>
                <w:b/>
                <w:bCs/>
                <w:color w:val="FF0000"/>
                <w:szCs w:val="22"/>
              </w:rPr>
              <w:sym w:font="Wingdings" w:char="F06C"/>
            </w:r>
          </w:p>
        </w:tc>
      </w:tr>
      <w:tr w:rsidR="00F777B4" w:rsidRPr="00526311" w:rsidTr="0063039A">
        <w:trPr>
          <w:cantSplit/>
          <w:trHeight w:val="432"/>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países que han actualizado su legislación o sus reglamentos</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10</w:t>
            </w:r>
          </w:p>
        </w:tc>
        <w:tc>
          <w:tcPr>
            <w:tcW w:w="574"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744"/>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países que han aprobado o modificado los marcos pertinentes (o lo están haciendo actualmente) tras recibir asistencia de la OMPI</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17</w:t>
            </w:r>
          </w:p>
        </w:tc>
        <w:tc>
          <w:tcPr>
            <w:tcW w:w="574"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560"/>
        </w:trPr>
        <w:tc>
          <w:tcPr>
            <w:tcW w:w="1535"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I.3 Aumento de la protección de los emblemas de Estado y de los nombres y emblemas de organizaciones intergubernamentales internacionales</w:t>
            </w: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peticiones de comunicación tramitadas en virtud del artículo 6</w:t>
            </w:r>
            <w:r w:rsidRPr="00526311">
              <w:rPr>
                <w:i/>
                <w:sz w:val="16"/>
                <w:szCs w:val="16"/>
              </w:rPr>
              <w:t>ter</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2</w:t>
            </w:r>
          </w:p>
        </w:tc>
        <w:tc>
          <w:tcPr>
            <w:tcW w:w="574" w:type="pct"/>
            <w:shd w:val="clear" w:color="auto" w:fill="FFFFFF"/>
          </w:tcPr>
          <w:p w:rsidR="00F777B4" w:rsidRPr="00526311" w:rsidRDefault="00F777B4" w:rsidP="0063039A">
            <w:pPr>
              <w:jc w:val="center"/>
            </w:pPr>
            <w:r w:rsidRPr="00526311">
              <w:rPr>
                <w:b/>
                <w:bCs/>
                <w:color w:val="FF0000"/>
                <w:szCs w:val="22"/>
              </w:rPr>
              <w:sym w:font="Wingdings" w:char="F06C"/>
            </w:r>
          </w:p>
        </w:tc>
      </w:tr>
      <w:tr w:rsidR="00F777B4" w:rsidRPr="00526311" w:rsidTr="0063039A">
        <w:trPr>
          <w:cantSplit/>
          <w:trHeight w:val="382"/>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signos publicados en la base de datos sobre el artículo 6</w:t>
            </w:r>
            <w:r w:rsidRPr="00526311">
              <w:rPr>
                <w:i/>
                <w:sz w:val="16"/>
                <w:szCs w:val="16"/>
              </w:rPr>
              <w:t>ter</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2</w:t>
            </w:r>
          </w:p>
        </w:tc>
        <w:tc>
          <w:tcPr>
            <w:tcW w:w="574" w:type="pct"/>
            <w:shd w:val="clear" w:color="auto" w:fill="FFFFFF"/>
          </w:tcPr>
          <w:p w:rsidR="00F777B4" w:rsidRPr="00526311" w:rsidRDefault="00F777B4" w:rsidP="0063039A">
            <w:pPr>
              <w:jc w:val="center"/>
            </w:pPr>
            <w:r w:rsidRPr="00526311">
              <w:rPr>
                <w:b/>
                <w:bCs/>
                <w:color w:val="FF0000"/>
                <w:szCs w:val="22"/>
              </w:rPr>
              <w:sym w:font="Wingdings" w:char="F06C"/>
            </w:r>
          </w:p>
        </w:tc>
      </w:tr>
    </w:tbl>
    <w:p w:rsidR="00F777B4" w:rsidRPr="00526311" w:rsidRDefault="00F777B4" w:rsidP="0063039A">
      <w:pPr>
        <w:rPr>
          <w:sz w:val="20"/>
        </w:rPr>
      </w:pPr>
    </w:p>
    <w:p w:rsidR="00F777B4" w:rsidRPr="00526311" w:rsidRDefault="00F777B4">
      <w:pPr>
        <w:rPr>
          <w:sz w:val="20"/>
        </w:rPr>
      </w:pPr>
    </w:p>
    <w:p w:rsidR="00DD13E3" w:rsidRPr="00526311" w:rsidRDefault="00DD13E3">
      <w:pPr>
        <w:rPr>
          <w:bCs/>
          <w:iCs/>
          <w:caps/>
          <w:szCs w:val="28"/>
        </w:rPr>
      </w:pPr>
      <w:r w:rsidRPr="00526311">
        <w:br w:type="page"/>
      </w:r>
    </w:p>
    <w:p w:rsidR="00F777B4" w:rsidRPr="00526311" w:rsidRDefault="00F777B4" w:rsidP="0063039A">
      <w:pPr>
        <w:pStyle w:val="Heading2"/>
        <w:tabs>
          <w:tab w:val="left" w:pos="2410"/>
        </w:tabs>
        <w:rPr>
          <w:b/>
        </w:rPr>
      </w:pPr>
      <w:bookmarkStart w:id="14" w:name="_Toc422927402"/>
      <w:r w:rsidRPr="00526311">
        <w:rPr>
          <w:b/>
        </w:rPr>
        <w:lastRenderedPageBreak/>
        <w:t>PROGRAMA 1</w:t>
      </w:r>
      <w:r w:rsidRPr="00526311">
        <w:rPr>
          <w:b/>
        </w:rPr>
        <w:tab/>
        <w:t>DERECHO DE PATENTES</w:t>
      </w:r>
      <w:bookmarkEnd w:id="14"/>
    </w:p>
    <w:p w:rsidR="00F777B4" w:rsidRPr="00526311" w:rsidRDefault="00F777B4" w:rsidP="0063039A">
      <w:pPr>
        <w:rPr>
          <w:sz w:val="20"/>
        </w:rPr>
      </w:pPr>
    </w:p>
    <w:p w:rsidR="00F777B4" w:rsidRPr="00526311" w:rsidRDefault="00F777B4" w:rsidP="0063039A">
      <w:pPr>
        <w:tabs>
          <w:tab w:val="left" w:pos="2410"/>
        </w:tabs>
        <w:rPr>
          <w:b/>
          <w:sz w:val="20"/>
        </w:rPr>
      </w:pPr>
      <w:r w:rsidRPr="00526311">
        <w:rPr>
          <w:b/>
          <w:sz w:val="20"/>
        </w:rPr>
        <w:t>Director de programa</w:t>
      </w:r>
      <w:r w:rsidRPr="00526311">
        <w:rPr>
          <w:sz w:val="20"/>
        </w:rPr>
        <w:tab/>
      </w:r>
      <w:r w:rsidRPr="00526311">
        <w:rPr>
          <w:b/>
          <w:sz w:val="20"/>
        </w:rPr>
        <w:t>Sr. J. Sandage</w:t>
      </w:r>
    </w:p>
    <w:p w:rsidR="00F777B4" w:rsidRPr="00526311" w:rsidRDefault="00F777B4" w:rsidP="0063039A">
      <w:pPr>
        <w:rPr>
          <w:sz w:val="20"/>
        </w:rPr>
      </w:pPr>
    </w:p>
    <w:p w:rsidR="00F777B4" w:rsidRPr="00526311" w:rsidRDefault="00F777B4" w:rsidP="0063039A">
      <w:pPr>
        <w:rPr>
          <w:sz w:val="20"/>
        </w:rPr>
      </w:pPr>
    </w:p>
    <w:p w:rsidR="00F777B4" w:rsidRPr="00526311" w:rsidRDefault="00F777B4" w:rsidP="0063039A">
      <w:pPr>
        <w:rPr>
          <w:bCs/>
          <w:szCs w:val="22"/>
        </w:rPr>
      </w:pPr>
      <w:r w:rsidRPr="00526311">
        <w:rPr>
          <w:bCs/>
          <w:szCs w:val="22"/>
        </w:rPr>
        <w:t>RESEÑA DE LOS AVANCES LOGRADOS EN 2014</w:t>
      </w:r>
    </w:p>
    <w:p w:rsidR="00F777B4" w:rsidRPr="00526311" w:rsidRDefault="00F777B4" w:rsidP="0063039A">
      <w:pPr>
        <w:rPr>
          <w:sz w:val="20"/>
        </w:rPr>
      </w:pPr>
    </w:p>
    <w:p w:rsidR="00F777B4" w:rsidRPr="00526311" w:rsidRDefault="00F777B4" w:rsidP="00B45FC3">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Con el fin de mejorar la cooperación entre los Estados miembros en lo que atañe a seguir elaborando marcos normativos y de política equilibrados para el sistema internacional de patentes, en enero y noviembre de 2014 se celebraron la vigésima y la vigesimoprimera sesiones del Comité Permanente sobre el Derecho de Patentes (SCP).  El SCP continuó prestando atención a cinco cuestiones en su orden del día, a saber:  i) excepciones y limitaciones a los derechos de patente;  ii) calidad de las patentes, incluidos los procedimientos de oposición;  iii) patentes y salud;  iv) confidencialidad de las comunicaciones entre asesores de patentes y sus clientes;  y v) transferencia de tecnología.</w:t>
      </w:r>
    </w:p>
    <w:p w:rsidR="00F777B4" w:rsidRPr="00526311" w:rsidRDefault="00F777B4" w:rsidP="0063039A">
      <w:pPr>
        <w:autoSpaceDE w:val="0"/>
        <w:autoSpaceDN w:val="0"/>
        <w:jc w:val="both"/>
        <w:rPr>
          <w:sz w:val="20"/>
        </w:rPr>
      </w:pPr>
    </w:p>
    <w:p w:rsidR="00F777B4" w:rsidRPr="00526311" w:rsidRDefault="00F777B4" w:rsidP="00B45FC3">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El examen de estudios sustantivos permitió al SCP pasar revista al actual sistema internacional de patentes de manera integral, teniendo en cuenta las necesidades y los intereses de los Estados miembros y los sectores interesados.  El empleo de un enfoque por etapas amplió la base común desde la que el Comité podría desarrollar sus debates. Además, gracias a los distintos métodos empleados por el Comité, como la preparación de estudios de contexto, seminarios y sesiones de información sobre la aplicación nacional del Derecho de patentes y los desafíos y experiencias en ese plano, pudo avanzarse en los debates sobre cuestiones de interés común en el SCP.  Durante 2014, los Estados miembros formularon varias propuestas acerca de las cuestiones mencionadas, prueba de su determinación de progresar en el ámbito de actividad del SCP.</w:t>
      </w:r>
    </w:p>
    <w:p w:rsidR="00F777B4" w:rsidRPr="00526311" w:rsidRDefault="00F777B4" w:rsidP="0063039A">
      <w:pPr>
        <w:autoSpaceDE w:val="0"/>
        <w:autoSpaceDN w:val="0"/>
        <w:jc w:val="both"/>
        <w:rPr>
          <w:sz w:val="20"/>
        </w:rPr>
      </w:pPr>
    </w:p>
    <w:p w:rsidR="00F777B4" w:rsidRPr="00526311" w:rsidRDefault="00F777B4" w:rsidP="00B45FC3">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En lo que respecta a los tratados administrados por la OMPI en el ámbito de las patentes, en 2014, un Estado (Kuwait) se adhirió al Convenio de París.</w:t>
      </w:r>
    </w:p>
    <w:p w:rsidR="00F777B4" w:rsidRPr="00526311" w:rsidRDefault="00F777B4" w:rsidP="0063039A">
      <w:pPr>
        <w:autoSpaceDE w:val="0"/>
        <w:autoSpaceDN w:val="0"/>
        <w:jc w:val="both"/>
        <w:rPr>
          <w:sz w:val="20"/>
        </w:rPr>
      </w:pPr>
    </w:p>
    <w:p w:rsidR="00F777B4" w:rsidRPr="00526311" w:rsidRDefault="00F777B4" w:rsidP="00B45FC3">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La asistencia legislativa y política que presta la OMPI se ha basado siempre en el marco jurídico multilateral.  La actividad legislativa de los Estados miembros se ha intensificado, en particular debido a su participación en los procesos regionales de integración económica y en los acuerdos comerciales preferenciales.  Además, varios Estados miembros están revisando su legislación de patentes para</w:t>
      </w:r>
      <w:r w:rsidR="004D00F9" w:rsidRPr="00526311">
        <w:rPr>
          <w:rFonts w:cs="Arial"/>
          <w:lang w:val="es-ES" w:eastAsia="zh-CN"/>
        </w:rPr>
        <w:t xml:space="preserve"> incorporar políticas públicas propias</w:t>
      </w:r>
      <w:r w:rsidRPr="00526311">
        <w:rPr>
          <w:rFonts w:cs="Arial"/>
          <w:lang w:val="es-ES" w:eastAsia="zh-CN"/>
        </w:rPr>
        <w:t xml:space="preserve"> o reflejar su adhesión a tratados multilaterales sobre patentes, en particular, el PCT, el Tratado de Budapest y el PLT.  </w:t>
      </w:r>
      <w:r w:rsidR="004D00F9" w:rsidRPr="00526311">
        <w:rPr>
          <w:rFonts w:cs="Arial"/>
          <w:lang w:val="es-ES" w:eastAsia="zh-CN"/>
        </w:rPr>
        <w:t>Asimismo</w:t>
      </w:r>
      <w:r w:rsidRPr="00526311">
        <w:rPr>
          <w:rFonts w:cs="Arial"/>
          <w:lang w:val="es-ES" w:eastAsia="zh-CN"/>
        </w:rPr>
        <w:t xml:space="preserve">, los </w:t>
      </w:r>
      <w:r w:rsidR="004D00F9" w:rsidRPr="00526311">
        <w:rPr>
          <w:rFonts w:cs="Arial"/>
          <w:lang w:val="es-ES" w:eastAsia="zh-CN"/>
        </w:rPr>
        <w:t>países que pasan a ser</w:t>
      </w:r>
      <w:r w:rsidRPr="00526311">
        <w:rPr>
          <w:rFonts w:cs="Arial"/>
          <w:lang w:val="es-ES" w:eastAsia="zh-CN"/>
        </w:rPr>
        <w:t xml:space="preserve"> miembros de la OMC revisan de forma sistemática su marco jurídico.  Por lo tanto, las solicitudes de asesoramiento en el ámbito legislativo siguen la misma tendencia.</w:t>
      </w:r>
    </w:p>
    <w:p w:rsidR="00F777B4" w:rsidRPr="00526311" w:rsidRDefault="00F777B4" w:rsidP="0063039A">
      <w:pPr>
        <w:pStyle w:val="ListParagraph"/>
        <w:tabs>
          <w:tab w:val="left" w:pos="709"/>
        </w:tabs>
        <w:autoSpaceDE w:val="0"/>
        <w:autoSpaceDN w:val="0"/>
        <w:ind w:left="0"/>
        <w:jc w:val="both"/>
        <w:rPr>
          <w:rFonts w:cs="Arial"/>
          <w:lang w:val="es-ES" w:eastAsia="zh-CN"/>
        </w:rPr>
      </w:pPr>
    </w:p>
    <w:p w:rsidR="00F777B4" w:rsidRPr="00526311" w:rsidRDefault="00F777B4" w:rsidP="00B45FC3">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Además, durante 2014, la Secretaría continuó contribuyendo a generar una mayor conciencia de los principios jurídicos y las prácticas del sistema de patentes mediante el suministro a organizaciones intergubernamentales, organismos de las Naciones Unidas, organizaciones no gubernamentales y otras partes, de información relevante en relación con cuestiones relativas a este programa.</w:t>
      </w:r>
    </w:p>
    <w:p w:rsidR="00F777B4" w:rsidRPr="00526311" w:rsidRDefault="00F777B4" w:rsidP="0063039A">
      <w:pPr>
        <w:pStyle w:val="ListParagraph"/>
        <w:tabs>
          <w:tab w:val="left" w:pos="709"/>
        </w:tabs>
        <w:autoSpaceDE w:val="0"/>
        <w:autoSpaceDN w:val="0"/>
        <w:ind w:left="0"/>
        <w:jc w:val="both"/>
        <w:rPr>
          <w:rFonts w:cs="Arial"/>
          <w:lang w:val="es-ES" w:eastAsia="zh-CN"/>
        </w:rPr>
      </w:pPr>
    </w:p>
    <w:p w:rsidR="00F777B4" w:rsidRPr="00526311" w:rsidRDefault="00F777B4" w:rsidP="00B45FC3">
      <w:pPr>
        <w:pStyle w:val="ListParagraph"/>
        <w:numPr>
          <w:ilvl w:val="0"/>
          <w:numId w:val="9"/>
        </w:numPr>
        <w:tabs>
          <w:tab w:val="left" w:pos="709"/>
        </w:tabs>
        <w:autoSpaceDE w:val="0"/>
        <w:autoSpaceDN w:val="0"/>
        <w:ind w:left="0" w:firstLine="0"/>
        <w:jc w:val="both"/>
        <w:rPr>
          <w:rFonts w:cs="Arial"/>
          <w:lang w:val="es-ES"/>
        </w:rPr>
      </w:pPr>
      <w:r w:rsidRPr="00526311">
        <w:rPr>
          <w:rFonts w:cs="Arial"/>
          <w:lang w:val="es-ES"/>
        </w:rPr>
        <w:t>El diseño, la planificación y la ejecución de las actividades del programa 1 se basaron en las recomendaciones pertinentes de la A.D. y se guiaron por ellas.  Los debates acerca del desarrollo progresivo del sistema internacional de patentes dentro del SCP se siguieron caracterizando por ser inclusivos y estar orientados hacia los miembros, por tener en cuenta los distintos niveles de desarrollo, por constituir un proceso participativo y por estar en consonancia con el principio de neutralidad de la Secretaría de la OMPI (recomendación 15).  Asimismo, se tuvieron en cuenta las flexibilidades existentes en los acuerdos internacionales sobre P.I. (recomendación 17).  Las actividades del SCP se basaron en consultas abiertas y equilibradas (recomendaciones 21 y 42) y contribuyeron a los objetivos de desarrollo de las Naciones Unidas (recomendación 22).  En particular, de conformidad con la recomendación 22, los documentos de trabajo del SCP abordaron cuestiones como:  i) la transferencia de tecnología relacionada con las patentes;  y ii) las potenciales flexibilidades, excepciones y limitaciones para los Estados miembros.</w:t>
      </w:r>
    </w:p>
    <w:p w:rsidR="00F777B4" w:rsidRPr="00526311" w:rsidRDefault="00F777B4" w:rsidP="0063039A">
      <w:pPr>
        <w:autoSpaceDE w:val="0"/>
        <w:autoSpaceDN w:val="0"/>
        <w:jc w:val="both"/>
        <w:rPr>
          <w:sz w:val="20"/>
        </w:rPr>
      </w:pPr>
    </w:p>
    <w:p w:rsidR="00F777B4" w:rsidRPr="00526311" w:rsidRDefault="00F777B4" w:rsidP="00B45FC3">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Las actividades del programa relativas al fortalecimiento de las capacidades y la asistencia legislativa y política estuvieron orientadas a potenciar el desarrollo, obedecieron a la demanda y se llevaron a cabo conforme al calendario previsto (recomendaciones 1, 13 y 14).</w:t>
      </w:r>
    </w:p>
    <w:p w:rsidR="00F777B4" w:rsidRPr="00526311" w:rsidRDefault="00F777B4" w:rsidP="0063039A">
      <w:pPr>
        <w:pStyle w:val="ListParagraph"/>
        <w:tabs>
          <w:tab w:val="left" w:pos="709"/>
        </w:tabs>
        <w:autoSpaceDE w:val="0"/>
        <w:autoSpaceDN w:val="0"/>
        <w:ind w:left="0"/>
        <w:jc w:val="both"/>
        <w:rPr>
          <w:rFonts w:cs="Arial"/>
          <w:lang w:val="es-ES" w:eastAsia="zh-CN"/>
        </w:rPr>
      </w:pPr>
    </w:p>
    <w:p w:rsidR="00F777B4" w:rsidRPr="00526311" w:rsidRDefault="00F777B4" w:rsidP="00B45FC3">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 xml:space="preserve">Por otro lado, y conforme a las recomendaciones 16 y 20, se participó en una evaluación final de los resultados concretos del proyecto de la A.D. sobre patentes y dominio público, que fue presentada y </w:t>
      </w:r>
      <w:r w:rsidRPr="00526311">
        <w:rPr>
          <w:rFonts w:cs="Arial"/>
          <w:lang w:val="es-ES" w:eastAsia="zh-CN"/>
        </w:rPr>
        <w:lastRenderedPageBreak/>
        <w:t>examinada en la decimotercera sesión del Comité de Desarrollo y Propiedad Intelectual (CDIP), que se celebró del 19 al 23 de mayo de 2014.</w:t>
      </w:r>
    </w:p>
    <w:p w:rsidR="00F777B4" w:rsidRPr="00526311" w:rsidRDefault="00F777B4" w:rsidP="0063039A">
      <w:pPr>
        <w:pStyle w:val="ListParagraph"/>
        <w:tabs>
          <w:tab w:val="left" w:pos="709"/>
        </w:tabs>
        <w:autoSpaceDE w:val="0"/>
        <w:autoSpaceDN w:val="0"/>
        <w:ind w:left="0"/>
        <w:jc w:val="both"/>
        <w:rPr>
          <w:rFonts w:cs="Arial"/>
          <w:lang w:val="es-ES" w:eastAsia="zh-CN"/>
        </w:rPr>
      </w:pPr>
    </w:p>
    <w:p w:rsidR="00F777B4" w:rsidRPr="00526311" w:rsidRDefault="00F777B4" w:rsidP="00B45FC3">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En el marco del programa se preparó el documento CDIP/13/10, en el que se abordan dos nuevas flexibilidades en materia de patentes, y que fue examinado en esa misma sesión del CDIP</w:t>
      </w:r>
      <w:r w:rsidR="004D00F9" w:rsidRPr="00526311">
        <w:rPr>
          <w:rFonts w:cs="Arial"/>
          <w:lang w:val="es-ES" w:eastAsia="zh-CN"/>
        </w:rPr>
        <w:t xml:space="preserve">, y </w:t>
      </w:r>
      <w:r w:rsidRPr="00526311">
        <w:rPr>
          <w:rFonts w:cs="Arial"/>
          <w:lang w:val="es-ES" w:eastAsia="zh-CN"/>
        </w:rPr>
        <w:t>se realizaron actividades orientadas a fomentar la sensibilización acerca de la aplicación práctica de las flexibilidades en el plano nacional.  A ese respecto, la OMPI organizó en Bishkek (Kirguistán) un seminario regional sobre la problemática de la protección por patente en el ámbito farmacéutico y seis seminarios o talleres nacionales sobre el marco jurídico y las políticas públicas de patentes.</w:t>
      </w:r>
    </w:p>
    <w:p w:rsidR="00F777B4" w:rsidRPr="00526311" w:rsidRDefault="00F777B4" w:rsidP="0063039A">
      <w:pPr>
        <w:rPr>
          <w:sz w:val="20"/>
        </w:rPr>
      </w:pPr>
    </w:p>
    <w:p w:rsidR="00F777B4" w:rsidRPr="00526311" w:rsidRDefault="00F777B4" w:rsidP="0063039A">
      <w:pPr>
        <w:rPr>
          <w:sz w:val="20"/>
        </w:rPr>
      </w:pPr>
    </w:p>
    <w:p w:rsidR="00F777B4" w:rsidRPr="00526311" w:rsidRDefault="00F777B4" w:rsidP="0063039A">
      <w:pPr>
        <w:jc w:val="both"/>
        <w:rPr>
          <w:szCs w:val="22"/>
        </w:rPr>
      </w:pPr>
      <w:r w:rsidRPr="00526311">
        <w:rPr>
          <w:szCs w:val="22"/>
        </w:rPr>
        <w:t>DATOS SOBRE EL RENDIMIENTO</w:t>
      </w:r>
    </w:p>
    <w:p w:rsidR="00F777B4" w:rsidRPr="00526311" w:rsidRDefault="00F777B4" w:rsidP="0063039A">
      <w:pPr>
        <w:rPr>
          <w:b/>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1"/>
        <w:gridCol w:w="2268"/>
        <w:gridCol w:w="1274"/>
        <w:gridCol w:w="2128"/>
        <w:gridCol w:w="1276"/>
      </w:tblGrid>
      <w:tr w:rsidR="00F777B4" w:rsidRPr="00526311" w:rsidTr="0063039A">
        <w:trPr>
          <w:trHeight w:val="565"/>
        </w:trPr>
        <w:tc>
          <w:tcPr>
            <w:tcW w:w="5000" w:type="pct"/>
            <w:gridSpan w:val="5"/>
            <w:tcBorders>
              <w:top w:val="single" w:sz="4" w:space="0" w:color="auto"/>
              <w:bottom w:val="single" w:sz="4" w:space="0" w:color="auto"/>
            </w:tcBorders>
            <w:shd w:val="clear" w:color="auto" w:fill="CCFFFF"/>
            <w:vAlign w:val="center"/>
          </w:tcPr>
          <w:p w:rsidR="00F777B4" w:rsidRPr="00526311" w:rsidRDefault="00F777B4" w:rsidP="0063039A">
            <w:pPr>
              <w:keepNext/>
              <w:keepLines/>
              <w:tabs>
                <w:tab w:val="left" w:pos="2019"/>
              </w:tabs>
              <w:ind w:left="2019" w:hanging="2019"/>
              <w:rPr>
                <w:b/>
                <w:bCs/>
                <w:sz w:val="16"/>
                <w:szCs w:val="16"/>
              </w:rPr>
            </w:pPr>
            <w:r w:rsidRPr="00526311">
              <w:rPr>
                <w:b/>
                <w:bCs/>
                <w:sz w:val="16"/>
                <w:szCs w:val="16"/>
              </w:rPr>
              <w:t>Resultado previsto:</w:t>
            </w:r>
            <w:r w:rsidRPr="00526311">
              <w:tab/>
            </w:r>
            <w:r w:rsidRPr="00526311">
              <w:rPr>
                <w:bCs/>
                <w:sz w:val="16"/>
                <w:szCs w:val="16"/>
              </w:rPr>
              <w:t xml:space="preserve">I.1 </w:t>
            </w:r>
            <w:r w:rsidR="00EB0A80" w:rsidRPr="00526311">
              <w:rPr>
                <w:bCs/>
                <w:sz w:val="16"/>
                <w:szCs w:val="16"/>
              </w:rPr>
              <w:t>Mejor cooperación entre los Estados miembros en lo que atañe a la elaboración de marcos normativos internacionales equilibrados para la P.I. y fomento de acuerdos sobre las cuestiones específicas respecto de las que se acuerdan instrumentos internacionales</w:t>
            </w:r>
          </w:p>
        </w:tc>
      </w:tr>
      <w:tr w:rsidR="00F777B4" w:rsidRPr="00526311" w:rsidTr="0063039A">
        <w:tc>
          <w:tcPr>
            <w:tcW w:w="1288" w:type="pct"/>
            <w:tcBorders>
              <w:top w:val="single" w:sz="4" w:space="0" w:color="auto"/>
              <w:left w:val="single" w:sz="4" w:space="0" w:color="auto"/>
              <w:bottom w:val="nil"/>
              <w:right w:val="nil"/>
            </w:tcBorders>
            <w:shd w:val="clear" w:color="auto" w:fill="auto"/>
            <w:vAlign w:val="center"/>
          </w:tcPr>
          <w:p w:rsidR="00F777B4" w:rsidRPr="00526311" w:rsidRDefault="00F777B4" w:rsidP="0063039A">
            <w:pPr>
              <w:rPr>
                <w:sz w:val="16"/>
                <w:szCs w:val="16"/>
              </w:rPr>
            </w:pPr>
            <w:r w:rsidRPr="00526311">
              <w:rPr>
                <w:b/>
                <w:sz w:val="16"/>
                <w:szCs w:val="16"/>
              </w:rPr>
              <w:t>Indicadores de rendimiento</w:t>
            </w:r>
          </w:p>
        </w:tc>
        <w:tc>
          <w:tcPr>
            <w:tcW w:w="1212" w:type="pct"/>
            <w:tcBorders>
              <w:top w:val="single" w:sz="4" w:space="0" w:color="auto"/>
              <w:left w:val="nil"/>
              <w:bottom w:val="nil"/>
              <w:right w:val="nil"/>
            </w:tcBorders>
            <w:shd w:val="clear" w:color="auto" w:fill="auto"/>
            <w:vAlign w:val="center"/>
          </w:tcPr>
          <w:p w:rsidR="00F777B4" w:rsidRPr="00526311" w:rsidRDefault="00F777B4" w:rsidP="0063039A">
            <w:pPr>
              <w:rPr>
                <w:b/>
                <w:bCs/>
                <w:sz w:val="16"/>
                <w:szCs w:val="16"/>
              </w:rPr>
            </w:pPr>
            <w:r w:rsidRPr="00526311">
              <w:rPr>
                <w:b/>
                <w:bCs/>
                <w:sz w:val="16"/>
                <w:szCs w:val="16"/>
              </w:rPr>
              <w:t>Referencia</w:t>
            </w:r>
          </w:p>
        </w:tc>
        <w:tc>
          <w:tcPr>
            <w:tcW w:w="681" w:type="pct"/>
            <w:tcBorders>
              <w:top w:val="single" w:sz="4" w:space="0" w:color="auto"/>
              <w:left w:val="nil"/>
              <w:bottom w:val="nil"/>
              <w:right w:val="nil"/>
            </w:tcBorders>
            <w:shd w:val="clear" w:color="auto" w:fill="auto"/>
            <w:tcMar>
              <w:top w:w="110" w:type="dxa"/>
            </w:tcMar>
            <w:vAlign w:val="center"/>
          </w:tcPr>
          <w:p w:rsidR="00F777B4" w:rsidRPr="00526311" w:rsidRDefault="00F777B4" w:rsidP="0063039A">
            <w:pPr>
              <w:rPr>
                <w:b/>
                <w:sz w:val="16"/>
                <w:szCs w:val="16"/>
              </w:rPr>
            </w:pPr>
            <w:r w:rsidRPr="00526311">
              <w:rPr>
                <w:b/>
                <w:sz w:val="16"/>
                <w:szCs w:val="16"/>
              </w:rPr>
              <w:t>Objetivos</w:t>
            </w:r>
          </w:p>
        </w:tc>
        <w:tc>
          <w:tcPr>
            <w:tcW w:w="1137" w:type="pct"/>
            <w:tcBorders>
              <w:top w:val="single" w:sz="4" w:space="0" w:color="auto"/>
              <w:left w:val="nil"/>
              <w:bottom w:val="nil"/>
              <w:right w:val="nil"/>
            </w:tcBorders>
            <w:shd w:val="clear" w:color="auto" w:fill="FFFFFF"/>
            <w:tcMar>
              <w:top w:w="110" w:type="dxa"/>
            </w:tcMar>
            <w:vAlign w:val="center"/>
          </w:tcPr>
          <w:p w:rsidR="00F777B4" w:rsidRPr="00526311" w:rsidRDefault="00F777B4" w:rsidP="0063039A">
            <w:pPr>
              <w:rPr>
                <w:sz w:val="16"/>
                <w:szCs w:val="16"/>
              </w:rPr>
            </w:pPr>
            <w:r w:rsidRPr="00526311">
              <w:rPr>
                <w:b/>
                <w:sz w:val="16"/>
                <w:szCs w:val="16"/>
              </w:rPr>
              <w:t>Datos sobre el rendimiento</w:t>
            </w:r>
          </w:p>
        </w:tc>
        <w:tc>
          <w:tcPr>
            <w:tcW w:w="682" w:type="pct"/>
            <w:tcBorders>
              <w:top w:val="single" w:sz="4" w:space="0" w:color="auto"/>
              <w:left w:val="nil"/>
              <w:bottom w:val="nil"/>
              <w:right w:val="single" w:sz="4" w:space="0" w:color="auto"/>
            </w:tcBorders>
            <w:shd w:val="clear" w:color="auto" w:fill="auto"/>
            <w:tcMar>
              <w:top w:w="110" w:type="dxa"/>
            </w:tcMar>
            <w:vAlign w:val="center"/>
          </w:tcPr>
          <w:p w:rsidR="00F777B4" w:rsidRPr="00526311" w:rsidRDefault="00F777B4" w:rsidP="0063039A">
            <w:pPr>
              <w:keepNext/>
              <w:keepLines/>
              <w:jc w:val="center"/>
              <w:rPr>
                <w:b/>
                <w:sz w:val="16"/>
                <w:szCs w:val="16"/>
              </w:rPr>
            </w:pPr>
            <w:r w:rsidRPr="00526311">
              <w:rPr>
                <w:b/>
                <w:sz w:val="16"/>
                <w:szCs w:val="16"/>
              </w:rPr>
              <w:t>Clave de colores</w:t>
            </w:r>
          </w:p>
        </w:tc>
      </w:tr>
      <w:tr w:rsidR="00F777B4" w:rsidRPr="00526311" w:rsidTr="0063039A">
        <w:tc>
          <w:tcPr>
            <w:tcW w:w="1288" w:type="pct"/>
            <w:tcBorders>
              <w:top w:val="nil"/>
              <w:left w:val="single" w:sz="4" w:space="0" w:color="auto"/>
              <w:bottom w:val="nil"/>
              <w:right w:val="nil"/>
            </w:tcBorders>
            <w:shd w:val="clear" w:color="auto" w:fill="auto"/>
          </w:tcPr>
          <w:p w:rsidR="00F777B4" w:rsidRPr="00526311" w:rsidRDefault="00F777B4" w:rsidP="0063039A">
            <w:pPr>
              <w:rPr>
                <w:sz w:val="16"/>
                <w:szCs w:val="16"/>
              </w:rPr>
            </w:pPr>
            <w:r w:rsidRPr="00526311">
              <w:rPr>
                <w:sz w:val="16"/>
                <w:szCs w:val="16"/>
              </w:rPr>
              <w:t>Progresos en la puesta en práctica de medidas/planes concertados por el SCP</w:t>
            </w:r>
          </w:p>
        </w:tc>
        <w:tc>
          <w:tcPr>
            <w:tcW w:w="1212" w:type="pct"/>
            <w:tcBorders>
              <w:top w:val="nil"/>
              <w:left w:val="nil"/>
              <w:bottom w:val="nil"/>
              <w:right w:val="nil"/>
            </w:tcBorders>
            <w:shd w:val="clear" w:color="auto" w:fill="auto"/>
          </w:tcPr>
          <w:p w:rsidR="00F777B4" w:rsidRPr="00526311" w:rsidRDefault="00F777B4" w:rsidP="0063039A">
            <w:pPr>
              <w:rPr>
                <w:i/>
                <w:color w:val="002060"/>
                <w:sz w:val="16"/>
                <w:szCs w:val="16"/>
              </w:rPr>
            </w:pPr>
            <w:r w:rsidRPr="00526311">
              <w:rPr>
                <w:i/>
                <w:color w:val="002060"/>
                <w:sz w:val="16"/>
                <w:szCs w:val="16"/>
              </w:rPr>
              <w:t xml:space="preserve">Referencia actualizada a fines de 2013:  </w:t>
            </w:r>
            <w:r w:rsidRPr="00526311">
              <w:rPr>
                <w:color w:val="002060"/>
                <w:sz w:val="16"/>
                <w:szCs w:val="16"/>
              </w:rPr>
              <w:t>El SCP ha concentrado sus esfuerzos en avanzar en cinco cuestiones de su orden del día y ha conseguido progresar en sus debates, por ejemplo, gracias a la recopilación de información a través de un cuestionario, la elaboración de estudios y el intercambio de experiencias y prácticas nacionales entre los Estados miembros.</w:t>
            </w:r>
          </w:p>
          <w:p w:rsidR="00F777B4" w:rsidRPr="00526311" w:rsidRDefault="00F777B4" w:rsidP="0063039A">
            <w:pPr>
              <w:rPr>
                <w:i/>
                <w:sz w:val="8"/>
                <w:szCs w:val="8"/>
              </w:rPr>
            </w:pPr>
          </w:p>
          <w:p w:rsidR="00F777B4" w:rsidRPr="00526311" w:rsidRDefault="007B705E" w:rsidP="0063039A">
            <w:pPr>
              <w:rPr>
                <w:i/>
                <w:sz w:val="16"/>
                <w:szCs w:val="16"/>
                <w:lang w:bidi="th-TH"/>
              </w:rPr>
            </w:pPr>
            <w:r w:rsidRPr="00526311">
              <w:rPr>
                <w:i/>
                <w:sz w:val="16"/>
                <w:szCs w:val="16"/>
                <w:lang w:bidi="th-TH"/>
              </w:rPr>
              <w:t>Referencia original en el presupuesto de 2014/15</w:t>
            </w:r>
            <w:r w:rsidR="00F777B4" w:rsidRPr="00526311">
              <w:rPr>
                <w:i/>
                <w:sz w:val="16"/>
                <w:szCs w:val="16"/>
                <w:lang w:bidi="th-TH"/>
              </w:rPr>
              <w:t xml:space="preserve">:  </w:t>
            </w:r>
            <w:r w:rsidR="00F777B4" w:rsidRPr="00526311">
              <w:rPr>
                <w:sz w:val="16"/>
                <w:szCs w:val="16"/>
                <w:lang w:bidi="th-TH"/>
              </w:rPr>
              <w:t>por determinar</w:t>
            </w:r>
          </w:p>
          <w:p w:rsidR="00F777B4" w:rsidRPr="00526311" w:rsidRDefault="00F777B4" w:rsidP="0063039A">
            <w:pPr>
              <w:rPr>
                <w:sz w:val="16"/>
                <w:szCs w:val="16"/>
              </w:rPr>
            </w:pPr>
          </w:p>
        </w:tc>
        <w:tc>
          <w:tcPr>
            <w:tcW w:w="681" w:type="pct"/>
            <w:tcBorders>
              <w:top w:val="nil"/>
              <w:left w:val="nil"/>
              <w:bottom w:val="nil"/>
              <w:right w:val="nil"/>
            </w:tcBorders>
            <w:shd w:val="clear" w:color="auto" w:fill="auto"/>
            <w:tcMar>
              <w:top w:w="110" w:type="dxa"/>
            </w:tcMar>
          </w:tcPr>
          <w:p w:rsidR="00F777B4" w:rsidRPr="00526311" w:rsidRDefault="00F777B4" w:rsidP="0063039A">
            <w:pPr>
              <w:rPr>
                <w:sz w:val="16"/>
                <w:szCs w:val="16"/>
              </w:rPr>
            </w:pPr>
            <w:r w:rsidRPr="00526311">
              <w:rPr>
                <w:sz w:val="16"/>
                <w:szCs w:val="16"/>
              </w:rPr>
              <w:t>Progresos en cuestiones de interés común en el marco del SCP.</w:t>
            </w:r>
          </w:p>
        </w:tc>
        <w:tc>
          <w:tcPr>
            <w:tcW w:w="1137" w:type="pct"/>
            <w:tcBorders>
              <w:top w:val="nil"/>
              <w:left w:val="nil"/>
              <w:bottom w:val="nil"/>
              <w:right w:val="nil"/>
            </w:tcBorders>
            <w:shd w:val="clear" w:color="auto" w:fill="FFFFFF"/>
            <w:tcMar>
              <w:top w:w="110" w:type="dxa"/>
            </w:tcMar>
          </w:tcPr>
          <w:p w:rsidR="00F777B4" w:rsidRPr="00526311" w:rsidRDefault="00F777B4" w:rsidP="004D00F9">
            <w:pPr>
              <w:rPr>
                <w:sz w:val="16"/>
                <w:szCs w:val="16"/>
              </w:rPr>
            </w:pPr>
            <w:r w:rsidRPr="00526311">
              <w:rPr>
                <w:sz w:val="16"/>
                <w:szCs w:val="16"/>
              </w:rPr>
              <w:t xml:space="preserve">Cinco cuestiones, SCP/21 (11/2014):  excepciones y limitaciones a los derechos conferidos por las patentes;  calidad de las patentes;  patentes </w:t>
            </w:r>
            <w:r w:rsidR="004D00F9" w:rsidRPr="00526311">
              <w:rPr>
                <w:sz w:val="16"/>
                <w:szCs w:val="16"/>
              </w:rPr>
              <w:t>y</w:t>
            </w:r>
            <w:r w:rsidRPr="00526311">
              <w:rPr>
                <w:sz w:val="16"/>
                <w:szCs w:val="16"/>
              </w:rPr>
              <w:t xml:space="preserve"> salud;  confidencialidad de las comunicaciones entre clientes y sus asesores de patentes, y </w:t>
            </w:r>
            <w:r w:rsidR="004D00F9" w:rsidRPr="00526311">
              <w:rPr>
                <w:sz w:val="16"/>
                <w:szCs w:val="16"/>
              </w:rPr>
              <w:t>transferencia de tecnología</w:t>
            </w:r>
            <w:r w:rsidRPr="00526311">
              <w:rPr>
                <w:sz w:val="16"/>
                <w:szCs w:val="16"/>
              </w:rPr>
              <w:t>. Los debates se basaron en las propuestas de las delegaciones (11) y en documentos preparados por la Secretaría (10) (Resumen de la Presidencia, documento SCP/21/11 Rev.)</w:t>
            </w:r>
          </w:p>
        </w:tc>
        <w:tc>
          <w:tcPr>
            <w:tcW w:w="682" w:type="pct"/>
            <w:tcBorders>
              <w:top w:val="nil"/>
              <w:left w:val="nil"/>
              <w:bottom w:val="nil"/>
              <w:right w:val="single" w:sz="4" w:space="0" w:color="auto"/>
            </w:tcBorders>
            <w:shd w:val="clear" w:color="auto" w:fill="auto"/>
            <w:tcMar>
              <w:top w:w="110" w:type="dxa"/>
            </w:tcMar>
          </w:tcPr>
          <w:p w:rsidR="00F777B4" w:rsidRPr="00526311" w:rsidRDefault="00F777B4" w:rsidP="0063039A">
            <w:pPr>
              <w:keepNext/>
              <w:keepLines/>
              <w:ind w:left="-108"/>
              <w:jc w:val="center"/>
              <w:rPr>
                <w:b/>
                <w:bCs/>
                <w:color w:val="00B050"/>
                <w:sz w:val="16"/>
                <w:szCs w:val="16"/>
              </w:rPr>
            </w:pPr>
            <w:r w:rsidRPr="00526311">
              <w:rPr>
                <w:b/>
                <w:bCs/>
                <w:color w:val="00B050"/>
                <w:sz w:val="16"/>
                <w:szCs w:val="16"/>
              </w:rPr>
              <w:t>Avanza</w:t>
            </w:r>
          </w:p>
          <w:p w:rsidR="00F777B4" w:rsidRPr="00526311" w:rsidRDefault="00F777B4" w:rsidP="0063039A">
            <w:pPr>
              <w:keepNext/>
              <w:keepLines/>
              <w:jc w:val="center"/>
              <w:rPr>
                <w:b/>
                <w:color w:val="00B050"/>
                <w:sz w:val="16"/>
                <w:szCs w:val="16"/>
              </w:rPr>
            </w:pPr>
          </w:p>
        </w:tc>
      </w:tr>
      <w:tr w:rsidR="00F777B4" w:rsidRPr="00526311" w:rsidTr="0063039A">
        <w:tc>
          <w:tcPr>
            <w:tcW w:w="1288" w:type="pct"/>
            <w:tcBorders>
              <w:top w:val="nil"/>
              <w:left w:val="single" w:sz="4" w:space="0" w:color="auto"/>
              <w:bottom w:val="single" w:sz="4" w:space="0" w:color="auto"/>
              <w:right w:val="nil"/>
            </w:tcBorders>
            <w:shd w:val="clear" w:color="auto" w:fill="auto"/>
          </w:tcPr>
          <w:p w:rsidR="00F777B4" w:rsidRPr="00526311" w:rsidRDefault="00F777B4" w:rsidP="0063039A">
            <w:pPr>
              <w:rPr>
                <w:sz w:val="16"/>
                <w:szCs w:val="16"/>
              </w:rPr>
            </w:pPr>
            <w:r w:rsidRPr="00526311">
              <w:rPr>
                <w:sz w:val="16"/>
                <w:szCs w:val="16"/>
              </w:rPr>
              <w:t>Porcentaje de participantes en talleres/seminarios/conferencias sobre cuestiones específicas relacionadas con las patentes que expresaron satisfacción al respecto</w:t>
            </w:r>
          </w:p>
        </w:tc>
        <w:tc>
          <w:tcPr>
            <w:tcW w:w="1212" w:type="pct"/>
            <w:tcBorders>
              <w:top w:val="nil"/>
              <w:left w:val="nil"/>
              <w:bottom w:val="single" w:sz="4" w:space="0" w:color="auto"/>
              <w:right w:val="nil"/>
            </w:tcBorders>
            <w:shd w:val="clear" w:color="auto" w:fill="auto"/>
          </w:tcPr>
          <w:p w:rsidR="00F777B4" w:rsidRPr="00526311" w:rsidRDefault="00F777B4" w:rsidP="0063039A">
            <w:pPr>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lang w:bidi="th-TH"/>
              </w:rPr>
              <w:t>92,5%, sobre la base de una encuesta de 2012/13</w:t>
            </w:r>
          </w:p>
          <w:p w:rsidR="00F777B4" w:rsidRPr="00526311" w:rsidRDefault="00F777B4" w:rsidP="0063039A">
            <w:pPr>
              <w:rPr>
                <w:i/>
                <w:sz w:val="8"/>
                <w:szCs w:val="8"/>
              </w:rPr>
            </w:pPr>
          </w:p>
          <w:p w:rsidR="00F777B4" w:rsidRPr="00526311" w:rsidRDefault="007B705E" w:rsidP="0063039A">
            <w:pPr>
              <w:rPr>
                <w:i/>
                <w:sz w:val="16"/>
                <w:szCs w:val="16"/>
                <w:lang w:bidi="th-TH"/>
              </w:rPr>
            </w:pPr>
            <w:r w:rsidRPr="00526311">
              <w:rPr>
                <w:i/>
                <w:sz w:val="16"/>
                <w:szCs w:val="16"/>
                <w:lang w:bidi="th-TH"/>
              </w:rPr>
              <w:t>Referencia original en el presupuesto de 2014/15</w:t>
            </w:r>
            <w:r w:rsidR="00F777B4" w:rsidRPr="00526311">
              <w:rPr>
                <w:i/>
                <w:sz w:val="16"/>
                <w:szCs w:val="16"/>
                <w:lang w:bidi="th-TH"/>
              </w:rPr>
              <w:t xml:space="preserve">:  </w:t>
            </w:r>
            <w:r w:rsidR="00F777B4" w:rsidRPr="00526311">
              <w:rPr>
                <w:sz w:val="16"/>
                <w:szCs w:val="16"/>
                <w:lang w:bidi="th-TH"/>
              </w:rPr>
              <w:t>encuestas</w:t>
            </w:r>
            <w:r w:rsidR="00F777B4" w:rsidRPr="00526311">
              <w:rPr>
                <w:i/>
                <w:sz w:val="16"/>
                <w:szCs w:val="16"/>
                <w:lang w:bidi="th-TH"/>
              </w:rPr>
              <w:t xml:space="preserve"> </w:t>
            </w:r>
            <w:r w:rsidR="00F777B4" w:rsidRPr="00526311">
              <w:rPr>
                <w:sz w:val="16"/>
                <w:szCs w:val="16"/>
                <w:lang w:bidi="th-TH"/>
              </w:rPr>
              <w:t>2012</w:t>
            </w:r>
          </w:p>
          <w:p w:rsidR="00F777B4" w:rsidRPr="00526311" w:rsidRDefault="00F777B4" w:rsidP="0063039A">
            <w:pPr>
              <w:rPr>
                <w:sz w:val="16"/>
                <w:szCs w:val="16"/>
              </w:rPr>
            </w:pPr>
          </w:p>
        </w:tc>
        <w:tc>
          <w:tcPr>
            <w:tcW w:w="681" w:type="pct"/>
            <w:tcBorders>
              <w:top w:val="nil"/>
              <w:left w:val="nil"/>
              <w:bottom w:val="single" w:sz="4" w:space="0" w:color="auto"/>
              <w:right w:val="nil"/>
            </w:tcBorders>
            <w:shd w:val="clear" w:color="auto" w:fill="auto"/>
            <w:tcMar>
              <w:top w:w="110" w:type="dxa"/>
            </w:tcMar>
          </w:tcPr>
          <w:p w:rsidR="00F777B4" w:rsidRPr="00526311" w:rsidRDefault="00F777B4" w:rsidP="0063039A">
            <w:pPr>
              <w:rPr>
                <w:sz w:val="16"/>
                <w:szCs w:val="16"/>
              </w:rPr>
            </w:pPr>
            <w:r w:rsidRPr="00526311">
              <w:rPr>
                <w:sz w:val="16"/>
                <w:szCs w:val="16"/>
              </w:rPr>
              <w:t>90%</w:t>
            </w:r>
          </w:p>
        </w:tc>
        <w:tc>
          <w:tcPr>
            <w:tcW w:w="1137" w:type="pct"/>
            <w:tcBorders>
              <w:top w:val="nil"/>
              <w:left w:val="nil"/>
              <w:bottom w:val="single" w:sz="4" w:space="0" w:color="auto"/>
              <w:right w:val="nil"/>
            </w:tcBorders>
            <w:shd w:val="clear" w:color="auto" w:fill="FFFFFF"/>
            <w:tcMar>
              <w:top w:w="110" w:type="dxa"/>
            </w:tcMar>
          </w:tcPr>
          <w:p w:rsidR="00F777B4" w:rsidRPr="00526311" w:rsidRDefault="00F777B4" w:rsidP="0063039A">
            <w:pPr>
              <w:rPr>
                <w:sz w:val="16"/>
                <w:szCs w:val="16"/>
              </w:rPr>
            </w:pPr>
            <w:r w:rsidRPr="00526311">
              <w:rPr>
                <w:sz w:val="16"/>
                <w:szCs w:val="16"/>
              </w:rPr>
              <w:t>92,75% sobre la base de una encuesta de 2014</w:t>
            </w:r>
          </w:p>
        </w:tc>
        <w:tc>
          <w:tcPr>
            <w:tcW w:w="682" w:type="pct"/>
            <w:tcBorders>
              <w:top w:val="nil"/>
              <w:left w:val="nil"/>
              <w:bottom w:val="single" w:sz="4" w:space="0" w:color="auto"/>
              <w:right w:val="single" w:sz="4" w:space="0" w:color="auto"/>
            </w:tcBorders>
            <w:shd w:val="clear" w:color="auto" w:fill="auto"/>
            <w:tcMar>
              <w:top w:w="110" w:type="dxa"/>
            </w:tcMar>
          </w:tcPr>
          <w:p w:rsidR="00F777B4" w:rsidRPr="00526311" w:rsidRDefault="00F777B4" w:rsidP="0063039A">
            <w:pPr>
              <w:keepNext/>
              <w:keepLines/>
              <w:ind w:left="-108"/>
              <w:jc w:val="center"/>
              <w:rPr>
                <w:b/>
                <w:bCs/>
                <w:color w:val="00B050"/>
                <w:sz w:val="16"/>
                <w:szCs w:val="16"/>
              </w:rPr>
            </w:pPr>
            <w:r w:rsidRPr="00526311">
              <w:rPr>
                <w:b/>
                <w:bCs/>
                <w:color w:val="00B050"/>
                <w:sz w:val="16"/>
                <w:szCs w:val="16"/>
              </w:rPr>
              <w:t>Avanza</w:t>
            </w:r>
          </w:p>
          <w:p w:rsidR="00F777B4" w:rsidRPr="00526311" w:rsidRDefault="00F777B4" w:rsidP="0063039A">
            <w:pPr>
              <w:keepNext/>
              <w:keepLines/>
              <w:jc w:val="center"/>
              <w:rPr>
                <w:b/>
                <w:color w:val="00B050"/>
                <w:sz w:val="16"/>
                <w:szCs w:val="16"/>
              </w:rPr>
            </w:pPr>
          </w:p>
        </w:tc>
      </w:tr>
      <w:tr w:rsidR="00F777B4" w:rsidRPr="00526311" w:rsidTr="0063039A">
        <w:trPr>
          <w:trHeight w:val="431"/>
        </w:trPr>
        <w:tc>
          <w:tcPr>
            <w:tcW w:w="5000" w:type="pct"/>
            <w:gridSpan w:val="5"/>
            <w:tcBorders>
              <w:top w:val="nil"/>
              <w:bottom w:val="single" w:sz="4" w:space="0" w:color="auto"/>
            </w:tcBorders>
            <w:shd w:val="clear" w:color="auto" w:fill="CCFFFF"/>
            <w:vAlign w:val="center"/>
          </w:tcPr>
          <w:p w:rsidR="00F777B4" w:rsidRPr="00526311" w:rsidRDefault="00F777B4" w:rsidP="0063039A">
            <w:pPr>
              <w:keepNext/>
              <w:keepLines/>
              <w:tabs>
                <w:tab w:val="left" w:pos="2019"/>
              </w:tabs>
              <w:ind w:left="2019" w:hanging="2019"/>
              <w:rPr>
                <w:b/>
                <w:bCs/>
                <w:sz w:val="16"/>
                <w:szCs w:val="16"/>
              </w:rPr>
            </w:pPr>
            <w:r w:rsidRPr="00526311">
              <w:rPr>
                <w:b/>
                <w:bCs/>
                <w:sz w:val="16"/>
                <w:szCs w:val="16"/>
              </w:rPr>
              <w:t>Resultado previsto:</w:t>
            </w:r>
            <w:r w:rsidRPr="00526311">
              <w:rPr>
                <w:bCs/>
                <w:sz w:val="16"/>
                <w:szCs w:val="16"/>
              </w:rPr>
              <w:tab/>
              <w:t>I.2 Marcos de P.I. adaptados y equilibrados en el ámbito legislativo, reglamentario y de política</w:t>
            </w:r>
          </w:p>
        </w:tc>
      </w:tr>
      <w:tr w:rsidR="00F777B4" w:rsidRPr="00526311" w:rsidTr="0063039A">
        <w:tc>
          <w:tcPr>
            <w:tcW w:w="1288" w:type="pct"/>
            <w:tcBorders>
              <w:top w:val="single" w:sz="4" w:space="0" w:color="auto"/>
            </w:tcBorders>
            <w:shd w:val="clear" w:color="auto" w:fill="auto"/>
            <w:vAlign w:val="center"/>
          </w:tcPr>
          <w:p w:rsidR="00F777B4" w:rsidRPr="00526311" w:rsidRDefault="00F777B4" w:rsidP="0063039A">
            <w:pPr>
              <w:rPr>
                <w:sz w:val="16"/>
                <w:szCs w:val="16"/>
              </w:rPr>
            </w:pPr>
            <w:r w:rsidRPr="00526311">
              <w:rPr>
                <w:b/>
                <w:sz w:val="16"/>
                <w:szCs w:val="16"/>
              </w:rPr>
              <w:t>Indicadores de rendimiento</w:t>
            </w:r>
          </w:p>
        </w:tc>
        <w:tc>
          <w:tcPr>
            <w:tcW w:w="1212" w:type="pct"/>
            <w:tcBorders>
              <w:top w:val="single" w:sz="4" w:space="0" w:color="auto"/>
            </w:tcBorders>
            <w:shd w:val="clear" w:color="auto" w:fill="auto"/>
            <w:vAlign w:val="center"/>
          </w:tcPr>
          <w:p w:rsidR="00F777B4" w:rsidRPr="00526311" w:rsidRDefault="00F777B4" w:rsidP="0063039A">
            <w:pPr>
              <w:rPr>
                <w:b/>
                <w:bCs/>
                <w:sz w:val="16"/>
                <w:szCs w:val="16"/>
              </w:rPr>
            </w:pPr>
            <w:r w:rsidRPr="00526311">
              <w:rPr>
                <w:b/>
                <w:bCs/>
                <w:sz w:val="16"/>
                <w:szCs w:val="16"/>
              </w:rPr>
              <w:t>Referencia</w:t>
            </w:r>
          </w:p>
        </w:tc>
        <w:tc>
          <w:tcPr>
            <w:tcW w:w="681" w:type="pct"/>
            <w:tcBorders>
              <w:top w:val="single" w:sz="4" w:space="0" w:color="auto"/>
            </w:tcBorders>
            <w:shd w:val="clear" w:color="auto" w:fill="auto"/>
            <w:tcMar>
              <w:top w:w="110" w:type="dxa"/>
            </w:tcMar>
            <w:vAlign w:val="center"/>
          </w:tcPr>
          <w:p w:rsidR="00F777B4" w:rsidRPr="00526311" w:rsidRDefault="00F777B4" w:rsidP="0063039A">
            <w:pPr>
              <w:rPr>
                <w:b/>
                <w:sz w:val="16"/>
                <w:szCs w:val="16"/>
              </w:rPr>
            </w:pPr>
            <w:r w:rsidRPr="00526311">
              <w:rPr>
                <w:b/>
                <w:sz w:val="16"/>
                <w:szCs w:val="16"/>
              </w:rPr>
              <w:t>Objetivos</w:t>
            </w:r>
          </w:p>
        </w:tc>
        <w:tc>
          <w:tcPr>
            <w:tcW w:w="1137" w:type="pct"/>
            <w:tcBorders>
              <w:top w:val="single" w:sz="4" w:space="0" w:color="auto"/>
            </w:tcBorders>
            <w:shd w:val="clear" w:color="auto" w:fill="auto"/>
            <w:tcMar>
              <w:top w:w="110" w:type="dxa"/>
            </w:tcMar>
            <w:vAlign w:val="center"/>
          </w:tcPr>
          <w:p w:rsidR="00F777B4" w:rsidRPr="00526311" w:rsidRDefault="00F777B4" w:rsidP="0063039A">
            <w:pPr>
              <w:rPr>
                <w:sz w:val="16"/>
                <w:szCs w:val="16"/>
              </w:rPr>
            </w:pPr>
            <w:r w:rsidRPr="00526311">
              <w:rPr>
                <w:b/>
                <w:sz w:val="16"/>
                <w:szCs w:val="16"/>
              </w:rPr>
              <w:t>Datos sobre el rendimiento</w:t>
            </w:r>
          </w:p>
        </w:tc>
        <w:tc>
          <w:tcPr>
            <w:tcW w:w="682" w:type="pct"/>
            <w:tcBorders>
              <w:top w:val="single" w:sz="4" w:space="0" w:color="auto"/>
            </w:tcBorders>
            <w:shd w:val="clear" w:color="auto" w:fill="auto"/>
            <w:tcMar>
              <w:top w:w="110" w:type="dxa"/>
            </w:tcMar>
            <w:vAlign w:val="center"/>
          </w:tcPr>
          <w:p w:rsidR="00F777B4" w:rsidRPr="00526311" w:rsidRDefault="00F777B4" w:rsidP="0063039A">
            <w:pPr>
              <w:keepNext/>
              <w:keepLines/>
              <w:jc w:val="center"/>
              <w:rPr>
                <w:b/>
                <w:sz w:val="16"/>
                <w:szCs w:val="16"/>
              </w:rPr>
            </w:pPr>
            <w:r w:rsidRPr="00526311">
              <w:rPr>
                <w:b/>
                <w:sz w:val="16"/>
                <w:szCs w:val="16"/>
              </w:rPr>
              <w:t>Clave de colores</w:t>
            </w:r>
          </w:p>
        </w:tc>
      </w:tr>
      <w:tr w:rsidR="00F777B4" w:rsidRPr="00526311" w:rsidTr="0063039A">
        <w:tc>
          <w:tcPr>
            <w:tcW w:w="1288" w:type="pct"/>
            <w:shd w:val="clear" w:color="auto" w:fill="FFFFFF"/>
          </w:tcPr>
          <w:p w:rsidR="00F777B4" w:rsidRPr="00526311" w:rsidRDefault="00F777B4" w:rsidP="0063039A">
            <w:pPr>
              <w:rPr>
                <w:sz w:val="16"/>
                <w:szCs w:val="16"/>
                <w:lang w:bidi="th-TH"/>
              </w:rPr>
            </w:pPr>
            <w:r w:rsidRPr="00526311">
              <w:rPr>
                <w:sz w:val="16"/>
                <w:szCs w:val="16"/>
                <w:lang w:bidi="th-TH"/>
              </w:rPr>
              <w:t>Número y porcentaje de Estados miembros que consideran útil la información proporcionada en relación con los principios y prácticas jurídicos del sistema de patentes, como, por ejemplo, las flexibilidades que ofrece el sistema y los desafíos que se plantean en la materia.</w:t>
            </w:r>
          </w:p>
        </w:tc>
        <w:tc>
          <w:tcPr>
            <w:tcW w:w="1212" w:type="pct"/>
            <w:shd w:val="clear" w:color="auto" w:fill="auto"/>
          </w:tcPr>
          <w:p w:rsidR="00F777B4" w:rsidRPr="00526311" w:rsidRDefault="00F777B4" w:rsidP="0063039A">
            <w:pPr>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lang w:bidi="th-TH"/>
              </w:rPr>
              <w:t xml:space="preserve">90%, sobre la base de </w:t>
            </w:r>
            <w:r w:rsidR="004D00F9" w:rsidRPr="00526311">
              <w:rPr>
                <w:color w:val="002060"/>
                <w:sz w:val="16"/>
                <w:szCs w:val="16"/>
                <w:lang w:bidi="th-TH"/>
              </w:rPr>
              <w:t>una encuesta realizada por la D</w:t>
            </w:r>
            <w:r w:rsidRPr="00526311">
              <w:rPr>
                <w:color w:val="002060"/>
                <w:sz w:val="16"/>
                <w:szCs w:val="16"/>
                <w:lang w:bidi="th-TH"/>
              </w:rPr>
              <w:t>SI en 2013 entre 47 Estados miembros</w:t>
            </w:r>
          </w:p>
          <w:p w:rsidR="00F777B4" w:rsidRPr="00526311" w:rsidRDefault="00F777B4" w:rsidP="0063039A">
            <w:pPr>
              <w:rPr>
                <w:i/>
                <w:sz w:val="8"/>
                <w:szCs w:val="8"/>
                <w:lang w:bidi="th-TH"/>
              </w:rPr>
            </w:pPr>
          </w:p>
          <w:p w:rsidR="00F777B4" w:rsidRPr="00526311" w:rsidRDefault="007B705E" w:rsidP="0063039A">
            <w:pPr>
              <w:rPr>
                <w:i/>
                <w:sz w:val="16"/>
                <w:szCs w:val="16"/>
              </w:rPr>
            </w:pPr>
            <w:r w:rsidRPr="00526311">
              <w:rPr>
                <w:i/>
                <w:sz w:val="16"/>
                <w:szCs w:val="16"/>
                <w:lang w:bidi="th-TH"/>
              </w:rPr>
              <w:t>Referencia original en el presupuesto de 2014/15</w:t>
            </w:r>
            <w:r w:rsidR="00F777B4" w:rsidRPr="00526311">
              <w:rPr>
                <w:i/>
                <w:sz w:val="16"/>
                <w:szCs w:val="16"/>
                <w:lang w:bidi="th-TH"/>
              </w:rPr>
              <w:t xml:space="preserve">:  </w:t>
            </w:r>
            <w:r w:rsidR="00F777B4" w:rsidRPr="00526311">
              <w:rPr>
                <w:sz w:val="16"/>
                <w:szCs w:val="16"/>
                <w:lang w:bidi="th-TH"/>
              </w:rPr>
              <w:t>por determinar</w:t>
            </w:r>
          </w:p>
          <w:p w:rsidR="00F777B4" w:rsidRPr="00526311" w:rsidRDefault="00F777B4" w:rsidP="0063039A">
            <w:pPr>
              <w:rPr>
                <w:i/>
                <w:sz w:val="16"/>
                <w:szCs w:val="16"/>
              </w:rPr>
            </w:pPr>
          </w:p>
        </w:tc>
        <w:tc>
          <w:tcPr>
            <w:tcW w:w="681" w:type="pct"/>
            <w:shd w:val="clear" w:color="auto" w:fill="auto"/>
            <w:tcMar>
              <w:top w:w="110" w:type="dxa"/>
            </w:tcMar>
          </w:tcPr>
          <w:p w:rsidR="00F777B4" w:rsidRPr="00526311" w:rsidRDefault="00F777B4" w:rsidP="0063039A">
            <w:pPr>
              <w:autoSpaceDE w:val="0"/>
              <w:autoSpaceDN w:val="0"/>
              <w:adjustRightInd w:val="0"/>
              <w:rPr>
                <w:sz w:val="16"/>
                <w:szCs w:val="16"/>
              </w:rPr>
            </w:pPr>
            <w:r w:rsidRPr="00526311">
              <w:rPr>
                <w:sz w:val="16"/>
                <w:szCs w:val="16"/>
              </w:rPr>
              <w:t>90%</w:t>
            </w:r>
          </w:p>
        </w:tc>
        <w:tc>
          <w:tcPr>
            <w:tcW w:w="1137" w:type="pct"/>
            <w:shd w:val="clear" w:color="auto" w:fill="FFFFFF"/>
            <w:tcMar>
              <w:top w:w="110" w:type="dxa"/>
            </w:tcMar>
          </w:tcPr>
          <w:p w:rsidR="00F777B4" w:rsidRPr="00526311" w:rsidRDefault="00F777B4" w:rsidP="0063039A">
            <w:pPr>
              <w:rPr>
                <w:sz w:val="16"/>
                <w:szCs w:val="16"/>
                <w:lang w:bidi="th-TH"/>
              </w:rPr>
            </w:pPr>
            <w:r w:rsidRPr="00526311">
              <w:rPr>
                <w:sz w:val="16"/>
                <w:szCs w:val="16"/>
                <w:lang w:bidi="th-TH"/>
              </w:rPr>
              <w:t>6 de 7 encuestados (85,7%)</w:t>
            </w:r>
          </w:p>
        </w:tc>
        <w:tc>
          <w:tcPr>
            <w:tcW w:w="682" w:type="pct"/>
            <w:shd w:val="clear" w:color="auto" w:fill="auto"/>
            <w:tcMar>
              <w:top w:w="110" w:type="dxa"/>
            </w:tcMar>
          </w:tcPr>
          <w:p w:rsidR="00F777B4" w:rsidRPr="00526311" w:rsidRDefault="00F777B4" w:rsidP="0063039A">
            <w:pPr>
              <w:keepNext/>
              <w:keepLines/>
              <w:ind w:left="-108"/>
              <w:jc w:val="center"/>
              <w:rPr>
                <w:b/>
                <w:bCs/>
                <w:color w:val="00B050"/>
                <w:sz w:val="16"/>
                <w:szCs w:val="16"/>
              </w:rPr>
            </w:pPr>
            <w:r w:rsidRPr="00526311">
              <w:rPr>
                <w:b/>
                <w:bCs/>
                <w:color w:val="00B050"/>
                <w:sz w:val="16"/>
                <w:szCs w:val="16"/>
              </w:rPr>
              <w:t>Avanza</w:t>
            </w:r>
          </w:p>
          <w:p w:rsidR="00F777B4" w:rsidRPr="00526311" w:rsidRDefault="00F777B4" w:rsidP="0063039A">
            <w:pPr>
              <w:keepNext/>
              <w:keepLines/>
              <w:jc w:val="center"/>
              <w:rPr>
                <w:b/>
                <w:bCs/>
                <w:color w:val="00B050"/>
                <w:sz w:val="16"/>
                <w:szCs w:val="16"/>
              </w:rPr>
            </w:pPr>
          </w:p>
        </w:tc>
      </w:tr>
      <w:tr w:rsidR="00F777B4" w:rsidRPr="00526311" w:rsidTr="0063039A">
        <w:tc>
          <w:tcPr>
            <w:tcW w:w="1288" w:type="pct"/>
            <w:tcBorders>
              <w:top w:val="single" w:sz="4" w:space="0" w:color="auto"/>
            </w:tcBorders>
            <w:shd w:val="clear" w:color="auto" w:fill="auto"/>
            <w:vAlign w:val="center"/>
          </w:tcPr>
          <w:p w:rsidR="00F777B4" w:rsidRPr="00526311" w:rsidRDefault="00F777B4" w:rsidP="0063039A">
            <w:pPr>
              <w:keepNext/>
              <w:keepLines/>
              <w:rPr>
                <w:sz w:val="16"/>
                <w:szCs w:val="16"/>
              </w:rPr>
            </w:pPr>
            <w:r w:rsidRPr="00526311">
              <w:rPr>
                <w:b/>
                <w:sz w:val="16"/>
                <w:szCs w:val="16"/>
              </w:rPr>
              <w:lastRenderedPageBreak/>
              <w:t>Indicadores de rendimiento</w:t>
            </w:r>
          </w:p>
        </w:tc>
        <w:tc>
          <w:tcPr>
            <w:tcW w:w="1212" w:type="pct"/>
            <w:tcBorders>
              <w:top w:val="single" w:sz="4" w:space="0" w:color="auto"/>
            </w:tcBorders>
            <w:shd w:val="clear" w:color="auto" w:fill="auto"/>
            <w:vAlign w:val="center"/>
          </w:tcPr>
          <w:p w:rsidR="00F777B4" w:rsidRPr="00526311" w:rsidRDefault="00F777B4" w:rsidP="0063039A">
            <w:pPr>
              <w:rPr>
                <w:b/>
                <w:bCs/>
                <w:sz w:val="16"/>
                <w:szCs w:val="16"/>
              </w:rPr>
            </w:pPr>
            <w:r w:rsidRPr="00526311">
              <w:rPr>
                <w:b/>
                <w:bCs/>
                <w:sz w:val="16"/>
                <w:szCs w:val="16"/>
              </w:rPr>
              <w:t>Referencia</w:t>
            </w:r>
          </w:p>
        </w:tc>
        <w:tc>
          <w:tcPr>
            <w:tcW w:w="681" w:type="pct"/>
            <w:tcBorders>
              <w:top w:val="single" w:sz="4" w:space="0" w:color="auto"/>
            </w:tcBorders>
            <w:shd w:val="clear" w:color="auto" w:fill="auto"/>
            <w:tcMar>
              <w:top w:w="110" w:type="dxa"/>
            </w:tcMar>
            <w:vAlign w:val="center"/>
          </w:tcPr>
          <w:p w:rsidR="00F777B4" w:rsidRPr="00526311" w:rsidRDefault="00F777B4" w:rsidP="0063039A">
            <w:pPr>
              <w:rPr>
                <w:b/>
                <w:sz w:val="16"/>
                <w:szCs w:val="16"/>
              </w:rPr>
            </w:pPr>
            <w:r w:rsidRPr="00526311">
              <w:rPr>
                <w:b/>
                <w:sz w:val="16"/>
                <w:szCs w:val="16"/>
              </w:rPr>
              <w:t>Objetivos</w:t>
            </w:r>
          </w:p>
        </w:tc>
        <w:tc>
          <w:tcPr>
            <w:tcW w:w="1137" w:type="pct"/>
            <w:tcBorders>
              <w:top w:val="single" w:sz="4" w:space="0" w:color="auto"/>
            </w:tcBorders>
            <w:shd w:val="clear" w:color="auto" w:fill="auto"/>
            <w:tcMar>
              <w:top w:w="110" w:type="dxa"/>
            </w:tcMar>
            <w:vAlign w:val="center"/>
          </w:tcPr>
          <w:p w:rsidR="00F777B4" w:rsidRPr="00526311" w:rsidRDefault="00F777B4" w:rsidP="0063039A">
            <w:pPr>
              <w:rPr>
                <w:sz w:val="16"/>
                <w:szCs w:val="16"/>
              </w:rPr>
            </w:pPr>
            <w:r w:rsidRPr="00526311">
              <w:rPr>
                <w:b/>
                <w:sz w:val="16"/>
                <w:szCs w:val="16"/>
              </w:rPr>
              <w:t>Datos sobre el rendimiento</w:t>
            </w:r>
          </w:p>
        </w:tc>
        <w:tc>
          <w:tcPr>
            <w:tcW w:w="682" w:type="pct"/>
            <w:tcBorders>
              <w:top w:val="single" w:sz="4" w:space="0" w:color="auto"/>
            </w:tcBorders>
            <w:shd w:val="clear" w:color="auto" w:fill="auto"/>
            <w:tcMar>
              <w:top w:w="110" w:type="dxa"/>
            </w:tcMar>
            <w:vAlign w:val="center"/>
          </w:tcPr>
          <w:p w:rsidR="00F777B4" w:rsidRPr="00526311" w:rsidRDefault="00F777B4" w:rsidP="0063039A">
            <w:pPr>
              <w:keepNext/>
              <w:keepLines/>
              <w:jc w:val="center"/>
              <w:rPr>
                <w:b/>
                <w:sz w:val="16"/>
                <w:szCs w:val="16"/>
              </w:rPr>
            </w:pPr>
            <w:r w:rsidRPr="00526311">
              <w:rPr>
                <w:b/>
                <w:sz w:val="16"/>
                <w:szCs w:val="16"/>
              </w:rPr>
              <w:t>Clave de colores</w:t>
            </w:r>
          </w:p>
        </w:tc>
      </w:tr>
      <w:tr w:rsidR="00F777B4" w:rsidRPr="00526311" w:rsidTr="0063039A">
        <w:tc>
          <w:tcPr>
            <w:tcW w:w="1288" w:type="pct"/>
            <w:shd w:val="clear" w:color="auto" w:fill="FFFFFF"/>
          </w:tcPr>
          <w:p w:rsidR="00F777B4" w:rsidRPr="00526311" w:rsidRDefault="00F777B4" w:rsidP="0063039A">
            <w:pPr>
              <w:keepNext/>
              <w:keepLines/>
              <w:rPr>
                <w:sz w:val="16"/>
                <w:szCs w:val="16"/>
                <w:lang w:bidi="th-TH"/>
              </w:rPr>
            </w:pPr>
            <w:r w:rsidRPr="00526311">
              <w:rPr>
                <w:sz w:val="16"/>
                <w:szCs w:val="16"/>
                <w:lang w:bidi="th-TH"/>
              </w:rPr>
              <w:t>Número y porcentaje de Estados miembros satisfechos con la calidad del asesoramiento jurídico sobre patentes, modelos de utilidad, secretos comerciales y circuitos integrados.</w:t>
            </w:r>
          </w:p>
        </w:tc>
        <w:tc>
          <w:tcPr>
            <w:tcW w:w="1212" w:type="pct"/>
            <w:shd w:val="clear" w:color="auto" w:fill="auto"/>
          </w:tcPr>
          <w:p w:rsidR="00F777B4" w:rsidRPr="00526311" w:rsidRDefault="00F777B4" w:rsidP="0063039A">
            <w:pPr>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lang w:bidi="th-TH"/>
              </w:rPr>
              <w:t>9 encuestados</w:t>
            </w:r>
            <w:r w:rsidR="004D00F9" w:rsidRPr="00526311">
              <w:rPr>
                <w:color w:val="002060"/>
                <w:sz w:val="16"/>
                <w:szCs w:val="16"/>
                <w:lang w:bidi="th-TH"/>
              </w:rPr>
              <w:t xml:space="preserve"> </w:t>
            </w:r>
            <w:r w:rsidRPr="00526311">
              <w:rPr>
                <w:color w:val="002060"/>
                <w:sz w:val="16"/>
                <w:szCs w:val="16"/>
                <w:lang w:bidi="th-TH"/>
              </w:rPr>
              <w:t>(90%), sobre la base de una encuesta realizada por la DSI en 2013</w:t>
            </w:r>
          </w:p>
          <w:p w:rsidR="00F777B4" w:rsidRPr="00526311" w:rsidRDefault="00F777B4" w:rsidP="0063039A">
            <w:pPr>
              <w:rPr>
                <w:i/>
                <w:sz w:val="8"/>
                <w:szCs w:val="8"/>
                <w:lang w:bidi="th-TH"/>
              </w:rPr>
            </w:pPr>
          </w:p>
          <w:p w:rsidR="00F777B4" w:rsidRPr="00526311" w:rsidRDefault="007B705E" w:rsidP="0063039A">
            <w:pPr>
              <w:rPr>
                <w:i/>
                <w:sz w:val="16"/>
                <w:szCs w:val="16"/>
                <w:lang w:bidi="th-TH"/>
              </w:rPr>
            </w:pPr>
            <w:r w:rsidRPr="00526311">
              <w:rPr>
                <w:i/>
                <w:sz w:val="16"/>
                <w:szCs w:val="16"/>
                <w:lang w:bidi="th-TH"/>
              </w:rPr>
              <w:t>Referencia original en el presupuesto de 2014/15</w:t>
            </w:r>
            <w:r w:rsidR="00F777B4" w:rsidRPr="00526311">
              <w:rPr>
                <w:i/>
                <w:sz w:val="16"/>
                <w:szCs w:val="16"/>
                <w:lang w:bidi="th-TH"/>
              </w:rPr>
              <w:t xml:space="preserve">:  </w:t>
            </w:r>
            <w:r w:rsidR="00F777B4" w:rsidRPr="00526311">
              <w:rPr>
                <w:sz w:val="16"/>
                <w:szCs w:val="16"/>
                <w:lang w:bidi="th-TH"/>
              </w:rPr>
              <w:t>encuestas de  2012</w:t>
            </w:r>
          </w:p>
          <w:p w:rsidR="00F777B4" w:rsidRPr="00526311" w:rsidRDefault="00F777B4" w:rsidP="0063039A">
            <w:pPr>
              <w:keepNext/>
              <w:keepLines/>
              <w:rPr>
                <w:sz w:val="16"/>
                <w:szCs w:val="16"/>
                <w:lang w:bidi="th-TH"/>
              </w:rPr>
            </w:pPr>
          </w:p>
        </w:tc>
        <w:tc>
          <w:tcPr>
            <w:tcW w:w="681" w:type="pct"/>
            <w:shd w:val="clear" w:color="auto" w:fill="auto"/>
            <w:tcMar>
              <w:top w:w="110" w:type="dxa"/>
            </w:tcMar>
          </w:tcPr>
          <w:p w:rsidR="00F777B4" w:rsidRPr="00526311" w:rsidRDefault="00F777B4" w:rsidP="0063039A">
            <w:pPr>
              <w:autoSpaceDE w:val="0"/>
              <w:autoSpaceDN w:val="0"/>
              <w:adjustRightInd w:val="0"/>
              <w:rPr>
                <w:sz w:val="16"/>
                <w:szCs w:val="16"/>
              </w:rPr>
            </w:pPr>
            <w:r w:rsidRPr="00526311">
              <w:rPr>
                <w:sz w:val="16"/>
                <w:szCs w:val="16"/>
              </w:rPr>
              <w:t>90%</w:t>
            </w:r>
          </w:p>
        </w:tc>
        <w:tc>
          <w:tcPr>
            <w:tcW w:w="1137" w:type="pct"/>
            <w:shd w:val="clear" w:color="auto" w:fill="FFFFFF"/>
            <w:tcMar>
              <w:top w:w="110" w:type="dxa"/>
            </w:tcMar>
          </w:tcPr>
          <w:p w:rsidR="00F777B4" w:rsidRPr="00526311" w:rsidRDefault="00F777B4" w:rsidP="004D00F9">
            <w:pPr>
              <w:rPr>
                <w:sz w:val="16"/>
                <w:szCs w:val="16"/>
                <w:lang w:bidi="th-TH"/>
              </w:rPr>
            </w:pPr>
            <w:r w:rsidRPr="00526311">
              <w:rPr>
                <w:sz w:val="16"/>
                <w:szCs w:val="16"/>
                <w:lang w:bidi="th-TH"/>
              </w:rPr>
              <w:t>Ocho encuestados se manifestaron satisfechos en una media del  90% (África-2;  países árabes</w:t>
            </w:r>
            <w:r w:rsidR="004D00F9" w:rsidRPr="00526311">
              <w:rPr>
                <w:sz w:val="16"/>
                <w:szCs w:val="16"/>
                <w:lang w:bidi="th-TH"/>
              </w:rPr>
              <w:noBreakHyphen/>
            </w:r>
            <w:r w:rsidRPr="00526311">
              <w:rPr>
                <w:sz w:val="16"/>
                <w:szCs w:val="16"/>
                <w:lang w:bidi="th-TH"/>
              </w:rPr>
              <w:t>1;  Asia y el Pacífico-1;  Determinados países de Europa y Asia</w:t>
            </w:r>
            <w:r w:rsidR="004D00F9" w:rsidRPr="00526311">
              <w:rPr>
                <w:sz w:val="16"/>
                <w:szCs w:val="16"/>
                <w:lang w:bidi="th-TH"/>
              </w:rPr>
              <w:noBreakHyphen/>
            </w:r>
            <w:r w:rsidRPr="00526311">
              <w:rPr>
                <w:sz w:val="16"/>
                <w:szCs w:val="16"/>
                <w:lang w:bidi="th-TH"/>
              </w:rPr>
              <w:t xml:space="preserve">2;  América Latina y el Caribe-1;  Otros-1). </w:t>
            </w:r>
          </w:p>
        </w:tc>
        <w:tc>
          <w:tcPr>
            <w:tcW w:w="682" w:type="pct"/>
            <w:shd w:val="clear" w:color="auto" w:fill="auto"/>
            <w:tcMar>
              <w:top w:w="110" w:type="dxa"/>
            </w:tcMar>
          </w:tcPr>
          <w:p w:rsidR="00F777B4" w:rsidRPr="00526311" w:rsidRDefault="00F777B4" w:rsidP="0063039A">
            <w:pPr>
              <w:keepNext/>
              <w:keepLines/>
              <w:ind w:left="-108"/>
              <w:jc w:val="center"/>
              <w:rPr>
                <w:b/>
                <w:bCs/>
                <w:color w:val="00B050"/>
                <w:sz w:val="16"/>
                <w:szCs w:val="16"/>
              </w:rPr>
            </w:pPr>
            <w:r w:rsidRPr="00526311">
              <w:rPr>
                <w:b/>
                <w:bCs/>
                <w:color w:val="00B050"/>
                <w:sz w:val="16"/>
                <w:szCs w:val="16"/>
              </w:rPr>
              <w:t>Avanza</w:t>
            </w:r>
          </w:p>
          <w:p w:rsidR="00F777B4" w:rsidRPr="00526311" w:rsidRDefault="00F777B4" w:rsidP="0063039A">
            <w:pPr>
              <w:keepNext/>
              <w:keepLines/>
              <w:jc w:val="center"/>
              <w:rPr>
                <w:b/>
                <w:bCs/>
                <w:color w:val="00B050"/>
                <w:sz w:val="16"/>
                <w:szCs w:val="16"/>
              </w:rPr>
            </w:pPr>
          </w:p>
        </w:tc>
      </w:tr>
      <w:tr w:rsidR="00F777B4" w:rsidRPr="00526311" w:rsidTr="0063039A">
        <w:tc>
          <w:tcPr>
            <w:tcW w:w="1288" w:type="pct"/>
            <w:shd w:val="clear" w:color="auto" w:fill="FFFFFF"/>
          </w:tcPr>
          <w:p w:rsidR="00F777B4" w:rsidRPr="00526311" w:rsidRDefault="00F777B4" w:rsidP="0063039A">
            <w:pPr>
              <w:rPr>
                <w:sz w:val="16"/>
                <w:szCs w:val="16"/>
                <w:lang w:bidi="th-TH"/>
              </w:rPr>
            </w:pPr>
            <w:r w:rsidRPr="00526311">
              <w:rPr>
                <w:sz w:val="16"/>
                <w:szCs w:val="16"/>
                <w:lang w:bidi="th-TH"/>
              </w:rPr>
              <w:t>Con sujeción a la aprobación de los Estados miembros, avance en la revisión de la ley tipo sobre patentes para los países en desarrollo y los PMA.</w:t>
            </w:r>
          </w:p>
        </w:tc>
        <w:tc>
          <w:tcPr>
            <w:tcW w:w="1212" w:type="pct"/>
            <w:shd w:val="clear" w:color="auto" w:fill="auto"/>
          </w:tcPr>
          <w:p w:rsidR="00F777B4" w:rsidRPr="00526311" w:rsidRDefault="00F777B4" w:rsidP="0063039A">
            <w:pPr>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rPr>
              <w:t>una reunión de expertos</w:t>
            </w:r>
          </w:p>
          <w:p w:rsidR="00F777B4" w:rsidRPr="00526311" w:rsidRDefault="00F777B4" w:rsidP="0063039A">
            <w:pPr>
              <w:rPr>
                <w:i/>
                <w:sz w:val="8"/>
                <w:szCs w:val="8"/>
                <w:lang w:bidi="th-TH"/>
              </w:rPr>
            </w:pPr>
          </w:p>
          <w:p w:rsidR="00F777B4" w:rsidRPr="00526311" w:rsidRDefault="007B705E" w:rsidP="0063039A">
            <w:pPr>
              <w:rPr>
                <w:sz w:val="16"/>
                <w:szCs w:val="16"/>
                <w:lang w:bidi="th-TH"/>
              </w:rPr>
            </w:pPr>
            <w:r w:rsidRPr="00526311">
              <w:rPr>
                <w:i/>
                <w:sz w:val="16"/>
                <w:szCs w:val="16"/>
                <w:lang w:bidi="th-TH"/>
              </w:rPr>
              <w:t>Referencia original en el presupuesto de 2014/15</w:t>
            </w:r>
            <w:r w:rsidR="00F777B4" w:rsidRPr="00526311">
              <w:rPr>
                <w:i/>
                <w:sz w:val="16"/>
                <w:szCs w:val="16"/>
                <w:lang w:bidi="th-TH"/>
              </w:rPr>
              <w:t xml:space="preserve">:  </w:t>
            </w:r>
            <w:r w:rsidR="00F777B4" w:rsidRPr="00526311">
              <w:rPr>
                <w:sz w:val="16"/>
                <w:szCs w:val="16"/>
                <w:lang w:bidi="th-TH"/>
              </w:rPr>
              <w:t>por determinar</w:t>
            </w:r>
          </w:p>
          <w:p w:rsidR="00F777B4" w:rsidRPr="00526311" w:rsidRDefault="00F777B4" w:rsidP="0063039A">
            <w:pPr>
              <w:rPr>
                <w:i/>
                <w:sz w:val="16"/>
                <w:szCs w:val="16"/>
                <w:lang w:bidi="th-TH"/>
              </w:rPr>
            </w:pPr>
          </w:p>
        </w:tc>
        <w:tc>
          <w:tcPr>
            <w:tcW w:w="681" w:type="pct"/>
            <w:shd w:val="clear" w:color="auto" w:fill="auto"/>
            <w:tcMar>
              <w:top w:w="110" w:type="dxa"/>
            </w:tcMar>
          </w:tcPr>
          <w:p w:rsidR="00F777B4" w:rsidRPr="00526311" w:rsidRDefault="00F777B4" w:rsidP="0063039A">
            <w:pPr>
              <w:autoSpaceDE w:val="0"/>
              <w:autoSpaceDN w:val="0"/>
              <w:adjustRightInd w:val="0"/>
              <w:rPr>
                <w:sz w:val="16"/>
                <w:szCs w:val="16"/>
              </w:rPr>
            </w:pPr>
            <w:r w:rsidRPr="00526311">
              <w:rPr>
                <w:sz w:val="16"/>
                <w:szCs w:val="16"/>
              </w:rPr>
              <w:t>Avances en la labor preparatoria de la actualización de la ley tipo de la OMPI sobre patentes</w:t>
            </w:r>
            <w:r w:rsidRPr="00526311">
              <w:rPr>
                <w:sz w:val="16"/>
                <w:szCs w:val="16"/>
              </w:rPr>
              <w:br/>
            </w:r>
          </w:p>
        </w:tc>
        <w:tc>
          <w:tcPr>
            <w:tcW w:w="1137" w:type="pct"/>
            <w:shd w:val="clear" w:color="auto" w:fill="FFFFFF"/>
            <w:tcMar>
              <w:top w:w="110" w:type="dxa"/>
            </w:tcMar>
          </w:tcPr>
          <w:p w:rsidR="00F777B4" w:rsidRPr="00526311" w:rsidRDefault="00F777B4" w:rsidP="0063039A">
            <w:pPr>
              <w:rPr>
                <w:sz w:val="16"/>
                <w:szCs w:val="16"/>
                <w:lang w:bidi="th-TH"/>
              </w:rPr>
            </w:pPr>
            <w:r w:rsidRPr="00526311">
              <w:rPr>
                <w:sz w:val="16"/>
                <w:szCs w:val="16"/>
                <w:lang w:bidi="th-TH"/>
              </w:rPr>
              <w:t>Resumen de la Presidencia del SCP, documento SCP/21/11 Rev.</w:t>
            </w:r>
          </w:p>
        </w:tc>
        <w:tc>
          <w:tcPr>
            <w:tcW w:w="682" w:type="pct"/>
            <w:shd w:val="clear" w:color="auto" w:fill="auto"/>
            <w:tcMar>
              <w:top w:w="110" w:type="dxa"/>
            </w:tcMar>
          </w:tcPr>
          <w:p w:rsidR="00F777B4" w:rsidRPr="00526311" w:rsidRDefault="00F777B4" w:rsidP="0063039A">
            <w:pPr>
              <w:keepNext/>
              <w:keepLines/>
              <w:jc w:val="center"/>
              <w:rPr>
                <w:b/>
                <w:color w:val="FF0000"/>
                <w:sz w:val="16"/>
                <w:szCs w:val="16"/>
              </w:rPr>
            </w:pPr>
            <w:r w:rsidRPr="00526311">
              <w:rPr>
                <w:b/>
                <w:color w:val="FF0000"/>
                <w:sz w:val="16"/>
                <w:szCs w:val="16"/>
              </w:rPr>
              <w:t>No avanza</w:t>
            </w:r>
          </w:p>
        </w:tc>
      </w:tr>
    </w:tbl>
    <w:p w:rsidR="00F777B4" w:rsidRPr="00526311" w:rsidRDefault="00F777B4" w:rsidP="0063039A">
      <w:pPr>
        <w:rPr>
          <w:sz w:val="20"/>
        </w:rPr>
      </w:pPr>
    </w:p>
    <w:p w:rsidR="00F777B4" w:rsidRPr="00526311" w:rsidRDefault="00F777B4" w:rsidP="0063039A">
      <w:pPr>
        <w:rPr>
          <w:sz w:val="20"/>
        </w:rPr>
      </w:pPr>
    </w:p>
    <w:p w:rsidR="00F777B4" w:rsidRPr="00526311" w:rsidRDefault="00F777B4" w:rsidP="0063039A">
      <w:pPr>
        <w:rPr>
          <w:b/>
          <w:sz w:val="18"/>
          <w:szCs w:val="18"/>
        </w:rPr>
      </w:pPr>
      <w:r w:rsidRPr="00526311">
        <w:rPr>
          <w:szCs w:val="22"/>
        </w:rPr>
        <w:t>UTILIZACIÓN DE LOS RECURSOS</w:t>
      </w:r>
    </w:p>
    <w:p w:rsidR="00F777B4" w:rsidRPr="00526311" w:rsidRDefault="00F777B4" w:rsidP="0063039A">
      <w:pPr>
        <w:rPr>
          <w:sz w:val="20"/>
        </w:rPr>
      </w:pPr>
    </w:p>
    <w:p w:rsidR="00F777B4" w:rsidRPr="00526311" w:rsidRDefault="00F777B4"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F777B4" w:rsidRPr="00526311" w:rsidRDefault="00F777B4"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F777B4" w:rsidRPr="00526311" w:rsidRDefault="00F777B4" w:rsidP="0063039A">
      <w:pPr>
        <w:pStyle w:val="NormalWeb"/>
        <w:spacing w:before="0" w:beforeAutospacing="0" w:after="0" w:afterAutospacing="0"/>
        <w:jc w:val="center"/>
        <w:rPr>
          <w:sz w:val="20"/>
          <w:szCs w:val="20"/>
          <w:lang w:val="es-ES"/>
        </w:rPr>
      </w:pPr>
    </w:p>
    <w:p w:rsidR="00F777B4" w:rsidRPr="00526311" w:rsidRDefault="00DD7B62" w:rsidP="0063039A">
      <w:pPr>
        <w:jc w:val="center"/>
        <w:rPr>
          <w:sz w:val="20"/>
        </w:rPr>
      </w:pPr>
      <w:r w:rsidRPr="00526311">
        <w:rPr>
          <w:noProof/>
          <w:lang w:val="en-US" w:eastAsia="en-US"/>
        </w:rPr>
        <w:drawing>
          <wp:inline distT="0" distB="0" distL="0" distR="0" wp14:anchorId="3262B5B6" wp14:editId="0FE1CEE7">
            <wp:extent cx="5762625" cy="1945640"/>
            <wp:effectExtent l="0" t="0" r="9525"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1945640"/>
                    </a:xfrm>
                    <a:prstGeom prst="rect">
                      <a:avLst/>
                    </a:prstGeom>
                    <a:noFill/>
                    <a:ln>
                      <a:noFill/>
                    </a:ln>
                  </pic:spPr>
                </pic:pic>
              </a:graphicData>
            </a:graphic>
          </wp:inline>
        </w:drawing>
      </w:r>
    </w:p>
    <w:p w:rsidR="00F777B4" w:rsidRPr="00526311" w:rsidRDefault="00F777B4" w:rsidP="0063039A">
      <w:pPr>
        <w:rPr>
          <w:sz w:val="20"/>
        </w:rPr>
      </w:pPr>
    </w:p>
    <w:p w:rsidR="00F777B4" w:rsidRPr="00526311" w:rsidRDefault="00F777B4" w:rsidP="0063039A">
      <w:pPr>
        <w:rPr>
          <w:sz w:val="20"/>
        </w:rPr>
      </w:pPr>
    </w:p>
    <w:p w:rsidR="00F777B4" w:rsidRPr="00526311" w:rsidRDefault="00F777B4"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F777B4" w:rsidRPr="00526311" w:rsidRDefault="00F777B4"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(en miles de francos suizos)</w:t>
      </w:r>
    </w:p>
    <w:p w:rsidR="00F777B4" w:rsidRPr="00526311" w:rsidRDefault="00F777B4" w:rsidP="0063039A">
      <w:pPr>
        <w:pStyle w:val="NormalWeb"/>
        <w:keepNext/>
        <w:keepLines/>
        <w:spacing w:before="0" w:beforeAutospacing="0" w:after="0" w:afterAutospacing="0"/>
        <w:jc w:val="center"/>
        <w:rPr>
          <w:lang w:val="es-ES"/>
        </w:rPr>
      </w:pPr>
    </w:p>
    <w:p w:rsidR="00F777B4" w:rsidRPr="00526311" w:rsidRDefault="00FF6E74" w:rsidP="0063039A">
      <w:pPr>
        <w:jc w:val="center"/>
        <w:rPr>
          <w:sz w:val="20"/>
        </w:rPr>
      </w:pPr>
      <w:r w:rsidRPr="00526311">
        <w:rPr>
          <w:noProof/>
          <w:lang w:val="en-US" w:eastAsia="en-US"/>
        </w:rPr>
        <w:drawing>
          <wp:inline distT="0" distB="0" distL="0" distR="0" wp14:anchorId="32C214F6" wp14:editId="5AAAFDC1">
            <wp:extent cx="5940425" cy="128074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1280745"/>
                    </a:xfrm>
                    <a:prstGeom prst="rect">
                      <a:avLst/>
                    </a:prstGeom>
                    <a:noFill/>
                    <a:ln>
                      <a:noFill/>
                    </a:ln>
                  </pic:spPr>
                </pic:pic>
              </a:graphicData>
            </a:graphic>
          </wp:inline>
        </w:drawing>
      </w:r>
    </w:p>
    <w:p w:rsidR="00F777B4" w:rsidRPr="00526311" w:rsidRDefault="00F777B4" w:rsidP="0063039A">
      <w:pPr>
        <w:keepNext/>
        <w:autoSpaceDE w:val="0"/>
        <w:autoSpaceDN w:val="0"/>
        <w:rPr>
          <w:i/>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F777B4" w:rsidRPr="00526311" w:rsidRDefault="00F777B4" w:rsidP="0063039A">
      <w:pPr>
        <w:widowControl w:val="0"/>
        <w:autoSpaceDE w:val="0"/>
        <w:autoSpaceDN w:val="0"/>
        <w:adjustRightInd w:val="0"/>
        <w:rPr>
          <w:sz w:val="20"/>
        </w:rPr>
      </w:pPr>
    </w:p>
    <w:p w:rsidR="00F777B4" w:rsidRPr="00526311" w:rsidRDefault="00F777B4"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F777B4" w:rsidRPr="00526311" w:rsidRDefault="00F777B4" w:rsidP="0063039A">
      <w:pPr>
        <w:autoSpaceDE w:val="0"/>
        <w:autoSpaceDN w:val="0"/>
        <w:jc w:val="both"/>
        <w:rPr>
          <w:sz w:val="20"/>
          <w:lang w:eastAsia="ko-KR"/>
        </w:rPr>
      </w:pPr>
    </w:p>
    <w:p w:rsidR="00F777B4" w:rsidRPr="00526311" w:rsidRDefault="00F777B4" w:rsidP="00B45FC3">
      <w:pPr>
        <w:pStyle w:val="ListParagraph"/>
        <w:numPr>
          <w:ilvl w:val="0"/>
          <w:numId w:val="9"/>
        </w:numPr>
        <w:tabs>
          <w:tab w:val="left" w:pos="709"/>
        </w:tabs>
        <w:autoSpaceDE w:val="0"/>
        <w:autoSpaceDN w:val="0"/>
        <w:ind w:left="0" w:firstLine="0"/>
        <w:jc w:val="both"/>
        <w:rPr>
          <w:rFonts w:cs="Arial"/>
          <w:lang w:val="es-ES" w:eastAsia="ko-KR"/>
        </w:rPr>
      </w:pPr>
      <w:r w:rsidRPr="00526311">
        <w:rPr>
          <w:rFonts w:cs="Arial"/>
          <w:lang w:val="es-ES" w:eastAsia="zh-CN"/>
        </w:rPr>
        <w:t xml:space="preserve">El aumento general del presupuesto </w:t>
      </w:r>
      <w:r w:rsidR="00011744" w:rsidRPr="00526311">
        <w:rPr>
          <w:rFonts w:cs="Arial"/>
          <w:lang w:val="es-ES" w:eastAsia="zh-CN"/>
        </w:rPr>
        <w:t xml:space="preserve">de </w:t>
      </w:r>
      <w:r w:rsidRPr="00526311">
        <w:rPr>
          <w:rFonts w:cs="Arial"/>
          <w:lang w:val="es-ES" w:eastAsia="ko-KR"/>
        </w:rPr>
        <w:t xml:space="preserve">2014/15 </w:t>
      </w:r>
      <w:r w:rsidR="007D4926">
        <w:rPr>
          <w:rFonts w:cs="Arial"/>
          <w:lang w:val="es-ES" w:eastAsia="ko-KR"/>
        </w:rPr>
        <w:t>tras</w:t>
      </w:r>
      <w:r w:rsidRPr="00526311">
        <w:rPr>
          <w:rFonts w:cs="Arial"/>
          <w:lang w:val="es-ES" w:eastAsia="ko-KR"/>
        </w:rPr>
        <w:t xml:space="preserve"> las transferencias se debió a la asignación de recursos adicionales de personal al resultado I.2 (Asesoramiento en el ámbito legislativo) a fin de responder con mayor eficacia a un aumento de solicitudes de asesoramiento en ese ámbito.</w:t>
      </w:r>
    </w:p>
    <w:p w:rsidR="00F777B4" w:rsidRPr="00526311" w:rsidRDefault="00F777B4" w:rsidP="0063039A">
      <w:pPr>
        <w:autoSpaceDE w:val="0"/>
        <w:autoSpaceDN w:val="0"/>
        <w:jc w:val="both"/>
        <w:rPr>
          <w:sz w:val="20"/>
          <w:lang w:eastAsia="ko-KR"/>
        </w:rPr>
      </w:pPr>
    </w:p>
    <w:p w:rsidR="00F777B4" w:rsidRPr="00526311" w:rsidRDefault="00F777B4" w:rsidP="004D00F9">
      <w:pPr>
        <w:keepNext/>
        <w:keepLines/>
        <w:jc w:val="both"/>
        <w:rPr>
          <w:sz w:val="20"/>
          <w:u w:val="single"/>
          <w:lang w:eastAsia="ko-KR"/>
        </w:rPr>
      </w:pPr>
      <w:r w:rsidRPr="00526311">
        <w:rPr>
          <w:sz w:val="20"/>
          <w:lang w:eastAsia="ko-KR"/>
        </w:rPr>
        <w:lastRenderedPageBreak/>
        <w:t>B.</w:t>
      </w:r>
      <w:r w:rsidRPr="00526311">
        <w:rPr>
          <w:sz w:val="20"/>
          <w:lang w:eastAsia="ko-KR"/>
        </w:rPr>
        <w:tab/>
      </w:r>
      <w:r w:rsidRPr="00526311">
        <w:rPr>
          <w:sz w:val="20"/>
          <w:u w:val="single"/>
          <w:lang w:eastAsia="ko-KR"/>
        </w:rPr>
        <w:t>Utilización del presupuesto en 2014</w:t>
      </w:r>
    </w:p>
    <w:p w:rsidR="00F777B4" w:rsidRPr="00526311" w:rsidRDefault="00F777B4" w:rsidP="004D00F9">
      <w:pPr>
        <w:keepNext/>
        <w:keepLines/>
        <w:autoSpaceDE w:val="0"/>
        <w:autoSpaceDN w:val="0"/>
        <w:jc w:val="both"/>
        <w:rPr>
          <w:sz w:val="20"/>
        </w:rPr>
      </w:pPr>
    </w:p>
    <w:p w:rsidR="00F777B4" w:rsidRPr="00526311" w:rsidRDefault="00F777B4" w:rsidP="004D00F9">
      <w:pPr>
        <w:pStyle w:val="ListParagraph"/>
        <w:keepNext/>
        <w:keepLines/>
        <w:numPr>
          <w:ilvl w:val="0"/>
          <w:numId w:val="9"/>
        </w:numPr>
        <w:tabs>
          <w:tab w:val="left" w:pos="709"/>
        </w:tabs>
        <w:autoSpaceDE w:val="0"/>
        <w:autoSpaceDN w:val="0"/>
        <w:ind w:left="0" w:firstLine="0"/>
        <w:jc w:val="both"/>
        <w:rPr>
          <w:lang w:val="es-ES"/>
        </w:rPr>
      </w:pPr>
      <w:r w:rsidRPr="00526311">
        <w:rPr>
          <w:rFonts w:cs="Arial"/>
          <w:lang w:val="es-ES" w:eastAsia="zh-CN"/>
        </w:rPr>
        <w:t>La utilización del presupuesto se ha mantenido dentro de los límites establecidos (</w:t>
      </w:r>
      <w:r w:rsidRPr="00526311">
        <w:rPr>
          <w:lang w:val="es-ES"/>
        </w:rPr>
        <w:t>40-60%) durante el primer año del bienio y está bien encaminada.</w:t>
      </w:r>
    </w:p>
    <w:p w:rsidR="00F777B4" w:rsidRPr="00526311" w:rsidRDefault="00F777B4" w:rsidP="0063039A">
      <w:pPr>
        <w:tabs>
          <w:tab w:val="left" w:pos="709"/>
        </w:tabs>
        <w:autoSpaceDE w:val="0"/>
        <w:autoSpaceDN w:val="0"/>
        <w:jc w:val="both"/>
        <w:rPr>
          <w:sz w:val="20"/>
        </w:rPr>
      </w:pPr>
    </w:p>
    <w:p w:rsidR="00F777B4" w:rsidRPr="00526311" w:rsidRDefault="00F777B4" w:rsidP="0063039A">
      <w:pPr>
        <w:rPr>
          <w:sz w:val="20"/>
        </w:rPr>
      </w:pPr>
    </w:p>
    <w:p w:rsidR="00DD13E3" w:rsidRPr="00526311" w:rsidRDefault="00DD13E3">
      <w:pPr>
        <w:rPr>
          <w:bCs/>
          <w:iCs/>
          <w:caps/>
          <w:szCs w:val="22"/>
        </w:rPr>
      </w:pPr>
      <w:bookmarkStart w:id="15" w:name="_Toc327875008"/>
      <w:r w:rsidRPr="00526311">
        <w:rPr>
          <w:sz w:val="20"/>
          <w:szCs w:val="22"/>
        </w:rPr>
        <w:br w:type="page"/>
      </w:r>
    </w:p>
    <w:p w:rsidR="00F777B4" w:rsidRPr="00526311" w:rsidRDefault="00F777B4" w:rsidP="0063039A">
      <w:pPr>
        <w:pStyle w:val="Heading2"/>
        <w:tabs>
          <w:tab w:val="left" w:pos="2410"/>
        </w:tabs>
        <w:ind w:left="2410" w:hanging="2410"/>
        <w:rPr>
          <w:b/>
          <w:szCs w:val="22"/>
        </w:rPr>
      </w:pPr>
      <w:bookmarkStart w:id="16" w:name="_Toc422927403"/>
      <w:r w:rsidRPr="00526311">
        <w:rPr>
          <w:b/>
          <w:szCs w:val="22"/>
        </w:rPr>
        <w:lastRenderedPageBreak/>
        <w:t>PROGRAMA 2</w:t>
      </w:r>
      <w:r w:rsidRPr="00526311">
        <w:rPr>
          <w:b/>
          <w:szCs w:val="22"/>
        </w:rPr>
        <w:tab/>
        <w:t>MARCAS, DISEÑOS INDUSTRIALES E INDICACIONES GEOGRÁFICAS</w:t>
      </w:r>
      <w:bookmarkEnd w:id="16"/>
    </w:p>
    <w:p w:rsidR="00F777B4" w:rsidRPr="00526311" w:rsidRDefault="00F777B4" w:rsidP="0063039A">
      <w:pPr>
        <w:rPr>
          <w:sz w:val="20"/>
        </w:rPr>
      </w:pPr>
    </w:p>
    <w:p w:rsidR="00F777B4" w:rsidRPr="00526311" w:rsidRDefault="00F777B4" w:rsidP="0063039A">
      <w:pPr>
        <w:tabs>
          <w:tab w:val="left" w:pos="2410"/>
        </w:tabs>
        <w:rPr>
          <w:b/>
          <w:sz w:val="20"/>
        </w:rPr>
      </w:pPr>
      <w:r w:rsidRPr="00526311">
        <w:rPr>
          <w:b/>
          <w:sz w:val="20"/>
        </w:rPr>
        <w:t>Directora de programa</w:t>
      </w:r>
      <w:r w:rsidRPr="00526311">
        <w:rPr>
          <w:b/>
          <w:sz w:val="20"/>
        </w:rPr>
        <w:tab/>
        <w:t>Sra. B. Wang</w:t>
      </w:r>
    </w:p>
    <w:bookmarkEnd w:id="15"/>
    <w:p w:rsidR="00F777B4" w:rsidRPr="00526311" w:rsidRDefault="00F777B4" w:rsidP="0063039A">
      <w:pPr>
        <w:tabs>
          <w:tab w:val="left" w:pos="2268"/>
        </w:tabs>
        <w:rPr>
          <w:sz w:val="20"/>
        </w:rPr>
      </w:pPr>
    </w:p>
    <w:p w:rsidR="00F777B4" w:rsidRPr="00526311" w:rsidRDefault="00F777B4" w:rsidP="0063039A">
      <w:pPr>
        <w:tabs>
          <w:tab w:val="left" w:pos="2268"/>
        </w:tabs>
        <w:rPr>
          <w:bCs/>
          <w:sz w:val="20"/>
        </w:rPr>
      </w:pPr>
    </w:p>
    <w:p w:rsidR="00F777B4" w:rsidRPr="00526311" w:rsidRDefault="00F777B4" w:rsidP="0063039A">
      <w:pPr>
        <w:rPr>
          <w:bCs/>
          <w:szCs w:val="22"/>
        </w:rPr>
      </w:pPr>
      <w:r w:rsidRPr="00526311">
        <w:rPr>
          <w:bCs/>
          <w:szCs w:val="22"/>
        </w:rPr>
        <w:t>RESEÑA DE LOS AVANCES LOGRADOS EN 2014</w:t>
      </w:r>
    </w:p>
    <w:p w:rsidR="00F777B4" w:rsidRPr="00526311" w:rsidRDefault="00F777B4" w:rsidP="0063039A">
      <w:pPr>
        <w:tabs>
          <w:tab w:val="left" w:pos="2268"/>
        </w:tabs>
        <w:jc w:val="both"/>
        <w:rPr>
          <w:sz w:val="20"/>
        </w:rPr>
      </w:pPr>
    </w:p>
    <w:p w:rsidR="00F777B4" w:rsidRPr="00526311" w:rsidRDefault="00F777B4" w:rsidP="00B45FC3">
      <w:pPr>
        <w:pStyle w:val="ListParagraph"/>
        <w:numPr>
          <w:ilvl w:val="0"/>
          <w:numId w:val="11"/>
        </w:numPr>
        <w:autoSpaceDE w:val="0"/>
        <w:autoSpaceDN w:val="0"/>
        <w:ind w:left="0" w:firstLine="0"/>
        <w:jc w:val="both"/>
        <w:rPr>
          <w:rFonts w:cs="Arial"/>
          <w:lang w:val="es-ES" w:eastAsia="zh-CN"/>
        </w:rPr>
      </w:pPr>
      <w:r w:rsidRPr="00526311">
        <w:rPr>
          <w:rFonts w:cs="Arial"/>
          <w:lang w:val="es-ES" w:eastAsia="zh-CN"/>
        </w:rPr>
        <w:t xml:space="preserve">En 2014, el Comité Permanente sobre el Derecho de Marcas, Diseños Industriales e Indicaciones Geográficas (SCT) prosiguió en sus sesiones trigésima primera y trigésima segunda el trabajo relativo a un proyecto de tratado sobre el Derecho de los diseños que habría de adoptarse en una </w:t>
      </w:r>
      <w:r w:rsidR="004D00F9" w:rsidRPr="00526311">
        <w:rPr>
          <w:rFonts w:cs="Arial"/>
          <w:lang w:val="es-ES" w:eastAsia="zh-CN"/>
        </w:rPr>
        <w:t xml:space="preserve">posible </w:t>
      </w:r>
      <w:r w:rsidRPr="00526311">
        <w:rPr>
          <w:rFonts w:cs="Arial"/>
          <w:lang w:val="es-ES" w:eastAsia="zh-CN"/>
        </w:rPr>
        <w:t>conferencia diplomática.  La cuestión de convocar esa conferencia diplomática fue tratada por la Asamblea General de la OMPI en su cuadragésimo quinto período de sesiones</w:t>
      </w:r>
      <w:r w:rsidR="004D00F9" w:rsidRPr="00526311">
        <w:rPr>
          <w:rFonts w:cs="Arial"/>
          <w:lang w:val="es-ES" w:eastAsia="zh-CN"/>
        </w:rPr>
        <w:t xml:space="preserve"> (24º extraordinario)</w:t>
      </w:r>
      <w:r w:rsidRPr="00526311">
        <w:rPr>
          <w:rFonts w:cs="Arial"/>
          <w:lang w:val="es-ES" w:eastAsia="zh-CN"/>
        </w:rPr>
        <w:t>, en mayo de 2014, y en su cuadragésimo sexto período de sesiones</w:t>
      </w:r>
      <w:r w:rsidR="004D00F9" w:rsidRPr="00526311">
        <w:rPr>
          <w:rFonts w:cs="Arial"/>
          <w:lang w:val="es-ES" w:eastAsia="zh-CN"/>
        </w:rPr>
        <w:t xml:space="preserve"> (25º extraordinario)</w:t>
      </w:r>
      <w:r w:rsidRPr="00526311">
        <w:rPr>
          <w:rFonts w:cs="Arial"/>
          <w:lang w:val="es-ES" w:eastAsia="zh-CN"/>
        </w:rPr>
        <w:t>, en septiembre de 2014, sin que se haya adoptado una decisión al respecto.  Igualmente, el SCT continuó con su labor en torno a la protección de los nombres de países y examinó un estudio preparado por la Secretaría, así como una propuesta formulada por la Delegación de Jamaica.  Además, varias delegaciones presentaron propuestas en relación con el trabajo del SCT en materia de indicaciones geográficas.  Las actividades normativas del programa dentro del SCT se siguieron caracterizando por ser inclusivas y estar orientadas hacia los miembros, en sintonía con la recomendación 15 de la Agenda para el Desarrollo (A.D.), y las negociaciones del SCT se basaron en consultas abiertas y equilibradas, en sintonía con las recomendaciones 21 y 42 de la A.D.</w:t>
      </w:r>
    </w:p>
    <w:p w:rsidR="00F777B4" w:rsidRPr="00526311" w:rsidRDefault="00F777B4" w:rsidP="0063039A">
      <w:pPr>
        <w:pStyle w:val="ListParagraph"/>
        <w:tabs>
          <w:tab w:val="left" w:pos="709"/>
        </w:tabs>
        <w:autoSpaceDE w:val="0"/>
        <w:autoSpaceDN w:val="0"/>
        <w:ind w:left="0"/>
        <w:jc w:val="both"/>
        <w:rPr>
          <w:rFonts w:cs="Arial"/>
          <w:lang w:val="es-ES" w:eastAsia="zh-CN"/>
        </w:rPr>
      </w:pPr>
    </w:p>
    <w:p w:rsidR="00F777B4" w:rsidRPr="00526311" w:rsidRDefault="00F777B4" w:rsidP="00B45FC3">
      <w:pPr>
        <w:pStyle w:val="ListParagraph"/>
        <w:numPr>
          <w:ilvl w:val="0"/>
          <w:numId w:val="11"/>
        </w:numPr>
        <w:tabs>
          <w:tab w:val="left" w:pos="709"/>
        </w:tabs>
        <w:autoSpaceDE w:val="0"/>
        <w:autoSpaceDN w:val="0"/>
        <w:ind w:left="0" w:firstLine="0"/>
        <w:jc w:val="both"/>
        <w:rPr>
          <w:rFonts w:cs="Arial"/>
          <w:lang w:val="es-ES" w:eastAsia="zh-CN"/>
        </w:rPr>
      </w:pPr>
      <w:r w:rsidRPr="00526311">
        <w:rPr>
          <w:rFonts w:cs="Arial"/>
          <w:lang w:val="es-ES" w:eastAsia="zh-CN"/>
        </w:rPr>
        <w:t>En 2014 también se produjo la ratificación del Tratado de Singapur sobre el Derecho de Marcas, o la adhesión a él, por siete nuevas Partes Contratantes (Belarús, Bélgica, Iraq, Luxemburgo, la Organización de Propiedad Intelectual del Benelux (BOIP), los Países Bajos y Tayikistán), elevando a 38 el número total de Partes Contratantes, a finales de 2014.</w:t>
      </w:r>
    </w:p>
    <w:p w:rsidR="00F777B4" w:rsidRPr="00526311" w:rsidRDefault="00F777B4" w:rsidP="0063039A">
      <w:pPr>
        <w:pStyle w:val="ListParagraph"/>
        <w:tabs>
          <w:tab w:val="left" w:pos="709"/>
        </w:tabs>
        <w:autoSpaceDE w:val="0"/>
        <w:autoSpaceDN w:val="0"/>
        <w:ind w:left="0"/>
        <w:jc w:val="both"/>
        <w:rPr>
          <w:rFonts w:cs="Arial"/>
          <w:lang w:val="es-ES" w:eastAsia="zh-CN"/>
        </w:rPr>
      </w:pPr>
    </w:p>
    <w:p w:rsidR="00F777B4" w:rsidRPr="00526311" w:rsidRDefault="00F777B4" w:rsidP="00B45FC3">
      <w:pPr>
        <w:pStyle w:val="ListParagraph"/>
        <w:numPr>
          <w:ilvl w:val="0"/>
          <w:numId w:val="11"/>
        </w:numPr>
        <w:autoSpaceDE w:val="0"/>
        <w:autoSpaceDN w:val="0"/>
        <w:ind w:left="0" w:firstLine="0"/>
        <w:jc w:val="both"/>
        <w:rPr>
          <w:rFonts w:cs="Arial"/>
          <w:lang w:val="es-ES" w:eastAsia="zh-CN"/>
        </w:rPr>
      </w:pPr>
      <w:r w:rsidRPr="00526311">
        <w:rPr>
          <w:rFonts w:cs="Arial"/>
          <w:lang w:val="es-ES" w:eastAsia="zh-CN"/>
        </w:rPr>
        <w:t>Por lo que atañe al aumento de la protección de los emblemas de Estado y de los nombres y emblemas de organizaciones intergubernamentales internacionales en virtud del Artículo 6</w:t>
      </w:r>
      <w:r w:rsidRPr="00526311">
        <w:rPr>
          <w:rFonts w:cs="Arial"/>
          <w:i/>
          <w:lang w:val="es-ES" w:eastAsia="zh-CN"/>
        </w:rPr>
        <w:t>ter</w:t>
      </w:r>
      <w:r w:rsidRPr="00526311">
        <w:rPr>
          <w:rFonts w:cs="Arial"/>
          <w:lang w:val="es-ES" w:eastAsia="zh-CN"/>
        </w:rPr>
        <w:t xml:space="preserve"> del Convenio de París, las comunicaciones y las respuestas a peticiones se trataron con puntualidad y eficiencia durante el período objeto de examen.  Las discrepancias entre el objetivo de peticiones que se deben tramitar y el número de peticiones tramitadas en realidad se deben a la fluctuación en el número de peticiones y al hecho de que el objetivo estimado está basado en una media bienal.  Otro tanto sucede con el número real de signos publicados (es decir, 49), que no alc</w:t>
      </w:r>
      <w:r w:rsidR="00C34F3C" w:rsidRPr="00526311">
        <w:rPr>
          <w:rFonts w:cs="Arial"/>
          <w:lang w:val="es-ES" w:eastAsia="zh-CN"/>
        </w:rPr>
        <w:t>anza el objetivo.  A finales de </w:t>
      </w:r>
      <w:r w:rsidRPr="00526311">
        <w:rPr>
          <w:rFonts w:cs="Arial"/>
          <w:lang w:val="es-ES" w:eastAsia="zh-CN"/>
        </w:rPr>
        <w:t>2014, la base de base de datos sobre el Artículo 6</w:t>
      </w:r>
      <w:r w:rsidRPr="00526311">
        <w:rPr>
          <w:rFonts w:cs="Arial"/>
          <w:i/>
          <w:lang w:val="es-ES" w:eastAsia="zh-CN"/>
        </w:rPr>
        <w:t>ter</w:t>
      </w:r>
      <w:r w:rsidRPr="00526311">
        <w:rPr>
          <w:rFonts w:cs="Arial"/>
          <w:lang w:val="es-ES" w:eastAsia="zh-CN"/>
        </w:rPr>
        <w:t xml:space="preserve"> contenía un total de 3.057 signos.</w:t>
      </w:r>
    </w:p>
    <w:p w:rsidR="00F777B4" w:rsidRPr="00526311" w:rsidRDefault="00F777B4" w:rsidP="0063039A">
      <w:pPr>
        <w:pStyle w:val="ListParagraph"/>
        <w:tabs>
          <w:tab w:val="left" w:pos="709"/>
        </w:tabs>
        <w:autoSpaceDE w:val="0"/>
        <w:autoSpaceDN w:val="0"/>
        <w:ind w:left="0"/>
        <w:jc w:val="both"/>
        <w:rPr>
          <w:rFonts w:cs="Arial"/>
          <w:lang w:val="es-ES" w:eastAsia="zh-CN"/>
        </w:rPr>
      </w:pPr>
    </w:p>
    <w:p w:rsidR="00F777B4" w:rsidRPr="00526311" w:rsidRDefault="00F777B4" w:rsidP="00B45FC3">
      <w:pPr>
        <w:pStyle w:val="ListParagraph"/>
        <w:numPr>
          <w:ilvl w:val="0"/>
          <w:numId w:val="11"/>
        </w:numPr>
        <w:tabs>
          <w:tab w:val="left" w:pos="709"/>
        </w:tabs>
        <w:autoSpaceDE w:val="0"/>
        <w:autoSpaceDN w:val="0"/>
        <w:ind w:left="0" w:firstLine="0"/>
        <w:jc w:val="both"/>
        <w:rPr>
          <w:rFonts w:cs="Arial"/>
          <w:lang w:val="es-ES" w:eastAsia="zh-CN"/>
        </w:rPr>
      </w:pPr>
      <w:r w:rsidRPr="00526311">
        <w:rPr>
          <w:rFonts w:cs="Arial"/>
          <w:lang w:val="es-ES" w:eastAsia="zh-CN"/>
        </w:rPr>
        <w:t xml:space="preserve">En cuanto al trabajo relativo a marcos de P.I. adaptados y equilibrados en el ámbito legislativo, reglamentario y de política, se dio asesoramiento a 20 Estados miembros/organizaciones intergubernamentales en la esfera del Derecho de marcas, dibujos o modelos industriales e indicaciones geográficas.  Las actividades del programa en las esferas de la asistencia técnica, el fortalecimiento de capacidades y la asistencia en materia legislativa estuvieron orientadas a potenciar el desarrollo, obedecieron a la demanda y fueron objeto de informes durante el año, en sintonía con las recomendaciones 1 y 13 de la A.D. </w:t>
      </w:r>
    </w:p>
    <w:p w:rsidR="00F777B4" w:rsidRPr="00526311" w:rsidRDefault="00F777B4" w:rsidP="0063039A">
      <w:pPr>
        <w:pStyle w:val="ListParagraph"/>
        <w:tabs>
          <w:tab w:val="left" w:pos="709"/>
        </w:tabs>
        <w:autoSpaceDE w:val="0"/>
        <w:autoSpaceDN w:val="0"/>
        <w:ind w:left="0"/>
        <w:jc w:val="both"/>
        <w:rPr>
          <w:rFonts w:cs="Arial"/>
          <w:lang w:val="es-ES" w:eastAsia="zh-CN"/>
        </w:rPr>
      </w:pPr>
    </w:p>
    <w:p w:rsidR="00F777B4" w:rsidRPr="00526311" w:rsidRDefault="00F777B4" w:rsidP="00B45FC3">
      <w:pPr>
        <w:pStyle w:val="ListParagraph"/>
        <w:numPr>
          <w:ilvl w:val="0"/>
          <w:numId w:val="11"/>
        </w:numPr>
        <w:tabs>
          <w:tab w:val="left" w:pos="0"/>
        </w:tabs>
        <w:autoSpaceDE w:val="0"/>
        <w:autoSpaceDN w:val="0"/>
        <w:ind w:left="0" w:firstLine="0"/>
        <w:jc w:val="both"/>
        <w:rPr>
          <w:rFonts w:cs="Arial"/>
          <w:lang w:val="es-ES" w:eastAsia="zh-CN"/>
        </w:rPr>
      </w:pPr>
      <w:r w:rsidRPr="00526311">
        <w:rPr>
          <w:rFonts w:cs="Arial"/>
          <w:lang w:val="es-ES" w:eastAsia="zh-CN"/>
        </w:rPr>
        <w:t>Además, en el marco del programa, se ejecutó e primer año del Proyecto piloto sobre la P.I. y la gestión de diseños para fomentar las actividades comerciales (DA_4_10_02), de la A.D.  Se seleccionaron en 2014 los dos países piloto, a saber, la Argentina y Marruecos, así como los organismos coordinadores.  Tras un acuerdo formal con ambos países acerca de la declaraci</w:t>
      </w:r>
      <w:r w:rsidRPr="00526311">
        <w:rPr>
          <w:rFonts w:ascii="Tahoma" w:hAnsi="Tahoma" w:cs="Tahoma"/>
          <w:lang w:val="es-ES" w:eastAsia="zh-CN"/>
        </w:rPr>
        <w:t>ó</w:t>
      </w:r>
      <w:r w:rsidRPr="00526311">
        <w:rPr>
          <w:rFonts w:cs="Arial"/>
          <w:lang w:val="es-ES" w:eastAsia="zh-CN"/>
        </w:rPr>
        <w:t>n de alcance del proyecto, se redactaron las estrategias nacionales de protección de los diseños, los planes de divulgación y las estrategias de salida.  En ambos países se realizaron estudios de viabilidad, y se seleccionaron los coordinadores del proyecto de país, los expertos nacionales y, en total, 70 pymes beneficiarias.  Se realizaron satisfactoriamente los actos del lanzamiento de los proyectos nacionales.  Se prevé que en 2015 las cartas de los proyectos serán firmadas en ambos países por sectores interesados clave, como ministerios.</w:t>
      </w:r>
    </w:p>
    <w:p w:rsidR="00F777B4" w:rsidRPr="00526311" w:rsidRDefault="00F777B4" w:rsidP="0063039A">
      <w:pPr>
        <w:pStyle w:val="ListParagraph"/>
        <w:tabs>
          <w:tab w:val="left" w:pos="709"/>
        </w:tabs>
        <w:autoSpaceDE w:val="0"/>
        <w:autoSpaceDN w:val="0"/>
        <w:ind w:left="0"/>
        <w:jc w:val="both"/>
        <w:rPr>
          <w:rFonts w:cs="Arial"/>
          <w:lang w:val="es-ES" w:eastAsia="zh-CN"/>
        </w:rPr>
      </w:pPr>
    </w:p>
    <w:p w:rsidR="00F777B4" w:rsidRPr="00526311" w:rsidRDefault="00F777B4" w:rsidP="0063039A">
      <w:pPr>
        <w:pStyle w:val="ListParagraph"/>
        <w:tabs>
          <w:tab w:val="left" w:pos="709"/>
        </w:tabs>
        <w:autoSpaceDE w:val="0"/>
        <w:autoSpaceDN w:val="0"/>
        <w:ind w:left="0"/>
        <w:jc w:val="both"/>
        <w:rPr>
          <w:rFonts w:cs="Arial"/>
          <w:lang w:val="es-ES" w:eastAsia="zh-CN"/>
        </w:rPr>
      </w:pPr>
    </w:p>
    <w:p w:rsidR="00F777B4" w:rsidRPr="00526311" w:rsidRDefault="00F777B4" w:rsidP="0063039A">
      <w:pPr>
        <w:rPr>
          <w:sz w:val="20"/>
          <w:szCs w:val="22"/>
        </w:rPr>
      </w:pPr>
      <w:r w:rsidRPr="00526311">
        <w:rPr>
          <w:sz w:val="20"/>
          <w:szCs w:val="22"/>
        </w:rPr>
        <w:br w:type="page"/>
      </w:r>
    </w:p>
    <w:p w:rsidR="00F777B4" w:rsidRPr="00526311" w:rsidRDefault="00F777B4" w:rsidP="0063039A">
      <w:pPr>
        <w:tabs>
          <w:tab w:val="left" w:pos="2268"/>
        </w:tabs>
        <w:rPr>
          <w:szCs w:val="22"/>
        </w:rPr>
      </w:pPr>
      <w:r w:rsidRPr="00526311">
        <w:rPr>
          <w:szCs w:val="22"/>
        </w:rPr>
        <w:lastRenderedPageBreak/>
        <w:t>DATOS SOBRE EL RENDIMIENTO</w:t>
      </w:r>
    </w:p>
    <w:p w:rsidR="00F777B4" w:rsidRPr="00526311" w:rsidRDefault="00F777B4" w:rsidP="0063039A">
      <w:pPr>
        <w:tabs>
          <w:tab w:val="left" w:pos="2268"/>
        </w:tabs>
        <w:rPr>
          <w:b/>
          <w:szCs w:val="22"/>
        </w:rPr>
      </w:pPr>
    </w:p>
    <w:tbl>
      <w:tblPr>
        <w:tblW w:w="5113"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89"/>
        <w:gridCol w:w="2744"/>
        <w:gridCol w:w="29"/>
        <w:gridCol w:w="1317"/>
        <w:gridCol w:w="18"/>
        <w:gridCol w:w="86"/>
        <w:gridCol w:w="2040"/>
        <w:gridCol w:w="57"/>
        <w:gridCol w:w="135"/>
        <w:gridCol w:w="1172"/>
      </w:tblGrid>
      <w:tr w:rsidR="00F777B4" w:rsidRPr="00526311" w:rsidTr="0063039A">
        <w:trPr>
          <w:cantSplit/>
          <w:trHeight w:val="634"/>
        </w:trPr>
        <w:tc>
          <w:tcPr>
            <w:tcW w:w="5000" w:type="pct"/>
            <w:gridSpan w:val="10"/>
            <w:tcBorders>
              <w:top w:val="single" w:sz="4" w:space="0" w:color="auto"/>
              <w:bottom w:val="single" w:sz="4" w:space="0" w:color="auto"/>
            </w:tcBorders>
            <w:shd w:val="clear" w:color="auto" w:fill="CCFFFF"/>
            <w:vAlign w:val="center"/>
          </w:tcPr>
          <w:p w:rsidR="00F777B4" w:rsidRPr="00526311" w:rsidRDefault="00F777B4" w:rsidP="0063039A">
            <w:pPr>
              <w:keepNext/>
              <w:keepLines/>
              <w:ind w:left="1735" w:hanging="1735"/>
              <w:rPr>
                <w:b/>
                <w:bCs/>
                <w:sz w:val="16"/>
                <w:szCs w:val="16"/>
              </w:rPr>
            </w:pPr>
            <w:r w:rsidRPr="00526311">
              <w:rPr>
                <w:b/>
                <w:bCs/>
                <w:sz w:val="16"/>
                <w:szCs w:val="16"/>
              </w:rPr>
              <w:t>Resultado previsto:</w:t>
            </w:r>
            <w:r w:rsidRPr="00526311">
              <w:rPr>
                <w:bCs/>
                <w:sz w:val="16"/>
                <w:szCs w:val="16"/>
              </w:rPr>
              <w:tab/>
              <w:t>I.1 Mejor cooperación entre los Estados miembros en lo que atañe a la elaboración de marcos normativos internacionales equilibrados para la P.I. y fomento de acuerdos sobre las cuestiones específicas respecto de las que se acuerdan instrumentos internacionales</w:t>
            </w:r>
          </w:p>
        </w:tc>
      </w:tr>
      <w:tr w:rsidR="00F777B4" w:rsidRPr="00526311" w:rsidTr="0063039A">
        <w:trPr>
          <w:cantSplit/>
        </w:trPr>
        <w:tc>
          <w:tcPr>
            <w:tcW w:w="1118" w:type="pct"/>
            <w:tcBorders>
              <w:top w:val="single" w:sz="4" w:space="0" w:color="auto"/>
            </w:tcBorders>
            <w:shd w:val="clear" w:color="auto" w:fill="auto"/>
            <w:vAlign w:val="center"/>
          </w:tcPr>
          <w:p w:rsidR="00F777B4" w:rsidRPr="00526311" w:rsidRDefault="00F777B4" w:rsidP="0063039A">
            <w:pPr>
              <w:rPr>
                <w:b/>
                <w:sz w:val="16"/>
                <w:szCs w:val="16"/>
              </w:rPr>
            </w:pPr>
            <w:r w:rsidRPr="00526311">
              <w:rPr>
                <w:b/>
                <w:sz w:val="16"/>
                <w:szCs w:val="16"/>
              </w:rPr>
              <w:t>Indicadores de rendimiento</w:t>
            </w:r>
          </w:p>
        </w:tc>
        <w:tc>
          <w:tcPr>
            <w:tcW w:w="1417" w:type="pct"/>
            <w:gridSpan w:val="2"/>
            <w:tcBorders>
              <w:top w:val="single" w:sz="4" w:space="0" w:color="auto"/>
            </w:tcBorders>
            <w:shd w:val="clear" w:color="auto" w:fill="auto"/>
            <w:vAlign w:val="center"/>
          </w:tcPr>
          <w:p w:rsidR="00F777B4" w:rsidRPr="00526311" w:rsidRDefault="00F777B4" w:rsidP="0063039A">
            <w:pPr>
              <w:rPr>
                <w:b/>
                <w:bCs/>
                <w:sz w:val="16"/>
                <w:szCs w:val="16"/>
              </w:rPr>
            </w:pPr>
            <w:r w:rsidRPr="00526311">
              <w:rPr>
                <w:b/>
                <w:bCs/>
                <w:sz w:val="16"/>
                <w:szCs w:val="16"/>
              </w:rPr>
              <w:t>Referencia</w:t>
            </w:r>
          </w:p>
        </w:tc>
        <w:tc>
          <w:tcPr>
            <w:tcW w:w="682" w:type="pct"/>
            <w:gridSpan w:val="2"/>
            <w:tcBorders>
              <w:top w:val="single" w:sz="4" w:space="0" w:color="auto"/>
            </w:tcBorders>
            <w:shd w:val="clear" w:color="auto" w:fill="auto"/>
            <w:tcMar>
              <w:top w:w="110" w:type="dxa"/>
            </w:tcMar>
            <w:vAlign w:val="center"/>
          </w:tcPr>
          <w:p w:rsidR="00F777B4" w:rsidRPr="00526311" w:rsidRDefault="00F777B4" w:rsidP="0063039A">
            <w:pPr>
              <w:rPr>
                <w:b/>
                <w:sz w:val="16"/>
                <w:szCs w:val="16"/>
              </w:rPr>
            </w:pPr>
            <w:r w:rsidRPr="00526311">
              <w:rPr>
                <w:b/>
                <w:sz w:val="16"/>
                <w:szCs w:val="16"/>
              </w:rPr>
              <w:t>Objetivos</w:t>
            </w:r>
          </w:p>
        </w:tc>
        <w:tc>
          <w:tcPr>
            <w:tcW w:w="1115" w:type="pct"/>
            <w:gridSpan w:val="3"/>
            <w:tcBorders>
              <w:top w:val="single" w:sz="4" w:space="0" w:color="auto"/>
            </w:tcBorders>
            <w:shd w:val="clear" w:color="auto" w:fill="auto"/>
            <w:tcMar>
              <w:top w:w="110" w:type="dxa"/>
            </w:tcMar>
            <w:vAlign w:val="center"/>
          </w:tcPr>
          <w:p w:rsidR="00F777B4" w:rsidRPr="00526311" w:rsidRDefault="00F777B4" w:rsidP="0063039A">
            <w:pPr>
              <w:rPr>
                <w:b/>
                <w:sz w:val="16"/>
                <w:szCs w:val="16"/>
              </w:rPr>
            </w:pPr>
            <w:r w:rsidRPr="00526311">
              <w:rPr>
                <w:b/>
                <w:sz w:val="16"/>
                <w:szCs w:val="16"/>
              </w:rPr>
              <w:t>Datos sobre el rendimiento</w:t>
            </w:r>
          </w:p>
        </w:tc>
        <w:tc>
          <w:tcPr>
            <w:tcW w:w="668" w:type="pct"/>
            <w:gridSpan w:val="2"/>
            <w:tcBorders>
              <w:top w:val="single" w:sz="4" w:space="0" w:color="auto"/>
            </w:tcBorders>
            <w:shd w:val="clear" w:color="auto" w:fill="auto"/>
            <w:tcMar>
              <w:top w:w="110" w:type="dxa"/>
            </w:tcMar>
            <w:vAlign w:val="center"/>
          </w:tcPr>
          <w:p w:rsidR="00F777B4" w:rsidRPr="00526311" w:rsidRDefault="00F777B4" w:rsidP="0063039A">
            <w:pPr>
              <w:rPr>
                <w:b/>
                <w:sz w:val="16"/>
                <w:szCs w:val="16"/>
              </w:rPr>
            </w:pPr>
            <w:r w:rsidRPr="00526311">
              <w:rPr>
                <w:b/>
                <w:sz w:val="16"/>
                <w:szCs w:val="16"/>
              </w:rPr>
              <w:t>Clave de colores</w:t>
            </w:r>
          </w:p>
        </w:tc>
      </w:tr>
      <w:tr w:rsidR="00F777B4" w:rsidRPr="00526311" w:rsidTr="0063039A">
        <w:trPr>
          <w:cantSplit/>
        </w:trPr>
        <w:tc>
          <w:tcPr>
            <w:tcW w:w="1118" w:type="pct"/>
            <w:shd w:val="clear" w:color="auto" w:fill="auto"/>
          </w:tcPr>
          <w:p w:rsidR="00F777B4" w:rsidRPr="00526311" w:rsidRDefault="00F777B4" w:rsidP="0063039A">
            <w:pPr>
              <w:autoSpaceDE w:val="0"/>
              <w:autoSpaceDN w:val="0"/>
              <w:adjustRightInd w:val="0"/>
              <w:rPr>
                <w:sz w:val="16"/>
                <w:szCs w:val="16"/>
              </w:rPr>
            </w:pPr>
            <w:r w:rsidRPr="00526311">
              <w:rPr>
                <w:rFonts w:eastAsiaTheme="minorHAnsi"/>
                <w:sz w:val="16"/>
                <w:szCs w:val="16"/>
              </w:rPr>
              <w:t>Acuerdo sobre un marco normativo para los procedimientos de registro y mantenimiento de los diseños industriales.</w:t>
            </w:r>
          </w:p>
        </w:tc>
        <w:tc>
          <w:tcPr>
            <w:tcW w:w="1417" w:type="pct"/>
            <w:gridSpan w:val="2"/>
            <w:shd w:val="clear" w:color="auto" w:fill="auto"/>
          </w:tcPr>
          <w:p w:rsidR="00F777B4" w:rsidRPr="00526311" w:rsidRDefault="00F777B4" w:rsidP="0063039A">
            <w:pPr>
              <w:rPr>
                <w:color w:val="002060"/>
                <w:sz w:val="16"/>
                <w:szCs w:val="16"/>
                <w:lang w:bidi="th-TH"/>
              </w:rPr>
            </w:pPr>
            <w:r w:rsidRPr="00526311">
              <w:rPr>
                <w:i/>
                <w:color w:val="002060"/>
                <w:sz w:val="16"/>
                <w:szCs w:val="16"/>
                <w:lang w:bidi="th-TH"/>
              </w:rPr>
              <w:t>Referencia actualizada a fines de 2013:</w:t>
            </w:r>
            <w:r w:rsidRPr="00526311">
              <w:rPr>
                <w:color w:val="002060"/>
                <w:sz w:val="16"/>
                <w:szCs w:val="16"/>
                <w:lang w:bidi="th-TH"/>
              </w:rPr>
              <w:t xml:space="preserve">  No existe un marco normativo para los procedimientos de registro de los diseños industriales.</w:t>
            </w:r>
          </w:p>
          <w:p w:rsidR="00F777B4" w:rsidRPr="00526311" w:rsidRDefault="00F777B4" w:rsidP="0063039A">
            <w:pPr>
              <w:rPr>
                <w:i/>
                <w:sz w:val="8"/>
                <w:szCs w:val="8"/>
              </w:rPr>
            </w:pPr>
          </w:p>
          <w:p w:rsidR="00F777B4" w:rsidRPr="00526311" w:rsidRDefault="007B705E" w:rsidP="0063039A">
            <w:pPr>
              <w:rPr>
                <w:sz w:val="16"/>
                <w:szCs w:val="16"/>
              </w:rPr>
            </w:pPr>
            <w:r w:rsidRPr="00526311">
              <w:rPr>
                <w:i/>
                <w:sz w:val="16"/>
                <w:szCs w:val="16"/>
              </w:rPr>
              <w:t>Referencia original en el presupuesto de 2014/15</w:t>
            </w:r>
            <w:r w:rsidR="00F777B4" w:rsidRPr="00526311">
              <w:rPr>
                <w:i/>
                <w:sz w:val="16"/>
                <w:szCs w:val="16"/>
              </w:rPr>
              <w:t xml:space="preserve">:  </w:t>
            </w:r>
            <w:r w:rsidR="00F777B4" w:rsidRPr="00526311">
              <w:rPr>
                <w:rFonts w:eastAsiaTheme="minorHAnsi"/>
                <w:sz w:val="16"/>
                <w:szCs w:val="16"/>
              </w:rPr>
              <w:t>No existe un marco normativo para los procedimientos de registro y mantenimiento de los diseños industriales.</w:t>
            </w:r>
          </w:p>
        </w:tc>
        <w:tc>
          <w:tcPr>
            <w:tcW w:w="682" w:type="pct"/>
            <w:gridSpan w:val="2"/>
            <w:shd w:val="clear" w:color="auto" w:fill="auto"/>
            <w:tcMar>
              <w:top w:w="110" w:type="dxa"/>
            </w:tcMar>
          </w:tcPr>
          <w:p w:rsidR="00F777B4" w:rsidRPr="00526311" w:rsidRDefault="00F777B4" w:rsidP="0063039A">
            <w:pPr>
              <w:autoSpaceDE w:val="0"/>
              <w:autoSpaceDN w:val="0"/>
              <w:adjustRightInd w:val="0"/>
              <w:rPr>
                <w:sz w:val="16"/>
                <w:szCs w:val="16"/>
              </w:rPr>
            </w:pPr>
            <w:r w:rsidRPr="00526311">
              <w:rPr>
                <w:sz w:val="16"/>
                <w:szCs w:val="16"/>
              </w:rPr>
              <w:t>Adopción en una posible conferencia diplomática de un tratado sobre el Derecho de los diseños industriales.</w:t>
            </w:r>
          </w:p>
        </w:tc>
        <w:tc>
          <w:tcPr>
            <w:tcW w:w="1115" w:type="pct"/>
            <w:gridSpan w:val="3"/>
            <w:shd w:val="clear" w:color="auto" w:fill="auto"/>
            <w:tcMar>
              <w:top w:w="110" w:type="dxa"/>
            </w:tcMar>
          </w:tcPr>
          <w:p w:rsidR="00F777B4" w:rsidRPr="00526311" w:rsidRDefault="00F777B4" w:rsidP="0063039A">
            <w:pPr>
              <w:rPr>
                <w:sz w:val="16"/>
                <w:szCs w:val="16"/>
              </w:rPr>
            </w:pPr>
            <w:r w:rsidRPr="00526311">
              <w:rPr>
                <w:sz w:val="16"/>
                <w:szCs w:val="16"/>
              </w:rPr>
              <w:t>No se ha adoptado la decisión de convocar una conferencia diplomática para la adopción de un tratado sobre el Derecho de los diseños.</w:t>
            </w:r>
          </w:p>
        </w:tc>
        <w:tc>
          <w:tcPr>
            <w:tcW w:w="668" w:type="pct"/>
            <w:gridSpan w:val="2"/>
            <w:shd w:val="clear" w:color="auto" w:fill="auto"/>
            <w:tcMar>
              <w:top w:w="110" w:type="dxa"/>
            </w:tcMar>
          </w:tcPr>
          <w:p w:rsidR="00F777B4" w:rsidRPr="00526311" w:rsidRDefault="00F777B4" w:rsidP="0063039A">
            <w:pPr>
              <w:rPr>
                <w:b/>
                <w:color w:val="FF0000"/>
                <w:sz w:val="16"/>
                <w:szCs w:val="16"/>
              </w:rPr>
            </w:pPr>
            <w:r w:rsidRPr="00526311">
              <w:rPr>
                <w:b/>
                <w:color w:val="FF0000"/>
                <w:sz w:val="16"/>
                <w:szCs w:val="16"/>
              </w:rPr>
              <w:t>No avanza</w:t>
            </w:r>
          </w:p>
        </w:tc>
      </w:tr>
      <w:tr w:rsidR="00F777B4" w:rsidRPr="00526311" w:rsidTr="0063039A">
        <w:trPr>
          <w:cantSplit/>
        </w:trPr>
        <w:tc>
          <w:tcPr>
            <w:tcW w:w="1118" w:type="pct"/>
            <w:shd w:val="clear" w:color="auto" w:fill="auto"/>
          </w:tcPr>
          <w:p w:rsidR="00F777B4" w:rsidRPr="00526311" w:rsidRDefault="00F777B4" w:rsidP="0063039A">
            <w:pPr>
              <w:autoSpaceDE w:val="0"/>
              <w:autoSpaceDN w:val="0"/>
              <w:adjustRightInd w:val="0"/>
              <w:rPr>
                <w:sz w:val="16"/>
                <w:szCs w:val="16"/>
              </w:rPr>
            </w:pPr>
            <w:r w:rsidRPr="00526311">
              <w:rPr>
                <w:rFonts w:eastAsiaTheme="minorHAnsi"/>
                <w:sz w:val="16"/>
                <w:szCs w:val="16"/>
              </w:rPr>
              <w:t>Avances para llegar a un acuerdo sobre las cuestiones que figuran en el orden del día del SCT.</w:t>
            </w:r>
          </w:p>
        </w:tc>
        <w:tc>
          <w:tcPr>
            <w:tcW w:w="1417" w:type="pct"/>
            <w:gridSpan w:val="2"/>
            <w:shd w:val="clear" w:color="auto" w:fill="auto"/>
          </w:tcPr>
          <w:p w:rsidR="00F777B4" w:rsidRPr="00526311" w:rsidRDefault="00F777B4" w:rsidP="0063039A">
            <w:pPr>
              <w:rPr>
                <w:color w:val="002060"/>
                <w:sz w:val="16"/>
                <w:szCs w:val="16"/>
                <w:lang w:bidi="th-TH"/>
              </w:rPr>
            </w:pPr>
            <w:r w:rsidRPr="00526311">
              <w:rPr>
                <w:i/>
                <w:color w:val="002060"/>
                <w:sz w:val="16"/>
                <w:szCs w:val="16"/>
                <w:lang w:bidi="th-TH"/>
              </w:rPr>
              <w:t>Referencia actualizada a fines de 2013:</w:t>
            </w:r>
            <w:r w:rsidRPr="00526311">
              <w:rPr>
                <w:color w:val="002060"/>
                <w:sz w:val="16"/>
                <w:szCs w:val="16"/>
                <w:lang w:bidi="th-TH"/>
              </w:rPr>
              <w:t xml:space="preserve">  Acuerdo del SCT con respecto a un número significativo de proyectos de artículos y normas para un tratado sobre el Derecho de los diseños industriales.</w:t>
            </w:r>
          </w:p>
          <w:p w:rsidR="00F777B4" w:rsidRPr="00526311" w:rsidRDefault="00F777B4" w:rsidP="0063039A">
            <w:pPr>
              <w:rPr>
                <w:color w:val="002060"/>
                <w:sz w:val="16"/>
                <w:szCs w:val="16"/>
                <w:lang w:bidi="th-TH"/>
              </w:rPr>
            </w:pPr>
          </w:p>
          <w:p w:rsidR="00F777B4" w:rsidRPr="00526311" w:rsidRDefault="00F777B4" w:rsidP="0063039A">
            <w:pPr>
              <w:rPr>
                <w:i/>
                <w:sz w:val="16"/>
                <w:szCs w:val="16"/>
              </w:rPr>
            </w:pPr>
            <w:r w:rsidRPr="00526311">
              <w:rPr>
                <w:color w:val="002060"/>
                <w:sz w:val="16"/>
                <w:szCs w:val="16"/>
                <w:lang w:bidi="th-TH"/>
              </w:rPr>
              <w:t>Acuerdo del SCT sobre la continuación del trabajo en materia de protección de los nombres de país.</w:t>
            </w:r>
          </w:p>
          <w:p w:rsidR="00F777B4" w:rsidRPr="00526311" w:rsidRDefault="00F777B4" w:rsidP="0063039A">
            <w:pPr>
              <w:rPr>
                <w:i/>
                <w:sz w:val="8"/>
                <w:szCs w:val="8"/>
              </w:rPr>
            </w:pPr>
          </w:p>
          <w:p w:rsidR="00F777B4" w:rsidRPr="00526311" w:rsidRDefault="007B705E" w:rsidP="0063039A">
            <w:pPr>
              <w:rPr>
                <w:sz w:val="16"/>
                <w:szCs w:val="16"/>
              </w:rPr>
            </w:pPr>
            <w:r w:rsidRPr="00526311">
              <w:rPr>
                <w:i/>
                <w:sz w:val="16"/>
                <w:szCs w:val="16"/>
              </w:rPr>
              <w:t>Referencia original en el presupuesto de 2014/15</w:t>
            </w:r>
            <w:r w:rsidR="00F777B4" w:rsidRPr="00526311">
              <w:rPr>
                <w:i/>
                <w:sz w:val="16"/>
                <w:szCs w:val="16"/>
              </w:rPr>
              <w:t>:</w:t>
            </w:r>
          </w:p>
          <w:p w:rsidR="00F777B4" w:rsidRPr="00526311" w:rsidRDefault="00F777B4" w:rsidP="0063039A">
            <w:pPr>
              <w:rPr>
                <w:sz w:val="16"/>
                <w:szCs w:val="16"/>
              </w:rPr>
            </w:pPr>
            <w:r w:rsidRPr="00526311">
              <w:rPr>
                <w:sz w:val="16"/>
                <w:szCs w:val="16"/>
              </w:rPr>
              <w:t>Proyecto de documento de referencia sobre la protección de los nombres de países contra su registro y uso como marcas.</w:t>
            </w:r>
          </w:p>
        </w:tc>
        <w:tc>
          <w:tcPr>
            <w:tcW w:w="682" w:type="pct"/>
            <w:gridSpan w:val="2"/>
            <w:shd w:val="clear" w:color="auto" w:fill="auto"/>
            <w:tcMar>
              <w:top w:w="110" w:type="dxa"/>
            </w:tcMar>
          </w:tcPr>
          <w:p w:rsidR="00F777B4" w:rsidRPr="00526311" w:rsidRDefault="00F777B4" w:rsidP="0063039A">
            <w:pPr>
              <w:autoSpaceDE w:val="0"/>
              <w:autoSpaceDN w:val="0"/>
              <w:adjustRightInd w:val="0"/>
              <w:rPr>
                <w:sz w:val="16"/>
                <w:szCs w:val="16"/>
              </w:rPr>
            </w:pPr>
            <w:r w:rsidRPr="00526311">
              <w:rPr>
                <w:sz w:val="16"/>
                <w:szCs w:val="16"/>
              </w:rPr>
              <w:t>Resultados acordados en el SCT.</w:t>
            </w:r>
          </w:p>
        </w:tc>
        <w:tc>
          <w:tcPr>
            <w:tcW w:w="1115" w:type="pct"/>
            <w:gridSpan w:val="3"/>
            <w:shd w:val="clear" w:color="auto" w:fill="auto"/>
            <w:tcMar>
              <w:top w:w="110" w:type="dxa"/>
            </w:tcMar>
          </w:tcPr>
          <w:p w:rsidR="00F777B4" w:rsidRPr="00526311" w:rsidRDefault="00F777B4" w:rsidP="0063039A">
            <w:pPr>
              <w:rPr>
                <w:sz w:val="16"/>
                <w:szCs w:val="16"/>
              </w:rPr>
            </w:pPr>
            <w:r w:rsidRPr="00526311">
              <w:rPr>
                <w:sz w:val="16"/>
                <w:szCs w:val="16"/>
              </w:rPr>
              <w:t>Acuerdo del SCT sobre la continuación del trabajo en materia de protección de los nombres de país.</w:t>
            </w:r>
          </w:p>
          <w:p w:rsidR="00F777B4" w:rsidRPr="00526311" w:rsidRDefault="00F777B4" w:rsidP="0063039A">
            <w:pPr>
              <w:rPr>
                <w:sz w:val="16"/>
                <w:szCs w:val="16"/>
              </w:rPr>
            </w:pPr>
          </w:p>
          <w:p w:rsidR="00F777B4" w:rsidRPr="00526311" w:rsidRDefault="00F777B4" w:rsidP="0063039A">
            <w:pPr>
              <w:rPr>
                <w:sz w:val="16"/>
                <w:szCs w:val="16"/>
              </w:rPr>
            </w:pPr>
            <w:r w:rsidRPr="00526311">
              <w:rPr>
                <w:sz w:val="16"/>
                <w:szCs w:val="16"/>
              </w:rPr>
              <w:t>En 2014, prosiguió la labor relativa a la protección de los nombres de país, y durante las dos sesiones del SCT (SCT/31 and 32), se examinaron un estudio preparado por la Secretaría y una propuesta de la Delegación de Jamaica.</w:t>
            </w:r>
          </w:p>
        </w:tc>
        <w:tc>
          <w:tcPr>
            <w:tcW w:w="668" w:type="pct"/>
            <w:gridSpan w:val="2"/>
            <w:shd w:val="clear" w:color="auto" w:fill="auto"/>
            <w:tcMar>
              <w:top w:w="110" w:type="dxa"/>
            </w:tcMar>
          </w:tcPr>
          <w:p w:rsidR="00F777B4" w:rsidRPr="00526311" w:rsidRDefault="00F777B4" w:rsidP="0063039A">
            <w:pPr>
              <w:rPr>
                <w:b/>
                <w:color w:val="00B050"/>
                <w:sz w:val="16"/>
                <w:szCs w:val="16"/>
              </w:rPr>
            </w:pPr>
            <w:r w:rsidRPr="00526311">
              <w:rPr>
                <w:b/>
                <w:color w:val="00B050"/>
                <w:sz w:val="16"/>
                <w:szCs w:val="16"/>
              </w:rPr>
              <w:t>Avanza</w:t>
            </w:r>
          </w:p>
        </w:tc>
      </w:tr>
      <w:tr w:rsidR="00F777B4" w:rsidRPr="00526311" w:rsidTr="0063039A">
        <w:trPr>
          <w:cantSplit/>
        </w:trPr>
        <w:tc>
          <w:tcPr>
            <w:tcW w:w="1118" w:type="pct"/>
            <w:shd w:val="clear" w:color="auto" w:fill="auto"/>
          </w:tcPr>
          <w:p w:rsidR="00F777B4" w:rsidRPr="00526311" w:rsidRDefault="00F777B4" w:rsidP="0063039A">
            <w:pPr>
              <w:rPr>
                <w:sz w:val="16"/>
                <w:szCs w:val="16"/>
              </w:rPr>
            </w:pPr>
            <w:r w:rsidRPr="00526311">
              <w:rPr>
                <w:sz w:val="16"/>
                <w:szCs w:val="16"/>
              </w:rPr>
              <w:t>Número de ratificaciones y adhesiones al Tratado de Singapur.</w:t>
            </w:r>
          </w:p>
        </w:tc>
        <w:tc>
          <w:tcPr>
            <w:tcW w:w="1417" w:type="pct"/>
            <w:gridSpan w:val="2"/>
            <w:shd w:val="clear" w:color="auto" w:fill="auto"/>
          </w:tcPr>
          <w:p w:rsidR="00F777B4" w:rsidRPr="00526311" w:rsidRDefault="00F777B4" w:rsidP="0063039A">
            <w:pPr>
              <w:rPr>
                <w:color w:val="002060"/>
                <w:sz w:val="16"/>
                <w:szCs w:val="16"/>
                <w:lang w:bidi="th-TH"/>
              </w:rPr>
            </w:pPr>
            <w:r w:rsidRPr="00526311">
              <w:rPr>
                <w:i/>
                <w:color w:val="002060"/>
                <w:sz w:val="16"/>
                <w:szCs w:val="16"/>
                <w:lang w:bidi="th-TH"/>
              </w:rPr>
              <w:t>Referencia actualizada a fines de 2013:</w:t>
            </w:r>
            <w:r w:rsidRPr="00526311">
              <w:rPr>
                <w:color w:val="002060"/>
                <w:sz w:val="16"/>
                <w:szCs w:val="16"/>
                <w:lang w:bidi="th-TH"/>
              </w:rPr>
              <w:t xml:space="preserve">  31 Partes Contratantes (finales de 2013)</w:t>
            </w:r>
          </w:p>
          <w:p w:rsidR="00F777B4" w:rsidRPr="00526311" w:rsidRDefault="00F777B4" w:rsidP="0063039A">
            <w:pPr>
              <w:rPr>
                <w:i/>
                <w:sz w:val="8"/>
                <w:szCs w:val="8"/>
              </w:rPr>
            </w:pPr>
          </w:p>
          <w:p w:rsidR="00F777B4" w:rsidRPr="00526311" w:rsidRDefault="007B705E" w:rsidP="0063039A">
            <w:pPr>
              <w:rPr>
                <w:sz w:val="16"/>
                <w:szCs w:val="16"/>
              </w:rPr>
            </w:pPr>
            <w:r w:rsidRPr="00526311">
              <w:rPr>
                <w:i/>
                <w:sz w:val="16"/>
                <w:szCs w:val="16"/>
              </w:rPr>
              <w:t>Referencia original en el presupuesto de 2014/15</w:t>
            </w:r>
            <w:r w:rsidR="00F777B4" w:rsidRPr="00526311">
              <w:rPr>
                <w:i/>
                <w:sz w:val="16"/>
                <w:szCs w:val="16"/>
              </w:rPr>
              <w:t>:</w:t>
            </w:r>
          </w:p>
          <w:p w:rsidR="00F777B4" w:rsidRPr="00526311" w:rsidRDefault="00F777B4" w:rsidP="0063039A">
            <w:pPr>
              <w:rPr>
                <w:sz w:val="16"/>
                <w:szCs w:val="16"/>
              </w:rPr>
            </w:pPr>
            <w:r w:rsidRPr="00526311">
              <w:rPr>
                <w:sz w:val="16"/>
                <w:szCs w:val="16"/>
              </w:rPr>
              <w:t>29 Partes Contratantes (finales de 2012).</w:t>
            </w:r>
          </w:p>
        </w:tc>
        <w:tc>
          <w:tcPr>
            <w:tcW w:w="682" w:type="pct"/>
            <w:gridSpan w:val="2"/>
            <w:shd w:val="clear" w:color="auto" w:fill="auto"/>
            <w:tcMar>
              <w:top w:w="110" w:type="dxa"/>
            </w:tcMar>
          </w:tcPr>
          <w:p w:rsidR="00F777B4" w:rsidRPr="00526311" w:rsidRDefault="00F777B4" w:rsidP="0063039A">
            <w:pPr>
              <w:autoSpaceDE w:val="0"/>
              <w:autoSpaceDN w:val="0"/>
              <w:adjustRightInd w:val="0"/>
              <w:rPr>
                <w:sz w:val="16"/>
                <w:szCs w:val="16"/>
              </w:rPr>
            </w:pPr>
            <w:r w:rsidRPr="00526311">
              <w:rPr>
                <w:sz w:val="16"/>
                <w:szCs w:val="16"/>
              </w:rPr>
              <w:t>Ocho nuevas ratificaciones/ adhesiones.</w:t>
            </w:r>
          </w:p>
        </w:tc>
        <w:tc>
          <w:tcPr>
            <w:tcW w:w="1115" w:type="pct"/>
            <w:gridSpan w:val="3"/>
            <w:shd w:val="clear" w:color="auto" w:fill="auto"/>
            <w:tcMar>
              <w:top w:w="110" w:type="dxa"/>
            </w:tcMar>
          </w:tcPr>
          <w:p w:rsidR="00F777B4" w:rsidRPr="00526311" w:rsidRDefault="00F777B4" w:rsidP="0063039A">
            <w:pPr>
              <w:rPr>
                <w:sz w:val="16"/>
                <w:szCs w:val="16"/>
              </w:rPr>
            </w:pPr>
            <w:r w:rsidRPr="00526311">
              <w:rPr>
                <w:sz w:val="16"/>
                <w:szCs w:val="16"/>
              </w:rPr>
              <w:t>Siete nuevas Partes Contratantes en 2014:  Belarús, Bélgica, Iraq, Luxemburgo, Organización de Propiedad Intelectual del Benelux (BOIP), Países Bajos y Tayikistán, elevando a 38 el número total de Partes Contratantes a fines de 2014.</w:t>
            </w:r>
            <w:r w:rsidRPr="00526311">
              <w:rPr>
                <w:sz w:val="16"/>
                <w:szCs w:val="16"/>
              </w:rPr>
              <w:br/>
            </w:r>
          </w:p>
        </w:tc>
        <w:tc>
          <w:tcPr>
            <w:tcW w:w="668" w:type="pct"/>
            <w:gridSpan w:val="2"/>
            <w:shd w:val="clear" w:color="auto" w:fill="auto"/>
            <w:tcMar>
              <w:top w:w="110" w:type="dxa"/>
            </w:tcMar>
          </w:tcPr>
          <w:p w:rsidR="00F777B4" w:rsidRPr="00526311" w:rsidRDefault="00F777B4" w:rsidP="0063039A">
            <w:pPr>
              <w:rPr>
                <w:b/>
                <w:color w:val="00B050"/>
                <w:sz w:val="16"/>
                <w:szCs w:val="16"/>
              </w:rPr>
            </w:pPr>
            <w:r w:rsidRPr="00526311">
              <w:rPr>
                <w:b/>
                <w:color w:val="00B050"/>
                <w:sz w:val="16"/>
                <w:szCs w:val="16"/>
              </w:rPr>
              <w:t>Avanza</w:t>
            </w:r>
          </w:p>
        </w:tc>
      </w:tr>
      <w:tr w:rsidR="00F777B4" w:rsidRPr="00526311" w:rsidTr="0063039A">
        <w:trPr>
          <w:cantSplit/>
          <w:trHeight w:val="423"/>
        </w:trPr>
        <w:tc>
          <w:tcPr>
            <w:tcW w:w="5000" w:type="pct"/>
            <w:gridSpan w:val="10"/>
            <w:tcBorders>
              <w:top w:val="single" w:sz="4" w:space="0" w:color="auto"/>
              <w:bottom w:val="single" w:sz="4" w:space="0" w:color="auto"/>
            </w:tcBorders>
            <w:shd w:val="clear" w:color="auto" w:fill="CCFFFF"/>
            <w:vAlign w:val="center"/>
          </w:tcPr>
          <w:p w:rsidR="00F777B4" w:rsidRPr="00526311" w:rsidRDefault="00F777B4" w:rsidP="0063039A">
            <w:pPr>
              <w:keepNext/>
              <w:keepLines/>
              <w:tabs>
                <w:tab w:val="left" w:pos="1452"/>
              </w:tabs>
              <w:ind w:left="1452" w:hanging="1452"/>
              <w:rPr>
                <w:b/>
                <w:bCs/>
                <w:sz w:val="16"/>
                <w:szCs w:val="16"/>
              </w:rPr>
            </w:pPr>
            <w:r w:rsidRPr="00526311">
              <w:rPr>
                <w:b/>
                <w:bCs/>
                <w:sz w:val="16"/>
                <w:szCs w:val="16"/>
              </w:rPr>
              <w:t>Resultado previsto:</w:t>
            </w:r>
            <w:r w:rsidRPr="00526311">
              <w:rPr>
                <w:bCs/>
                <w:sz w:val="16"/>
                <w:szCs w:val="16"/>
              </w:rPr>
              <w:tab/>
              <w:t>I.2 Marcos de P.I. adaptados y equilibrados en el ámbito legislativo, reglamentario y de política</w:t>
            </w:r>
          </w:p>
        </w:tc>
      </w:tr>
      <w:tr w:rsidR="00F777B4" w:rsidRPr="00526311" w:rsidTr="0063039A">
        <w:trPr>
          <w:cantSplit/>
        </w:trPr>
        <w:tc>
          <w:tcPr>
            <w:tcW w:w="1118" w:type="pct"/>
            <w:tcBorders>
              <w:top w:val="single" w:sz="4" w:space="0" w:color="auto"/>
            </w:tcBorders>
            <w:shd w:val="clear" w:color="auto" w:fill="auto"/>
            <w:vAlign w:val="center"/>
          </w:tcPr>
          <w:p w:rsidR="00F777B4" w:rsidRPr="00526311" w:rsidRDefault="00F777B4" w:rsidP="0063039A">
            <w:pPr>
              <w:rPr>
                <w:b/>
                <w:sz w:val="16"/>
                <w:szCs w:val="16"/>
              </w:rPr>
            </w:pPr>
            <w:r w:rsidRPr="00526311">
              <w:rPr>
                <w:b/>
                <w:sz w:val="16"/>
                <w:szCs w:val="16"/>
              </w:rPr>
              <w:t>Indicadores de rendimiento</w:t>
            </w:r>
          </w:p>
        </w:tc>
        <w:tc>
          <w:tcPr>
            <w:tcW w:w="1417" w:type="pct"/>
            <w:gridSpan w:val="2"/>
            <w:tcBorders>
              <w:top w:val="single" w:sz="4" w:space="0" w:color="auto"/>
            </w:tcBorders>
            <w:shd w:val="clear" w:color="auto" w:fill="auto"/>
            <w:vAlign w:val="center"/>
          </w:tcPr>
          <w:p w:rsidR="00F777B4" w:rsidRPr="00526311" w:rsidRDefault="00F777B4" w:rsidP="0063039A">
            <w:pPr>
              <w:rPr>
                <w:b/>
                <w:bCs/>
                <w:sz w:val="16"/>
                <w:szCs w:val="16"/>
              </w:rPr>
            </w:pPr>
            <w:r w:rsidRPr="00526311">
              <w:rPr>
                <w:b/>
                <w:bCs/>
                <w:sz w:val="16"/>
                <w:szCs w:val="16"/>
              </w:rPr>
              <w:t>Referencia</w:t>
            </w:r>
          </w:p>
        </w:tc>
        <w:tc>
          <w:tcPr>
            <w:tcW w:w="726" w:type="pct"/>
            <w:gridSpan w:val="3"/>
            <w:tcBorders>
              <w:top w:val="single" w:sz="4" w:space="0" w:color="auto"/>
            </w:tcBorders>
            <w:shd w:val="clear" w:color="auto" w:fill="auto"/>
            <w:tcMar>
              <w:top w:w="110" w:type="dxa"/>
            </w:tcMar>
            <w:vAlign w:val="center"/>
          </w:tcPr>
          <w:p w:rsidR="00F777B4" w:rsidRPr="00526311" w:rsidRDefault="00F777B4" w:rsidP="0063039A">
            <w:pPr>
              <w:rPr>
                <w:b/>
                <w:sz w:val="16"/>
                <w:szCs w:val="16"/>
              </w:rPr>
            </w:pPr>
            <w:r w:rsidRPr="00526311">
              <w:rPr>
                <w:b/>
                <w:sz w:val="16"/>
                <w:szCs w:val="16"/>
              </w:rPr>
              <w:t>Objetivos</w:t>
            </w:r>
          </w:p>
        </w:tc>
        <w:tc>
          <w:tcPr>
            <w:tcW w:w="1140" w:type="pct"/>
            <w:gridSpan w:val="3"/>
            <w:tcBorders>
              <w:top w:val="single" w:sz="4" w:space="0" w:color="auto"/>
            </w:tcBorders>
            <w:shd w:val="clear" w:color="auto" w:fill="auto"/>
            <w:tcMar>
              <w:top w:w="110" w:type="dxa"/>
            </w:tcMar>
            <w:vAlign w:val="center"/>
          </w:tcPr>
          <w:p w:rsidR="00F777B4" w:rsidRPr="00526311" w:rsidRDefault="00F777B4" w:rsidP="0063039A">
            <w:pPr>
              <w:rPr>
                <w:b/>
                <w:sz w:val="16"/>
                <w:szCs w:val="16"/>
              </w:rPr>
            </w:pPr>
            <w:r w:rsidRPr="00526311">
              <w:rPr>
                <w:b/>
                <w:sz w:val="16"/>
                <w:szCs w:val="16"/>
              </w:rPr>
              <w:t>Datos sobre el rendimiento</w:t>
            </w:r>
          </w:p>
        </w:tc>
        <w:tc>
          <w:tcPr>
            <w:tcW w:w="599" w:type="pct"/>
            <w:tcBorders>
              <w:top w:val="single" w:sz="4" w:space="0" w:color="auto"/>
            </w:tcBorders>
            <w:shd w:val="clear" w:color="auto" w:fill="auto"/>
            <w:tcMar>
              <w:top w:w="110" w:type="dxa"/>
            </w:tcMar>
            <w:vAlign w:val="center"/>
          </w:tcPr>
          <w:p w:rsidR="00F777B4" w:rsidRPr="00526311" w:rsidRDefault="00F777B4" w:rsidP="0063039A">
            <w:pPr>
              <w:jc w:val="center"/>
              <w:rPr>
                <w:b/>
                <w:bCs/>
                <w:sz w:val="16"/>
                <w:szCs w:val="16"/>
              </w:rPr>
            </w:pPr>
            <w:r w:rsidRPr="00526311">
              <w:rPr>
                <w:b/>
                <w:bCs/>
                <w:sz w:val="16"/>
                <w:szCs w:val="16"/>
              </w:rPr>
              <w:t>Clave de colores</w:t>
            </w:r>
          </w:p>
        </w:tc>
      </w:tr>
      <w:tr w:rsidR="00F777B4" w:rsidRPr="00526311" w:rsidTr="0063039A">
        <w:trPr>
          <w:cantSplit/>
        </w:trPr>
        <w:tc>
          <w:tcPr>
            <w:tcW w:w="1118" w:type="pct"/>
            <w:shd w:val="clear" w:color="auto" w:fill="auto"/>
          </w:tcPr>
          <w:p w:rsidR="00F777B4" w:rsidRPr="00526311" w:rsidRDefault="00F777B4" w:rsidP="0063039A">
            <w:pPr>
              <w:autoSpaceDE w:val="0"/>
              <w:autoSpaceDN w:val="0"/>
              <w:adjustRightInd w:val="0"/>
              <w:rPr>
                <w:sz w:val="16"/>
                <w:szCs w:val="16"/>
                <w:lang w:bidi="th-TH"/>
              </w:rPr>
            </w:pPr>
            <w:r w:rsidRPr="00526311">
              <w:rPr>
                <w:rFonts w:eastAsiaTheme="minorHAnsi"/>
                <w:sz w:val="16"/>
                <w:szCs w:val="16"/>
              </w:rPr>
              <w:t>Número y porcentaje de Estados miembros/organizaciones regionales que han presentado comentarios positivos sobre el asesoramiento legislativo proporcionado en la esfera de las marcas, los diseños industriales y las indicaciones geográficas.</w:t>
            </w:r>
          </w:p>
        </w:tc>
        <w:tc>
          <w:tcPr>
            <w:tcW w:w="1417" w:type="pct"/>
            <w:gridSpan w:val="2"/>
            <w:shd w:val="clear" w:color="auto" w:fill="auto"/>
          </w:tcPr>
          <w:p w:rsidR="00F777B4" w:rsidRPr="00526311" w:rsidRDefault="00F777B4" w:rsidP="0063039A">
            <w:pPr>
              <w:rPr>
                <w:i/>
                <w:color w:val="002060"/>
                <w:sz w:val="16"/>
                <w:szCs w:val="16"/>
                <w:lang w:bidi="th-TH"/>
              </w:rPr>
            </w:pPr>
            <w:r w:rsidRPr="00526311">
              <w:rPr>
                <w:i/>
                <w:color w:val="002060"/>
                <w:sz w:val="16"/>
                <w:szCs w:val="16"/>
                <w:lang w:bidi="th-TH"/>
              </w:rPr>
              <w:t>Referencia actualizada a fines de 2013:</w:t>
            </w:r>
          </w:p>
          <w:p w:rsidR="00F777B4" w:rsidRPr="00526311" w:rsidRDefault="00F777B4" w:rsidP="0063039A">
            <w:pPr>
              <w:rPr>
                <w:i/>
                <w:color w:val="002060"/>
                <w:sz w:val="16"/>
                <w:szCs w:val="16"/>
                <w:lang w:bidi="th-TH"/>
              </w:rPr>
            </w:pPr>
          </w:p>
          <w:p w:rsidR="00F777B4" w:rsidRPr="00526311" w:rsidRDefault="00F777B4" w:rsidP="0063039A">
            <w:pPr>
              <w:rPr>
                <w:color w:val="002060"/>
                <w:sz w:val="16"/>
                <w:szCs w:val="16"/>
                <w:lang w:bidi="th-TH"/>
              </w:rPr>
            </w:pPr>
            <w:r w:rsidRPr="00526311">
              <w:rPr>
                <w:color w:val="002060"/>
                <w:sz w:val="16"/>
                <w:szCs w:val="16"/>
                <w:lang w:bidi="th-TH"/>
              </w:rPr>
              <w:t>2013:  Se proporcionó asesoramiento a 13 Estados miembros sobre 18 proyectos de legislación específicos.</w:t>
            </w:r>
          </w:p>
          <w:p w:rsidR="00F777B4" w:rsidRPr="00526311" w:rsidRDefault="00F777B4" w:rsidP="0063039A">
            <w:pPr>
              <w:rPr>
                <w:color w:val="002060"/>
                <w:sz w:val="16"/>
                <w:szCs w:val="16"/>
                <w:lang w:bidi="th-TH"/>
              </w:rPr>
            </w:pPr>
          </w:p>
          <w:p w:rsidR="00F777B4" w:rsidRPr="00526311" w:rsidRDefault="00F777B4" w:rsidP="0063039A">
            <w:pPr>
              <w:rPr>
                <w:color w:val="002060"/>
                <w:sz w:val="16"/>
                <w:szCs w:val="16"/>
                <w:lang w:bidi="th-TH"/>
              </w:rPr>
            </w:pPr>
            <w:r w:rsidRPr="00526311">
              <w:rPr>
                <w:color w:val="002060"/>
                <w:sz w:val="16"/>
                <w:szCs w:val="16"/>
                <w:lang w:bidi="th-TH"/>
              </w:rPr>
              <w:t>Nueve de 13 países formularon comentarios positivos.  Cuatro países no respondieron.</w:t>
            </w:r>
          </w:p>
          <w:p w:rsidR="00F777B4" w:rsidRPr="00526311" w:rsidRDefault="00F777B4" w:rsidP="0063039A">
            <w:pPr>
              <w:rPr>
                <w:i/>
                <w:sz w:val="8"/>
                <w:szCs w:val="8"/>
              </w:rPr>
            </w:pPr>
          </w:p>
          <w:p w:rsidR="00F777B4" w:rsidRPr="00526311" w:rsidRDefault="007B705E" w:rsidP="0063039A">
            <w:pPr>
              <w:rPr>
                <w:sz w:val="16"/>
                <w:szCs w:val="16"/>
              </w:rPr>
            </w:pPr>
            <w:r w:rsidRPr="00526311">
              <w:rPr>
                <w:i/>
                <w:sz w:val="16"/>
                <w:szCs w:val="16"/>
              </w:rPr>
              <w:t>Referencia original en el presupuesto de 2014/15</w:t>
            </w:r>
            <w:r w:rsidR="00F777B4" w:rsidRPr="00526311">
              <w:rPr>
                <w:i/>
                <w:sz w:val="16"/>
                <w:szCs w:val="16"/>
              </w:rPr>
              <w:t xml:space="preserve">:  </w:t>
            </w:r>
            <w:r w:rsidR="00F777B4" w:rsidRPr="00526311">
              <w:rPr>
                <w:sz w:val="16"/>
                <w:szCs w:val="16"/>
              </w:rPr>
              <w:t>11 Estados miembros/organizaciones regionales han recibido asesoramiento legislativo y tres de ellos han formulado comentarios positivos sobre el asesoramiento legislativo recibido en 2012.</w:t>
            </w:r>
          </w:p>
          <w:p w:rsidR="00F777B4" w:rsidRPr="00526311" w:rsidRDefault="00F777B4" w:rsidP="0063039A">
            <w:pPr>
              <w:rPr>
                <w:sz w:val="16"/>
                <w:szCs w:val="16"/>
              </w:rPr>
            </w:pPr>
          </w:p>
        </w:tc>
        <w:tc>
          <w:tcPr>
            <w:tcW w:w="726" w:type="pct"/>
            <w:gridSpan w:val="3"/>
            <w:shd w:val="clear" w:color="auto" w:fill="auto"/>
            <w:tcMar>
              <w:top w:w="110" w:type="dxa"/>
            </w:tcMar>
          </w:tcPr>
          <w:p w:rsidR="00F777B4" w:rsidRPr="00526311" w:rsidRDefault="00F777B4" w:rsidP="0063039A">
            <w:pPr>
              <w:autoSpaceDE w:val="0"/>
              <w:autoSpaceDN w:val="0"/>
              <w:adjustRightInd w:val="0"/>
              <w:rPr>
                <w:sz w:val="16"/>
                <w:szCs w:val="16"/>
              </w:rPr>
            </w:pPr>
            <w:r w:rsidRPr="00526311">
              <w:rPr>
                <w:sz w:val="16"/>
                <w:szCs w:val="16"/>
              </w:rPr>
              <w:t>Se proporciona asesoramiento legislativo a 10 Estados miembros / organizaciones regionales.  El 90% de los encuestados expresa satisfacción con el asesoramiento brindado.</w:t>
            </w:r>
          </w:p>
        </w:tc>
        <w:tc>
          <w:tcPr>
            <w:tcW w:w="1140" w:type="pct"/>
            <w:gridSpan w:val="3"/>
            <w:shd w:val="clear" w:color="auto" w:fill="auto"/>
            <w:tcMar>
              <w:top w:w="110" w:type="dxa"/>
            </w:tcMar>
          </w:tcPr>
          <w:p w:rsidR="00F777B4" w:rsidRPr="00526311" w:rsidRDefault="00F777B4" w:rsidP="0063039A">
            <w:pPr>
              <w:rPr>
                <w:sz w:val="16"/>
                <w:szCs w:val="16"/>
                <w:lang w:bidi="th-TH"/>
              </w:rPr>
            </w:pPr>
            <w:r w:rsidRPr="00526311">
              <w:rPr>
                <w:sz w:val="16"/>
                <w:szCs w:val="16"/>
                <w:lang w:bidi="th-TH"/>
              </w:rPr>
              <w:t>Se proporcionó asesoramiento a 20 Estados miembros</w:t>
            </w:r>
            <w:r w:rsidR="00547FB1" w:rsidRPr="00526311">
              <w:rPr>
                <w:sz w:val="16"/>
                <w:szCs w:val="16"/>
                <w:lang w:bidi="th-TH"/>
              </w:rPr>
              <w:t xml:space="preserve"> </w:t>
            </w:r>
            <w:r w:rsidRPr="00526311">
              <w:rPr>
                <w:sz w:val="16"/>
                <w:szCs w:val="16"/>
                <w:lang w:bidi="th-TH"/>
              </w:rPr>
              <w:t>/</w:t>
            </w:r>
            <w:r w:rsidR="00547FB1" w:rsidRPr="00526311">
              <w:rPr>
                <w:sz w:val="16"/>
                <w:szCs w:val="16"/>
                <w:lang w:bidi="th-TH"/>
              </w:rPr>
              <w:t xml:space="preserve"> </w:t>
            </w:r>
            <w:r w:rsidRPr="00526311">
              <w:rPr>
                <w:sz w:val="16"/>
                <w:szCs w:val="16"/>
                <w:lang w:bidi="th-TH"/>
              </w:rPr>
              <w:t>organizaciones regionales (África 7;  Países Árabes 1;  Asia y el Pacífico 11</w:t>
            </w:r>
            <w:r w:rsidR="00547FB1" w:rsidRPr="00526311">
              <w:rPr>
                <w:sz w:val="16"/>
                <w:szCs w:val="16"/>
                <w:lang w:bidi="th-TH"/>
              </w:rPr>
              <w:t>;  América Latina y el Caribe </w:t>
            </w:r>
            <w:r w:rsidRPr="00526311">
              <w:rPr>
                <w:sz w:val="16"/>
                <w:szCs w:val="16"/>
                <w:lang w:bidi="th-TH"/>
              </w:rPr>
              <w:t>1).</w:t>
            </w:r>
          </w:p>
          <w:p w:rsidR="00F777B4" w:rsidRPr="00526311" w:rsidRDefault="00F777B4" w:rsidP="0063039A">
            <w:pPr>
              <w:rPr>
                <w:sz w:val="16"/>
                <w:szCs w:val="16"/>
                <w:lang w:bidi="th-TH"/>
              </w:rPr>
            </w:pPr>
          </w:p>
          <w:p w:rsidR="00F777B4" w:rsidRPr="00526311" w:rsidRDefault="00F777B4" w:rsidP="0063039A">
            <w:pPr>
              <w:rPr>
                <w:sz w:val="16"/>
                <w:szCs w:val="16"/>
                <w:lang w:bidi="th-TH"/>
              </w:rPr>
            </w:pPr>
            <w:r w:rsidRPr="00526311">
              <w:rPr>
                <w:sz w:val="16"/>
                <w:szCs w:val="16"/>
                <w:lang w:bidi="th-TH"/>
              </w:rPr>
              <w:t>Se recibieron comentarios de siete encuestados, y todos ellos (100%) manifestaron estar satisfechos con el asesoramiento brindado.</w:t>
            </w:r>
          </w:p>
        </w:tc>
        <w:tc>
          <w:tcPr>
            <w:tcW w:w="599" w:type="pct"/>
            <w:shd w:val="clear" w:color="auto" w:fill="auto"/>
            <w:tcMar>
              <w:top w:w="110" w:type="dxa"/>
            </w:tcMar>
          </w:tcPr>
          <w:p w:rsidR="00F777B4" w:rsidRPr="00526311" w:rsidRDefault="00F777B4" w:rsidP="0063039A">
            <w:pPr>
              <w:rPr>
                <w:b/>
                <w:sz w:val="16"/>
                <w:szCs w:val="16"/>
              </w:rPr>
            </w:pPr>
            <w:r w:rsidRPr="00526311">
              <w:rPr>
                <w:b/>
                <w:color w:val="00B050"/>
                <w:sz w:val="16"/>
                <w:szCs w:val="16"/>
              </w:rPr>
              <w:t>Avanza</w:t>
            </w:r>
          </w:p>
        </w:tc>
      </w:tr>
      <w:tr w:rsidR="00F777B4" w:rsidRPr="00526311" w:rsidTr="0063039A">
        <w:trPr>
          <w:cantSplit/>
          <w:trHeight w:val="485"/>
        </w:trPr>
        <w:tc>
          <w:tcPr>
            <w:tcW w:w="5000" w:type="pct"/>
            <w:gridSpan w:val="10"/>
            <w:tcBorders>
              <w:top w:val="single" w:sz="4" w:space="0" w:color="auto"/>
              <w:bottom w:val="single" w:sz="4" w:space="0" w:color="auto"/>
            </w:tcBorders>
            <w:shd w:val="clear" w:color="auto" w:fill="CCFFFF"/>
            <w:vAlign w:val="center"/>
          </w:tcPr>
          <w:p w:rsidR="00F777B4" w:rsidRPr="00526311" w:rsidRDefault="00F777B4" w:rsidP="0063039A">
            <w:pPr>
              <w:keepNext/>
              <w:keepLines/>
              <w:tabs>
                <w:tab w:val="left" w:pos="1452"/>
              </w:tabs>
              <w:ind w:left="1701" w:hanging="1701"/>
              <w:rPr>
                <w:b/>
                <w:bCs/>
                <w:sz w:val="16"/>
                <w:szCs w:val="16"/>
              </w:rPr>
            </w:pPr>
            <w:r w:rsidRPr="00526311">
              <w:rPr>
                <w:b/>
                <w:bCs/>
                <w:sz w:val="16"/>
                <w:szCs w:val="16"/>
              </w:rPr>
              <w:lastRenderedPageBreak/>
              <w:t>Resultado previsto:</w:t>
            </w:r>
            <w:r w:rsidRPr="00526311">
              <w:rPr>
                <w:bCs/>
                <w:sz w:val="16"/>
                <w:szCs w:val="16"/>
              </w:rPr>
              <w:tab/>
              <w:t>I.3 Aumento de la protección de los emblemas de Estado y de los nombres y emblemas de organizaciones intergubernamentales internacionales</w:t>
            </w:r>
          </w:p>
        </w:tc>
      </w:tr>
      <w:tr w:rsidR="00F777B4" w:rsidRPr="00526311" w:rsidTr="0063039A">
        <w:trPr>
          <w:cantSplit/>
        </w:trPr>
        <w:tc>
          <w:tcPr>
            <w:tcW w:w="1118" w:type="pct"/>
            <w:tcBorders>
              <w:top w:val="single" w:sz="4" w:space="0" w:color="auto"/>
              <w:bottom w:val="nil"/>
            </w:tcBorders>
            <w:shd w:val="clear" w:color="auto" w:fill="auto"/>
            <w:vAlign w:val="center"/>
          </w:tcPr>
          <w:p w:rsidR="00F777B4" w:rsidRPr="00526311" w:rsidRDefault="00F777B4" w:rsidP="0063039A">
            <w:pPr>
              <w:keepNext/>
              <w:keepLines/>
              <w:rPr>
                <w:b/>
                <w:sz w:val="16"/>
                <w:szCs w:val="16"/>
              </w:rPr>
            </w:pPr>
            <w:r w:rsidRPr="00526311">
              <w:rPr>
                <w:b/>
                <w:sz w:val="16"/>
                <w:szCs w:val="16"/>
              </w:rPr>
              <w:t>Indicadores de rendimiento</w:t>
            </w:r>
          </w:p>
        </w:tc>
        <w:tc>
          <w:tcPr>
            <w:tcW w:w="1402" w:type="pct"/>
            <w:tcBorders>
              <w:top w:val="single" w:sz="4" w:space="0" w:color="auto"/>
              <w:bottom w:val="nil"/>
            </w:tcBorders>
            <w:shd w:val="clear" w:color="auto" w:fill="auto"/>
            <w:vAlign w:val="center"/>
          </w:tcPr>
          <w:p w:rsidR="00F777B4" w:rsidRPr="00526311" w:rsidRDefault="00F777B4" w:rsidP="0063039A">
            <w:pPr>
              <w:keepNext/>
              <w:keepLines/>
              <w:rPr>
                <w:b/>
                <w:bCs/>
                <w:sz w:val="16"/>
                <w:szCs w:val="16"/>
              </w:rPr>
            </w:pPr>
            <w:r w:rsidRPr="00526311">
              <w:rPr>
                <w:b/>
                <w:bCs/>
                <w:sz w:val="16"/>
                <w:szCs w:val="16"/>
              </w:rPr>
              <w:t>Referencia</w:t>
            </w:r>
          </w:p>
        </w:tc>
        <w:tc>
          <w:tcPr>
            <w:tcW w:w="688" w:type="pct"/>
            <w:gridSpan w:val="2"/>
            <w:tcBorders>
              <w:top w:val="single" w:sz="4" w:space="0" w:color="auto"/>
              <w:bottom w:val="nil"/>
            </w:tcBorders>
            <w:shd w:val="clear" w:color="auto" w:fill="auto"/>
            <w:tcMar>
              <w:top w:w="110" w:type="dxa"/>
            </w:tcMar>
            <w:vAlign w:val="center"/>
          </w:tcPr>
          <w:p w:rsidR="00F777B4" w:rsidRPr="00526311" w:rsidRDefault="00F777B4" w:rsidP="0063039A">
            <w:pPr>
              <w:keepNext/>
              <w:keepLines/>
              <w:rPr>
                <w:b/>
                <w:sz w:val="16"/>
                <w:szCs w:val="16"/>
              </w:rPr>
            </w:pPr>
            <w:r w:rsidRPr="00526311">
              <w:rPr>
                <w:b/>
                <w:sz w:val="16"/>
                <w:szCs w:val="16"/>
              </w:rPr>
              <w:t>Objetivos</w:t>
            </w:r>
          </w:p>
        </w:tc>
        <w:tc>
          <w:tcPr>
            <w:tcW w:w="1095" w:type="pct"/>
            <w:gridSpan w:val="3"/>
            <w:tcBorders>
              <w:top w:val="single" w:sz="4" w:space="0" w:color="auto"/>
              <w:bottom w:val="nil"/>
            </w:tcBorders>
            <w:shd w:val="clear" w:color="auto" w:fill="auto"/>
            <w:tcMar>
              <w:top w:w="110" w:type="dxa"/>
            </w:tcMar>
            <w:vAlign w:val="center"/>
          </w:tcPr>
          <w:p w:rsidR="00F777B4" w:rsidRPr="00526311" w:rsidRDefault="00F777B4" w:rsidP="0063039A">
            <w:pPr>
              <w:keepNext/>
              <w:keepLines/>
              <w:rPr>
                <w:b/>
                <w:sz w:val="16"/>
                <w:szCs w:val="16"/>
              </w:rPr>
            </w:pPr>
            <w:r w:rsidRPr="00526311">
              <w:rPr>
                <w:b/>
                <w:sz w:val="16"/>
                <w:szCs w:val="16"/>
              </w:rPr>
              <w:t>Datos sobre el rendimiento</w:t>
            </w:r>
          </w:p>
        </w:tc>
        <w:tc>
          <w:tcPr>
            <w:tcW w:w="698" w:type="pct"/>
            <w:gridSpan w:val="3"/>
            <w:tcBorders>
              <w:top w:val="single" w:sz="4" w:space="0" w:color="auto"/>
              <w:bottom w:val="nil"/>
            </w:tcBorders>
            <w:shd w:val="clear" w:color="auto" w:fill="auto"/>
            <w:tcMar>
              <w:top w:w="110" w:type="dxa"/>
            </w:tcMar>
            <w:vAlign w:val="center"/>
          </w:tcPr>
          <w:p w:rsidR="00F777B4" w:rsidRPr="00526311" w:rsidRDefault="00F777B4" w:rsidP="0063039A">
            <w:pPr>
              <w:keepNext/>
              <w:keepLines/>
              <w:rPr>
                <w:b/>
                <w:sz w:val="16"/>
                <w:szCs w:val="16"/>
              </w:rPr>
            </w:pPr>
            <w:r w:rsidRPr="00526311">
              <w:rPr>
                <w:b/>
                <w:sz w:val="16"/>
                <w:szCs w:val="16"/>
              </w:rPr>
              <w:t>Clave de colores</w:t>
            </w:r>
          </w:p>
        </w:tc>
      </w:tr>
      <w:tr w:rsidR="00F777B4" w:rsidRPr="00526311" w:rsidTr="0063039A">
        <w:trPr>
          <w:cantSplit/>
        </w:trPr>
        <w:tc>
          <w:tcPr>
            <w:tcW w:w="1118" w:type="pct"/>
            <w:tcBorders>
              <w:top w:val="nil"/>
              <w:bottom w:val="nil"/>
            </w:tcBorders>
            <w:shd w:val="clear" w:color="auto" w:fill="auto"/>
          </w:tcPr>
          <w:p w:rsidR="00F777B4" w:rsidRPr="00526311" w:rsidRDefault="00F777B4" w:rsidP="0063039A">
            <w:pPr>
              <w:keepNext/>
              <w:keepLines/>
              <w:rPr>
                <w:sz w:val="16"/>
                <w:szCs w:val="16"/>
                <w:lang w:bidi="th-TH"/>
              </w:rPr>
            </w:pPr>
            <w:r w:rsidRPr="00526311">
              <w:rPr>
                <w:sz w:val="16"/>
                <w:szCs w:val="16"/>
                <w:lang w:bidi="th-TH"/>
              </w:rPr>
              <w:t>Número de peticiones de comunicación en virtud del artículo 6</w:t>
            </w:r>
            <w:r w:rsidRPr="00526311">
              <w:rPr>
                <w:i/>
                <w:sz w:val="16"/>
                <w:szCs w:val="16"/>
                <w:lang w:bidi="th-TH"/>
              </w:rPr>
              <w:t>ter</w:t>
            </w:r>
            <w:r w:rsidRPr="00526311">
              <w:rPr>
                <w:sz w:val="16"/>
                <w:szCs w:val="16"/>
                <w:lang w:bidi="th-TH"/>
              </w:rPr>
              <w:t xml:space="preserve"> que han sido tramitadas</w:t>
            </w:r>
            <w:r w:rsidRPr="00526311">
              <w:rPr>
                <w:i/>
                <w:sz w:val="16"/>
                <w:szCs w:val="16"/>
                <w:lang w:bidi="th-TH"/>
              </w:rPr>
              <w:t>.</w:t>
            </w:r>
          </w:p>
        </w:tc>
        <w:tc>
          <w:tcPr>
            <w:tcW w:w="1402" w:type="pct"/>
            <w:tcBorders>
              <w:top w:val="nil"/>
              <w:bottom w:val="nil"/>
            </w:tcBorders>
            <w:shd w:val="clear" w:color="auto" w:fill="auto"/>
          </w:tcPr>
          <w:p w:rsidR="00F777B4" w:rsidRPr="00526311" w:rsidRDefault="00F777B4" w:rsidP="0063039A">
            <w:pPr>
              <w:rPr>
                <w:color w:val="002060"/>
                <w:sz w:val="16"/>
                <w:szCs w:val="16"/>
                <w:lang w:bidi="th-TH"/>
              </w:rPr>
            </w:pPr>
            <w:r w:rsidRPr="00526311">
              <w:rPr>
                <w:i/>
                <w:color w:val="002060"/>
                <w:sz w:val="16"/>
                <w:szCs w:val="16"/>
                <w:lang w:bidi="th-TH"/>
              </w:rPr>
              <w:t>Referencia actualizada a fines de 2013:</w:t>
            </w:r>
            <w:r w:rsidRPr="00526311">
              <w:rPr>
                <w:color w:val="002060"/>
                <w:sz w:val="16"/>
                <w:szCs w:val="16"/>
                <w:lang w:bidi="th-TH"/>
              </w:rPr>
              <w:t xml:space="preserve">  126 peticiones de publicación en virtud del Artículo 6</w:t>
            </w:r>
            <w:r w:rsidRPr="00526311">
              <w:rPr>
                <w:i/>
                <w:color w:val="002060"/>
                <w:sz w:val="16"/>
                <w:szCs w:val="16"/>
                <w:lang w:bidi="th-TH"/>
              </w:rPr>
              <w:t>ter</w:t>
            </w:r>
            <w:r w:rsidRPr="00526311">
              <w:rPr>
                <w:color w:val="002060"/>
                <w:sz w:val="16"/>
                <w:szCs w:val="16"/>
                <w:lang w:bidi="th-TH"/>
              </w:rPr>
              <w:t xml:space="preserve"> tramitadas</w:t>
            </w:r>
            <w:r w:rsidR="00547FB1" w:rsidRPr="00526311">
              <w:rPr>
                <w:color w:val="002060"/>
                <w:sz w:val="16"/>
                <w:szCs w:val="16"/>
                <w:lang w:bidi="th-TH"/>
              </w:rPr>
              <w:t xml:space="preserve"> a fin</w:t>
            </w:r>
            <w:r w:rsidRPr="00526311">
              <w:rPr>
                <w:color w:val="002060"/>
                <w:sz w:val="16"/>
                <w:szCs w:val="16"/>
                <w:lang w:bidi="th-TH"/>
              </w:rPr>
              <w:t>es de 2013.</w:t>
            </w:r>
          </w:p>
          <w:p w:rsidR="00F777B4" w:rsidRPr="00526311" w:rsidRDefault="00F777B4" w:rsidP="0063039A">
            <w:pPr>
              <w:keepNext/>
              <w:keepLines/>
              <w:rPr>
                <w:i/>
                <w:sz w:val="8"/>
                <w:szCs w:val="8"/>
              </w:rPr>
            </w:pPr>
          </w:p>
          <w:p w:rsidR="00F777B4" w:rsidRPr="00526311" w:rsidRDefault="007B705E" w:rsidP="0063039A">
            <w:pPr>
              <w:keepNext/>
              <w:keepLines/>
              <w:rPr>
                <w:sz w:val="16"/>
                <w:szCs w:val="16"/>
                <w:lang w:bidi="th-TH"/>
              </w:rPr>
            </w:pPr>
            <w:r w:rsidRPr="00526311">
              <w:rPr>
                <w:i/>
                <w:sz w:val="16"/>
                <w:szCs w:val="16"/>
              </w:rPr>
              <w:t>Referencia original en el presupuesto de 2014/15</w:t>
            </w:r>
            <w:r w:rsidR="00F777B4" w:rsidRPr="00526311">
              <w:rPr>
                <w:i/>
                <w:sz w:val="16"/>
                <w:szCs w:val="16"/>
              </w:rPr>
              <w:t xml:space="preserve">:  </w:t>
            </w:r>
            <w:r w:rsidR="00F777B4" w:rsidRPr="00526311">
              <w:rPr>
                <w:sz w:val="16"/>
                <w:szCs w:val="16"/>
                <w:lang w:bidi="th-TH"/>
              </w:rPr>
              <w:t>70 peticiones</w:t>
            </w:r>
            <w:r w:rsidR="00F777B4" w:rsidRPr="00526311">
              <w:rPr>
                <w:sz w:val="16"/>
                <w:szCs w:val="16"/>
                <w:vertAlign w:val="superscript"/>
                <w:lang w:bidi="th-TH"/>
              </w:rPr>
              <w:footnoteReference w:id="5"/>
            </w:r>
            <w:r w:rsidR="00F777B4" w:rsidRPr="00526311">
              <w:rPr>
                <w:sz w:val="16"/>
                <w:szCs w:val="16"/>
                <w:lang w:bidi="th-TH"/>
              </w:rPr>
              <w:t xml:space="preserve"> de comunicación tramitadas en 2012 en virtud del </w:t>
            </w:r>
            <w:r w:rsidR="00547FB1" w:rsidRPr="00526311">
              <w:rPr>
                <w:sz w:val="16"/>
                <w:szCs w:val="16"/>
                <w:lang w:bidi="th-TH"/>
              </w:rPr>
              <w:t xml:space="preserve">Artículo </w:t>
            </w:r>
            <w:r w:rsidR="00F777B4" w:rsidRPr="00526311">
              <w:rPr>
                <w:sz w:val="16"/>
                <w:szCs w:val="16"/>
                <w:lang w:bidi="th-TH"/>
              </w:rPr>
              <w:t>6</w:t>
            </w:r>
            <w:r w:rsidR="00F777B4" w:rsidRPr="00526311">
              <w:rPr>
                <w:i/>
                <w:sz w:val="16"/>
                <w:szCs w:val="16"/>
                <w:lang w:bidi="th-TH"/>
              </w:rPr>
              <w:t>ter</w:t>
            </w:r>
            <w:r w:rsidR="00F777B4" w:rsidRPr="00526311">
              <w:rPr>
                <w:sz w:val="16"/>
                <w:szCs w:val="16"/>
                <w:lang w:bidi="th-TH"/>
              </w:rPr>
              <w:t>.</w:t>
            </w:r>
          </w:p>
        </w:tc>
        <w:tc>
          <w:tcPr>
            <w:tcW w:w="688" w:type="pct"/>
            <w:gridSpan w:val="2"/>
            <w:tcBorders>
              <w:top w:val="nil"/>
              <w:bottom w:val="nil"/>
            </w:tcBorders>
            <w:shd w:val="clear" w:color="auto" w:fill="auto"/>
            <w:tcMar>
              <w:top w:w="110" w:type="dxa"/>
            </w:tcMar>
          </w:tcPr>
          <w:p w:rsidR="00F777B4" w:rsidRPr="00526311" w:rsidRDefault="00F777B4" w:rsidP="0063039A">
            <w:pPr>
              <w:keepNext/>
              <w:keepLines/>
              <w:rPr>
                <w:sz w:val="16"/>
                <w:szCs w:val="16"/>
                <w:lang w:bidi="th-TH"/>
              </w:rPr>
            </w:pPr>
            <w:r w:rsidRPr="00526311">
              <w:rPr>
                <w:sz w:val="16"/>
                <w:szCs w:val="16"/>
                <w:lang w:bidi="th-TH"/>
              </w:rPr>
              <w:t xml:space="preserve">140 peticiones de comunicación tramitadas en virtud del </w:t>
            </w:r>
            <w:r w:rsidR="00547FB1" w:rsidRPr="00526311">
              <w:rPr>
                <w:sz w:val="16"/>
                <w:szCs w:val="16"/>
                <w:lang w:bidi="th-TH"/>
              </w:rPr>
              <w:t xml:space="preserve">Artículo </w:t>
            </w:r>
            <w:r w:rsidRPr="00526311">
              <w:rPr>
                <w:sz w:val="16"/>
                <w:szCs w:val="16"/>
                <w:lang w:bidi="th-TH"/>
              </w:rPr>
              <w:t>6</w:t>
            </w:r>
            <w:r w:rsidRPr="00526311">
              <w:rPr>
                <w:i/>
                <w:sz w:val="16"/>
                <w:szCs w:val="16"/>
                <w:lang w:bidi="th-TH"/>
              </w:rPr>
              <w:t>ter.</w:t>
            </w:r>
          </w:p>
        </w:tc>
        <w:tc>
          <w:tcPr>
            <w:tcW w:w="1095" w:type="pct"/>
            <w:gridSpan w:val="3"/>
            <w:tcBorders>
              <w:top w:val="nil"/>
              <w:bottom w:val="nil"/>
            </w:tcBorders>
            <w:shd w:val="clear" w:color="auto" w:fill="auto"/>
            <w:tcMar>
              <w:top w:w="110" w:type="dxa"/>
            </w:tcMar>
          </w:tcPr>
          <w:p w:rsidR="00F777B4" w:rsidRPr="00526311" w:rsidRDefault="00F777B4" w:rsidP="0063039A">
            <w:pPr>
              <w:keepNext/>
              <w:keepLines/>
              <w:rPr>
                <w:sz w:val="16"/>
                <w:szCs w:val="16"/>
                <w:lang w:bidi="th-TH"/>
              </w:rPr>
            </w:pPr>
            <w:r w:rsidRPr="00526311">
              <w:rPr>
                <w:sz w:val="16"/>
                <w:szCs w:val="16"/>
                <w:lang w:bidi="th-TH"/>
              </w:rPr>
              <w:t>51 peticiones de comunicación recibidas y tramitadas, de las cuales se publicaron 11.</w:t>
            </w:r>
          </w:p>
        </w:tc>
        <w:tc>
          <w:tcPr>
            <w:tcW w:w="698" w:type="pct"/>
            <w:gridSpan w:val="3"/>
            <w:tcBorders>
              <w:top w:val="nil"/>
              <w:bottom w:val="nil"/>
            </w:tcBorders>
            <w:shd w:val="clear" w:color="auto" w:fill="auto"/>
            <w:tcMar>
              <w:top w:w="110" w:type="dxa"/>
            </w:tcMar>
          </w:tcPr>
          <w:p w:rsidR="00F777B4" w:rsidRPr="00526311" w:rsidRDefault="00F777B4" w:rsidP="0063039A">
            <w:pPr>
              <w:rPr>
                <w:b/>
                <w:bCs/>
                <w:color w:val="FF0000"/>
                <w:sz w:val="16"/>
                <w:szCs w:val="16"/>
              </w:rPr>
            </w:pPr>
            <w:r w:rsidRPr="00526311">
              <w:rPr>
                <w:b/>
                <w:color w:val="FF0000"/>
                <w:sz w:val="16"/>
                <w:szCs w:val="16"/>
              </w:rPr>
              <w:t>No avanza</w:t>
            </w:r>
          </w:p>
        </w:tc>
      </w:tr>
      <w:tr w:rsidR="00F777B4" w:rsidRPr="00526311" w:rsidTr="0063039A">
        <w:trPr>
          <w:cantSplit/>
        </w:trPr>
        <w:tc>
          <w:tcPr>
            <w:tcW w:w="1118" w:type="pct"/>
            <w:tcBorders>
              <w:top w:val="nil"/>
              <w:left w:val="single" w:sz="4" w:space="0" w:color="auto"/>
              <w:bottom w:val="single" w:sz="4" w:space="0" w:color="auto"/>
              <w:right w:val="nil"/>
            </w:tcBorders>
            <w:shd w:val="clear" w:color="auto" w:fill="auto"/>
          </w:tcPr>
          <w:p w:rsidR="00F777B4" w:rsidRPr="00526311" w:rsidRDefault="00F777B4" w:rsidP="0063039A">
            <w:pPr>
              <w:rPr>
                <w:sz w:val="16"/>
                <w:szCs w:val="16"/>
                <w:lang w:bidi="th-TH"/>
              </w:rPr>
            </w:pPr>
            <w:r w:rsidRPr="00526311">
              <w:rPr>
                <w:sz w:val="16"/>
                <w:szCs w:val="16"/>
                <w:lang w:bidi="th-TH"/>
              </w:rPr>
              <w:t>Número de signos publicados en la base de datos sobre el Artículo 6</w:t>
            </w:r>
            <w:r w:rsidRPr="00526311">
              <w:rPr>
                <w:i/>
                <w:sz w:val="16"/>
                <w:szCs w:val="16"/>
                <w:lang w:bidi="th-TH"/>
              </w:rPr>
              <w:t>ter</w:t>
            </w:r>
            <w:r w:rsidRPr="00526311">
              <w:rPr>
                <w:sz w:val="16"/>
                <w:szCs w:val="16"/>
                <w:lang w:bidi="th-TH"/>
              </w:rPr>
              <w:t>.</w:t>
            </w:r>
          </w:p>
        </w:tc>
        <w:tc>
          <w:tcPr>
            <w:tcW w:w="1402" w:type="pct"/>
            <w:tcBorders>
              <w:top w:val="nil"/>
              <w:left w:val="nil"/>
              <w:bottom w:val="single" w:sz="4" w:space="0" w:color="auto"/>
              <w:right w:val="nil"/>
            </w:tcBorders>
            <w:shd w:val="clear" w:color="auto" w:fill="auto"/>
          </w:tcPr>
          <w:p w:rsidR="00F777B4" w:rsidRPr="00526311" w:rsidRDefault="00F777B4" w:rsidP="0063039A">
            <w:pPr>
              <w:rPr>
                <w:color w:val="002060"/>
                <w:sz w:val="16"/>
                <w:szCs w:val="16"/>
                <w:lang w:bidi="th-TH"/>
              </w:rPr>
            </w:pPr>
            <w:r w:rsidRPr="00526311">
              <w:rPr>
                <w:i/>
                <w:color w:val="002060"/>
                <w:sz w:val="16"/>
                <w:szCs w:val="16"/>
                <w:lang w:bidi="th-TH"/>
              </w:rPr>
              <w:t xml:space="preserve">Referencia actualizada a fines de 2013: </w:t>
            </w:r>
            <w:r w:rsidRPr="00526311">
              <w:rPr>
                <w:color w:val="002060"/>
                <w:sz w:val="16"/>
                <w:szCs w:val="16"/>
                <w:lang w:bidi="th-TH"/>
              </w:rPr>
              <w:t xml:space="preserve"> 132 signos publicados </w:t>
            </w:r>
            <w:r w:rsidRPr="00526311">
              <w:rPr>
                <w:sz w:val="16"/>
                <w:szCs w:val="16"/>
                <w:lang w:bidi="th-TH"/>
              </w:rPr>
              <w:t>en la base de datos sobre el Artículo 6</w:t>
            </w:r>
            <w:r w:rsidRPr="00526311">
              <w:rPr>
                <w:i/>
                <w:sz w:val="16"/>
                <w:szCs w:val="16"/>
                <w:lang w:bidi="th-TH"/>
              </w:rPr>
              <w:t>ter</w:t>
            </w:r>
            <w:r w:rsidRPr="00526311">
              <w:rPr>
                <w:sz w:val="16"/>
                <w:szCs w:val="16"/>
                <w:lang w:bidi="th-TH"/>
              </w:rPr>
              <w:t xml:space="preserve"> </w:t>
            </w:r>
            <w:r w:rsidRPr="00526311">
              <w:rPr>
                <w:color w:val="002060"/>
                <w:sz w:val="16"/>
                <w:szCs w:val="16"/>
                <w:lang w:bidi="th-TH"/>
              </w:rPr>
              <w:t>en 2012/13.</w:t>
            </w:r>
          </w:p>
          <w:p w:rsidR="00F777B4" w:rsidRPr="00526311" w:rsidRDefault="00F777B4" w:rsidP="0063039A">
            <w:pPr>
              <w:rPr>
                <w:i/>
                <w:sz w:val="8"/>
                <w:szCs w:val="8"/>
              </w:rPr>
            </w:pPr>
          </w:p>
          <w:p w:rsidR="00F777B4" w:rsidRPr="00526311" w:rsidRDefault="007B705E" w:rsidP="0063039A">
            <w:pPr>
              <w:rPr>
                <w:i/>
                <w:sz w:val="16"/>
                <w:szCs w:val="16"/>
              </w:rPr>
            </w:pPr>
            <w:r w:rsidRPr="00526311">
              <w:rPr>
                <w:i/>
                <w:sz w:val="16"/>
                <w:szCs w:val="16"/>
              </w:rPr>
              <w:t>Referencia original en el presupuesto de 2014/15</w:t>
            </w:r>
            <w:r w:rsidR="00F777B4" w:rsidRPr="00526311">
              <w:rPr>
                <w:i/>
                <w:sz w:val="16"/>
                <w:szCs w:val="16"/>
              </w:rPr>
              <w:t xml:space="preserve">:  </w:t>
            </w:r>
            <w:r w:rsidR="00F777B4" w:rsidRPr="00526311">
              <w:rPr>
                <w:sz w:val="16"/>
                <w:szCs w:val="16"/>
              </w:rPr>
              <w:t>75 signos</w:t>
            </w:r>
            <w:r w:rsidR="00F777B4" w:rsidRPr="00526311">
              <w:rPr>
                <w:i/>
                <w:sz w:val="16"/>
                <w:szCs w:val="16"/>
                <w:vertAlign w:val="superscript"/>
              </w:rPr>
              <w:footnoteReference w:id="6"/>
            </w:r>
            <w:r w:rsidR="00F777B4" w:rsidRPr="00526311">
              <w:rPr>
                <w:sz w:val="16"/>
                <w:szCs w:val="16"/>
              </w:rPr>
              <w:t xml:space="preserve"> publicados en 2012 en la base de datos sobre el </w:t>
            </w:r>
            <w:r w:rsidR="00547FB1" w:rsidRPr="00526311">
              <w:rPr>
                <w:sz w:val="16"/>
                <w:szCs w:val="16"/>
              </w:rPr>
              <w:t xml:space="preserve">Artículo </w:t>
            </w:r>
            <w:r w:rsidR="00F777B4" w:rsidRPr="00526311">
              <w:rPr>
                <w:sz w:val="16"/>
                <w:szCs w:val="16"/>
              </w:rPr>
              <w:t>6</w:t>
            </w:r>
            <w:r w:rsidR="00F777B4" w:rsidRPr="00526311">
              <w:rPr>
                <w:i/>
                <w:sz w:val="16"/>
                <w:szCs w:val="16"/>
              </w:rPr>
              <w:t>ter</w:t>
            </w:r>
            <w:r w:rsidR="00F777B4" w:rsidRPr="00526311">
              <w:rPr>
                <w:sz w:val="16"/>
                <w:szCs w:val="16"/>
              </w:rPr>
              <w:t>.</w:t>
            </w:r>
            <w:r w:rsidR="00F777B4" w:rsidRPr="00526311">
              <w:rPr>
                <w:sz w:val="16"/>
                <w:szCs w:val="16"/>
              </w:rPr>
              <w:br/>
            </w:r>
          </w:p>
        </w:tc>
        <w:tc>
          <w:tcPr>
            <w:tcW w:w="688" w:type="pct"/>
            <w:gridSpan w:val="2"/>
            <w:tcBorders>
              <w:top w:val="nil"/>
              <w:left w:val="nil"/>
              <w:bottom w:val="single" w:sz="4" w:space="0" w:color="auto"/>
              <w:right w:val="nil"/>
            </w:tcBorders>
            <w:shd w:val="clear" w:color="auto" w:fill="auto"/>
            <w:tcMar>
              <w:top w:w="110" w:type="dxa"/>
            </w:tcMar>
          </w:tcPr>
          <w:p w:rsidR="00F777B4" w:rsidRPr="00526311" w:rsidRDefault="00F777B4" w:rsidP="0063039A">
            <w:pPr>
              <w:rPr>
                <w:sz w:val="16"/>
                <w:szCs w:val="16"/>
                <w:lang w:bidi="th-TH"/>
              </w:rPr>
            </w:pPr>
            <w:r w:rsidRPr="00526311">
              <w:rPr>
                <w:sz w:val="16"/>
                <w:szCs w:val="16"/>
                <w:lang w:bidi="th-TH"/>
              </w:rPr>
              <w:t xml:space="preserve">150 signos publicados en la base de datos sobre el </w:t>
            </w:r>
            <w:r w:rsidR="00547FB1" w:rsidRPr="00526311">
              <w:rPr>
                <w:sz w:val="16"/>
                <w:szCs w:val="16"/>
                <w:lang w:bidi="th-TH"/>
              </w:rPr>
              <w:t xml:space="preserve">Artículo </w:t>
            </w:r>
            <w:r w:rsidRPr="00526311">
              <w:rPr>
                <w:sz w:val="16"/>
                <w:szCs w:val="16"/>
                <w:lang w:bidi="th-TH"/>
              </w:rPr>
              <w:t>6</w:t>
            </w:r>
            <w:r w:rsidRPr="00526311">
              <w:rPr>
                <w:i/>
                <w:sz w:val="16"/>
                <w:szCs w:val="16"/>
                <w:lang w:bidi="th-TH"/>
              </w:rPr>
              <w:t>ter</w:t>
            </w:r>
            <w:r w:rsidRPr="00526311">
              <w:rPr>
                <w:rStyle w:val="FootnoteReference"/>
                <w:sz w:val="16"/>
                <w:szCs w:val="16"/>
                <w:lang w:bidi="th-TH"/>
              </w:rPr>
              <w:footnoteReference w:id="7"/>
            </w:r>
            <w:r w:rsidRPr="00526311">
              <w:rPr>
                <w:i/>
                <w:sz w:val="16"/>
                <w:szCs w:val="16"/>
                <w:lang w:bidi="th-TH"/>
              </w:rPr>
              <w:t>.</w:t>
            </w:r>
          </w:p>
        </w:tc>
        <w:tc>
          <w:tcPr>
            <w:tcW w:w="1095" w:type="pct"/>
            <w:gridSpan w:val="3"/>
            <w:tcBorders>
              <w:top w:val="nil"/>
              <w:left w:val="nil"/>
              <w:bottom w:val="single" w:sz="4" w:space="0" w:color="auto"/>
              <w:right w:val="nil"/>
            </w:tcBorders>
            <w:shd w:val="clear" w:color="auto" w:fill="auto"/>
            <w:tcMar>
              <w:top w:w="110" w:type="dxa"/>
            </w:tcMar>
          </w:tcPr>
          <w:p w:rsidR="00F777B4" w:rsidRPr="00526311" w:rsidRDefault="00F777B4" w:rsidP="0063039A">
            <w:pPr>
              <w:rPr>
                <w:sz w:val="16"/>
                <w:szCs w:val="16"/>
                <w:lang w:bidi="th-TH"/>
              </w:rPr>
            </w:pPr>
            <w:r w:rsidRPr="00526311">
              <w:rPr>
                <w:sz w:val="16"/>
                <w:szCs w:val="16"/>
                <w:lang w:bidi="th-TH"/>
              </w:rPr>
              <w:t>49 nuevos signos publicados (2014)</w:t>
            </w:r>
          </w:p>
          <w:p w:rsidR="00F777B4" w:rsidRPr="00526311" w:rsidRDefault="00F777B4" w:rsidP="0063039A">
            <w:pPr>
              <w:rPr>
                <w:sz w:val="16"/>
                <w:szCs w:val="16"/>
                <w:lang w:bidi="th-TH"/>
              </w:rPr>
            </w:pPr>
          </w:p>
          <w:p w:rsidR="00F777B4" w:rsidRPr="00526311" w:rsidRDefault="00F777B4" w:rsidP="0063039A">
            <w:pPr>
              <w:rPr>
                <w:sz w:val="16"/>
                <w:szCs w:val="16"/>
                <w:lang w:bidi="th-TH"/>
              </w:rPr>
            </w:pPr>
            <w:r w:rsidRPr="00526311">
              <w:rPr>
                <w:sz w:val="16"/>
                <w:szCs w:val="16"/>
                <w:lang w:bidi="th-TH"/>
              </w:rPr>
              <w:t>Un total de 3.057 signos contenidos en la base de datos sobre el Artículo</w:t>
            </w:r>
            <w:r w:rsidRPr="00526311">
              <w:rPr>
                <w:sz w:val="16"/>
                <w:szCs w:val="16"/>
              </w:rPr>
              <w:t xml:space="preserve"> 6</w:t>
            </w:r>
            <w:r w:rsidRPr="00526311">
              <w:rPr>
                <w:i/>
                <w:sz w:val="16"/>
                <w:szCs w:val="16"/>
              </w:rPr>
              <w:t>ter</w:t>
            </w:r>
            <w:r w:rsidRPr="00526311">
              <w:rPr>
                <w:sz w:val="16"/>
                <w:szCs w:val="16"/>
              </w:rPr>
              <w:t xml:space="preserve"> a finales de 2014.</w:t>
            </w:r>
          </w:p>
        </w:tc>
        <w:tc>
          <w:tcPr>
            <w:tcW w:w="698" w:type="pct"/>
            <w:gridSpan w:val="3"/>
            <w:tcBorders>
              <w:top w:val="nil"/>
              <w:left w:val="nil"/>
              <w:bottom w:val="single" w:sz="4" w:space="0" w:color="auto"/>
              <w:right w:val="single" w:sz="4" w:space="0" w:color="auto"/>
            </w:tcBorders>
            <w:shd w:val="clear" w:color="auto" w:fill="auto"/>
          </w:tcPr>
          <w:p w:rsidR="00F777B4" w:rsidRPr="00526311" w:rsidRDefault="00F777B4" w:rsidP="0063039A">
            <w:pPr>
              <w:rPr>
                <w:b/>
                <w:color w:val="FF0000"/>
                <w:sz w:val="16"/>
                <w:szCs w:val="16"/>
              </w:rPr>
            </w:pPr>
            <w:r w:rsidRPr="00526311">
              <w:rPr>
                <w:b/>
                <w:color w:val="FF0000"/>
                <w:sz w:val="16"/>
                <w:szCs w:val="16"/>
              </w:rPr>
              <w:t>No avanza</w:t>
            </w:r>
          </w:p>
        </w:tc>
      </w:tr>
    </w:tbl>
    <w:p w:rsidR="00F777B4" w:rsidRPr="00526311" w:rsidRDefault="00F777B4" w:rsidP="0063039A">
      <w:pPr>
        <w:jc w:val="both"/>
        <w:rPr>
          <w:sz w:val="18"/>
        </w:rPr>
      </w:pPr>
    </w:p>
    <w:p w:rsidR="00F777B4" w:rsidRPr="00526311" w:rsidRDefault="00F777B4" w:rsidP="0063039A">
      <w:pPr>
        <w:jc w:val="both"/>
        <w:rPr>
          <w:sz w:val="18"/>
        </w:rPr>
      </w:pPr>
    </w:p>
    <w:p w:rsidR="00F777B4" w:rsidRPr="00526311" w:rsidRDefault="00F777B4" w:rsidP="0063039A">
      <w:pPr>
        <w:rPr>
          <w:b/>
          <w:sz w:val="18"/>
          <w:szCs w:val="18"/>
        </w:rPr>
      </w:pPr>
      <w:r w:rsidRPr="00526311">
        <w:rPr>
          <w:szCs w:val="22"/>
        </w:rPr>
        <w:t>UTILIZACIÓN DE LOS RECURSOS</w:t>
      </w:r>
    </w:p>
    <w:p w:rsidR="00F777B4" w:rsidRPr="00526311" w:rsidRDefault="00F777B4" w:rsidP="0063039A">
      <w:pPr>
        <w:rPr>
          <w:sz w:val="20"/>
        </w:rPr>
      </w:pPr>
    </w:p>
    <w:p w:rsidR="00F777B4" w:rsidRPr="00526311" w:rsidRDefault="00F777B4" w:rsidP="0063039A">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F777B4" w:rsidRPr="00526311" w:rsidRDefault="00F777B4"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F777B4" w:rsidRPr="00526311" w:rsidRDefault="00F777B4" w:rsidP="0063039A">
      <w:pPr>
        <w:pStyle w:val="NormalWeb"/>
        <w:spacing w:before="0" w:beforeAutospacing="0" w:after="0" w:afterAutospacing="0"/>
        <w:jc w:val="center"/>
        <w:rPr>
          <w:i/>
          <w:iCs/>
          <w:sz w:val="16"/>
          <w:szCs w:val="20"/>
          <w:lang w:val="es-ES"/>
        </w:rPr>
      </w:pPr>
    </w:p>
    <w:p w:rsidR="00F777B4" w:rsidRPr="00526311" w:rsidRDefault="00DD7B62" w:rsidP="0063039A">
      <w:pPr>
        <w:jc w:val="center"/>
        <w:rPr>
          <w:sz w:val="20"/>
        </w:rPr>
      </w:pPr>
      <w:r w:rsidRPr="00526311">
        <w:rPr>
          <w:noProof/>
          <w:lang w:val="en-US" w:eastAsia="en-US"/>
        </w:rPr>
        <w:drawing>
          <wp:inline distT="0" distB="0" distL="0" distR="0" wp14:anchorId="7010979D" wp14:editId="47955B6B">
            <wp:extent cx="5762625" cy="2905125"/>
            <wp:effectExtent l="0" t="0" r="9525" b="952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2905125"/>
                    </a:xfrm>
                    <a:prstGeom prst="rect">
                      <a:avLst/>
                    </a:prstGeom>
                    <a:noFill/>
                    <a:ln>
                      <a:noFill/>
                    </a:ln>
                  </pic:spPr>
                </pic:pic>
              </a:graphicData>
            </a:graphic>
          </wp:inline>
        </w:drawing>
      </w:r>
    </w:p>
    <w:p w:rsidR="00F777B4" w:rsidRPr="00526311" w:rsidRDefault="00F777B4" w:rsidP="0063039A">
      <w:pPr>
        <w:rPr>
          <w:sz w:val="20"/>
        </w:rPr>
      </w:pPr>
    </w:p>
    <w:p w:rsidR="00F777B4" w:rsidRPr="00526311" w:rsidRDefault="00F777B4" w:rsidP="0063039A">
      <w:pPr>
        <w:pStyle w:val="NormalWeb"/>
        <w:keepNext/>
        <w:keepLines/>
        <w:spacing w:before="0" w:beforeAutospacing="0" w:after="0" w:afterAutospacing="0"/>
        <w:jc w:val="center"/>
        <w:rPr>
          <w:sz w:val="20"/>
          <w:szCs w:val="20"/>
          <w:lang w:val="es-ES"/>
        </w:rPr>
      </w:pPr>
      <w:r w:rsidRPr="00526311">
        <w:rPr>
          <w:sz w:val="20"/>
          <w:szCs w:val="20"/>
          <w:lang w:val="es-ES"/>
        </w:rPr>
        <w:lastRenderedPageBreak/>
        <w:t xml:space="preserve">Presupuesto y gastos reales (de personal y no relativos a personal) </w:t>
      </w:r>
    </w:p>
    <w:p w:rsidR="00F777B4" w:rsidRPr="00526311" w:rsidRDefault="00F777B4"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(en miles de francos suizos)</w:t>
      </w:r>
    </w:p>
    <w:p w:rsidR="00F777B4" w:rsidRPr="00526311" w:rsidRDefault="00F777B4" w:rsidP="0063039A">
      <w:pPr>
        <w:pStyle w:val="NormalWeb"/>
        <w:keepNext/>
        <w:keepLines/>
        <w:spacing w:before="0" w:beforeAutospacing="0" w:after="0" w:afterAutospacing="0"/>
        <w:jc w:val="center"/>
        <w:rPr>
          <w:i/>
          <w:iCs/>
          <w:sz w:val="16"/>
          <w:szCs w:val="20"/>
          <w:lang w:val="es-ES"/>
        </w:rPr>
      </w:pPr>
    </w:p>
    <w:p w:rsidR="00F777B4" w:rsidRPr="00526311" w:rsidRDefault="00FF6E74" w:rsidP="0063039A">
      <w:pPr>
        <w:jc w:val="center"/>
        <w:rPr>
          <w:i/>
          <w:sz w:val="16"/>
          <w:szCs w:val="16"/>
        </w:rPr>
      </w:pPr>
      <w:bookmarkStart w:id="17" w:name="Punto2"/>
      <w:r w:rsidRPr="00526311">
        <w:rPr>
          <w:noProof/>
          <w:lang w:val="en-US" w:eastAsia="en-US"/>
        </w:rPr>
        <w:drawing>
          <wp:inline distT="0" distB="0" distL="0" distR="0" wp14:anchorId="47E0FB9A" wp14:editId="1D2113B8">
            <wp:extent cx="5940425" cy="1186181"/>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1186181"/>
                    </a:xfrm>
                    <a:prstGeom prst="rect">
                      <a:avLst/>
                    </a:prstGeom>
                    <a:noFill/>
                    <a:ln>
                      <a:noFill/>
                    </a:ln>
                  </pic:spPr>
                </pic:pic>
              </a:graphicData>
            </a:graphic>
          </wp:inline>
        </w:drawing>
      </w:r>
      <w:bookmarkEnd w:id="17"/>
    </w:p>
    <w:p w:rsidR="00F777B4" w:rsidRPr="00526311" w:rsidRDefault="00F777B4" w:rsidP="0063039A">
      <w:pPr>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F777B4" w:rsidRPr="00526311" w:rsidRDefault="00F777B4" w:rsidP="0063039A">
      <w:pPr>
        <w:rPr>
          <w:sz w:val="16"/>
        </w:rPr>
      </w:pPr>
    </w:p>
    <w:p w:rsidR="00F777B4" w:rsidRPr="00526311" w:rsidRDefault="00F777B4" w:rsidP="0063039A">
      <w:pPr>
        <w:rPr>
          <w:sz w:val="16"/>
        </w:rPr>
      </w:pPr>
    </w:p>
    <w:p w:rsidR="00F777B4" w:rsidRPr="00526311" w:rsidRDefault="00F777B4"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F777B4" w:rsidRPr="00526311" w:rsidRDefault="00F777B4" w:rsidP="0063039A">
      <w:pPr>
        <w:autoSpaceDE w:val="0"/>
        <w:autoSpaceDN w:val="0"/>
        <w:jc w:val="both"/>
        <w:rPr>
          <w:sz w:val="20"/>
          <w:lang w:eastAsia="ko-KR"/>
        </w:rPr>
      </w:pPr>
    </w:p>
    <w:p w:rsidR="00F777B4" w:rsidRPr="00526311" w:rsidRDefault="00F777B4" w:rsidP="00B45FC3">
      <w:pPr>
        <w:pStyle w:val="ListParagraph"/>
        <w:numPr>
          <w:ilvl w:val="0"/>
          <w:numId w:val="11"/>
        </w:numPr>
        <w:tabs>
          <w:tab w:val="left" w:pos="709"/>
        </w:tabs>
        <w:autoSpaceDE w:val="0"/>
        <w:autoSpaceDN w:val="0"/>
        <w:ind w:left="0" w:firstLine="0"/>
        <w:jc w:val="both"/>
        <w:rPr>
          <w:rFonts w:cs="Arial"/>
          <w:lang w:val="es-ES" w:eastAsia="ko-KR"/>
        </w:rPr>
      </w:pPr>
      <w:r w:rsidRPr="00526311">
        <w:rPr>
          <w:rFonts w:eastAsia="Batang"/>
          <w:lang w:val="es-ES" w:eastAsia="ko-KR"/>
        </w:rPr>
        <w:t xml:space="preserve">En el presupuesto </w:t>
      </w:r>
      <w:r w:rsidR="00011744" w:rsidRPr="00526311">
        <w:rPr>
          <w:rFonts w:eastAsia="Batang"/>
          <w:lang w:val="es-ES" w:eastAsia="ko-KR"/>
        </w:rPr>
        <w:t xml:space="preserve">de </w:t>
      </w:r>
      <w:r w:rsidRPr="00526311">
        <w:rPr>
          <w:rFonts w:eastAsia="Batang"/>
          <w:lang w:val="es-ES" w:eastAsia="ko-KR"/>
        </w:rPr>
        <w:t xml:space="preserve">2014/15 </w:t>
      </w:r>
      <w:r w:rsidR="00015BAA" w:rsidRPr="00526311">
        <w:rPr>
          <w:rFonts w:eastAsia="Batang"/>
          <w:lang w:val="es-ES" w:eastAsia="ko-KR"/>
        </w:rPr>
        <w:t>tras</w:t>
      </w:r>
      <w:r w:rsidRPr="00526311">
        <w:rPr>
          <w:rFonts w:eastAsia="Batang"/>
          <w:lang w:val="es-ES" w:eastAsia="ko-KR"/>
        </w:rPr>
        <w:t xml:space="preserve"> las transferencias, la disminución de recursos relativos al resultado I.1 (Elaboración de marcos normativos internacionales equilibrados para la P.I.) se debe a la transferencia, desde el programa, de recursos</w:t>
      </w:r>
      <w:r w:rsidRPr="00526311">
        <w:rPr>
          <w:rFonts w:eastAsia="Batang"/>
          <w:szCs w:val="24"/>
          <w:lang w:val="es-ES" w:eastAsia="ko-KR"/>
        </w:rPr>
        <w:t xml:space="preserve"> </w:t>
      </w:r>
      <w:r w:rsidRPr="00526311">
        <w:rPr>
          <w:rFonts w:eastAsia="Batang"/>
          <w:lang w:val="es-ES" w:eastAsia="ko-KR"/>
        </w:rPr>
        <w:t>no relativos a personal inicialmente presupuestados para la eventual organización de una conferencia diplomática.</w:t>
      </w:r>
    </w:p>
    <w:p w:rsidR="00F777B4" w:rsidRPr="00526311" w:rsidRDefault="00F777B4" w:rsidP="0063039A">
      <w:pPr>
        <w:autoSpaceDE w:val="0"/>
        <w:autoSpaceDN w:val="0"/>
        <w:jc w:val="both"/>
        <w:rPr>
          <w:sz w:val="20"/>
          <w:lang w:eastAsia="ko-KR"/>
        </w:rPr>
      </w:pPr>
    </w:p>
    <w:p w:rsidR="00F777B4" w:rsidRPr="00526311" w:rsidRDefault="00F777B4"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F777B4" w:rsidRPr="00526311" w:rsidRDefault="00F777B4" w:rsidP="0063039A">
      <w:pPr>
        <w:tabs>
          <w:tab w:val="left" w:pos="709"/>
        </w:tabs>
        <w:jc w:val="both"/>
        <w:rPr>
          <w:sz w:val="20"/>
          <w:u w:val="single"/>
          <w:lang w:eastAsia="ko-KR"/>
        </w:rPr>
      </w:pPr>
    </w:p>
    <w:p w:rsidR="00F777B4" w:rsidRPr="00526311" w:rsidRDefault="00F777B4" w:rsidP="00B45FC3">
      <w:pPr>
        <w:pStyle w:val="ListParagraph"/>
        <w:numPr>
          <w:ilvl w:val="0"/>
          <w:numId w:val="11"/>
        </w:numPr>
        <w:tabs>
          <w:tab w:val="left" w:pos="709"/>
        </w:tabs>
        <w:autoSpaceDE w:val="0"/>
        <w:autoSpaceDN w:val="0"/>
        <w:ind w:left="0" w:firstLine="0"/>
        <w:jc w:val="both"/>
        <w:rPr>
          <w:rFonts w:eastAsia="Batang" w:cs="Arial"/>
          <w:lang w:val="es-ES" w:eastAsia="ko-KR"/>
        </w:rPr>
      </w:pPr>
      <w:r w:rsidRPr="00526311">
        <w:rPr>
          <w:rFonts w:eastAsia="Batang" w:cs="Arial"/>
          <w:lang w:val="es-ES" w:eastAsia="ko-KR"/>
        </w:rPr>
        <w:t>La infrautilización</w:t>
      </w:r>
      <w:r w:rsidR="00581419" w:rsidRPr="00526311">
        <w:rPr>
          <w:rFonts w:eastAsia="Batang" w:cs="Arial"/>
          <w:lang w:val="es-ES" w:eastAsia="ko-KR"/>
        </w:rPr>
        <w:t xml:space="preserve"> de los recursos no relativos a</w:t>
      </w:r>
      <w:r w:rsidRPr="00526311">
        <w:rPr>
          <w:rFonts w:eastAsia="Batang" w:cs="Arial"/>
          <w:lang w:val="es-ES" w:eastAsia="ko-KR"/>
        </w:rPr>
        <w:t xml:space="preserve"> personal se debió principalmente a:</w:t>
      </w:r>
    </w:p>
    <w:p w:rsidR="00F777B4" w:rsidRPr="00526311" w:rsidRDefault="00F777B4" w:rsidP="0063039A">
      <w:pPr>
        <w:pStyle w:val="ListParagraph"/>
        <w:tabs>
          <w:tab w:val="left" w:pos="709"/>
        </w:tabs>
        <w:autoSpaceDE w:val="0"/>
        <w:autoSpaceDN w:val="0"/>
        <w:ind w:left="0"/>
        <w:jc w:val="both"/>
        <w:rPr>
          <w:rFonts w:eastAsia="Batang" w:cs="Arial"/>
          <w:lang w:val="es-ES" w:eastAsia="ko-KR"/>
        </w:rPr>
      </w:pPr>
    </w:p>
    <w:p w:rsidR="00F777B4" w:rsidRPr="00526311" w:rsidRDefault="00F777B4" w:rsidP="00B45FC3">
      <w:pPr>
        <w:pStyle w:val="ListParagraph"/>
        <w:numPr>
          <w:ilvl w:val="0"/>
          <w:numId w:val="10"/>
        </w:numPr>
        <w:spacing w:after="120"/>
        <w:ind w:left="1134" w:hanging="425"/>
        <w:jc w:val="both"/>
        <w:rPr>
          <w:lang w:val="es-ES"/>
        </w:rPr>
      </w:pPr>
      <w:r w:rsidRPr="00526311">
        <w:rPr>
          <w:rFonts w:eastAsia="Batang" w:cs="Arial"/>
          <w:lang w:val="es-ES" w:eastAsia="ko-KR"/>
        </w:rPr>
        <w:t>el aplazamiento de la conferencia diplomática en el marco del resultado I.1 (Elaboración de marcos normativos internacionales equilibrados para la P.I.);</w:t>
      </w:r>
    </w:p>
    <w:p w:rsidR="00F777B4" w:rsidRPr="00526311" w:rsidRDefault="00F777B4" w:rsidP="00B45FC3">
      <w:pPr>
        <w:pStyle w:val="ListParagraph"/>
        <w:numPr>
          <w:ilvl w:val="0"/>
          <w:numId w:val="10"/>
        </w:numPr>
        <w:spacing w:after="120"/>
        <w:ind w:left="1134" w:hanging="425"/>
        <w:jc w:val="both"/>
        <w:rPr>
          <w:lang w:val="es-ES"/>
        </w:rPr>
      </w:pPr>
      <w:r w:rsidRPr="00526311">
        <w:rPr>
          <w:rFonts w:eastAsia="Batang" w:cs="Arial"/>
          <w:lang w:val="es-ES" w:eastAsia="ko-KR"/>
        </w:rPr>
        <w:t>los ahorros de costos derivados de la reducción de las misiones del personal en el marco del resultado I.2 (asesoramiento</w:t>
      </w:r>
      <w:r w:rsidRPr="00526311">
        <w:rPr>
          <w:lang w:val="es-ES"/>
        </w:rPr>
        <w:t xml:space="preserve"> legislativo);  y</w:t>
      </w:r>
    </w:p>
    <w:p w:rsidR="00F777B4" w:rsidRPr="00526311" w:rsidRDefault="00F777B4" w:rsidP="00B45FC3">
      <w:pPr>
        <w:pStyle w:val="ListParagraph"/>
        <w:numPr>
          <w:ilvl w:val="0"/>
          <w:numId w:val="10"/>
        </w:numPr>
        <w:spacing w:after="120"/>
        <w:ind w:left="1134" w:hanging="425"/>
        <w:jc w:val="both"/>
        <w:rPr>
          <w:lang w:val="es-ES"/>
        </w:rPr>
      </w:pPr>
      <w:r w:rsidRPr="00526311">
        <w:rPr>
          <w:lang w:val="es-ES"/>
        </w:rPr>
        <w:t>la demora en la contratación de un oficial de proyectos para el Proyecto piloto sobre la Propiedad Intelectual y la gestión de diseños para fomentar las actividades comerciales en los países en desarrollo y los países menos adelantados, de la A.D., reflejado en el resultado III.4 (Fortalecimiento de los mecanismos de cooperación y de los programas adaptados a las necesidades de los países en desarrollo y los PMA).</w:t>
      </w:r>
    </w:p>
    <w:p w:rsidR="00F777B4" w:rsidRPr="00526311" w:rsidRDefault="00F777B4" w:rsidP="0063039A">
      <w:pPr>
        <w:rPr>
          <w:sz w:val="20"/>
        </w:rPr>
      </w:pPr>
    </w:p>
    <w:p w:rsidR="00F777B4" w:rsidRPr="00526311" w:rsidRDefault="00F777B4" w:rsidP="0063039A">
      <w:pPr>
        <w:rPr>
          <w:sz w:val="20"/>
        </w:rPr>
      </w:pPr>
    </w:p>
    <w:p w:rsidR="00DD13E3" w:rsidRPr="00526311" w:rsidRDefault="00DD13E3">
      <w:pPr>
        <w:rPr>
          <w:bCs/>
          <w:iCs/>
          <w:caps/>
          <w:szCs w:val="28"/>
        </w:rPr>
      </w:pPr>
      <w:r w:rsidRPr="00526311">
        <w:rPr>
          <w:sz w:val="20"/>
        </w:rPr>
        <w:br w:type="page"/>
      </w:r>
    </w:p>
    <w:p w:rsidR="00F777B4" w:rsidRPr="00526311" w:rsidRDefault="00F777B4" w:rsidP="0063039A">
      <w:pPr>
        <w:pStyle w:val="Heading2"/>
        <w:tabs>
          <w:tab w:val="left" w:pos="2410"/>
        </w:tabs>
        <w:rPr>
          <w:b/>
        </w:rPr>
      </w:pPr>
      <w:bookmarkStart w:id="18" w:name="_Toc422927404"/>
      <w:r w:rsidRPr="00526311">
        <w:rPr>
          <w:b/>
        </w:rPr>
        <w:lastRenderedPageBreak/>
        <w:t>PROGRAMA 3</w:t>
      </w:r>
      <w:r w:rsidRPr="00526311">
        <w:rPr>
          <w:b/>
        </w:rPr>
        <w:tab/>
        <w:t>DERECHO DE AUTOR Y DERECHOS CONEXOS</w:t>
      </w:r>
      <w:bookmarkEnd w:id="18"/>
    </w:p>
    <w:p w:rsidR="00F777B4" w:rsidRPr="00526311" w:rsidRDefault="00F777B4" w:rsidP="0063039A">
      <w:pPr>
        <w:rPr>
          <w:sz w:val="20"/>
        </w:rPr>
      </w:pPr>
    </w:p>
    <w:p w:rsidR="00F777B4" w:rsidRPr="00526311" w:rsidRDefault="00F777B4" w:rsidP="0063039A">
      <w:pPr>
        <w:tabs>
          <w:tab w:val="left" w:pos="2410"/>
        </w:tabs>
        <w:rPr>
          <w:b/>
          <w:sz w:val="20"/>
        </w:rPr>
      </w:pPr>
      <w:r w:rsidRPr="00526311">
        <w:rPr>
          <w:b/>
          <w:sz w:val="20"/>
        </w:rPr>
        <w:t>Directora de programa</w:t>
      </w:r>
      <w:r w:rsidRPr="00526311">
        <w:rPr>
          <w:b/>
          <w:sz w:val="20"/>
        </w:rPr>
        <w:tab/>
        <w:t>Sra. A. Leer</w:t>
      </w:r>
    </w:p>
    <w:p w:rsidR="00F777B4" w:rsidRPr="00526311" w:rsidRDefault="00F777B4" w:rsidP="0063039A">
      <w:pPr>
        <w:rPr>
          <w:sz w:val="20"/>
        </w:rPr>
      </w:pPr>
    </w:p>
    <w:p w:rsidR="00F777B4" w:rsidRPr="00526311" w:rsidRDefault="00F777B4" w:rsidP="0063039A">
      <w:pPr>
        <w:rPr>
          <w:sz w:val="20"/>
        </w:rPr>
      </w:pPr>
    </w:p>
    <w:p w:rsidR="00F777B4" w:rsidRPr="00526311" w:rsidRDefault="00F777B4" w:rsidP="0063039A">
      <w:pPr>
        <w:rPr>
          <w:bCs/>
          <w:szCs w:val="22"/>
        </w:rPr>
      </w:pPr>
      <w:r w:rsidRPr="00526311">
        <w:rPr>
          <w:bCs/>
          <w:szCs w:val="22"/>
        </w:rPr>
        <w:t>RESEÑA DE LOS AVANCES LOGRADOS EN 2014</w:t>
      </w:r>
    </w:p>
    <w:p w:rsidR="00F777B4" w:rsidRPr="00526311" w:rsidRDefault="00F777B4" w:rsidP="0063039A">
      <w:pPr>
        <w:rPr>
          <w:sz w:val="20"/>
        </w:rPr>
      </w:pPr>
    </w:p>
    <w:p w:rsidR="00F777B4" w:rsidRPr="00526311" w:rsidRDefault="00F777B4" w:rsidP="00B45FC3">
      <w:pPr>
        <w:pStyle w:val="ListParagraph"/>
        <w:numPr>
          <w:ilvl w:val="0"/>
          <w:numId w:val="14"/>
        </w:numPr>
        <w:tabs>
          <w:tab w:val="left" w:pos="0"/>
          <w:tab w:val="left" w:pos="709"/>
        </w:tabs>
        <w:ind w:left="0" w:firstLine="0"/>
        <w:jc w:val="both"/>
        <w:rPr>
          <w:rFonts w:cs="Arial"/>
          <w:lang w:val="es-ES"/>
        </w:rPr>
      </w:pPr>
      <w:r w:rsidRPr="00526311">
        <w:rPr>
          <w:rFonts w:eastAsia="SimSun" w:cs="Arial"/>
          <w:bCs/>
          <w:lang w:val="es-ES" w:eastAsia="zh-CN"/>
        </w:rPr>
        <w:t>La labor relativa a este programa en 2014 se centró en lograr los resultados previstos en tres ámbitos amplios:  avanzar en la labor normativa en el Comité Permanente de Derecho de Autor y Derechos Conexos (SCCR), reforzar el desarrollo de la infraestructura de derecho de autor, así como mejorar la capacidad institucional y humana en los países en desarrollo y los PMA, con vistas a utilizar el sistema de derecho de autor para explotar el potencial económico de su</w:t>
      </w:r>
      <w:r w:rsidR="00547FB1" w:rsidRPr="00526311">
        <w:rPr>
          <w:rFonts w:eastAsia="SimSun" w:cs="Arial"/>
          <w:bCs/>
          <w:lang w:val="es-ES" w:eastAsia="zh-CN"/>
        </w:rPr>
        <w:t>s industrias creativas y</w:t>
      </w:r>
      <w:r w:rsidRPr="00526311">
        <w:rPr>
          <w:rFonts w:eastAsia="SimSun" w:cs="Arial"/>
          <w:bCs/>
          <w:lang w:val="es-ES" w:eastAsia="zh-CN"/>
        </w:rPr>
        <w:t xml:space="preserve"> cultura</w:t>
      </w:r>
      <w:r w:rsidR="00547FB1" w:rsidRPr="00526311">
        <w:rPr>
          <w:rFonts w:eastAsia="SimSun" w:cs="Arial"/>
          <w:bCs/>
          <w:lang w:val="es-ES" w:eastAsia="zh-CN"/>
        </w:rPr>
        <w:t>les</w:t>
      </w:r>
      <w:r w:rsidRPr="00526311">
        <w:rPr>
          <w:rFonts w:eastAsia="SimSun" w:cs="Arial"/>
          <w:bCs/>
          <w:lang w:val="es-ES" w:eastAsia="zh-CN"/>
        </w:rPr>
        <w:t>.  Se ha progresado de forma notable en cada uno de estos ámbitos, tal y como ponen de manifiesto los indicadores de rendimiento que se examinan a continuación.</w:t>
      </w:r>
    </w:p>
    <w:p w:rsidR="00F777B4" w:rsidRPr="00526311" w:rsidRDefault="00F777B4" w:rsidP="0063039A">
      <w:pPr>
        <w:widowControl w:val="0"/>
        <w:jc w:val="both"/>
        <w:rPr>
          <w:sz w:val="20"/>
        </w:rPr>
      </w:pPr>
    </w:p>
    <w:p w:rsidR="00F777B4" w:rsidRPr="00526311" w:rsidRDefault="00F777B4" w:rsidP="0063039A">
      <w:pPr>
        <w:widowControl w:val="0"/>
        <w:jc w:val="both"/>
        <w:rPr>
          <w:bCs/>
          <w:sz w:val="20"/>
          <w:u w:val="single"/>
        </w:rPr>
      </w:pPr>
      <w:r w:rsidRPr="00526311">
        <w:rPr>
          <w:bCs/>
          <w:sz w:val="20"/>
          <w:u w:val="single"/>
        </w:rPr>
        <w:t>Labor normativa y de política</w:t>
      </w:r>
    </w:p>
    <w:p w:rsidR="00F777B4" w:rsidRPr="00526311" w:rsidRDefault="00F777B4" w:rsidP="0063039A">
      <w:pPr>
        <w:widowControl w:val="0"/>
        <w:jc w:val="both"/>
        <w:rPr>
          <w:bCs/>
          <w:sz w:val="20"/>
        </w:rPr>
      </w:pPr>
    </w:p>
    <w:p w:rsidR="00F777B4" w:rsidRPr="00526311" w:rsidRDefault="00F777B4" w:rsidP="00B45FC3">
      <w:pPr>
        <w:pStyle w:val="ListParagraph"/>
        <w:widowControl w:val="0"/>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En 2014 se siguió avanzando en el proceso hacia la entrada en vigor de los dos nuevos tratados sobre derechos de autor.  El Tratado de Beijing para la protección de las interpretaciones y ejecuciones audiovisuales (el “Tratado de Beijing”) obtuvo cuatro nuevas ratificaciones/adhesiones (China, Japón, Eslovaquia, Emiratos Árabes Unidos), alcanzando así un total de 6 de las 30 ratificaciones o adhesiones que son necesarias para su entrada en vigor.  El Tratado de Marrakech para facilitar el acceso a las obras publicadas a las personas ciegas, con discapacidad visual o con otras dificultades para acceder al texto impreso (el “Tratado de Marrakech”), que había obtenido 80 firmas en total antes del plazo de junio, consiguió sus primeras cinco ratificaciones y adhesiones (El Salvador, India, Malí, Emiratos Árabes Unidos, Uruguay), avanzando así hacia las 20 ratificaciones o adhesiones necesarias para su entrada en vigor.  Los objetivos de ratificación o adhesión a esos tratados que se habían establecido para el bienio 2014/15 en la vigésima sesión del Comité del Programa y Presupuesto (PBC) eran bastante ambiciosos, teniendo en cuenta la necesidad de mantener las dotaciones de recursos en el nivel propuesto;  sin embargo, una de las prioridades del programa ha sido y sigue siendo la asistencia a los Estados miembros en el proceso de ratificación de los tratados.  Es probable que el objetivo fijado para el Tratado de Marrakech se alcance antes del fin del bienio.</w:t>
      </w:r>
    </w:p>
    <w:p w:rsidR="00F777B4" w:rsidRPr="00526311" w:rsidRDefault="00F777B4" w:rsidP="0063039A">
      <w:pPr>
        <w:pStyle w:val="ListParagraph"/>
        <w:tabs>
          <w:tab w:val="left" w:pos="0"/>
          <w:tab w:val="left" w:pos="709"/>
        </w:tabs>
        <w:ind w:left="0"/>
        <w:jc w:val="both"/>
        <w:rPr>
          <w:rFonts w:eastAsia="SimSun" w:cs="Arial"/>
          <w:bCs/>
          <w:lang w:val="es-ES" w:eastAsia="zh-CN"/>
        </w:rPr>
      </w:pPr>
    </w:p>
    <w:p w:rsidR="00F777B4" w:rsidRPr="00526311" w:rsidRDefault="00F777B4" w:rsidP="00B45FC3">
      <w:pPr>
        <w:pStyle w:val="ListParagraph"/>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Las actividades normativas del SCCR relacionadas con el programa fueron incluyentes y estuvieron orientadas hacia los miembros (recomendación 15), se tuvieron debidamente en cuenta los límites, la función y el alcance del “dominio público” (recomendaciones 16 y 20) y las flexibilidades en los acuerdos internacionales sobre P.I. (recomendación 17).</w:t>
      </w:r>
    </w:p>
    <w:p w:rsidR="00F777B4" w:rsidRPr="00526311" w:rsidRDefault="00F777B4" w:rsidP="0063039A">
      <w:pPr>
        <w:pStyle w:val="ListParagraph"/>
        <w:tabs>
          <w:tab w:val="left" w:pos="0"/>
          <w:tab w:val="left" w:pos="709"/>
        </w:tabs>
        <w:ind w:left="0"/>
        <w:jc w:val="both"/>
        <w:rPr>
          <w:rFonts w:eastAsia="SimSun" w:cs="Arial"/>
          <w:bCs/>
          <w:lang w:val="es-ES" w:eastAsia="zh-CN"/>
        </w:rPr>
      </w:pPr>
    </w:p>
    <w:p w:rsidR="00F777B4" w:rsidRPr="00526311" w:rsidRDefault="00F777B4" w:rsidP="00B45FC3">
      <w:pPr>
        <w:pStyle w:val="ListParagraph"/>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El asesoramiento en materia legislativa relacionado con los derechos de autor y derechos conexos que se prestó a los Estados miembros que lo solicitaron estuvo orientado a potenciar el desarrollo, fue equilibrado y se adaptó a las situaciones específicas de cada Estado miembro, de acuerdo con los principios de la A.D. (recomendación 13), y tuvo en cuenta las flexibilidades aplicables a los países según sus distintos niveles de desarrollo (recomendaciones 14 y 17).  En 2014, se prestó asesoramiento a 16 Estados miembros en diversas regiones.  En 2014 aumentaron las peticiones de asesoramiento, en parte debido al interés de algunos Estados miembros por adherirse al Tratado de Beijing y al Tratado de Marrakech.  También se proporcionó asesoramiento a los países en desarrollo y los PMA que lo solicitaron, en relación con el nuevo régimen de los diez años del Anexo del Convenio de Berna.</w:t>
      </w:r>
    </w:p>
    <w:p w:rsidR="00F777B4" w:rsidRPr="00526311" w:rsidRDefault="00F777B4" w:rsidP="0063039A">
      <w:pPr>
        <w:pStyle w:val="ListParagraph"/>
        <w:tabs>
          <w:tab w:val="left" w:pos="0"/>
          <w:tab w:val="left" w:pos="709"/>
        </w:tabs>
        <w:ind w:left="0"/>
        <w:jc w:val="both"/>
        <w:rPr>
          <w:rFonts w:eastAsia="SimSun" w:cs="Arial"/>
          <w:bCs/>
          <w:lang w:val="es-ES" w:eastAsia="zh-CN"/>
        </w:rPr>
      </w:pPr>
    </w:p>
    <w:p w:rsidR="00F777B4" w:rsidRPr="00526311" w:rsidRDefault="00F777B4" w:rsidP="00B45FC3">
      <w:pPr>
        <w:pStyle w:val="ListParagraph"/>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Se volvieron a examinar las otras cuestiones del orden del día del SCCR durante las tres reuniones celebradas en abril/mayo, junio/julio y diciembre de 2014.  En el SCCR se celebró un debate sobre la propuesta de tratado sobre los organismos de radiodifusión, y sobre las limitaciones y excepciones relativas a las bibliotecas y los archivos, las instituciones docentes y de investigación y las personas con otras discapacidades.  Las negociaciones del SCCR se basaron en consultas abiertas y equilibradas (recomendaciones 21 y 42) y contribuyeron a los objetivos de desarrollo de las Naciones Unidas (recomendación 22).</w:t>
      </w:r>
    </w:p>
    <w:p w:rsidR="00F777B4" w:rsidRPr="00526311" w:rsidRDefault="00F777B4" w:rsidP="0063039A">
      <w:pPr>
        <w:pStyle w:val="ListParagraph"/>
        <w:tabs>
          <w:tab w:val="left" w:pos="0"/>
          <w:tab w:val="left" w:pos="709"/>
        </w:tabs>
        <w:ind w:left="0"/>
        <w:jc w:val="both"/>
        <w:rPr>
          <w:rFonts w:eastAsia="SimSun" w:cs="Arial"/>
          <w:bCs/>
          <w:lang w:val="es-ES" w:eastAsia="zh-CN"/>
        </w:rPr>
      </w:pPr>
    </w:p>
    <w:p w:rsidR="00F777B4" w:rsidRPr="00526311" w:rsidRDefault="00F777B4" w:rsidP="00B45FC3">
      <w:pPr>
        <w:pStyle w:val="ListParagraph"/>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 xml:space="preserve">Además, se consiguieron también avances positivos en varios proyectos destinados a potenciar el papel que desempeña la OMPI en el ámbito del derecho de autor en el entorno digital.  En el marco del programa, la Organización participó en diversas actividades en foros tan diversos como la Cumbre Mundial sobre la Sociedad de la Información, el Foro para la Gobernanza de Internet y el Foro Económico Mundial, con el fin de informar sobre cuestiones pertinentes para el derecho de autor, como </w:t>
      </w:r>
      <w:r w:rsidRPr="00526311">
        <w:rPr>
          <w:rFonts w:eastAsia="SimSun" w:cs="Arial"/>
          <w:bCs/>
          <w:lang w:val="es-ES" w:eastAsia="zh-CN"/>
        </w:rPr>
        <w:lastRenderedPageBreak/>
        <w:t>los contenidos creado por los usuarios, la protección jurídica de los videojuegos y las nuevas modalidades en materia de concesión de licencias.</w:t>
      </w:r>
    </w:p>
    <w:p w:rsidR="00F777B4" w:rsidRPr="00526311" w:rsidRDefault="00F777B4" w:rsidP="0063039A">
      <w:pPr>
        <w:tabs>
          <w:tab w:val="left" w:pos="709"/>
        </w:tabs>
        <w:jc w:val="both"/>
        <w:rPr>
          <w:sz w:val="20"/>
        </w:rPr>
      </w:pPr>
    </w:p>
    <w:p w:rsidR="00F777B4" w:rsidRPr="00526311" w:rsidRDefault="00F777B4" w:rsidP="0063039A">
      <w:pPr>
        <w:tabs>
          <w:tab w:val="left" w:pos="709"/>
        </w:tabs>
        <w:jc w:val="both"/>
        <w:rPr>
          <w:sz w:val="20"/>
          <w:u w:val="single"/>
        </w:rPr>
      </w:pPr>
      <w:r w:rsidRPr="00526311">
        <w:rPr>
          <w:sz w:val="20"/>
          <w:u w:val="single"/>
        </w:rPr>
        <w:t>Infraestructura en el ámbito del derecho de autor</w:t>
      </w:r>
    </w:p>
    <w:p w:rsidR="00F777B4" w:rsidRPr="00526311" w:rsidRDefault="00F777B4" w:rsidP="0063039A">
      <w:pPr>
        <w:tabs>
          <w:tab w:val="left" w:pos="709"/>
        </w:tabs>
        <w:jc w:val="both"/>
        <w:rPr>
          <w:sz w:val="20"/>
        </w:rPr>
      </w:pPr>
    </w:p>
    <w:p w:rsidR="00F777B4" w:rsidRPr="00526311" w:rsidRDefault="00F777B4" w:rsidP="00B45FC3">
      <w:pPr>
        <w:pStyle w:val="ListParagraph"/>
        <w:numPr>
          <w:ilvl w:val="0"/>
          <w:numId w:val="14"/>
        </w:numPr>
        <w:tabs>
          <w:tab w:val="left" w:pos="0"/>
          <w:tab w:val="left" w:pos="709"/>
        </w:tabs>
        <w:ind w:left="0" w:firstLine="0"/>
        <w:jc w:val="both"/>
        <w:rPr>
          <w:rFonts w:cs="Arial"/>
          <w:lang w:val="es-ES" w:eastAsia="fr-FR"/>
        </w:rPr>
      </w:pPr>
      <w:r w:rsidRPr="00526311">
        <w:rPr>
          <w:rFonts w:eastAsia="SimSun" w:cs="Arial"/>
          <w:bCs/>
          <w:lang w:val="es-ES" w:eastAsia="zh-CN"/>
        </w:rPr>
        <w:t>En </w:t>
      </w:r>
      <w:r w:rsidRPr="00526311">
        <w:rPr>
          <w:rFonts w:cs="Arial"/>
          <w:lang w:val="es-ES"/>
        </w:rPr>
        <w:t>2014 se logró avanzar en el establecimiento de una nueva norma internacional de garantía de calidad, de aplicación voluntaria, para la gestión colectiva</w:t>
      </w:r>
      <w:r w:rsidRPr="00526311">
        <w:rPr>
          <w:lang w:val="es-ES"/>
        </w:rPr>
        <w:t xml:space="preserve"> conocida como “</w:t>
      </w:r>
      <w:r w:rsidRPr="00526311">
        <w:rPr>
          <w:rFonts w:cs="Arial"/>
          <w:lang w:val="es-ES"/>
        </w:rPr>
        <w:t>TAG of Excellence” (es decir,  excelencia en la transparencia, rendición de cuentas y gobernanza</w:t>
      </w:r>
      <w:r w:rsidR="00547FB1" w:rsidRPr="00526311">
        <w:rPr>
          <w:rFonts w:cs="Arial"/>
          <w:lang w:val="es-ES"/>
        </w:rPr>
        <w:t xml:space="preserve"> (la sigla </w:t>
      </w:r>
      <w:r w:rsidR="009A5995" w:rsidRPr="00526311">
        <w:rPr>
          <w:rFonts w:cs="Arial"/>
          <w:lang w:val="es-ES"/>
        </w:rPr>
        <w:t xml:space="preserve">inglesa </w:t>
      </w:r>
      <w:r w:rsidR="00547FB1" w:rsidRPr="00526311">
        <w:rPr>
          <w:rFonts w:cs="Arial"/>
          <w:lang w:val="es-ES"/>
        </w:rPr>
        <w:t xml:space="preserve">TAG corresponde a las palabras </w:t>
      </w:r>
      <w:r w:rsidR="00547FB1" w:rsidRPr="00526311">
        <w:rPr>
          <w:rFonts w:cs="Arial"/>
          <w:i/>
          <w:lang w:val="es-ES"/>
        </w:rPr>
        <w:t xml:space="preserve">Transparency, Accountability </w:t>
      </w:r>
      <w:r w:rsidR="009A5995" w:rsidRPr="00526311">
        <w:rPr>
          <w:rFonts w:cs="Arial"/>
          <w:lang w:val="es-ES"/>
        </w:rPr>
        <w:t>y</w:t>
      </w:r>
      <w:r w:rsidR="00547FB1" w:rsidRPr="00526311">
        <w:rPr>
          <w:rFonts w:cs="Arial"/>
          <w:i/>
          <w:lang w:val="es-ES"/>
        </w:rPr>
        <w:t xml:space="preserve"> Governance</w:t>
      </w:r>
      <w:r w:rsidRPr="00526311">
        <w:rPr>
          <w:rFonts w:cs="Arial"/>
          <w:lang w:val="es-ES"/>
        </w:rPr>
        <w:t>)</w:t>
      </w:r>
      <w:r w:rsidR="00547FB1" w:rsidRPr="00526311">
        <w:rPr>
          <w:rFonts w:cs="Arial"/>
          <w:lang w:val="es-ES"/>
        </w:rPr>
        <w:t>)</w:t>
      </w:r>
      <w:r w:rsidRPr="00526311">
        <w:rPr>
          <w:rFonts w:cs="Arial"/>
          <w:lang w:val="es-ES"/>
        </w:rPr>
        <w:t xml:space="preserve">.  La respuesta a la nueva norma propuesta ha sido positiva.  La mayoría de las asociaciones profesionales internacionales que forman parte de organismos de gestión colectiva están reunidas en un consorcio que ha aprobado un catálogo de principios que servirán de base para las normas </w:t>
      </w:r>
      <w:r w:rsidRPr="00526311">
        <w:rPr>
          <w:rFonts w:cs="Arial"/>
          <w:i/>
          <w:lang w:val="es-ES"/>
        </w:rPr>
        <w:t>TAG</w:t>
      </w:r>
      <w:r w:rsidRPr="00526311">
        <w:rPr>
          <w:rFonts w:cs="Arial"/>
          <w:lang w:val="es-ES"/>
        </w:rPr>
        <w:t>.  La iniciativa ha recabado el apoyo de varios organismos de gestión colectiva y gobiernos tanto del mundo en desarrollo como en el desarrollado</w:t>
      </w:r>
      <w:r w:rsidRPr="00526311">
        <w:rPr>
          <w:rFonts w:cs="Arial"/>
          <w:lang w:val="es-ES" w:eastAsia="fr-FR"/>
        </w:rPr>
        <w:t xml:space="preserve"> </w:t>
      </w:r>
      <w:r w:rsidRPr="00526311">
        <w:rPr>
          <w:rFonts w:cs="Arial"/>
          <w:lang w:val="es-ES"/>
        </w:rPr>
        <w:t>(</w:t>
      </w:r>
      <w:r w:rsidR="00547FB1" w:rsidRPr="00526311">
        <w:rPr>
          <w:rFonts w:cs="Arial"/>
          <w:lang w:val="es-ES"/>
        </w:rPr>
        <w:t>9</w:t>
      </w:r>
      <w:r w:rsidRPr="00526311">
        <w:rPr>
          <w:rFonts w:cs="Arial"/>
          <w:lang w:val="es-ES"/>
        </w:rPr>
        <w:t xml:space="preserve"> gobiernos y </w:t>
      </w:r>
      <w:r w:rsidR="00547FB1" w:rsidRPr="00526311">
        <w:rPr>
          <w:rFonts w:cs="Arial"/>
          <w:lang w:val="es-ES"/>
        </w:rPr>
        <w:t>61</w:t>
      </w:r>
      <w:r w:rsidRPr="00526311">
        <w:rPr>
          <w:rFonts w:cs="Arial"/>
          <w:lang w:val="es-ES"/>
        </w:rPr>
        <w:t xml:space="preserve"> organismos de gestión colectiva han </w:t>
      </w:r>
      <w:r w:rsidR="00547FB1" w:rsidRPr="00526311">
        <w:rPr>
          <w:rFonts w:cs="Arial"/>
          <w:lang w:val="es-ES"/>
        </w:rPr>
        <w:t>cursado expresiones de</w:t>
      </w:r>
      <w:r w:rsidRPr="00526311">
        <w:rPr>
          <w:rFonts w:cs="Arial"/>
          <w:lang w:val="es-ES"/>
        </w:rPr>
        <w:t xml:space="preserve"> interés).</w:t>
      </w:r>
    </w:p>
    <w:p w:rsidR="00F777B4" w:rsidRPr="00526311" w:rsidRDefault="00F777B4" w:rsidP="0063039A">
      <w:pPr>
        <w:tabs>
          <w:tab w:val="left" w:pos="709"/>
        </w:tabs>
        <w:jc w:val="both"/>
        <w:rPr>
          <w:sz w:val="20"/>
          <w:lang w:eastAsia="fr-FR"/>
        </w:rPr>
      </w:pPr>
    </w:p>
    <w:p w:rsidR="00F777B4" w:rsidRPr="00526311" w:rsidRDefault="00F777B4" w:rsidP="00B45FC3">
      <w:pPr>
        <w:pStyle w:val="ListParagraph"/>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Se siguieron realizando actividades de fortalecimiento de capacidad, apoyo y mantenimiento en el marco de WIPOCOS, la actual herramienta de gestión de datos sobre el derecho de autor de la OMPI.  El objetivo de la OMPI es seguir apoyando WIPOCOS hasta que la conexión de derecho de autor de la OMPI (WCC), el nuevo sistema de gestión de datos que mejora el flujo de datos y derechos a escala mundial entre los organismos de gestión colectiva beneficiarios, esté lista para su implantación.</w:t>
      </w:r>
    </w:p>
    <w:p w:rsidR="00F777B4" w:rsidRPr="00526311" w:rsidRDefault="00F777B4" w:rsidP="0063039A">
      <w:pPr>
        <w:pStyle w:val="ListParagraph"/>
        <w:tabs>
          <w:tab w:val="left" w:pos="0"/>
          <w:tab w:val="left" w:pos="709"/>
        </w:tabs>
        <w:ind w:left="0"/>
        <w:jc w:val="both"/>
        <w:rPr>
          <w:rFonts w:eastAsia="SimSun" w:cs="Arial"/>
          <w:bCs/>
          <w:lang w:val="es-ES" w:eastAsia="zh-CN"/>
        </w:rPr>
      </w:pPr>
    </w:p>
    <w:p w:rsidR="00F777B4" w:rsidRPr="00526311" w:rsidRDefault="00F777B4" w:rsidP="00B45FC3">
      <w:pPr>
        <w:pStyle w:val="ListParagraph"/>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 xml:space="preserve">En 2014, la OMPI </w:t>
      </w:r>
      <w:r w:rsidR="00547FB1" w:rsidRPr="00526311">
        <w:rPr>
          <w:rFonts w:eastAsia="SimSun" w:cs="Arial"/>
          <w:bCs/>
          <w:lang w:val="es-ES" w:eastAsia="zh-CN"/>
        </w:rPr>
        <w:t>publicó cuatro</w:t>
      </w:r>
      <w:r w:rsidRPr="00526311">
        <w:rPr>
          <w:rFonts w:eastAsia="SimSun" w:cs="Arial"/>
          <w:bCs/>
          <w:lang w:val="es-ES" w:eastAsia="zh-CN"/>
        </w:rPr>
        <w:t xml:space="preserve"> estudios</w:t>
      </w:r>
      <w:r w:rsidR="00547FB1" w:rsidRPr="00526311">
        <w:rPr>
          <w:rFonts w:eastAsia="SimSun" w:cs="Arial"/>
          <w:bCs/>
          <w:lang w:val="es-ES" w:eastAsia="zh-CN"/>
        </w:rPr>
        <w:t xml:space="preserve"> nacionales</w:t>
      </w:r>
      <w:r w:rsidRPr="00526311">
        <w:rPr>
          <w:rFonts w:eastAsia="SimSun" w:cs="Arial"/>
          <w:bCs/>
          <w:lang w:val="es-ES" w:eastAsia="zh-CN"/>
        </w:rPr>
        <w:t xml:space="preserve"> sobre la contribución económica de las industrias culturales</w:t>
      </w:r>
      <w:r w:rsidR="00547FB1" w:rsidRPr="00526311">
        <w:rPr>
          <w:rFonts w:eastAsia="SimSun" w:cs="Arial"/>
          <w:bCs/>
          <w:lang w:val="es-ES" w:eastAsia="zh-CN"/>
        </w:rPr>
        <w:t xml:space="preserve"> en Argentina, Indonesia, Serbia y Turquía así como un estudio sobre los Estados miembros de la Organización de los Estados del Caribe Oriental (OECO)</w:t>
      </w:r>
      <w:r w:rsidRPr="00526311">
        <w:rPr>
          <w:rFonts w:eastAsia="SimSun" w:cs="Arial"/>
          <w:bCs/>
          <w:lang w:val="es-ES" w:eastAsia="zh-CN"/>
        </w:rPr>
        <w:t>, de un total de 4</w:t>
      </w:r>
      <w:r w:rsidR="00547FB1" w:rsidRPr="00526311">
        <w:rPr>
          <w:rFonts w:eastAsia="SimSun" w:cs="Arial"/>
          <w:bCs/>
          <w:lang w:val="es-ES" w:eastAsia="zh-CN"/>
        </w:rPr>
        <w:t>6</w:t>
      </w:r>
      <w:r w:rsidRPr="00526311">
        <w:rPr>
          <w:rFonts w:eastAsia="SimSun" w:cs="Arial"/>
          <w:bCs/>
          <w:lang w:val="es-ES" w:eastAsia="zh-CN"/>
        </w:rPr>
        <w:t xml:space="preserve"> estudios.  Esos estudios se basan en la Guía de la OMPI para determinar la contribución económica de las industrias relacionadas con el derecho de autor, edición de 2003.  Dicha guía es actualmente objeto de revisión.  Los estudios indican que las industrias creativas representan en promedio el 5,18% del PIB y el 5,32% del empleo total.  La OMPI también elaboró (en colaboración con asociados externos) la primera encuesta internacional sobre los gravámenes por derecho de autor para texto e imágenes.  Durante el periodo objeto de examen se iniciaron también a varios estudios piloto destinados a determinar el alcance de los efectos económicos, sociales y culturales en las industrias creativas y un estudio para determinar la magnitud del fenómeno de la piratería en el ámbito de los derechos de autor.</w:t>
      </w:r>
      <w:r w:rsidRPr="00526311">
        <w:rPr>
          <w:rFonts w:eastAsia="SimSun" w:cs="Arial"/>
          <w:bCs/>
          <w:lang w:val="es-ES" w:eastAsia="zh-CN"/>
        </w:rPr>
        <w:tab/>
      </w:r>
    </w:p>
    <w:p w:rsidR="00F777B4" w:rsidRPr="00526311" w:rsidRDefault="00F777B4" w:rsidP="0063039A">
      <w:pPr>
        <w:pStyle w:val="ListParagraph"/>
        <w:tabs>
          <w:tab w:val="left" w:pos="0"/>
          <w:tab w:val="left" w:pos="709"/>
        </w:tabs>
        <w:ind w:left="0"/>
        <w:jc w:val="both"/>
        <w:rPr>
          <w:rFonts w:eastAsia="SimSun" w:cs="Arial"/>
          <w:bCs/>
          <w:lang w:val="es-ES" w:eastAsia="zh-CN"/>
        </w:rPr>
      </w:pPr>
    </w:p>
    <w:p w:rsidR="00F777B4" w:rsidRPr="00526311" w:rsidRDefault="00F777B4" w:rsidP="00B45FC3">
      <w:pPr>
        <w:pStyle w:val="ListParagraph"/>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La OMPI publicó dos nuevas herramientas para los creadores:  Dominar el juego: cuestiones jurídicas y empresariales para los creadores de videojuegos y Monetización de los activos derivados del derecho de autor por las empresas creativas.  En julio de 2014 se publicó la segunda edición de la publicación de la OMPI “Cómo ganarse la vida con la música”.  Estas herramientas se usan extensivamente en los programas de fortalecimiento de capacidad y son muy solicitadas (se descargaron más de 100.000 veces en 2014).  La OMPI también ha coproducido un nuevo manual electrónico sobre gestión colectiva en 2014, que presenta los principales hechos y cifras en lo que atañe a los organismos de gestión colectiva de todo el mundo.</w:t>
      </w:r>
    </w:p>
    <w:p w:rsidR="00F777B4" w:rsidRPr="00526311" w:rsidRDefault="00F777B4" w:rsidP="0063039A">
      <w:pPr>
        <w:pStyle w:val="ListParagraph"/>
        <w:tabs>
          <w:tab w:val="left" w:pos="0"/>
          <w:tab w:val="left" w:pos="709"/>
        </w:tabs>
        <w:ind w:left="0"/>
        <w:jc w:val="both"/>
        <w:rPr>
          <w:rFonts w:eastAsia="SimSun" w:cs="Arial"/>
          <w:bCs/>
          <w:lang w:val="es-ES" w:eastAsia="zh-CN"/>
        </w:rPr>
      </w:pPr>
    </w:p>
    <w:p w:rsidR="00F777B4" w:rsidRPr="00526311" w:rsidRDefault="00F777B4" w:rsidP="00B45FC3">
      <w:pPr>
        <w:pStyle w:val="ListParagraph"/>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La OMPI creó un curso de enseñanza a distancia que se vale de toda la gama existente de técnicas de comunicación del siglo XXI</w:t>
      </w:r>
      <w:r w:rsidR="00547FB1" w:rsidRPr="00526311">
        <w:rPr>
          <w:rFonts w:eastAsia="SimSun" w:cs="Arial"/>
          <w:bCs/>
          <w:lang w:val="es-ES" w:eastAsia="zh-CN"/>
        </w:rPr>
        <w:t>,</w:t>
      </w:r>
      <w:r w:rsidRPr="00526311">
        <w:rPr>
          <w:rFonts w:eastAsia="SimSun" w:cs="Arial"/>
          <w:bCs/>
          <w:lang w:val="es-ES" w:eastAsia="zh-CN"/>
        </w:rPr>
        <w:t xml:space="preserve"> y constituye una herramienta práctica de gestión colectiva destinada al personal de los organismos de gestión colectiva, los encargados de la formulación de políticas y los profesionales del </w:t>
      </w:r>
      <w:r w:rsidR="00547FB1" w:rsidRPr="00526311">
        <w:rPr>
          <w:rFonts w:eastAsia="SimSun" w:cs="Arial"/>
          <w:bCs/>
          <w:lang w:val="es-ES" w:eastAsia="zh-CN"/>
        </w:rPr>
        <w:t>Derecho</w:t>
      </w:r>
      <w:r w:rsidRPr="00526311">
        <w:rPr>
          <w:rFonts w:eastAsia="SimSun" w:cs="Arial"/>
          <w:bCs/>
          <w:lang w:val="es-ES" w:eastAsia="zh-CN"/>
        </w:rPr>
        <w:t>.  El curso se puso a prueba como proyecto piloto en el segundo semestre del año.  A lo largo de 2014, la OMPI</w:t>
      </w:r>
      <w:r w:rsidR="00547FB1" w:rsidRPr="00526311">
        <w:rPr>
          <w:rFonts w:eastAsia="SimSun" w:cs="Arial"/>
          <w:bCs/>
          <w:lang w:val="es-ES" w:eastAsia="zh-CN"/>
        </w:rPr>
        <w:t xml:space="preserve"> también firmó memorandos de entendimiento y</w:t>
      </w:r>
      <w:r w:rsidRPr="00526311">
        <w:rPr>
          <w:rFonts w:eastAsia="SimSun" w:cs="Arial"/>
          <w:bCs/>
          <w:lang w:val="es-ES" w:eastAsia="zh-CN"/>
        </w:rPr>
        <w:t xml:space="preserve"> organizó una serie de programas y actividades de fortalecimiento de capacidad conjuntamente con diversas ONG, como el Instituto de Derecho de Autor (IA</w:t>
      </w:r>
      <w:r w:rsidRPr="00526311">
        <w:rPr>
          <w:rFonts w:eastAsia="SimSun" w:cs="Arial"/>
          <w:bCs/>
          <w:i/>
          <w:lang w:val="es-ES" w:eastAsia="zh-CN"/>
        </w:rPr>
        <w:t>), la Sociedade Portuguesa de Autores</w:t>
      </w:r>
      <w:r w:rsidRPr="00526311">
        <w:rPr>
          <w:rFonts w:eastAsia="SimSun" w:cs="Arial"/>
          <w:bCs/>
          <w:lang w:val="es-ES" w:eastAsia="zh-CN"/>
        </w:rPr>
        <w:t xml:space="preserve"> (SPA)</w:t>
      </w:r>
      <w:r w:rsidR="00C818AC" w:rsidRPr="00526311">
        <w:rPr>
          <w:rFonts w:eastAsia="SimSun" w:cs="Arial"/>
          <w:bCs/>
          <w:lang w:val="es-ES" w:eastAsia="zh-CN"/>
        </w:rPr>
        <w:t>, la Federación Internacional de la Industria Fonográfica (IFPI)</w:t>
      </w:r>
      <w:r w:rsidRPr="00526311">
        <w:rPr>
          <w:rFonts w:eastAsia="SimSun" w:cs="Arial"/>
          <w:bCs/>
          <w:lang w:val="es-ES" w:eastAsia="zh-CN"/>
        </w:rPr>
        <w:t xml:space="preserve"> y el Consejo de Sociedades para la Administración de los Derechos de los Artistas Intérpretes o Ejecutantes (SCAPR), y algunos gobiernos, como el de los Estados Unidos de América.</w:t>
      </w:r>
    </w:p>
    <w:p w:rsidR="00F777B4" w:rsidRPr="00526311" w:rsidRDefault="00F777B4" w:rsidP="0063039A">
      <w:pPr>
        <w:pStyle w:val="ListParagraph"/>
        <w:tabs>
          <w:tab w:val="left" w:pos="0"/>
          <w:tab w:val="left" w:pos="709"/>
        </w:tabs>
        <w:ind w:left="0"/>
        <w:jc w:val="both"/>
        <w:rPr>
          <w:rFonts w:eastAsia="SimSun" w:cs="Arial"/>
          <w:bCs/>
          <w:lang w:val="es-ES" w:eastAsia="zh-CN"/>
        </w:rPr>
      </w:pPr>
    </w:p>
    <w:p w:rsidR="00F777B4" w:rsidRPr="00526311" w:rsidRDefault="00F777B4" w:rsidP="00B45FC3">
      <w:pPr>
        <w:pStyle w:val="ListParagraph"/>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 xml:space="preserve">En 2014, se estableció una nueva entidad integrada de múltiples partes interesadas destinada a aumentar el número de libros disponibles en formato accesible como braille, audio y tipos de imprenta grandes en el mundo, y a ponerlos a disposición de personas con dificultades para acceder al texto impreso.  El Consorcio de Libros Accesibles (ABC) está integrado por la OMPI y diversas bibliotecas y organizaciones que trabajan al servicio de las personas con dificultad para acceder al texto impreso y organizaciones que representan a autores y editores.  El ABC llevó a cabo las tres principales actividades siguientes:  el fortalecimiento de capacidad (financiadas por los Gobiernos de Australia y de la República de Corea) en Bangladesh, India, Nepal y Sri Lanka;  la edición inclusiva, que promueve tecnologías que permiten la publicación de obras que “nacen accesibles” y su utilización desde el </w:t>
      </w:r>
      <w:r w:rsidRPr="00526311">
        <w:rPr>
          <w:rFonts w:eastAsia="SimSun" w:cs="Arial"/>
          <w:bCs/>
          <w:lang w:val="es-ES" w:eastAsia="zh-CN"/>
        </w:rPr>
        <w:lastRenderedPageBreak/>
        <w:t>comienzo tanto por personas que no tienen problemas de visión como por personas con dificultad para acceder al texto impreso; y el intercambio internacional de libros del ABC (conocido como el Servicio TIGAR), una base de datos internacional que consta de unos 286.000 títulos de libros en formatos accesibles, en 55 idiomas.</w:t>
      </w:r>
    </w:p>
    <w:p w:rsidR="00F777B4" w:rsidRPr="00526311" w:rsidRDefault="00F777B4" w:rsidP="0063039A">
      <w:pPr>
        <w:pStyle w:val="ListParagraph"/>
        <w:tabs>
          <w:tab w:val="left" w:pos="0"/>
          <w:tab w:val="left" w:pos="709"/>
        </w:tabs>
        <w:ind w:left="0"/>
        <w:jc w:val="both"/>
        <w:rPr>
          <w:rFonts w:eastAsia="SimSun" w:cs="Arial"/>
          <w:bCs/>
          <w:lang w:val="es-ES" w:eastAsia="zh-CN"/>
        </w:rPr>
      </w:pPr>
    </w:p>
    <w:p w:rsidR="00F777B4" w:rsidRPr="00526311" w:rsidRDefault="00F777B4" w:rsidP="0063039A">
      <w:pPr>
        <w:pStyle w:val="ListParagraph"/>
        <w:keepNext/>
        <w:keepLines/>
        <w:tabs>
          <w:tab w:val="left" w:pos="0"/>
          <w:tab w:val="left" w:pos="709"/>
        </w:tabs>
        <w:ind w:left="0"/>
        <w:jc w:val="both"/>
        <w:rPr>
          <w:rFonts w:eastAsia="SimSun" w:cs="Arial"/>
          <w:bCs/>
          <w:u w:val="single"/>
          <w:lang w:val="es-ES" w:eastAsia="zh-CN"/>
        </w:rPr>
      </w:pPr>
      <w:r w:rsidRPr="00526311">
        <w:rPr>
          <w:rFonts w:eastAsia="SimSun" w:cs="Arial"/>
          <w:bCs/>
          <w:u w:val="single"/>
          <w:lang w:val="es-ES" w:eastAsia="zh-CN"/>
        </w:rPr>
        <w:t xml:space="preserve">Asistencia técnica a los países en desarrollo y los PMA </w:t>
      </w:r>
    </w:p>
    <w:p w:rsidR="00F777B4" w:rsidRPr="00526311" w:rsidRDefault="00F777B4" w:rsidP="0063039A">
      <w:pPr>
        <w:pStyle w:val="ListParagraph"/>
        <w:keepNext/>
        <w:keepLines/>
        <w:tabs>
          <w:tab w:val="left" w:pos="0"/>
          <w:tab w:val="left" w:pos="709"/>
        </w:tabs>
        <w:ind w:left="0"/>
        <w:jc w:val="both"/>
        <w:rPr>
          <w:rFonts w:eastAsia="SimSun" w:cs="Arial"/>
          <w:bCs/>
          <w:lang w:val="es-ES" w:eastAsia="zh-CN"/>
        </w:rPr>
      </w:pPr>
    </w:p>
    <w:p w:rsidR="00F777B4" w:rsidRPr="00526311" w:rsidRDefault="00F777B4" w:rsidP="00B45FC3">
      <w:pPr>
        <w:pStyle w:val="ListParagraph"/>
        <w:keepNext/>
        <w:keepLines/>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La asistencia técnica prestada en 2014 a los países en desarrollo y los PMA en el ámbito del derecho de autor y los derechos conexos estuvo orientada hacia el desarrollo y fue impulsada por la demanda, con arreglo a las recomendaciones 1 y 13 de la A.D.</w:t>
      </w:r>
    </w:p>
    <w:p w:rsidR="00F777B4" w:rsidRPr="00526311" w:rsidRDefault="00F777B4" w:rsidP="0063039A">
      <w:pPr>
        <w:pStyle w:val="ListParagraph"/>
        <w:tabs>
          <w:tab w:val="left" w:pos="0"/>
          <w:tab w:val="left" w:pos="709"/>
        </w:tabs>
        <w:ind w:left="0"/>
        <w:jc w:val="both"/>
        <w:rPr>
          <w:rFonts w:eastAsia="SimSun" w:cs="Arial"/>
          <w:bCs/>
          <w:lang w:val="es-ES" w:eastAsia="zh-CN"/>
        </w:rPr>
      </w:pPr>
    </w:p>
    <w:p w:rsidR="00F777B4" w:rsidRPr="00526311" w:rsidRDefault="00F777B4" w:rsidP="00B45FC3">
      <w:pPr>
        <w:pStyle w:val="ListParagraph"/>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 xml:space="preserve">Sobre la base de las peticiones recibidas de los países en desarrollo miembros, se llevaron a cabo más de 40 programas y proyectos escala nacional, regional e interregional para responder a las necesidades y prioridades establecidas, en 85 países en desarrollo y PMA de todas las regiones y tres organizaciones intergubernamentales regionales (la Organización Regional Africana de la Propiedad Intelectual (ARIPO), </w:t>
      </w:r>
      <w:r w:rsidR="00BA23FA" w:rsidRPr="00526311">
        <w:rPr>
          <w:rFonts w:eastAsia="SimSun" w:cs="Arial"/>
          <w:bCs/>
          <w:lang w:val="es-ES" w:eastAsia="zh-CN"/>
        </w:rPr>
        <w:t xml:space="preserve">el </w:t>
      </w:r>
      <w:r w:rsidRPr="00526311">
        <w:rPr>
          <w:rFonts w:eastAsia="SimSun" w:cs="Arial"/>
          <w:bCs/>
          <w:lang w:val="es-ES" w:eastAsia="zh-CN"/>
        </w:rPr>
        <w:t xml:space="preserve">Centro Regional para el Fomento del Libro en América Latina y el Caribe (CERLALC) y </w:t>
      </w:r>
      <w:r w:rsidR="00BA23FA" w:rsidRPr="00526311">
        <w:rPr>
          <w:rFonts w:eastAsia="SimSun" w:cs="Arial"/>
          <w:bCs/>
          <w:lang w:val="es-ES" w:eastAsia="zh-CN"/>
        </w:rPr>
        <w:t xml:space="preserve">la </w:t>
      </w:r>
      <w:r w:rsidRPr="00526311">
        <w:rPr>
          <w:rFonts w:eastAsia="SimSun"/>
          <w:lang w:val="es-ES" w:eastAsia="zh-CN"/>
        </w:rPr>
        <w:t>Organización Africana de la Propiedad Intelectual (OAPI).</w:t>
      </w:r>
      <w:r w:rsidRPr="00526311">
        <w:rPr>
          <w:rFonts w:eastAsia="SimSun" w:cs="Arial"/>
          <w:bCs/>
          <w:lang w:val="es-ES" w:eastAsia="zh-CN"/>
        </w:rPr>
        <w:t xml:space="preserve">  Entre las actividades realizadas estaban las relativas a la sensibilización</w:t>
      </w:r>
      <w:r w:rsidR="00BA23FA" w:rsidRPr="00526311">
        <w:rPr>
          <w:rFonts w:eastAsia="SimSun" w:cs="Arial"/>
          <w:bCs/>
          <w:lang w:val="es-ES" w:eastAsia="zh-CN"/>
        </w:rPr>
        <w:t xml:space="preserve"> acerca del derecho de autor y los derechos conexos,</w:t>
      </w:r>
      <w:r w:rsidRPr="00526311">
        <w:rPr>
          <w:rFonts w:eastAsia="SimSun" w:cs="Arial"/>
          <w:bCs/>
          <w:lang w:val="es-ES" w:eastAsia="zh-CN"/>
        </w:rPr>
        <w:t xml:space="preserve"> y al fortalecimiento de capacidad </w:t>
      </w:r>
      <w:r w:rsidR="00BA23FA" w:rsidRPr="00526311">
        <w:rPr>
          <w:rFonts w:eastAsia="SimSun" w:cs="Arial"/>
          <w:bCs/>
          <w:lang w:val="es-ES" w:eastAsia="zh-CN"/>
        </w:rPr>
        <w:t>entre</w:t>
      </w:r>
      <w:r w:rsidRPr="00526311">
        <w:rPr>
          <w:rFonts w:eastAsia="SimSun" w:cs="Arial"/>
          <w:bCs/>
          <w:lang w:val="es-ES" w:eastAsia="zh-CN"/>
        </w:rPr>
        <w:t xml:space="preserve"> los directores de oficinales nacionales de derecho de autor, los responsables de la formulación de políticas y principales interesados.  En las actividades se abordaron los principios básicos del derecho de autor y los derechos conexos, así como nuevas cuestiones de especial importancia y pertinencia para los países en desarrollo y los PMA, en particular las novedades a nivel nacional e internacional, y contribuyeron a:  i) mejorar la capacidad para formular y poner en aplicación políticas nacionales en materia de derecho de autor y marcos estratégicos para la utilización coherente y eficaz  de la P.I. en favor del desarrollo sostenible; y ii) mejorar la capacidad institucional y  la base de las competencias y conocimientos de las oficinas nacionales de derecho de autor para prestar servicios a sus partes interesadas.</w:t>
      </w:r>
    </w:p>
    <w:p w:rsidR="00F777B4" w:rsidRPr="00526311" w:rsidRDefault="00F777B4" w:rsidP="0063039A">
      <w:pPr>
        <w:pStyle w:val="ListParagraph"/>
        <w:tabs>
          <w:tab w:val="left" w:pos="0"/>
          <w:tab w:val="left" w:pos="709"/>
        </w:tabs>
        <w:ind w:left="0"/>
        <w:jc w:val="both"/>
        <w:rPr>
          <w:rFonts w:eastAsia="SimSun" w:cs="Arial"/>
          <w:bCs/>
          <w:lang w:val="es-ES" w:eastAsia="zh-CN"/>
        </w:rPr>
      </w:pPr>
    </w:p>
    <w:p w:rsidR="00F777B4" w:rsidRPr="00526311" w:rsidRDefault="00F777B4" w:rsidP="00B45FC3">
      <w:pPr>
        <w:pStyle w:val="ListParagraph"/>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Según la evaluación realizada al final de los talleres, más del 80% de los participantes consideró que el contenido de los talleres era pertinente para sus tareas profesionales y que podría aprovechar la información y los conocimientos adquiridos en el seminario para su trabajo.  Estos resultados pusieron de manifiesto los</w:t>
      </w:r>
      <w:r w:rsidR="00BA23FA" w:rsidRPr="00526311">
        <w:rPr>
          <w:rFonts w:eastAsia="SimSun" w:cs="Arial"/>
          <w:bCs/>
          <w:lang w:val="es-ES" w:eastAsia="zh-CN"/>
        </w:rPr>
        <w:t xml:space="preserve"> pasos positivos que se están tomando</w:t>
      </w:r>
      <w:r w:rsidRPr="00526311">
        <w:rPr>
          <w:rFonts w:eastAsia="SimSun" w:cs="Arial"/>
          <w:bCs/>
          <w:lang w:val="es-ES" w:eastAsia="zh-CN"/>
        </w:rPr>
        <w:t xml:space="preserve"> para mejorar la participación de los países en desarrollo en la economía creativa mundial.</w:t>
      </w:r>
    </w:p>
    <w:p w:rsidR="00F777B4" w:rsidRPr="00526311" w:rsidRDefault="00F777B4" w:rsidP="0063039A">
      <w:pPr>
        <w:pStyle w:val="ListParagraph"/>
        <w:tabs>
          <w:tab w:val="left" w:pos="0"/>
          <w:tab w:val="left" w:pos="709"/>
        </w:tabs>
        <w:ind w:left="0"/>
        <w:jc w:val="both"/>
        <w:rPr>
          <w:rFonts w:eastAsia="SimSun" w:cs="Arial"/>
          <w:bCs/>
          <w:lang w:val="es-ES" w:eastAsia="zh-CN"/>
        </w:rPr>
      </w:pPr>
    </w:p>
    <w:p w:rsidR="00F777B4" w:rsidRPr="00526311" w:rsidRDefault="00F777B4" w:rsidP="00B45FC3">
      <w:pPr>
        <w:pStyle w:val="ListParagraph"/>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 xml:space="preserve">Igualmente, en el marco del programa se han realizado actividades relacionadas con la ejecución de los siguientes proyectos de la A.D.: </w:t>
      </w:r>
    </w:p>
    <w:p w:rsidR="00F777B4" w:rsidRPr="00526311" w:rsidRDefault="00F777B4" w:rsidP="0063039A">
      <w:pPr>
        <w:tabs>
          <w:tab w:val="left" w:pos="709"/>
        </w:tabs>
        <w:jc w:val="both"/>
        <w:rPr>
          <w:sz w:val="20"/>
        </w:rPr>
      </w:pPr>
    </w:p>
    <w:p w:rsidR="00F777B4" w:rsidRPr="00526311" w:rsidRDefault="00F777B4" w:rsidP="00B45FC3">
      <w:pPr>
        <w:numPr>
          <w:ilvl w:val="0"/>
          <w:numId w:val="12"/>
        </w:numPr>
        <w:jc w:val="both"/>
        <w:rPr>
          <w:sz w:val="20"/>
        </w:rPr>
      </w:pPr>
      <w:r w:rsidRPr="00526311">
        <w:rPr>
          <w:sz w:val="20"/>
        </w:rPr>
        <w:t>El análisis comparado de los regímenes nacionales de renuncia voluntaria al derecho de autor (documento CDIP/13/INF/6), que fue presentado y acogido favorablemente por el CDIP en el marco de la aplicación de las recomendaciones 1c, 1f y 2a del Estudio exploratorio sobre el derecho de autor y los derechos conexos y el dominio público.</w:t>
      </w:r>
    </w:p>
    <w:p w:rsidR="00F777B4" w:rsidRPr="00526311" w:rsidRDefault="00F777B4" w:rsidP="0063039A">
      <w:pPr>
        <w:rPr>
          <w:sz w:val="20"/>
        </w:rPr>
      </w:pPr>
    </w:p>
    <w:p w:rsidR="00F777B4" w:rsidRPr="00526311" w:rsidRDefault="00F777B4" w:rsidP="00B45FC3">
      <w:pPr>
        <w:numPr>
          <w:ilvl w:val="0"/>
          <w:numId w:val="12"/>
        </w:numPr>
        <w:jc w:val="both"/>
        <w:rPr>
          <w:sz w:val="20"/>
        </w:rPr>
      </w:pPr>
      <w:r w:rsidRPr="00526311">
        <w:rPr>
          <w:sz w:val="20"/>
        </w:rPr>
        <w:t>La p</w:t>
      </w:r>
      <w:r w:rsidRPr="00526311">
        <w:rPr>
          <w:bCs/>
          <w:sz w:val="20"/>
        </w:rPr>
        <w:t xml:space="preserve">ropuesta revisada para la realización de posibles nuevas actividades de la OMPI relacionadas con la utilización del derecho de autor para promover el acceso a la información y el contenido creativo </w:t>
      </w:r>
      <w:r w:rsidRPr="00526311">
        <w:rPr>
          <w:sz w:val="20"/>
        </w:rPr>
        <w:t>(CDIP/13/11), basada en el examen del documento CDIP/12/9, que fue presentada y aprobada por el CDIP para su continuación y adopción de las medidas que fueran necesarias.</w:t>
      </w:r>
    </w:p>
    <w:p w:rsidR="00F777B4" w:rsidRPr="00526311" w:rsidRDefault="00F777B4" w:rsidP="0063039A">
      <w:pPr>
        <w:ind w:left="720"/>
        <w:contextualSpacing/>
        <w:rPr>
          <w:sz w:val="20"/>
        </w:rPr>
      </w:pPr>
    </w:p>
    <w:p w:rsidR="00F777B4" w:rsidRPr="00526311" w:rsidRDefault="00F777B4" w:rsidP="00B45FC3">
      <w:pPr>
        <w:numPr>
          <w:ilvl w:val="0"/>
          <w:numId w:val="12"/>
        </w:numPr>
        <w:jc w:val="both"/>
        <w:rPr>
          <w:sz w:val="20"/>
        </w:rPr>
      </w:pPr>
      <w:r w:rsidRPr="00526311">
        <w:rPr>
          <w:sz w:val="20"/>
        </w:rPr>
        <w:t xml:space="preserve">El proyecto sobre el fortalecimiento y desarrollo del sector audiovisual en Burkina Faso y en determinados países de África, presentado por la Delegación de Burkina Faso y que fue aprobado en la novena sesión del CDIP, se puso en marcha en Burkina Faso, Kenya y </w:t>
      </w:r>
      <w:r w:rsidR="00BA23FA" w:rsidRPr="00526311">
        <w:rPr>
          <w:sz w:val="20"/>
        </w:rPr>
        <w:t xml:space="preserve">el </w:t>
      </w:r>
      <w:r w:rsidRPr="00526311">
        <w:rPr>
          <w:sz w:val="20"/>
        </w:rPr>
        <w:t>Senegal, de conformidad con el mandato aprobado al respecto.</w:t>
      </w:r>
    </w:p>
    <w:p w:rsidR="00F777B4" w:rsidRPr="00526311" w:rsidRDefault="00F777B4" w:rsidP="0063039A">
      <w:pPr>
        <w:rPr>
          <w:color w:val="000000"/>
          <w:sz w:val="20"/>
        </w:rPr>
      </w:pPr>
    </w:p>
    <w:p w:rsidR="00F777B4" w:rsidRPr="00526311" w:rsidRDefault="00F777B4">
      <w:pPr>
        <w:rPr>
          <w:b/>
        </w:rPr>
      </w:pPr>
      <w:r w:rsidRPr="00526311">
        <w:rPr>
          <w:b/>
        </w:rPr>
        <w:br w:type="page"/>
      </w:r>
    </w:p>
    <w:p w:rsidR="00F777B4" w:rsidRPr="00526311" w:rsidRDefault="00F777B4" w:rsidP="0063039A">
      <w:pPr>
        <w:rPr>
          <w:szCs w:val="22"/>
        </w:rPr>
      </w:pPr>
      <w:r w:rsidRPr="00526311">
        <w:rPr>
          <w:szCs w:val="22"/>
        </w:rPr>
        <w:lastRenderedPageBreak/>
        <w:t>DATOS SOBRE EL RENDIMIENTO</w:t>
      </w:r>
    </w:p>
    <w:p w:rsidR="00F777B4" w:rsidRPr="00526311" w:rsidRDefault="00F777B4" w:rsidP="0063039A">
      <w:pPr>
        <w:rPr>
          <w:sz w:val="20"/>
        </w:rPr>
      </w:pPr>
    </w:p>
    <w:tbl>
      <w:tblPr>
        <w:tblW w:w="489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71"/>
        <w:gridCol w:w="2409"/>
        <w:gridCol w:w="1277"/>
        <w:gridCol w:w="2265"/>
        <w:gridCol w:w="1138"/>
      </w:tblGrid>
      <w:tr w:rsidR="00F777B4" w:rsidRPr="00526311" w:rsidTr="0063039A">
        <w:tc>
          <w:tcPr>
            <w:tcW w:w="5000" w:type="pct"/>
            <w:gridSpan w:val="5"/>
            <w:tcBorders>
              <w:top w:val="single" w:sz="4" w:space="0" w:color="auto"/>
              <w:bottom w:val="single" w:sz="4" w:space="0" w:color="auto"/>
            </w:tcBorders>
            <w:shd w:val="clear" w:color="auto" w:fill="CCFFFF"/>
            <w:vAlign w:val="center"/>
          </w:tcPr>
          <w:p w:rsidR="00F777B4" w:rsidRPr="00526311" w:rsidRDefault="00F777B4" w:rsidP="0063039A">
            <w:pPr>
              <w:keepNext/>
              <w:keepLines/>
              <w:tabs>
                <w:tab w:val="left" w:pos="1452"/>
              </w:tabs>
              <w:ind w:left="1701" w:hanging="1701"/>
              <w:rPr>
                <w:b/>
                <w:bCs/>
                <w:sz w:val="16"/>
                <w:szCs w:val="16"/>
              </w:rPr>
            </w:pPr>
            <w:r w:rsidRPr="00526311">
              <w:rPr>
                <w:b/>
                <w:bCs/>
                <w:sz w:val="16"/>
                <w:szCs w:val="16"/>
              </w:rPr>
              <w:t>Resultado previsto:</w:t>
            </w:r>
            <w:r w:rsidRPr="00526311">
              <w:rPr>
                <w:bCs/>
                <w:sz w:val="16"/>
                <w:szCs w:val="16"/>
              </w:rPr>
              <w:tab/>
              <w:t>I.1 Mejor cooperación entre los Estados miembros en lo que atañe a la elaboración de marcos normativos internacionales equilibrados para la P.I. y fomento de acuerdos sobre las cuestiones específicas respecto de las que se acuerdan instrumentos internacionales</w:t>
            </w:r>
          </w:p>
        </w:tc>
      </w:tr>
      <w:tr w:rsidR="00F777B4" w:rsidRPr="00526311" w:rsidTr="0063039A">
        <w:tc>
          <w:tcPr>
            <w:tcW w:w="1213" w:type="pct"/>
            <w:tcBorders>
              <w:top w:val="single" w:sz="4" w:space="0" w:color="auto"/>
            </w:tcBorders>
            <w:shd w:val="clear" w:color="auto" w:fill="auto"/>
            <w:vAlign w:val="center"/>
          </w:tcPr>
          <w:p w:rsidR="00F777B4" w:rsidRPr="00526311" w:rsidRDefault="00F777B4" w:rsidP="0063039A">
            <w:pPr>
              <w:rPr>
                <w:sz w:val="16"/>
                <w:szCs w:val="16"/>
              </w:rPr>
            </w:pPr>
            <w:r w:rsidRPr="00526311">
              <w:rPr>
                <w:b/>
                <w:sz w:val="16"/>
                <w:szCs w:val="16"/>
              </w:rPr>
              <w:t>Indicadores de rendimiento</w:t>
            </w:r>
          </w:p>
        </w:tc>
        <w:tc>
          <w:tcPr>
            <w:tcW w:w="1287" w:type="pct"/>
            <w:tcBorders>
              <w:top w:val="single" w:sz="4" w:space="0" w:color="auto"/>
            </w:tcBorders>
            <w:shd w:val="clear" w:color="auto" w:fill="auto"/>
            <w:vAlign w:val="center"/>
          </w:tcPr>
          <w:p w:rsidR="00F777B4" w:rsidRPr="00526311" w:rsidRDefault="00F777B4" w:rsidP="0063039A">
            <w:pPr>
              <w:rPr>
                <w:b/>
                <w:bCs/>
                <w:sz w:val="16"/>
                <w:szCs w:val="16"/>
              </w:rPr>
            </w:pPr>
            <w:r w:rsidRPr="00526311">
              <w:rPr>
                <w:b/>
                <w:bCs/>
                <w:sz w:val="16"/>
                <w:szCs w:val="16"/>
              </w:rPr>
              <w:t>Referencia</w:t>
            </w:r>
          </w:p>
        </w:tc>
        <w:tc>
          <w:tcPr>
            <w:tcW w:w="682" w:type="pct"/>
            <w:tcBorders>
              <w:top w:val="single" w:sz="4" w:space="0" w:color="auto"/>
            </w:tcBorders>
            <w:shd w:val="clear" w:color="auto" w:fill="auto"/>
            <w:tcMar>
              <w:top w:w="110" w:type="dxa"/>
            </w:tcMar>
            <w:vAlign w:val="center"/>
          </w:tcPr>
          <w:p w:rsidR="00F777B4" w:rsidRPr="00526311" w:rsidRDefault="00F777B4" w:rsidP="0063039A">
            <w:pPr>
              <w:rPr>
                <w:b/>
                <w:sz w:val="16"/>
                <w:szCs w:val="16"/>
              </w:rPr>
            </w:pPr>
            <w:r w:rsidRPr="00526311">
              <w:rPr>
                <w:b/>
                <w:sz w:val="16"/>
                <w:szCs w:val="16"/>
              </w:rPr>
              <w:t>Objetivos</w:t>
            </w:r>
          </w:p>
        </w:tc>
        <w:tc>
          <w:tcPr>
            <w:tcW w:w="1210" w:type="pct"/>
            <w:tcBorders>
              <w:top w:val="single" w:sz="4" w:space="0" w:color="auto"/>
            </w:tcBorders>
            <w:shd w:val="clear" w:color="auto" w:fill="FFFFFF"/>
            <w:tcMar>
              <w:top w:w="110" w:type="dxa"/>
            </w:tcMar>
            <w:vAlign w:val="center"/>
          </w:tcPr>
          <w:p w:rsidR="00F777B4" w:rsidRPr="00526311" w:rsidRDefault="00F777B4" w:rsidP="0063039A">
            <w:pPr>
              <w:rPr>
                <w:sz w:val="16"/>
                <w:szCs w:val="16"/>
              </w:rPr>
            </w:pPr>
            <w:r w:rsidRPr="00526311">
              <w:rPr>
                <w:b/>
                <w:sz w:val="16"/>
                <w:szCs w:val="16"/>
              </w:rPr>
              <w:t>Datos sobre el rendimiento</w:t>
            </w:r>
          </w:p>
        </w:tc>
        <w:tc>
          <w:tcPr>
            <w:tcW w:w="608" w:type="pct"/>
            <w:tcBorders>
              <w:top w:val="single" w:sz="4" w:space="0" w:color="auto"/>
            </w:tcBorders>
            <w:shd w:val="clear" w:color="auto" w:fill="auto"/>
            <w:tcMar>
              <w:top w:w="110" w:type="dxa"/>
            </w:tcMar>
            <w:vAlign w:val="center"/>
          </w:tcPr>
          <w:p w:rsidR="00F777B4" w:rsidRPr="00526311" w:rsidRDefault="00F777B4" w:rsidP="0063039A">
            <w:pPr>
              <w:keepNext/>
              <w:keepLines/>
              <w:ind w:right="-104"/>
              <w:jc w:val="center"/>
              <w:rPr>
                <w:b/>
                <w:bCs/>
                <w:sz w:val="16"/>
                <w:szCs w:val="16"/>
              </w:rPr>
            </w:pPr>
            <w:r w:rsidRPr="00526311">
              <w:rPr>
                <w:b/>
                <w:bCs/>
                <w:sz w:val="16"/>
                <w:szCs w:val="16"/>
              </w:rPr>
              <w:t>Clave de colores</w:t>
            </w:r>
          </w:p>
        </w:tc>
      </w:tr>
      <w:tr w:rsidR="00F777B4" w:rsidRPr="00526311" w:rsidTr="0063039A">
        <w:tc>
          <w:tcPr>
            <w:tcW w:w="1213" w:type="pct"/>
            <w:shd w:val="clear" w:color="auto" w:fill="auto"/>
          </w:tcPr>
          <w:p w:rsidR="00F777B4" w:rsidRPr="00526311" w:rsidRDefault="00F777B4" w:rsidP="0063039A">
            <w:pPr>
              <w:rPr>
                <w:sz w:val="16"/>
                <w:szCs w:val="16"/>
              </w:rPr>
            </w:pPr>
            <w:r w:rsidRPr="00526311">
              <w:rPr>
                <w:sz w:val="16"/>
                <w:szCs w:val="16"/>
              </w:rPr>
              <w:t>Avances para llegar a un acuerdo sobre las cuestiones que figuran en el orden del día del SCCR</w:t>
            </w:r>
          </w:p>
        </w:tc>
        <w:tc>
          <w:tcPr>
            <w:tcW w:w="1287" w:type="pct"/>
            <w:shd w:val="clear" w:color="auto" w:fill="auto"/>
          </w:tcPr>
          <w:p w:rsidR="00F777B4" w:rsidRPr="00526311" w:rsidRDefault="00F777B4" w:rsidP="0063039A">
            <w:pPr>
              <w:rPr>
                <w:i/>
                <w:sz w:val="16"/>
                <w:szCs w:val="16"/>
              </w:rPr>
            </w:pPr>
            <w:r w:rsidRPr="00526311">
              <w:rPr>
                <w:i/>
                <w:color w:val="002060"/>
                <w:sz w:val="16"/>
                <w:szCs w:val="16"/>
              </w:rPr>
              <w:t xml:space="preserve">Referencia actualizada a fines de  2013:  </w:t>
            </w:r>
            <w:r w:rsidRPr="00526311">
              <w:rPr>
                <w:sz w:val="16"/>
                <w:szCs w:val="16"/>
              </w:rPr>
              <w:t>Se adoptó el texto del Tratado de Beijing en junio de 2012. Se adoptó el texto del Tratado de Marrakech en junio de 2013.  Los progresos están en sintonía con el plan de trabajo del SCCR sobre todos los puntos que figuran en el orden del día.</w:t>
            </w:r>
          </w:p>
          <w:p w:rsidR="00F777B4" w:rsidRPr="00526311" w:rsidRDefault="00F777B4" w:rsidP="0063039A">
            <w:pPr>
              <w:rPr>
                <w:color w:val="002060"/>
                <w:sz w:val="8"/>
                <w:szCs w:val="8"/>
              </w:rPr>
            </w:pPr>
          </w:p>
          <w:p w:rsidR="00F777B4" w:rsidRPr="00526311" w:rsidRDefault="007B705E" w:rsidP="0063039A">
            <w:pPr>
              <w:rPr>
                <w:sz w:val="16"/>
                <w:szCs w:val="16"/>
                <w:lang w:bidi="th-TH"/>
              </w:rPr>
            </w:pPr>
            <w:r w:rsidRPr="00526311">
              <w:rPr>
                <w:i/>
                <w:sz w:val="16"/>
                <w:szCs w:val="16"/>
                <w:lang w:bidi="th-TH"/>
              </w:rPr>
              <w:t>Referencia original en el presupuesto de 2014/15</w:t>
            </w:r>
            <w:r w:rsidR="00F777B4" w:rsidRPr="00526311">
              <w:rPr>
                <w:i/>
                <w:sz w:val="16"/>
                <w:szCs w:val="16"/>
                <w:lang w:bidi="th-TH"/>
              </w:rPr>
              <w:t>:</w:t>
            </w:r>
            <w:r w:rsidR="00F777B4" w:rsidRPr="00526311">
              <w:rPr>
                <w:sz w:val="16"/>
                <w:szCs w:val="16"/>
                <w:lang w:bidi="th-TH"/>
              </w:rPr>
              <w:t xml:space="preserve">  dos tratados adoptados en el bienio 2012/13 (hasta la fecha).  Dos conferencias diplomáticas convocadas en el bienio 2012/13.</w:t>
            </w:r>
          </w:p>
          <w:p w:rsidR="00F777B4" w:rsidRPr="00526311" w:rsidRDefault="00F777B4" w:rsidP="0063039A">
            <w:pPr>
              <w:rPr>
                <w:sz w:val="16"/>
                <w:szCs w:val="16"/>
              </w:rPr>
            </w:pPr>
          </w:p>
        </w:tc>
        <w:tc>
          <w:tcPr>
            <w:tcW w:w="682" w:type="pct"/>
            <w:shd w:val="clear" w:color="auto" w:fill="auto"/>
            <w:tcMar>
              <w:top w:w="110" w:type="dxa"/>
            </w:tcMar>
          </w:tcPr>
          <w:p w:rsidR="00F777B4" w:rsidRPr="00526311" w:rsidRDefault="00F777B4" w:rsidP="0063039A">
            <w:pPr>
              <w:rPr>
                <w:sz w:val="16"/>
                <w:szCs w:val="16"/>
              </w:rPr>
            </w:pPr>
            <w:r w:rsidRPr="00526311">
              <w:rPr>
                <w:sz w:val="16"/>
                <w:szCs w:val="16"/>
              </w:rPr>
              <w:t>Una conferencia diplomática convocada y un tratado adoptado en el bienio 2014/15.</w:t>
            </w:r>
          </w:p>
          <w:p w:rsidR="00F777B4" w:rsidRPr="00526311" w:rsidRDefault="00F777B4" w:rsidP="0063039A">
            <w:pPr>
              <w:rPr>
                <w:sz w:val="16"/>
                <w:szCs w:val="16"/>
              </w:rPr>
            </w:pPr>
          </w:p>
          <w:p w:rsidR="00F777B4" w:rsidRPr="00526311" w:rsidRDefault="00F777B4" w:rsidP="0063039A">
            <w:pPr>
              <w:rPr>
                <w:sz w:val="16"/>
                <w:szCs w:val="16"/>
                <w:lang w:bidi="th-TH"/>
              </w:rPr>
            </w:pPr>
          </w:p>
        </w:tc>
        <w:tc>
          <w:tcPr>
            <w:tcW w:w="1210" w:type="pct"/>
            <w:shd w:val="clear" w:color="auto" w:fill="FFFFFF"/>
            <w:tcMar>
              <w:top w:w="110" w:type="dxa"/>
            </w:tcMar>
          </w:tcPr>
          <w:p w:rsidR="00F777B4" w:rsidRPr="00526311" w:rsidRDefault="00F777B4" w:rsidP="0063039A">
            <w:pPr>
              <w:rPr>
                <w:sz w:val="16"/>
                <w:szCs w:val="16"/>
              </w:rPr>
            </w:pPr>
            <w:r w:rsidRPr="00526311">
              <w:rPr>
                <w:sz w:val="16"/>
                <w:szCs w:val="16"/>
                <w:lang w:bidi="th-TH"/>
              </w:rPr>
              <w:t>El SCCR y la Asamblea General de la OMPI de 2014 no lograron llegar a un acuerdo sobre los aspectos que permitan avanzar hacia la convocatoria de una conferencia diplomática en relación con el tratado sobre la protección de los organismos de radiodifusión.</w:t>
            </w:r>
          </w:p>
        </w:tc>
        <w:tc>
          <w:tcPr>
            <w:tcW w:w="608" w:type="pct"/>
            <w:shd w:val="clear" w:color="auto" w:fill="auto"/>
            <w:tcMar>
              <w:top w:w="110" w:type="dxa"/>
            </w:tcMar>
          </w:tcPr>
          <w:p w:rsidR="00F777B4" w:rsidRPr="00526311" w:rsidRDefault="00F777B4" w:rsidP="0063039A">
            <w:pPr>
              <w:keepNext/>
              <w:keepLines/>
              <w:ind w:left="-108"/>
              <w:jc w:val="center"/>
              <w:rPr>
                <w:b/>
                <w:bCs/>
                <w:sz w:val="16"/>
                <w:szCs w:val="16"/>
              </w:rPr>
            </w:pPr>
            <w:r w:rsidRPr="00526311">
              <w:rPr>
                <w:b/>
                <w:bCs/>
                <w:color w:val="FF0000"/>
                <w:sz w:val="16"/>
                <w:szCs w:val="16"/>
              </w:rPr>
              <w:t>No avanza</w:t>
            </w:r>
          </w:p>
        </w:tc>
      </w:tr>
      <w:tr w:rsidR="00F777B4" w:rsidRPr="00526311" w:rsidTr="0063039A">
        <w:trPr>
          <w:trHeight w:val="475"/>
        </w:trPr>
        <w:tc>
          <w:tcPr>
            <w:tcW w:w="5000" w:type="pct"/>
            <w:gridSpan w:val="5"/>
            <w:tcBorders>
              <w:top w:val="single" w:sz="4" w:space="0" w:color="auto"/>
              <w:bottom w:val="single" w:sz="4" w:space="0" w:color="auto"/>
            </w:tcBorders>
            <w:shd w:val="clear" w:color="auto" w:fill="CCFFFF"/>
            <w:vAlign w:val="center"/>
          </w:tcPr>
          <w:p w:rsidR="00F777B4" w:rsidRPr="00526311" w:rsidRDefault="00F777B4" w:rsidP="0063039A">
            <w:pPr>
              <w:keepLines/>
              <w:tabs>
                <w:tab w:val="left" w:pos="1452"/>
              </w:tabs>
              <w:ind w:left="1452" w:hanging="1452"/>
              <w:rPr>
                <w:b/>
                <w:bCs/>
                <w:sz w:val="16"/>
                <w:szCs w:val="16"/>
              </w:rPr>
            </w:pPr>
            <w:r w:rsidRPr="00526311">
              <w:rPr>
                <w:b/>
                <w:bCs/>
                <w:sz w:val="16"/>
                <w:szCs w:val="16"/>
              </w:rPr>
              <w:t>Resultado previsto:</w:t>
            </w:r>
            <w:r w:rsidRPr="00526311">
              <w:rPr>
                <w:bCs/>
                <w:sz w:val="16"/>
                <w:szCs w:val="16"/>
              </w:rPr>
              <w:tab/>
              <w:t>I.2 Marcos de P.I. adaptados y equilibrados en el ámbito legislativo, reglamentario y de política</w:t>
            </w:r>
          </w:p>
        </w:tc>
      </w:tr>
      <w:tr w:rsidR="00F777B4" w:rsidRPr="00526311" w:rsidTr="0063039A">
        <w:tc>
          <w:tcPr>
            <w:tcW w:w="1213" w:type="pct"/>
            <w:tcBorders>
              <w:top w:val="single" w:sz="4" w:space="0" w:color="auto"/>
              <w:left w:val="single" w:sz="4" w:space="0" w:color="auto"/>
              <w:bottom w:val="nil"/>
            </w:tcBorders>
            <w:shd w:val="clear" w:color="auto" w:fill="auto"/>
            <w:vAlign w:val="center"/>
          </w:tcPr>
          <w:p w:rsidR="00F777B4" w:rsidRPr="00526311" w:rsidRDefault="00F777B4" w:rsidP="0063039A">
            <w:pPr>
              <w:rPr>
                <w:sz w:val="16"/>
                <w:szCs w:val="16"/>
              </w:rPr>
            </w:pPr>
            <w:r w:rsidRPr="00526311">
              <w:rPr>
                <w:b/>
                <w:sz w:val="16"/>
                <w:szCs w:val="16"/>
              </w:rPr>
              <w:t>Indicadores de rendimiento</w:t>
            </w:r>
          </w:p>
        </w:tc>
        <w:tc>
          <w:tcPr>
            <w:tcW w:w="1287" w:type="pct"/>
            <w:tcBorders>
              <w:top w:val="single" w:sz="4" w:space="0" w:color="auto"/>
              <w:bottom w:val="nil"/>
            </w:tcBorders>
            <w:shd w:val="clear" w:color="auto" w:fill="auto"/>
            <w:vAlign w:val="center"/>
          </w:tcPr>
          <w:p w:rsidR="00F777B4" w:rsidRPr="00526311" w:rsidRDefault="00F777B4" w:rsidP="0063039A">
            <w:pPr>
              <w:rPr>
                <w:b/>
                <w:bCs/>
                <w:sz w:val="16"/>
                <w:szCs w:val="16"/>
              </w:rPr>
            </w:pPr>
            <w:r w:rsidRPr="00526311">
              <w:rPr>
                <w:b/>
                <w:bCs/>
                <w:sz w:val="16"/>
                <w:szCs w:val="16"/>
              </w:rPr>
              <w:t>Referencia</w:t>
            </w:r>
          </w:p>
        </w:tc>
        <w:tc>
          <w:tcPr>
            <w:tcW w:w="682" w:type="pct"/>
            <w:tcBorders>
              <w:top w:val="single" w:sz="4" w:space="0" w:color="auto"/>
              <w:bottom w:val="nil"/>
            </w:tcBorders>
            <w:shd w:val="clear" w:color="auto" w:fill="auto"/>
            <w:tcMar>
              <w:top w:w="110" w:type="dxa"/>
            </w:tcMar>
            <w:vAlign w:val="center"/>
          </w:tcPr>
          <w:p w:rsidR="00F777B4" w:rsidRPr="00526311" w:rsidRDefault="00F777B4" w:rsidP="0063039A">
            <w:pPr>
              <w:rPr>
                <w:b/>
                <w:sz w:val="16"/>
                <w:szCs w:val="16"/>
              </w:rPr>
            </w:pPr>
            <w:r w:rsidRPr="00526311">
              <w:rPr>
                <w:b/>
                <w:sz w:val="16"/>
                <w:szCs w:val="16"/>
              </w:rPr>
              <w:t>Objetivos</w:t>
            </w:r>
          </w:p>
        </w:tc>
        <w:tc>
          <w:tcPr>
            <w:tcW w:w="1210" w:type="pct"/>
            <w:tcBorders>
              <w:top w:val="single" w:sz="4" w:space="0" w:color="auto"/>
              <w:bottom w:val="nil"/>
            </w:tcBorders>
            <w:shd w:val="clear" w:color="auto" w:fill="FFFFFF"/>
            <w:tcMar>
              <w:top w:w="110" w:type="dxa"/>
            </w:tcMar>
            <w:vAlign w:val="center"/>
          </w:tcPr>
          <w:p w:rsidR="00F777B4" w:rsidRPr="00526311" w:rsidRDefault="00F777B4" w:rsidP="0063039A">
            <w:pPr>
              <w:rPr>
                <w:sz w:val="16"/>
                <w:szCs w:val="16"/>
              </w:rPr>
            </w:pPr>
            <w:r w:rsidRPr="00526311">
              <w:rPr>
                <w:b/>
                <w:sz w:val="16"/>
                <w:szCs w:val="16"/>
              </w:rPr>
              <w:t>Datos sobre el rendimiento</w:t>
            </w:r>
          </w:p>
        </w:tc>
        <w:tc>
          <w:tcPr>
            <w:tcW w:w="608" w:type="pct"/>
            <w:tcBorders>
              <w:top w:val="single" w:sz="4" w:space="0" w:color="auto"/>
              <w:bottom w:val="nil"/>
              <w:right w:val="single" w:sz="4" w:space="0" w:color="auto"/>
            </w:tcBorders>
            <w:shd w:val="clear" w:color="auto" w:fill="auto"/>
            <w:tcMar>
              <w:top w:w="110" w:type="dxa"/>
            </w:tcMar>
            <w:vAlign w:val="center"/>
          </w:tcPr>
          <w:p w:rsidR="00F777B4" w:rsidRPr="00526311" w:rsidRDefault="00F777B4" w:rsidP="0063039A">
            <w:pPr>
              <w:keepNext/>
              <w:keepLines/>
              <w:jc w:val="center"/>
              <w:rPr>
                <w:b/>
                <w:bCs/>
                <w:sz w:val="16"/>
                <w:szCs w:val="16"/>
              </w:rPr>
            </w:pPr>
            <w:r w:rsidRPr="00526311">
              <w:rPr>
                <w:b/>
                <w:bCs/>
                <w:sz w:val="16"/>
                <w:szCs w:val="16"/>
              </w:rPr>
              <w:t>Clave de colores</w:t>
            </w:r>
          </w:p>
        </w:tc>
      </w:tr>
      <w:tr w:rsidR="00F777B4" w:rsidRPr="00526311" w:rsidTr="0063039A">
        <w:tc>
          <w:tcPr>
            <w:tcW w:w="1213" w:type="pct"/>
            <w:tcBorders>
              <w:top w:val="nil"/>
              <w:left w:val="single" w:sz="4" w:space="0" w:color="auto"/>
              <w:bottom w:val="nil"/>
            </w:tcBorders>
            <w:shd w:val="clear" w:color="auto" w:fill="FFFFFF"/>
          </w:tcPr>
          <w:p w:rsidR="00F777B4" w:rsidRPr="00526311" w:rsidRDefault="00F777B4" w:rsidP="0063039A">
            <w:pPr>
              <w:rPr>
                <w:sz w:val="16"/>
                <w:szCs w:val="16"/>
              </w:rPr>
            </w:pPr>
            <w:r w:rsidRPr="00526311">
              <w:rPr>
                <w:sz w:val="16"/>
                <w:szCs w:val="16"/>
              </w:rPr>
              <w:t>Número de países que han ratificado el Tratado de Beijing.</w:t>
            </w:r>
          </w:p>
        </w:tc>
        <w:tc>
          <w:tcPr>
            <w:tcW w:w="1287" w:type="pct"/>
            <w:tcBorders>
              <w:top w:val="nil"/>
              <w:bottom w:val="nil"/>
            </w:tcBorders>
            <w:shd w:val="clear" w:color="auto" w:fill="auto"/>
          </w:tcPr>
          <w:p w:rsidR="00F777B4" w:rsidRPr="00526311" w:rsidRDefault="00F777B4" w:rsidP="0063039A">
            <w:pPr>
              <w:keepNext/>
              <w:rPr>
                <w:i/>
                <w:color w:val="002060"/>
                <w:sz w:val="16"/>
                <w:szCs w:val="16"/>
              </w:rPr>
            </w:pPr>
            <w:r w:rsidRPr="00526311">
              <w:rPr>
                <w:i/>
                <w:color w:val="002060"/>
                <w:sz w:val="16"/>
                <w:szCs w:val="16"/>
              </w:rPr>
              <w:t xml:space="preserve">Referencia actualizada a fines de  2013:  </w:t>
            </w:r>
            <w:r w:rsidRPr="00526311">
              <w:rPr>
                <w:color w:val="002060"/>
                <w:sz w:val="16"/>
                <w:szCs w:val="16"/>
              </w:rPr>
              <w:t>2 (Botswana, República Árabe Siria)</w:t>
            </w:r>
          </w:p>
          <w:p w:rsidR="00F777B4" w:rsidRPr="00526311" w:rsidRDefault="00F777B4" w:rsidP="0063039A">
            <w:pPr>
              <w:keepNext/>
              <w:rPr>
                <w:i/>
                <w:sz w:val="8"/>
                <w:szCs w:val="8"/>
                <w:lang w:bidi="th-TH"/>
              </w:rPr>
            </w:pPr>
          </w:p>
          <w:p w:rsidR="00F777B4" w:rsidRPr="00526311" w:rsidRDefault="007B705E" w:rsidP="0063039A">
            <w:pPr>
              <w:keepNext/>
              <w:rPr>
                <w:sz w:val="16"/>
                <w:szCs w:val="16"/>
                <w:lang w:bidi="th-TH"/>
              </w:rPr>
            </w:pPr>
            <w:r w:rsidRPr="00526311">
              <w:rPr>
                <w:i/>
                <w:sz w:val="16"/>
                <w:szCs w:val="16"/>
                <w:lang w:bidi="th-TH"/>
              </w:rPr>
              <w:t>Referencia original en el presupuesto de 2014/15</w:t>
            </w:r>
            <w:r w:rsidR="00F777B4" w:rsidRPr="00526311">
              <w:rPr>
                <w:i/>
                <w:sz w:val="16"/>
                <w:szCs w:val="16"/>
                <w:lang w:bidi="th-TH"/>
              </w:rPr>
              <w:t xml:space="preserve">: </w:t>
            </w:r>
            <w:r w:rsidR="00F777B4" w:rsidRPr="00526311">
              <w:rPr>
                <w:sz w:val="16"/>
                <w:szCs w:val="16"/>
                <w:lang w:bidi="th-TH"/>
              </w:rPr>
              <w:t xml:space="preserve"> ninguna</w:t>
            </w:r>
          </w:p>
          <w:p w:rsidR="00F777B4" w:rsidRPr="00526311" w:rsidRDefault="00F777B4" w:rsidP="0063039A">
            <w:pPr>
              <w:keepNext/>
              <w:rPr>
                <w:sz w:val="16"/>
                <w:szCs w:val="16"/>
              </w:rPr>
            </w:pPr>
          </w:p>
        </w:tc>
        <w:tc>
          <w:tcPr>
            <w:tcW w:w="682" w:type="pct"/>
            <w:tcBorders>
              <w:top w:val="nil"/>
              <w:bottom w:val="nil"/>
            </w:tcBorders>
            <w:shd w:val="clear" w:color="auto" w:fill="auto"/>
            <w:tcMar>
              <w:top w:w="110" w:type="dxa"/>
            </w:tcMar>
          </w:tcPr>
          <w:p w:rsidR="00F777B4" w:rsidRPr="00526311" w:rsidRDefault="00F777B4" w:rsidP="0063039A">
            <w:pPr>
              <w:keepNext/>
              <w:rPr>
                <w:sz w:val="16"/>
                <w:szCs w:val="16"/>
              </w:rPr>
            </w:pPr>
            <w:r w:rsidRPr="00526311">
              <w:rPr>
                <w:sz w:val="16"/>
                <w:szCs w:val="16"/>
              </w:rPr>
              <w:t>30 países.</w:t>
            </w:r>
          </w:p>
        </w:tc>
        <w:tc>
          <w:tcPr>
            <w:tcW w:w="1210" w:type="pct"/>
            <w:tcBorders>
              <w:top w:val="nil"/>
              <w:bottom w:val="nil"/>
            </w:tcBorders>
            <w:shd w:val="clear" w:color="auto" w:fill="FFFFFF"/>
            <w:tcMar>
              <w:top w:w="110" w:type="dxa"/>
            </w:tcMar>
          </w:tcPr>
          <w:p w:rsidR="00F777B4" w:rsidRPr="00526311" w:rsidRDefault="00F777B4" w:rsidP="0063039A">
            <w:pPr>
              <w:rPr>
                <w:sz w:val="16"/>
                <w:szCs w:val="16"/>
              </w:rPr>
            </w:pPr>
            <w:r w:rsidRPr="00526311">
              <w:rPr>
                <w:sz w:val="16"/>
                <w:szCs w:val="16"/>
              </w:rPr>
              <w:t>Otros cuatro países han depositado instrumentos de ratificación o de adhesión al Tratado de  Beijing (China, Japón, Eslovaquia, Emiratos Árabes Unidos) (6 países en total)</w:t>
            </w:r>
          </w:p>
        </w:tc>
        <w:tc>
          <w:tcPr>
            <w:tcW w:w="608" w:type="pct"/>
            <w:tcBorders>
              <w:top w:val="nil"/>
              <w:bottom w:val="nil"/>
              <w:right w:val="single" w:sz="4" w:space="0" w:color="auto"/>
            </w:tcBorders>
            <w:shd w:val="clear" w:color="auto" w:fill="auto"/>
            <w:tcMar>
              <w:top w:w="110" w:type="dxa"/>
            </w:tcMar>
          </w:tcPr>
          <w:p w:rsidR="00F777B4" w:rsidRPr="00526311" w:rsidRDefault="00F777B4" w:rsidP="0063039A">
            <w:pPr>
              <w:keepNext/>
              <w:keepLines/>
              <w:ind w:left="-108"/>
              <w:jc w:val="center"/>
              <w:rPr>
                <w:b/>
                <w:bCs/>
                <w:color w:val="808080" w:themeColor="background1" w:themeShade="80"/>
                <w:sz w:val="16"/>
                <w:szCs w:val="16"/>
              </w:rPr>
            </w:pPr>
            <w:r w:rsidRPr="00526311">
              <w:rPr>
                <w:b/>
                <w:bCs/>
                <w:color w:val="FF0000"/>
                <w:sz w:val="16"/>
                <w:szCs w:val="16"/>
              </w:rPr>
              <w:t>No avanza</w:t>
            </w:r>
          </w:p>
        </w:tc>
      </w:tr>
      <w:tr w:rsidR="00F777B4" w:rsidRPr="00526311" w:rsidTr="0063039A">
        <w:tc>
          <w:tcPr>
            <w:tcW w:w="1213" w:type="pct"/>
            <w:tcBorders>
              <w:top w:val="nil"/>
              <w:left w:val="single" w:sz="4" w:space="0" w:color="auto"/>
              <w:bottom w:val="nil"/>
            </w:tcBorders>
            <w:shd w:val="clear" w:color="auto" w:fill="auto"/>
          </w:tcPr>
          <w:p w:rsidR="00F777B4" w:rsidRPr="00526311" w:rsidRDefault="00F777B4" w:rsidP="0063039A">
            <w:pPr>
              <w:rPr>
                <w:sz w:val="16"/>
                <w:szCs w:val="16"/>
                <w:lang w:bidi="th-TH"/>
              </w:rPr>
            </w:pPr>
            <w:r w:rsidRPr="00526311">
              <w:rPr>
                <w:sz w:val="16"/>
                <w:szCs w:val="16"/>
                <w:lang w:bidi="th-TH"/>
              </w:rPr>
              <w:t>Número y porcentaje de países que han presentado comentarios positivos sobre el asesoramiento legislativo de la OMPI.</w:t>
            </w:r>
          </w:p>
        </w:tc>
        <w:tc>
          <w:tcPr>
            <w:tcW w:w="1287" w:type="pct"/>
            <w:tcBorders>
              <w:top w:val="nil"/>
              <w:bottom w:val="nil"/>
            </w:tcBorders>
            <w:shd w:val="clear" w:color="auto" w:fill="auto"/>
          </w:tcPr>
          <w:p w:rsidR="00F777B4" w:rsidRPr="00526311" w:rsidRDefault="00F777B4" w:rsidP="0063039A">
            <w:pPr>
              <w:keepNext/>
              <w:rPr>
                <w:sz w:val="16"/>
                <w:szCs w:val="16"/>
                <w:lang w:bidi="th-TH"/>
              </w:rPr>
            </w:pPr>
            <w:r w:rsidRPr="00526311">
              <w:rPr>
                <w:sz w:val="16"/>
                <w:szCs w:val="16"/>
                <w:lang w:bidi="th-TH"/>
              </w:rPr>
              <w:t>No se dispone de datos.</w:t>
            </w:r>
          </w:p>
          <w:p w:rsidR="00F777B4" w:rsidRPr="00526311" w:rsidRDefault="00F777B4" w:rsidP="0063039A">
            <w:pPr>
              <w:rPr>
                <w:sz w:val="16"/>
                <w:szCs w:val="16"/>
                <w:lang w:bidi="th-TH"/>
              </w:rPr>
            </w:pPr>
          </w:p>
        </w:tc>
        <w:tc>
          <w:tcPr>
            <w:tcW w:w="682" w:type="pct"/>
            <w:tcBorders>
              <w:top w:val="nil"/>
              <w:bottom w:val="nil"/>
            </w:tcBorders>
            <w:shd w:val="clear" w:color="auto" w:fill="auto"/>
            <w:tcMar>
              <w:top w:w="110" w:type="dxa"/>
            </w:tcMar>
          </w:tcPr>
          <w:p w:rsidR="00F777B4" w:rsidRPr="00526311" w:rsidRDefault="00F777B4" w:rsidP="0063039A">
            <w:pPr>
              <w:rPr>
                <w:sz w:val="16"/>
                <w:szCs w:val="16"/>
                <w:lang w:bidi="th-TH"/>
              </w:rPr>
            </w:pPr>
            <w:r w:rsidRPr="00526311">
              <w:rPr>
                <w:sz w:val="16"/>
                <w:szCs w:val="16"/>
                <w:lang w:bidi="th-TH"/>
              </w:rPr>
              <w:t xml:space="preserve">15 países </w:t>
            </w:r>
          </w:p>
        </w:tc>
        <w:tc>
          <w:tcPr>
            <w:tcW w:w="1210" w:type="pct"/>
            <w:tcBorders>
              <w:top w:val="nil"/>
              <w:bottom w:val="nil"/>
            </w:tcBorders>
            <w:shd w:val="clear" w:color="auto" w:fill="FFFFFF"/>
            <w:tcMar>
              <w:top w:w="110" w:type="dxa"/>
            </w:tcMar>
          </w:tcPr>
          <w:p w:rsidR="00F777B4" w:rsidRPr="00526311" w:rsidRDefault="00F777B4" w:rsidP="0063039A">
            <w:pPr>
              <w:rPr>
                <w:sz w:val="16"/>
                <w:szCs w:val="16"/>
                <w:lang w:bidi="th-TH"/>
              </w:rPr>
            </w:pPr>
            <w:r w:rsidRPr="00526311">
              <w:rPr>
                <w:sz w:val="16"/>
                <w:szCs w:val="16"/>
                <w:lang w:bidi="th-TH"/>
              </w:rPr>
              <w:t>16 países recibieron asesoramiento en el ámbito legislativo en 2014.  (África 6;  Asia y el Pacífico 2;  América Latina y el Caribe 4;  Países árabes 2; otros 2)</w:t>
            </w:r>
            <w:r w:rsidRPr="00526311">
              <w:rPr>
                <w:color w:val="FF00FF"/>
                <w:sz w:val="16"/>
                <w:szCs w:val="16"/>
                <w:lang w:bidi="th-TH"/>
              </w:rPr>
              <w:t>.</w:t>
            </w:r>
            <w:r w:rsidRPr="00526311">
              <w:rPr>
                <w:sz w:val="16"/>
                <w:szCs w:val="16"/>
                <w:lang w:bidi="th-TH"/>
              </w:rPr>
              <w:t xml:space="preserve"> </w:t>
            </w:r>
            <w:r w:rsidRPr="00526311">
              <w:rPr>
                <w:color w:val="FF00FF"/>
                <w:sz w:val="16"/>
                <w:szCs w:val="16"/>
                <w:lang w:bidi="th-TH"/>
              </w:rPr>
              <w:t xml:space="preserve"> </w:t>
            </w:r>
            <w:r w:rsidRPr="00526311">
              <w:rPr>
                <w:sz w:val="16"/>
                <w:szCs w:val="16"/>
                <w:lang w:bidi="th-TH"/>
              </w:rPr>
              <w:t>Se realizará una encuesta en 2015.</w:t>
            </w:r>
          </w:p>
        </w:tc>
        <w:tc>
          <w:tcPr>
            <w:tcW w:w="608" w:type="pct"/>
            <w:tcBorders>
              <w:top w:val="nil"/>
              <w:bottom w:val="nil"/>
              <w:right w:val="single" w:sz="4" w:space="0" w:color="auto"/>
            </w:tcBorders>
            <w:shd w:val="clear" w:color="auto" w:fill="auto"/>
          </w:tcPr>
          <w:p w:rsidR="00F777B4" w:rsidRPr="00526311" w:rsidRDefault="00BA23FA" w:rsidP="0063039A">
            <w:pPr>
              <w:keepNext/>
              <w:keepLines/>
              <w:jc w:val="center"/>
              <w:rPr>
                <w:bCs/>
                <w:sz w:val="16"/>
                <w:szCs w:val="16"/>
              </w:rPr>
            </w:pPr>
            <w:r w:rsidRPr="00526311">
              <w:rPr>
                <w:b/>
                <w:bCs/>
                <w:color w:val="0070C0"/>
                <w:sz w:val="16"/>
                <w:szCs w:val="16"/>
              </w:rPr>
              <w:t>N</w:t>
            </w:r>
            <w:r w:rsidR="00F777B4" w:rsidRPr="00526311">
              <w:rPr>
                <w:b/>
                <w:bCs/>
                <w:color w:val="0070C0"/>
                <w:sz w:val="16"/>
                <w:szCs w:val="16"/>
              </w:rPr>
              <w:t>.d. para 2014</w:t>
            </w:r>
          </w:p>
        </w:tc>
      </w:tr>
      <w:tr w:rsidR="00F777B4" w:rsidRPr="00526311" w:rsidTr="0063039A">
        <w:tc>
          <w:tcPr>
            <w:tcW w:w="1213" w:type="pct"/>
            <w:tcBorders>
              <w:top w:val="nil"/>
              <w:left w:val="single" w:sz="4" w:space="0" w:color="auto"/>
              <w:bottom w:val="nil"/>
            </w:tcBorders>
            <w:shd w:val="clear" w:color="auto" w:fill="auto"/>
          </w:tcPr>
          <w:p w:rsidR="00F777B4" w:rsidRPr="00526311" w:rsidRDefault="00F777B4" w:rsidP="0063039A">
            <w:pPr>
              <w:keepLines/>
              <w:rPr>
                <w:sz w:val="16"/>
                <w:szCs w:val="16"/>
                <w:lang w:bidi="th-TH"/>
              </w:rPr>
            </w:pPr>
            <w:r w:rsidRPr="00526311">
              <w:rPr>
                <w:sz w:val="16"/>
                <w:szCs w:val="16"/>
                <w:lang w:bidi="th-TH"/>
              </w:rPr>
              <w:t>Número de ratificaciones de los Tratados Internet de la OMPI.</w:t>
            </w:r>
          </w:p>
        </w:tc>
        <w:tc>
          <w:tcPr>
            <w:tcW w:w="1287" w:type="pct"/>
            <w:tcBorders>
              <w:top w:val="nil"/>
              <w:bottom w:val="nil"/>
            </w:tcBorders>
            <w:shd w:val="clear" w:color="auto" w:fill="auto"/>
          </w:tcPr>
          <w:p w:rsidR="00F777B4" w:rsidRPr="00526311" w:rsidRDefault="00F777B4" w:rsidP="0063039A">
            <w:pPr>
              <w:keepNext/>
              <w:keepLines/>
              <w:rPr>
                <w:color w:val="002060"/>
                <w:sz w:val="16"/>
                <w:szCs w:val="16"/>
              </w:rPr>
            </w:pPr>
            <w:r w:rsidRPr="00526311">
              <w:rPr>
                <w:i/>
                <w:color w:val="002060"/>
                <w:sz w:val="16"/>
                <w:szCs w:val="16"/>
              </w:rPr>
              <w:t>Referencia actualizada a fines de 2013: 184</w:t>
            </w:r>
            <w:r w:rsidRPr="00526311">
              <w:rPr>
                <w:color w:val="002060"/>
                <w:sz w:val="16"/>
                <w:szCs w:val="16"/>
              </w:rPr>
              <w:t xml:space="preserve"> </w:t>
            </w:r>
          </w:p>
          <w:p w:rsidR="00F777B4" w:rsidRPr="00526311" w:rsidRDefault="00F777B4" w:rsidP="0063039A">
            <w:pPr>
              <w:keepNext/>
              <w:keepLines/>
              <w:rPr>
                <w:i/>
                <w:sz w:val="8"/>
                <w:szCs w:val="8"/>
                <w:lang w:bidi="th-TH"/>
              </w:rPr>
            </w:pPr>
          </w:p>
          <w:p w:rsidR="00F777B4" w:rsidRPr="00526311" w:rsidRDefault="007B705E" w:rsidP="0063039A">
            <w:pPr>
              <w:keepNext/>
              <w:keepLines/>
              <w:rPr>
                <w:sz w:val="16"/>
                <w:szCs w:val="16"/>
                <w:lang w:bidi="th-TH"/>
              </w:rPr>
            </w:pPr>
            <w:r w:rsidRPr="00526311">
              <w:rPr>
                <w:i/>
                <w:sz w:val="16"/>
                <w:szCs w:val="16"/>
                <w:lang w:bidi="th-TH"/>
              </w:rPr>
              <w:t>Referencia original en el presupuesto de 2014/15</w:t>
            </w:r>
            <w:r w:rsidR="00F777B4" w:rsidRPr="00526311">
              <w:rPr>
                <w:i/>
                <w:sz w:val="16"/>
                <w:szCs w:val="16"/>
                <w:lang w:bidi="th-TH"/>
              </w:rPr>
              <w:t>:  181 (</w:t>
            </w:r>
            <w:r w:rsidR="00F777B4" w:rsidRPr="00526311">
              <w:rPr>
                <w:sz w:val="16"/>
                <w:szCs w:val="16"/>
                <w:lang w:bidi="th-TH"/>
              </w:rPr>
              <w:t>a fines de 2012)</w:t>
            </w:r>
          </w:p>
        </w:tc>
        <w:tc>
          <w:tcPr>
            <w:tcW w:w="682" w:type="pct"/>
            <w:tcBorders>
              <w:top w:val="nil"/>
              <w:bottom w:val="nil"/>
            </w:tcBorders>
            <w:shd w:val="clear" w:color="auto" w:fill="auto"/>
            <w:tcMar>
              <w:top w:w="110" w:type="dxa"/>
            </w:tcMar>
          </w:tcPr>
          <w:p w:rsidR="00F777B4" w:rsidRPr="00526311" w:rsidRDefault="00F777B4" w:rsidP="0063039A">
            <w:pPr>
              <w:keepNext/>
              <w:keepLines/>
              <w:rPr>
                <w:sz w:val="16"/>
                <w:szCs w:val="16"/>
                <w:lang w:bidi="th-TH"/>
              </w:rPr>
            </w:pPr>
            <w:r w:rsidRPr="00526311">
              <w:rPr>
                <w:sz w:val="16"/>
                <w:szCs w:val="16"/>
                <w:lang w:bidi="th-TH"/>
              </w:rPr>
              <w:t>190</w:t>
            </w:r>
          </w:p>
        </w:tc>
        <w:tc>
          <w:tcPr>
            <w:tcW w:w="1210" w:type="pct"/>
            <w:tcBorders>
              <w:top w:val="nil"/>
              <w:bottom w:val="nil"/>
            </w:tcBorders>
            <w:shd w:val="clear" w:color="auto" w:fill="FFFFFF"/>
            <w:tcMar>
              <w:top w:w="110" w:type="dxa"/>
            </w:tcMar>
          </w:tcPr>
          <w:p w:rsidR="00F777B4" w:rsidRPr="00526311" w:rsidRDefault="00F777B4" w:rsidP="0063039A">
            <w:pPr>
              <w:keepNext/>
              <w:keepLines/>
              <w:rPr>
                <w:sz w:val="16"/>
                <w:szCs w:val="16"/>
                <w:lang w:bidi="th-TH"/>
              </w:rPr>
            </w:pPr>
            <w:r w:rsidRPr="00526311">
              <w:rPr>
                <w:sz w:val="16"/>
                <w:szCs w:val="16"/>
                <w:lang w:bidi="th-TH"/>
              </w:rPr>
              <w:t>Se depositaron cuatro instrumentos de ratificación o de adhesión en 2014, alcanzando así un total de 188:</w:t>
            </w:r>
          </w:p>
          <w:p w:rsidR="00F777B4" w:rsidRPr="00526311" w:rsidRDefault="00F777B4" w:rsidP="00B45FC3">
            <w:pPr>
              <w:pStyle w:val="ListParagraph"/>
              <w:keepNext/>
              <w:keepLines/>
              <w:numPr>
                <w:ilvl w:val="0"/>
                <w:numId w:val="13"/>
              </w:numPr>
              <w:rPr>
                <w:rFonts w:cs="Arial"/>
                <w:sz w:val="16"/>
                <w:szCs w:val="16"/>
                <w:lang w:val="es-ES" w:bidi="th-TH"/>
              </w:rPr>
            </w:pPr>
            <w:r w:rsidRPr="00526311">
              <w:rPr>
                <w:rFonts w:cs="Arial"/>
                <w:sz w:val="16"/>
                <w:szCs w:val="16"/>
                <w:lang w:val="es-ES" w:bidi="th-TH"/>
              </w:rPr>
              <w:t>Tratado de la OMPI sobre Derecho de Autor (Canadá, Madagascar)</w:t>
            </w:r>
          </w:p>
          <w:p w:rsidR="00F777B4" w:rsidRPr="00526311" w:rsidRDefault="00F777B4" w:rsidP="00B45FC3">
            <w:pPr>
              <w:pStyle w:val="ListParagraph"/>
              <w:keepNext/>
              <w:keepLines/>
              <w:numPr>
                <w:ilvl w:val="0"/>
                <w:numId w:val="13"/>
              </w:numPr>
              <w:rPr>
                <w:rFonts w:cs="Arial"/>
                <w:sz w:val="16"/>
                <w:szCs w:val="16"/>
                <w:lang w:val="es-ES" w:bidi="th-TH"/>
              </w:rPr>
            </w:pPr>
            <w:r w:rsidRPr="00526311">
              <w:rPr>
                <w:rFonts w:cs="Arial"/>
                <w:sz w:val="16"/>
                <w:szCs w:val="16"/>
                <w:lang w:val="es-ES" w:bidi="th-TH"/>
              </w:rPr>
              <w:t>Tratado de la OMPI sobre Interpretación o Ejecución y Fonogramas (Canadá, Madagascar)</w:t>
            </w:r>
          </w:p>
        </w:tc>
        <w:tc>
          <w:tcPr>
            <w:tcW w:w="608" w:type="pct"/>
            <w:tcBorders>
              <w:top w:val="nil"/>
              <w:bottom w:val="nil"/>
              <w:right w:val="single" w:sz="4" w:space="0" w:color="auto"/>
            </w:tcBorders>
            <w:shd w:val="clear" w:color="auto" w:fill="auto"/>
          </w:tcPr>
          <w:p w:rsidR="00F777B4" w:rsidRPr="00526311" w:rsidRDefault="00F777B4" w:rsidP="0063039A">
            <w:pPr>
              <w:keepNext/>
              <w:keepLines/>
              <w:ind w:left="-111"/>
              <w:jc w:val="center"/>
              <w:rPr>
                <w:b/>
                <w:bCs/>
                <w:color w:val="808080" w:themeColor="background1" w:themeShade="80"/>
                <w:sz w:val="16"/>
                <w:szCs w:val="16"/>
              </w:rPr>
            </w:pPr>
            <w:r w:rsidRPr="00526311">
              <w:rPr>
                <w:b/>
                <w:bCs/>
                <w:color w:val="00B050"/>
                <w:sz w:val="16"/>
                <w:szCs w:val="16"/>
              </w:rPr>
              <w:t>Avanza</w:t>
            </w:r>
          </w:p>
        </w:tc>
      </w:tr>
      <w:tr w:rsidR="00F777B4" w:rsidRPr="00526311" w:rsidTr="0063039A">
        <w:tc>
          <w:tcPr>
            <w:tcW w:w="1213" w:type="pct"/>
            <w:tcBorders>
              <w:top w:val="nil"/>
              <w:left w:val="single" w:sz="4" w:space="0" w:color="auto"/>
              <w:bottom w:val="single" w:sz="4" w:space="0" w:color="auto"/>
            </w:tcBorders>
            <w:shd w:val="clear" w:color="auto" w:fill="auto"/>
          </w:tcPr>
          <w:p w:rsidR="00F777B4" w:rsidRPr="00526311" w:rsidRDefault="00F777B4" w:rsidP="0063039A">
            <w:pPr>
              <w:rPr>
                <w:sz w:val="16"/>
                <w:szCs w:val="16"/>
                <w:lang w:bidi="th-TH"/>
              </w:rPr>
            </w:pPr>
            <w:r w:rsidRPr="00526311">
              <w:rPr>
                <w:sz w:val="16"/>
                <w:szCs w:val="16"/>
                <w:lang w:bidi="th-TH"/>
              </w:rPr>
              <w:t>Número de países que han ratificado el Tratado de Marrakech sobre las personas con discapacidad visual.</w:t>
            </w:r>
          </w:p>
        </w:tc>
        <w:tc>
          <w:tcPr>
            <w:tcW w:w="1287" w:type="pct"/>
            <w:tcBorders>
              <w:top w:val="nil"/>
              <w:bottom w:val="single" w:sz="4" w:space="0" w:color="auto"/>
            </w:tcBorders>
            <w:shd w:val="clear" w:color="auto" w:fill="auto"/>
          </w:tcPr>
          <w:p w:rsidR="00F777B4" w:rsidRPr="00526311" w:rsidRDefault="00BA23FA" w:rsidP="0063039A">
            <w:pPr>
              <w:keepNext/>
              <w:rPr>
                <w:sz w:val="16"/>
                <w:szCs w:val="16"/>
                <w:lang w:bidi="th-TH"/>
              </w:rPr>
            </w:pPr>
            <w:r w:rsidRPr="00526311">
              <w:rPr>
                <w:sz w:val="16"/>
                <w:szCs w:val="16"/>
                <w:lang w:bidi="th-TH"/>
              </w:rPr>
              <w:t>Ninguno</w:t>
            </w:r>
          </w:p>
          <w:p w:rsidR="00F777B4" w:rsidRPr="00526311" w:rsidRDefault="00F777B4" w:rsidP="0063039A">
            <w:pPr>
              <w:rPr>
                <w:i/>
                <w:color w:val="000000"/>
                <w:sz w:val="16"/>
                <w:szCs w:val="16"/>
                <w:lang w:bidi="th-TH"/>
              </w:rPr>
            </w:pPr>
          </w:p>
        </w:tc>
        <w:tc>
          <w:tcPr>
            <w:tcW w:w="682" w:type="pct"/>
            <w:tcBorders>
              <w:top w:val="nil"/>
              <w:bottom w:val="single" w:sz="4" w:space="0" w:color="auto"/>
            </w:tcBorders>
            <w:shd w:val="clear" w:color="auto" w:fill="auto"/>
            <w:tcMar>
              <w:top w:w="110" w:type="dxa"/>
            </w:tcMar>
          </w:tcPr>
          <w:p w:rsidR="00F777B4" w:rsidRPr="00526311" w:rsidRDefault="00F777B4" w:rsidP="0063039A">
            <w:pPr>
              <w:rPr>
                <w:sz w:val="16"/>
                <w:szCs w:val="16"/>
                <w:lang w:bidi="th-TH"/>
              </w:rPr>
            </w:pPr>
            <w:r w:rsidRPr="00526311">
              <w:rPr>
                <w:sz w:val="16"/>
                <w:szCs w:val="16"/>
                <w:lang w:bidi="th-TH"/>
              </w:rPr>
              <w:t>20 países</w:t>
            </w:r>
          </w:p>
        </w:tc>
        <w:tc>
          <w:tcPr>
            <w:tcW w:w="1210" w:type="pct"/>
            <w:tcBorders>
              <w:top w:val="nil"/>
              <w:bottom w:val="single" w:sz="4" w:space="0" w:color="auto"/>
            </w:tcBorders>
            <w:shd w:val="clear" w:color="auto" w:fill="FFFFFF"/>
            <w:tcMar>
              <w:top w:w="110" w:type="dxa"/>
            </w:tcMar>
          </w:tcPr>
          <w:p w:rsidR="00F777B4" w:rsidRPr="00526311" w:rsidRDefault="00F777B4" w:rsidP="0063039A">
            <w:pPr>
              <w:rPr>
                <w:sz w:val="16"/>
                <w:szCs w:val="16"/>
                <w:lang w:bidi="th-TH"/>
              </w:rPr>
            </w:pPr>
            <w:r w:rsidRPr="00526311">
              <w:rPr>
                <w:sz w:val="16"/>
                <w:szCs w:val="16"/>
                <w:lang w:bidi="th-TH"/>
              </w:rPr>
              <w:t xml:space="preserve">Se depositaron cinco instrumentos de ratificación o de adhesión en 2014 </w:t>
            </w:r>
          </w:p>
          <w:p w:rsidR="00F777B4" w:rsidRPr="00526311" w:rsidRDefault="00F777B4" w:rsidP="0063039A">
            <w:pPr>
              <w:rPr>
                <w:sz w:val="16"/>
                <w:szCs w:val="16"/>
                <w:lang w:bidi="th-TH"/>
              </w:rPr>
            </w:pPr>
            <w:r w:rsidRPr="00526311">
              <w:rPr>
                <w:sz w:val="16"/>
                <w:szCs w:val="16"/>
                <w:lang w:bidi="th-TH"/>
              </w:rPr>
              <w:t>(El Salvador, India, Malí, Emiratos Árabes Unidos, Uruguay)</w:t>
            </w:r>
            <w:r w:rsidR="00BA23FA" w:rsidRPr="00526311">
              <w:rPr>
                <w:sz w:val="16"/>
                <w:szCs w:val="16"/>
                <w:lang w:bidi="th-TH"/>
              </w:rPr>
              <w:t>.</w:t>
            </w:r>
            <w:r w:rsidR="00BA23FA" w:rsidRPr="00526311">
              <w:rPr>
                <w:sz w:val="16"/>
                <w:szCs w:val="16"/>
                <w:lang w:bidi="th-TH"/>
              </w:rPr>
              <w:br/>
            </w:r>
          </w:p>
        </w:tc>
        <w:tc>
          <w:tcPr>
            <w:tcW w:w="608" w:type="pct"/>
            <w:tcBorders>
              <w:top w:val="nil"/>
              <w:bottom w:val="single" w:sz="4" w:space="0" w:color="auto"/>
              <w:right w:val="single" w:sz="4" w:space="0" w:color="auto"/>
            </w:tcBorders>
            <w:shd w:val="clear" w:color="auto" w:fill="auto"/>
          </w:tcPr>
          <w:p w:rsidR="00F777B4" w:rsidRPr="00526311" w:rsidRDefault="00F777B4" w:rsidP="0063039A">
            <w:pPr>
              <w:keepNext/>
              <w:keepLines/>
              <w:ind w:left="-108"/>
              <w:jc w:val="center"/>
              <w:rPr>
                <w:b/>
                <w:bCs/>
                <w:color w:val="808080" w:themeColor="background1" w:themeShade="80"/>
                <w:sz w:val="16"/>
                <w:szCs w:val="16"/>
              </w:rPr>
            </w:pPr>
            <w:r w:rsidRPr="00526311">
              <w:rPr>
                <w:b/>
                <w:bCs/>
                <w:color w:val="FF0000"/>
                <w:sz w:val="16"/>
                <w:szCs w:val="16"/>
              </w:rPr>
              <w:t>No avanza</w:t>
            </w:r>
          </w:p>
        </w:tc>
      </w:tr>
    </w:tbl>
    <w:p w:rsidR="00F777B4" w:rsidRPr="00526311" w:rsidRDefault="00F777B4">
      <w:r w:rsidRPr="00526311">
        <w:br w:type="page"/>
      </w:r>
    </w:p>
    <w:tbl>
      <w:tblPr>
        <w:tblW w:w="489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9"/>
        <w:gridCol w:w="152"/>
        <w:gridCol w:w="2409"/>
        <w:gridCol w:w="1269"/>
        <w:gridCol w:w="290"/>
        <w:gridCol w:w="1986"/>
        <w:gridCol w:w="137"/>
        <w:gridCol w:w="988"/>
      </w:tblGrid>
      <w:tr w:rsidR="00F777B4" w:rsidRPr="00526311" w:rsidTr="0063039A">
        <w:trPr>
          <w:trHeight w:val="472"/>
        </w:trPr>
        <w:tc>
          <w:tcPr>
            <w:tcW w:w="5000" w:type="pct"/>
            <w:gridSpan w:val="8"/>
            <w:tcBorders>
              <w:top w:val="single" w:sz="4" w:space="0" w:color="auto"/>
              <w:bottom w:val="single" w:sz="4" w:space="0" w:color="auto"/>
            </w:tcBorders>
            <w:shd w:val="clear" w:color="auto" w:fill="CCFFFF"/>
            <w:vAlign w:val="center"/>
          </w:tcPr>
          <w:p w:rsidR="00F777B4" w:rsidRPr="00526311" w:rsidRDefault="00F777B4" w:rsidP="0063039A">
            <w:pPr>
              <w:tabs>
                <w:tab w:val="left" w:pos="1452"/>
              </w:tabs>
              <w:ind w:left="1701" w:hanging="1701"/>
              <w:rPr>
                <w:b/>
                <w:bCs/>
                <w:sz w:val="16"/>
                <w:szCs w:val="16"/>
              </w:rPr>
            </w:pPr>
            <w:r w:rsidRPr="00526311">
              <w:rPr>
                <w:b/>
                <w:bCs/>
                <w:sz w:val="16"/>
                <w:szCs w:val="16"/>
              </w:rPr>
              <w:lastRenderedPageBreak/>
              <w:t>Resultado previsto:</w:t>
            </w:r>
            <w:r w:rsidRPr="00526311">
              <w:rPr>
                <w:bCs/>
                <w:sz w:val="16"/>
                <w:szCs w:val="16"/>
              </w:rPr>
              <w:tab/>
              <w:t>III.2 Aumento de las capacidades en recursos humanos para hacer frente a la gran diversidad de exigencias que supone la utilización eficaz de la P.I. para fomentar desarrollo en los países en desarrollo, PMA y países con economías en transición</w:t>
            </w:r>
          </w:p>
        </w:tc>
      </w:tr>
      <w:tr w:rsidR="00F777B4" w:rsidRPr="00526311" w:rsidTr="004F7C21">
        <w:tc>
          <w:tcPr>
            <w:tcW w:w="1218" w:type="pct"/>
            <w:gridSpan w:val="2"/>
            <w:tcBorders>
              <w:top w:val="single" w:sz="4" w:space="0" w:color="auto"/>
              <w:left w:val="single" w:sz="4" w:space="0" w:color="auto"/>
              <w:bottom w:val="nil"/>
            </w:tcBorders>
            <w:shd w:val="clear" w:color="auto" w:fill="auto"/>
            <w:vAlign w:val="center"/>
          </w:tcPr>
          <w:p w:rsidR="00F777B4" w:rsidRPr="00526311" w:rsidRDefault="00F777B4" w:rsidP="0063039A">
            <w:pPr>
              <w:rPr>
                <w:sz w:val="16"/>
                <w:szCs w:val="16"/>
              </w:rPr>
            </w:pPr>
            <w:r w:rsidRPr="00526311">
              <w:rPr>
                <w:b/>
                <w:sz w:val="16"/>
                <w:szCs w:val="16"/>
              </w:rPr>
              <w:t>Indicadores de rendimiento</w:t>
            </w:r>
          </w:p>
        </w:tc>
        <w:tc>
          <w:tcPr>
            <w:tcW w:w="1287" w:type="pct"/>
            <w:tcBorders>
              <w:top w:val="single" w:sz="4" w:space="0" w:color="auto"/>
              <w:bottom w:val="nil"/>
            </w:tcBorders>
            <w:shd w:val="clear" w:color="auto" w:fill="auto"/>
            <w:vAlign w:val="center"/>
          </w:tcPr>
          <w:p w:rsidR="00F777B4" w:rsidRPr="00526311" w:rsidRDefault="00F777B4" w:rsidP="0063039A">
            <w:pPr>
              <w:rPr>
                <w:b/>
                <w:bCs/>
                <w:sz w:val="16"/>
                <w:szCs w:val="16"/>
              </w:rPr>
            </w:pPr>
            <w:r w:rsidRPr="00526311">
              <w:rPr>
                <w:b/>
                <w:bCs/>
                <w:sz w:val="16"/>
                <w:szCs w:val="16"/>
              </w:rPr>
              <w:t>Referencia</w:t>
            </w:r>
          </w:p>
        </w:tc>
        <w:tc>
          <w:tcPr>
            <w:tcW w:w="833" w:type="pct"/>
            <w:gridSpan w:val="2"/>
            <w:tcBorders>
              <w:top w:val="single" w:sz="4" w:space="0" w:color="auto"/>
              <w:bottom w:val="nil"/>
            </w:tcBorders>
            <w:shd w:val="clear" w:color="auto" w:fill="auto"/>
            <w:tcMar>
              <w:top w:w="110" w:type="dxa"/>
            </w:tcMar>
            <w:vAlign w:val="center"/>
          </w:tcPr>
          <w:p w:rsidR="00F777B4" w:rsidRPr="00526311" w:rsidRDefault="00F777B4" w:rsidP="0063039A">
            <w:pPr>
              <w:rPr>
                <w:b/>
                <w:sz w:val="16"/>
                <w:szCs w:val="16"/>
              </w:rPr>
            </w:pPr>
            <w:r w:rsidRPr="00526311">
              <w:rPr>
                <w:b/>
                <w:sz w:val="16"/>
                <w:szCs w:val="16"/>
              </w:rPr>
              <w:t>Objetivos</w:t>
            </w:r>
          </w:p>
        </w:tc>
        <w:tc>
          <w:tcPr>
            <w:tcW w:w="1059" w:type="pct"/>
            <w:tcBorders>
              <w:top w:val="single" w:sz="4" w:space="0" w:color="auto"/>
              <w:bottom w:val="nil"/>
            </w:tcBorders>
            <w:shd w:val="clear" w:color="auto" w:fill="FFFFFF"/>
            <w:tcMar>
              <w:top w:w="110" w:type="dxa"/>
            </w:tcMar>
            <w:vAlign w:val="center"/>
          </w:tcPr>
          <w:p w:rsidR="00F777B4" w:rsidRPr="00526311" w:rsidRDefault="00F777B4" w:rsidP="0063039A">
            <w:pPr>
              <w:rPr>
                <w:sz w:val="16"/>
                <w:szCs w:val="16"/>
              </w:rPr>
            </w:pPr>
            <w:r w:rsidRPr="00526311">
              <w:rPr>
                <w:b/>
                <w:sz w:val="16"/>
                <w:szCs w:val="16"/>
              </w:rPr>
              <w:t>Datos sobre el rendimiento</w:t>
            </w:r>
          </w:p>
        </w:tc>
        <w:tc>
          <w:tcPr>
            <w:tcW w:w="604" w:type="pct"/>
            <w:gridSpan w:val="2"/>
            <w:tcBorders>
              <w:top w:val="single" w:sz="4" w:space="0" w:color="auto"/>
              <w:bottom w:val="nil"/>
              <w:right w:val="single" w:sz="4" w:space="0" w:color="auto"/>
            </w:tcBorders>
            <w:shd w:val="clear" w:color="auto" w:fill="auto"/>
            <w:tcMar>
              <w:top w:w="110" w:type="dxa"/>
            </w:tcMar>
            <w:vAlign w:val="center"/>
          </w:tcPr>
          <w:p w:rsidR="00F777B4" w:rsidRPr="00526311" w:rsidRDefault="00F777B4" w:rsidP="0063039A">
            <w:pPr>
              <w:keepNext/>
              <w:keepLines/>
              <w:jc w:val="center"/>
              <w:rPr>
                <w:b/>
                <w:bCs/>
                <w:sz w:val="16"/>
                <w:szCs w:val="16"/>
              </w:rPr>
            </w:pPr>
            <w:r w:rsidRPr="00526311">
              <w:rPr>
                <w:b/>
                <w:bCs/>
                <w:sz w:val="16"/>
                <w:szCs w:val="16"/>
              </w:rPr>
              <w:t>Clave de colores</w:t>
            </w:r>
          </w:p>
        </w:tc>
      </w:tr>
      <w:tr w:rsidR="00F777B4" w:rsidRPr="00526311" w:rsidTr="004F7C21">
        <w:tc>
          <w:tcPr>
            <w:tcW w:w="1218" w:type="pct"/>
            <w:gridSpan w:val="2"/>
            <w:tcBorders>
              <w:top w:val="nil"/>
              <w:left w:val="single" w:sz="4" w:space="0" w:color="auto"/>
              <w:bottom w:val="nil"/>
            </w:tcBorders>
            <w:shd w:val="clear" w:color="auto" w:fill="auto"/>
          </w:tcPr>
          <w:p w:rsidR="00F777B4" w:rsidRPr="00526311" w:rsidRDefault="00F777B4" w:rsidP="0063039A">
            <w:pPr>
              <w:rPr>
                <w:sz w:val="16"/>
                <w:szCs w:val="16"/>
                <w:lang w:bidi="th-TH"/>
              </w:rPr>
            </w:pPr>
            <w:r w:rsidRPr="00526311">
              <w:rPr>
                <w:sz w:val="16"/>
                <w:szCs w:val="16"/>
                <w:lang w:bidi="th-TH"/>
              </w:rPr>
              <w:t>Número de gobiernos y de OGC que firman acuerdos con la OMPI para elaborar una nueva norma de garantía de calidad en materia de transparencia, rendición de cuentas y gobernanza.</w:t>
            </w:r>
          </w:p>
        </w:tc>
        <w:tc>
          <w:tcPr>
            <w:tcW w:w="1287" w:type="pct"/>
            <w:tcBorders>
              <w:top w:val="nil"/>
              <w:bottom w:val="nil"/>
            </w:tcBorders>
            <w:shd w:val="clear" w:color="auto" w:fill="auto"/>
          </w:tcPr>
          <w:p w:rsidR="00F777B4" w:rsidRPr="00526311" w:rsidRDefault="00F777B4" w:rsidP="0063039A">
            <w:pPr>
              <w:keepNext/>
              <w:rPr>
                <w:sz w:val="16"/>
                <w:szCs w:val="16"/>
                <w:lang w:bidi="th-TH"/>
              </w:rPr>
            </w:pPr>
            <w:r w:rsidRPr="00526311">
              <w:rPr>
                <w:sz w:val="16"/>
                <w:szCs w:val="16"/>
                <w:lang w:bidi="th-TH"/>
              </w:rPr>
              <w:t>n.d.</w:t>
            </w:r>
          </w:p>
          <w:p w:rsidR="00F777B4" w:rsidRPr="00526311" w:rsidRDefault="00F777B4" w:rsidP="0063039A">
            <w:pPr>
              <w:rPr>
                <w:sz w:val="16"/>
                <w:szCs w:val="16"/>
                <w:lang w:bidi="th-TH"/>
              </w:rPr>
            </w:pPr>
          </w:p>
        </w:tc>
        <w:tc>
          <w:tcPr>
            <w:tcW w:w="833" w:type="pct"/>
            <w:gridSpan w:val="2"/>
            <w:tcBorders>
              <w:top w:val="nil"/>
              <w:bottom w:val="nil"/>
            </w:tcBorders>
            <w:shd w:val="clear" w:color="auto" w:fill="auto"/>
            <w:tcMar>
              <w:top w:w="110" w:type="dxa"/>
            </w:tcMar>
          </w:tcPr>
          <w:p w:rsidR="00F777B4" w:rsidRPr="00526311" w:rsidRDefault="00F777B4" w:rsidP="0063039A">
            <w:pPr>
              <w:rPr>
                <w:sz w:val="16"/>
                <w:szCs w:val="16"/>
                <w:lang w:bidi="th-TH"/>
              </w:rPr>
            </w:pPr>
            <w:r w:rsidRPr="00526311">
              <w:rPr>
                <w:sz w:val="16"/>
                <w:szCs w:val="16"/>
                <w:lang w:bidi="th-TH"/>
              </w:rPr>
              <w:t>Cuatro gobiernos y seis OGC.</w:t>
            </w:r>
          </w:p>
        </w:tc>
        <w:tc>
          <w:tcPr>
            <w:tcW w:w="1059" w:type="pct"/>
            <w:tcBorders>
              <w:top w:val="nil"/>
              <w:bottom w:val="nil"/>
            </w:tcBorders>
            <w:shd w:val="clear" w:color="auto" w:fill="FFFFFF"/>
            <w:tcMar>
              <w:top w:w="110" w:type="dxa"/>
            </w:tcMar>
          </w:tcPr>
          <w:p w:rsidR="00F777B4" w:rsidRPr="00526311" w:rsidRDefault="00BA23FA" w:rsidP="00BA23FA">
            <w:pPr>
              <w:rPr>
                <w:sz w:val="16"/>
                <w:szCs w:val="16"/>
                <w:lang w:bidi="th-TH"/>
              </w:rPr>
            </w:pPr>
            <w:r w:rsidRPr="00526311">
              <w:rPr>
                <w:sz w:val="16"/>
                <w:szCs w:val="16"/>
                <w:lang w:bidi="th-TH"/>
              </w:rPr>
              <w:t>Nueve</w:t>
            </w:r>
            <w:r w:rsidR="00F777B4" w:rsidRPr="00526311">
              <w:rPr>
                <w:sz w:val="16"/>
                <w:szCs w:val="16"/>
                <w:lang w:bidi="th-TH"/>
              </w:rPr>
              <w:t xml:space="preserve"> gobiernos (Cabo Verde, Etiopía, Gambia, Indonesia, Liberia, </w:t>
            </w:r>
            <w:r w:rsidRPr="00526311">
              <w:rPr>
                <w:sz w:val="16"/>
                <w:szCs w:val="16"/>
                <w:lang w:bidi="th-TH"/>
              </w:rPr>
              <w:t xml:space="preserve">Malasia, </w:t>
            </w:r>
            <w:r w:rsidR="00F777B4" w:rsidRPr="00526311">
              <w:rPr>
                <w:sz w:val="16"/>
                <w:szCs w:val="16"/>
                <w:lang w:bidi="th-TH"/>
              </w:rPr>
              <w:t>Mauricio, Nepal, Sri Lanka y </w:t>
            </w:r>
            <w:r w:rsidRPr="00526311">
              <w:rPr>
                <w:sz w:val="16"/>
                <w:szCs w:val="16"/>
                <w:lang w:bidi="th-TH"/>
              </w:rPr>
              <w:t>61</w:t>
            </w:r>
            <w:r w:rsidR="00F777B4" w:rsidRPr="00526311">
              <w:rPr>
                <w:sz w:val="16"/>
                <w:szCs w:val="16"/>
                <w:lang w:bidi="th-TH"/>
              </w:rPr>
              <w:t xml:space="preserve"> organismos de gestión colectiva han manifestado interés por el proyecto </w:t>
            </w:r>
            <w:r w:rsidR="00F777B4" w:rsidRPr="00526311">
              <w:rPr>
                <w:i/>
                <w:sz w:val="16"/>
                <w:szCs w:val="16"/>
                <w:lang w:bidi="th-TH"/>
              </w:rPr>
              <w:t>TAG</w:t>
            </w:r>
            <w:r w:rsidR="00F777B4" w:rsidRPr="00526311">
              <w:rPr>
                <w:sz w:val="16"/>
                <w:szCs w:val="16"/>
                <w:lang w:bidi="th-TH"/>
              </w:rPr>
              <w:t>.</w:t>
            </w:r>
          </w:p>
        </w:tc>
        <w:tc>
          <w:tcPr>
            <w:tcW w:w="604" w:type="pct"/>
            <w:gridSpan w:val="2"/>
            <w:tcBorders>
              <w:top w:val="nil"/>
              <w:bottom w:val="nil"/>
              <w:right w:val="single" w:sz="4" w:space="0" w:color="auto"/>
            </w:tcBorders>
            <w:shd w:val="clear" w:color="auto" w:fill="auto"/>
            <w:tcMar>
              <w:top w:w="110" w:type="dxa"/>
            </w:tcMar>
          </w:tcPr>
          <w:p w:rsidR="00F777B4" w:rsidRPr="00526311" w:rsidRDefault="00BA23FA" w:rsidP="0063039A">
            <w:pPr>
              <w:keepNext/>
              <w:keepLines/>
              <w:ind w:left="-108"/>
              <w:jc w:val="center"/>
              <w:rPr>
                <w:bCs/>
                <w:color w:val="808080" w:themeColor="background1" w:themeShade="80"/>
                <w:sz w:val="16"/>
                <w:szCs w:val="16"/>
              </w:rPr>
            </w:pPr>
            <w:r w:rsidRPr="00526311">
              <w:rPr>
                <w:b/>
                <w:bCs/>
                <w:color w:val="00B050"/>
                <w:sz w:val="16"/>
                <w:szCs w:val="16"/>
              </w:rPr>
              <w:t>Avanza</w:t>
            </w:r>
          </w:p>
        </w:tc>
      </w:tr>
      <w:tr w:rsidR="00F777B4" w:rsidRPr="00526311" w:rsidTr="004F7C21">
        <w:tc>
          <w:tcPr>
            <w:tcW w:w="1218" w:type="pct"/>
            <w:gridSpan w:val="2"/>
            <w:tcBorders>
              <w:top w:val="nil"/>
              <w:left w:val="single" w:sz="4" w:space="0" w:color="auto"/>
              <w:bottom w:val="nil"/>
            </w:tcBorders>
            <w:shd w:val="clear" w:color="auto" w:fill="auto"/>
          </w:tcPr>
          <w:p w:rsidR="00F777B4" w:rsidRPr="00526311" w:rsidRDefault="00F777B4" w:rsidP="0063039A">
            <w:pPr>
              <w:rPr>
                <w:sz w:val="16"/>
                <w:szCs w:val="16"/>
                <w:lang w:bidi="th-TH"/>
              </w:rPr>
            </w:pPr>
            <w:r w:rsidRPr="00526311">
              <w:rPr>
                <w:sz w:val="16"/>
                <w:szCs w:val="16"/>
                <w:lang w:bidi="th-TH"/>
              </w:rPr>
              <w:t>Porcentaje de creadores satisfechos con la formación proporcionada sobre el uso de la información y los datos de derecho de autor para la gestión eficaz de sus derechos de autor.</w:t>
            </w:r>
          </w:p>
        </w:tc>
        <w:tc>
          <w:tcPr>
            <w:tcW w:w="1287" w:type="pct"/>
            <w:tcBorders>
              <w:top w:val="nil"/>
              <w:bottom w:val="nil"/>
            </w:tcBorders>
            <w:shd w:val="clear" w:color="auto" w:fill="auto"/>
          </w:tcPr>
          <w:p w:rsidR="00F777B4" w:rsidRPr="00526311" w:rsidRDefault="00F777B4" w:rsidP="0063039A">
            <w:pPr>
              <w:keepNext/>
              <w:rPr>
                <w:i/>
                <w:color w:val="002060"/>
                <w:sz w:val="16"/>
                <w:szCs w:val="16"/>
              </w:rPr>
            </w:pPr>
            <w:r w:rsidRPr="00526311">
              <w:rPr>
                <w:i/>
                <w:color w:val="002060"/>
                <w:sz w:val="16"/>
                <w:szCs w:val="16"/>
              </w:rPr>
              <w:t xml:space="preserve">Referencia actualizada a fines de 2013:  </w:t>
            </w:r>
          </w:p>
          <w:p w:rsidR="00F777B4" w:rsidRPr="00526311" w:rsidRDefault="00F777B4" w:rsidP="0063039A">
            <w:pPr>
              <w:keepNext/>
              <w:rPr>
                <w:i/>
                <w:sz w:val="8"/>
                <w:szCs w:val="8"/>
                <w:lang w:bidi="th-TH"/>
              </w:rPr>
            </w:pPr>
          </w:p>
          <w:p w:rsidR="00F777B4" w:rsidRPr="00526311" w:rsidRDefault="007B705E" w:rsidP="0063039A">
            <w:pPr>
              <w:keepNext/>
              <w:rPr>
                <w:sz w:val="16"/>
                <w:szCs w:val="16"/>
                <w:lang w:bidi="th-TH"/>
              </w:rPr>
            </w:pPr>
            <w:r w:rsidRPr="00526311">
              <w:rPr>
                <w:i/>
                <w:sz w:val="16"/>
                <w:szCs w:val="16"/>
                <w:lang w:bidi="th-TH"/>
              </w:rPr>
              <w:t>Referencia original en el presupuesto de 2014/15</w:t>
            </w:r>
            <w:r w:rsidR="00F777B4" w:rsidRPr="00526311">
              <w:rPr>
                <w:i/>
                <w:color w:val="808080"/>
                <w:sz w:val="16"/>
                <w:szCs w:val="16"/>
                <w:lang w:bidi="th-TH"/>
              </w:rPr>
              <w:t xml:space="preserve">:  </w:t>
            </w:r>
            <w:r w:rsidR="00F777B4" w:rsidRPr="00526311">
              <w:rPr>
                <w:sz w:val="16"/>
                <w:szCs w:val="16"/>
                <w:lang w:bidi="th-TH"/>
              </w:rPr>
              <w:t>Aún no se ha iniciado</w:t>
            </w:r>
            <w:r w:rsidR="00F777B4" w:rsidRPr="00526311">
              <w:rPr>
                <w:color w:val="808080"/>
                <w:sz w:val="16"/>
                <w:szCs w:val="16"/>
                <w:lang w:bidi="th-TH"/>
              </w:rPr>
              <w:t>.</w:t>
            </w:r>
          </w:p>
          <w:p w:rsidR="00F777B4" w:rsidRPr="00526311" w:rsidRDefault="00F777B4" w:rsidP="0063039A">
            <w:pPr>
              <w:keepNext/>
              <w:rPr>
                <w:i/>
                <w:color w:val="002060"/>
                <w:sz w:val="16"/>
                <w:szCs w:val="16"/>
              </w:rPr>
            </w:pPr>
          </w:p>
        </w:tc>
        <w:tc>
          <w:tcPr>
            <w:tcW w:w="833" w:type="pct"/>
            <w:gridSpan w:val="2"/>
            <w:tcBorders>
              <w:top w:val="nil"/>
              <w:bottom w:val="nil"/>
            </w:tcBorders>
            <w:shd w:val="clear" w:color="auto" w:fill="auto"/>
            <w:tcMar>
              <w:top w:w="110" w:type="dxa"/>
            </w:tcMar>
          </w:tcPr>
          <w:p w:rsidR="00F777B4" w:rsidRPr="00526311" w:rsidRDefault="00F777B4" w:rsidP="0063039A">
            <w:pPr>
              <w:rPr>
                <w:sz w:val="16"/>
                <w:szCs w:val="16"/>
                <w:lang w:bidi="th-TH"/>
              </w:rPr>
            </w:pPr>
            <w:r w:rsidRPr="00526311">
              <w:rPr>
                <w:sz w:val="16"/>
                <w:szCs w:val="16"/>
                <w:lang w:bidi="th-TH"/>
              </w:rPr>
              <w:t>60%</w:t>
            </w:r>
          </w:p>
        </w:tc>
        <w:tc>
          <w:tcPr>
            <w:tcW w:w="1059" w:type="pct"/>
            <w:tcBorders>
              <w:top w:val="nil"/>
              <w:bottom w:val="nil"/>
            </w:tcBorders>
            <w:shd w:val="clear" w:color="auto" w:fill="FFFFFF"/>
            <w:tcMar>
              <w:top w:w="110" w:type="dxa"/>
            </w:tcMar>
          </w:tcPr>
          <w:p w:rsidR="00F777B4" w:rsidRPr="00526311" w:rsidRDefault="00F777B4" w:rsidP="0063039A">
            <w:pPr>
              <w:rPr>
                <w:sz w:val="16"/>
                <w:szCs w:val="16"/>
                <w:lang w:bidi="th-TH"/>
              </w:rPr>
            </w:pPr>
            <w:r w:rsidRPr="00526311">
              <w:rPr>
                <w:sz w:val="16"/>
                <w:szCs w:val="16"/>
                <w:lang w:bidi="th-TH"/>
              </w:rPr>
              <w:t>80%</w:t>
            </w:r>
          </w:p>
        </w:tc>
        <w:tc>
          <w:tcPr>
            <w:tcW w:w="604" w:type="pct"/>
            <w:gridSpan w:val="2"/>
            <w:tcBorders>
              <w:top w:val="nil"/>
              <w:bottom w:val="nil"/>
              <w:right w:val="single" w:sz="4" w:space="0" w:color="auto"/>
            </w:tcBorders>
            <w:shd w:val="clear" w:color="auto" w:fill="auto"/>
            <w:tcMar>
              <w:top w:w="110" w:type="dxa"/>
            </w:tcMar>
          </w:tcPr>
          <w:p w:rsidR="00F777B4" w:rsidRPr="00526311" w:rsidRDefault="00F777B4" w:rsidP="0063039A">
            <w:pPr>
              <w:ind w:left="-112" w:right="-104"/>
              <w:jc w:val="center"/>
              <w:rPr>
                <w:b/>
                <w:bCs/>
                <w:color w:val="808080" w:themeColor="background1" w:themeShade="80"/>
                <w:sz w:val="16"/>
                <w:szCs w:val="16"/>
              </w:rPr>
            </w:pPr>
            <w:r w:rsidRPr="00526311">
              <w:rPr>
                <w:b/>
                <w:bCs/>
                <w:color w:val="00B050"/>
                <w:sz w:val="16"/>
                <w:szCs w:val="16"/>
              </w:rPr>
              <w:t>Avanza</w:t>
            </w:r>
          </w:p>
        </w:tc>
      </w:tr>
      <w:tr w:rsidR="00F777B4" w:rsidRPr="00526311" w:rsidTr="004F7C21">
        <w:tc>
          <w:tcPr>
            <w:tcW w:w="1218" w:type="pct"/>
            <w:gridSpan w:val="2"/>
            <w:tcBorders>
              <w:top w:val="nil"/>
              <w:left w:val="single" w:sz="4" w:space="0" w:color="auto"/>
              <w:bottom w:val="nil"/>
            </w:tcBorders>
            <w:shd w:val="clear" w:color="auto" w:fill="auto"/>
          </w:tcPr>
          <w:p w:rsidR="00F777B4" w:rsidRPr="00526311" w:rsidRDefault="00F777B4" w:rsidP="0063039A">
            <w:pPr>
              <w:rPr>
                <w:sz w:val="16"/>
                <w:szCs w:val="16"/>
                <w:lang w:bidi="th-TH"/>
              </w:rPr>
            </w:pPr>
            <w:r w:rsidRPr="00526311">
              <w:rPr>
                <w:sz w:val="16"/>
                <w:szCs w:val="16"/>
                <w:lang w:bidi="th-TH"/>
              </w:rPr>
              <w:t>Porcentaje de participantes en reuniones y talleres de creación de capacidad sobre cuestiones de derecho de autor que expresaron satisfacción al respecto.</w:t>
            </w:r>
          </w:p>
        </w:tc>
        <w:tc>
          <w:tcPr>
            <w:tcW w:w="1287" w:type="pct"/>
            <w:tcBorders>
              <w:top w:val="nil"/>
              <w:bottom w:val="nil"/>
            </w:tcBorders>
            <w:shd w:val="clear" w:color="auto" w:fill="auto"/>
          </w:tcPr>
          <w:p w:rsidR="00F777B4" w:rsidRPr="00526311" w:rsidRDefault="00F777B4" w:rsidP="0063039A">
            <w:pPr>
              <w:keepNext/>
              <w:rPr>
                <w:i/>
                <w:color w:val="002060"/>
                <w:sz w:val="16"/>
                <w:szCs w:val="16"/>
              </w:rPr>
            </w:pPr>
            <w:r w:rsidRPr="00526311">
              <w:rPr>
                <w:i/>
                <w:color w:val="002060"/>
                <w:sz w:val="16"/>
                <w:szCs w:val="16"/>
              </w:rPr>
              <w:t xml:space="preserve">Referencia actualizada a fines de 2013:  </w:t>
            </w:r>
            <w:r w:rsidRPr="00526311">
              <w:rPr>
                <w:color w:val="002060"/>
                <w:sz w:val="16"/>
                <w:szCs w:val="16"/>
              </w:rPr>
              <w:t>Más del 80% de los participantes en programas de fortalecimiento de capacidades en materia de derecho de autor y derechos conexos calificaron de útil la formación recibida.</w:t>
            </w:r>
          </w:p>
          <w:p w:rsidR="00F777B4" w:rsidRPr="00526311" w:rsidRDefault="00F777B4" w:rsidP="0063039A">
            <w:pPr>
              <w:keepNext/>
              <w:rPr>
                <w:i/>
                <w:sz w:val="8"/>
                <w:szCs w:val="8"/>
                <w:lang w:bidi="th-TH"/>
              </w:rPr>
            </w:pPr>
          </w:p>
          <w:p w:rsidR="00F777B4" w:rsidRPr="00526311" w:rsidRDefault="007B705E" w:rsidP="0063039A">
            <w:pPr>
              <w:keepNext/>
              <w:rPr>
                <w:i/>
                <w:color w:val="002060"/>
                <w:sz w:val="16"/>
                <w:szCs w:val="16"/>
              </w:rPr>
            </w:pPr>
            <w:r w:rsidRPr="00526311">
              <w:rPr>
                <w:i/>
                <w:sz w:val="16"/>
                <w:szCs w:val="16"/>
                <w:lang w:bidi="th-TH"/>
              </w:rPr>
              <w:t>Referencia original en el presupuesto de 2014/15</w:t>
            </w:r>
            <w:r w:rsidR="00F777B4" w:rsidRPr="00526311">
              <w:rPr>
                <w:i/>
                <w:sz w:val="16"/>
                <w:szCs w:val="16"/>
                <w:lang w:bidi="th-TH"/>
              </w:rPr>
              <w:t xml:space="preserve">: </w:t>
            </w:r>
            <w:r w:rsidR="00F777B4" w:rsidRPr="00526311">
              <w:rPr>
                <w:sz w:val="16"/>
                <w:szCs w:val="16"/>
                <w:lang w:bidi="th-TH"/>
              </w:rPr>
              <w:t xml:space="preserve"> Índice de satisfacción del 70%</w:t>
            </w:r>
          </w:p>
        </w:tc>
        <w:tc>
          <w:tcPr>
            <w:tcW w:w="833" w:type="pct"/>
            <w:gridSpan w:val="2"/>
            <w:tcBorders>
              <w:top w:val="nil"/>
              <w:bottom w:val="nil"/>
            </w:tcBorders>
            <w:shd w:val="clear" w:color="auto" w:fill="auto"/>
            <w:tcMar>
              <w:top w:w="110" w:type="dxa"/>
            </w:tcMar>
          </w:tcPr>
          <w:p w:rsidR="00F777B4" w:rsidRPr="00526311" w:rsidRDefault="00F777B4" w:rsidP="0063039A">
            <w:pPr>
              <w:rPr>
                <w:sz w:val="16"/>
                <w:szCs w:val="16"/>
                <w:lang w:bidi="th-TH"/>
              </w:rPr>
            </w:pPr>
            <w:r w:rsidRPr="00526311">
              <w:rPr>
                <w:sz w:val="16"/>
                <w:szCs w:val="16"/>
                <w:lang w:bidi="th-TH"/>
              </w:rPr>
              <w:t>70% de acuerdo o completamente de acuerdo</w:t>
            </w:r>
            <w:r w:rsidRPr="00526311">
              <w:rPr>
                <w:color w:val="808080"/>
                <w:sz w:val="16"/>
                <w:szCs w:val="16"/>
                <w:lang w:bidi="th-TH"/>
              </w:rPr>
              <w:t>.</w:t>
            </w:r>
          </w:p>
        </w:tc>
        <w:tc>
          <w:tcPr>
            <w:tcW w:w="1059" w:type="pct"/>
            <w:tcBorders>
              <w:top w:val="nil"/>
              <w:bottom w:val="nil"/>
            </w:tcBorders>
            <w:shd w:val="clear" w:color="auto" w:fill="FFFFFF"/>
            <w:tcMar>
              <w:top w:w="110" w:type="dxa"/>
            </w:tcMar>
          </w:tcPr>
          <w:p w:rsidR="00F777B4" w:rsidRPr="00526311" w:rsidRDefault="00F777B4" w:rsidP="0063039A">
            <w:pPr>
              <w:rPr>
                <w:sz w:val="16"/>
                <w:szCs w:val="16"/>
                <w:lang w:bidi="th-TH"/>
              </w:rPr>
            </w:pPr>
            <w:r w:rsidRPr="00526311">
              <w:rPr>
                <w:sz w:val="16"/>
                <w:szCs w:val="16"/>
                <w:lang w:bidi="th-TH"/>
              </w:rPr>
              <w:t xml:space="preserve">Más del 80%  </w:t>
            </w:r>
          </w:p>
        </w:tc>
        <w:tc>
          <w:tcPr>
            <w:tcW w:w="604" w:type="pct"/>
            <w:gridSpan w:val="2"/>
            <w:tcBorders>
              <w:top w:val="nil"/>
              <w:bottom w:val="nil"/>
              <w:right w:val="single" w:sz="4" w:space="0" w:color="auto"/>
            </w:tcBorders>
            <w:shd w:val="clear" w:color="auto" w:fill="auto"/>
            <w:tcMar>
              <w:top w:w="110" w:type="dxa"/>
            </w:tcMar>
          </w:tcPr>
          <w:p w:rsidR="00F777B4" w:rsidRPr="00526311" w:rsidRDefault="00F777B4" w:rsidP="0063039A">
            <w:pPr>
              <w:ind w:left="-112" w:right="-104"/>
              <w:jc w:val="center"/>
              <w:rPr>
                <w:b/>
                <w:bCs/>
                <w:color w:val="00B050"/>
                <w:sz w:val="16"/>
                <w:szCs w:val="16"/>
              </w:rPr>
            </w:pPr>
            <w:r w:rsidRPr="00526311">
              <w:rPr>
                <w:b/>
                <w:bCs/>
                <w:color w:val="00B050"/>
                <w:sz w:val="16"/>
                <w:szCs w:val="16"/>
              </w:rPr>
              <w:t>Avanza</w:t>
            </w:r>
          </w:p>
        </w:tc>
      </w:tr>
      <w:tr w:rsidR="00F777B4" w:rsidRPr="00526311" w:rsidTr="004F7C21">
        <w:tc>
          <w:tcPr>
            <w:tcW w:w="1218" w:type="pct"/>
            <w:gridSpan w:val="2"/>
            <w:tcBorders>
              <w:top w:val="nil"/>
              <w:left w:val="single" w:sz="4" w:space="0" w:color="auto"/>
              <w:bottom w:val="single" w:sz="4" w:space="0" w:color="auto"/>
            </w:tcBorders>
            <w:shd w:val="clear" w:color="auto" w:fill="auto"/>
          </w:tcPr>
          <w:p w:rsidR="00F777B4" w:rsidRPr="00526311" w:rsidRDefault="00F777B4" w:rsidP="00BA23FA">
            <w:pPr>
              <w:rPr>
                <w:sz w:val="16"/>
                <w:szCs w:val="16"/>
                <w:lang w:bidi="th-TH"/>
              </w:rPr>
            </w:pPr>
            <w:r w:rsidRPr="00526311">
              <w:rPr>
                <w:sz w:val="16"/>
                <w:szCs w:val="16"/>
                <w:lang w:bidi="th-TH"/>
              </w:rPr>
              <w:t>N</w:t>
            </w:r>
            <w:r w:rsidR="00BA23FA" w:rsidRPr="00526311">
              <w:rPr>
                <w:sz w:val="16"/>
                <w:szCs w:val="16"/>
                <w:lang w:bidi="th-TH"/>
              </w:rPr>
              <w:t>º</w:t>
            </w:r>
            <w:r w:rsidRPr="00526311">
              <w:rPr>
                <w:sz w:val="16"/>
                <w:szCs w:val="16"/>
                <w:lang w:bidi="th-TH"/>
              </w:rPr>
              <w:t xml:space="preserve"> de Estados miembros que toman iniciativas para mejorar el uso del sistema de derecho de autor</w:t>
            </w:r>
            <w:r w:rsidR="00BA23FA" w:rsidRPr="00526311">
              <w:rPr>
                <w:sz w:val="16"/>
                <w:szCs w:val="16"/>
                <w:lang w:bidi="th-TH"/>
              </w:rPr>
              <w:t xml:space="preserve"> y derechos conexos</w:t>
            </w:r>
            <w:r w:rsidRPr="00526311">
              <w:rPr>
                <w:sz w:val="16"/>
                <w:szCs w:val="16"/>
                <w:lang w:bidi="th-TH"/>
              </w:rPr>
              <w:t xml:space="preserve"> a fin de explotar el potencial económico de sus obras y productos culturales.</w:t>
            </w:r>
          </w:p>
        </w:tc>
        <w:tc>
          <w:tcPr>
            <w:tcW w:w="1287" w:type="pct"/>
            <w:tcBorders>
              <w:top w:val="nil"/>
              <w:bottom w:val="single" w:sz="4" w:space="0" w:color="auto"/>
            </w:tcBorders>
            <w:shd w:val="clear" w:color="auto" w:fill="auto"/>
          </w:tcPr>
          <w:p w:rsidR="00F777B4" w:rsidRPr="00526311" w:rsidRDefault="00F777B4" w:rsidP="0063039A">
            <w:pPr>
              <w:keepNext/>
              <w:rPr>
                <w:i/>
                <w:color w:val="002060"/>
                <w:sz w:val="16"/>
                <w:szCs w:val="16"/>
              </w:rPr>
            </w:pPr>
            <w:r w:rsidRPr="00526311">
              <w:rPr>
                <w:i/>
                <w:color w:val="002060"/>
                <w:sz w:val="16"/>
                <w:szCs w:val="16"/>
              </w:rPr>
              <w:t xml:space="preserve">Referencia actualizada a fines de 2013:  </w:t>
            </w:r>
            <w:r w:rsidRPr="00526311">
              <w:rPr>
                <w:color w:val="002060"/>
                <w:sz w:val="16"/>
                <w:szCs w:val="16"/>
              </w:rPr>
              <w:t>60% de países que recibieron asistencia</w:t>
            </w:r>
            <w:r w:rsidRPr="00526311">
              <w:rPr>
                <w:i/>
                <w:color w:val="002060"/>
                <w:sz w:val="16"/>
                <w:szCs w:val="16"/>
              </w:rPr>
              <w:t xml:space="preserve"> </w:t>
            </w:r>
          </w:p>
          <w:p w:rsidR="00F777B4" w:rsidRPr="00526311" w:rsidRDefault="00F777B4" w:rsidP="0063039A">
            <w:pPr>
              <w:keepNext/>
              <w:rPr>
                <w:i/>
                <w:sz w:val="8"/>
                <w:szCs w:val="8"/>
                <w:lang w:bidi="th-TH"/>
              </w:rPr>
            </w:pPr>
          </w:p>
          <w:p w:rsidR="00F777B4" w:rsidRPr="00526311" w:rsidRDefault="007B705E" w:rsidP="0063039A">
            <w:pPr>
              <w:keepNext/>
              <w:rPr>
                <w:i/>
                <w:color w:val="002060"/>
                <w:sz w:val="16"/>
                <w:szCs w:val="16"/>
              </w:rPr>
            </w:pPr>
            <w:r w:rsidRPr="00526311">
              <w:rPr>
                <w:i/>
                <w:sz w:val="16"/>
                <w:szCs w:val="16"/>
                <w:lang w:bidi="th-TH"/>
              </w:rPr>
              <w:t>Referencia original en el presupuesto de 2014/15</w:t>
            </w:r>
            <w:r w:rsidR="00F777B4" w:rsidRPr="00526311">
              <w:rPr>
                <w:i/>
                <w:sz w:val="16"/>
                <w:szCs w:val="16"/>
                <w:lang w:bidi="th-TH"/>
              </w:rPr>
              <w:t xml:space="preserve">: </w:t>
            </w:r>
            <w:r w:rsidR="00F777B4" w:rsidRPr="00526311">
              <w:rPr>
                <w:sz w:val="16"/>
                <w:szCs w:val="16"/>
                <w:lang w:bidi="th-TH"/>
              </w:rPr>
              <w:t xml:space="preserve"> 60% de países que solicitaron asistencia técnica</w:t>
            </w:r>
            <w:r w:rsidR="00F777B4" w:rsidRPr="00526311">
              <w:rPr>
                <w:sz w:val="16"/>
                <w:szCs w:val="16"/>
                <w:lang w:bidi="th-TH"/>
              </w:rPr>
              <w:br/>
            </w:r>
          </w:p>
        </w:tc>
        <w:tc>
          <w:tcPr>
            <w:tcW w:w="833" w:type="pct"/>
            <w:gridSpan w:val="2"/>
            <w:tcBorders>
              <w:top w:val="nil"/>
              <w:bottom w:val="single" w:sz="4" w:space="0" w:color="auto"/>
            </w:tcBorders>
            <w:shd w:val="clear" w:color="auto" w:fill="auto"/>
            <w:tcMar>
              <w:top w:w="110" w:type="dxa"/>
            </w:tcMar>
          </w:tcPr>
          <w:p w:rsidR="00F777B4" w:rsidRPr="00526311" w:rsidRDefault="00F777B4" w:rsidP="0063039A">
            <w:pPr>
              <w:rPr>
                <w:sz w:val="16"/>
                <w:szCs w:val="16"/>
                <w:lang w:bidi="th-TH"/>
              </w:rPr>
            </w:pPr>
            <w:r w:rsidRPr="00526311">
              <w:rPr>
                <w:sz w:val="16"/>
                <w:szCs w:val="16"/>
                <w:lang w:bidi="th-TH"/>
              </w:rPr>
              <w:t>El 60% de los países que recibieron asistencia técnica.</w:t>
            </w:r>
          </w:p>
        </w:tc>
        <w:tc>
          <w:tcPr>
            <w:tcW w:w="1059" w:type="pct"/>
            <w:tcBorders>
              <w:top w:val="nil"/>
              <w:bottom w:val="single" w:sz="4" w:space="0" w:color="auto"/>
            </w:tcBorders>
            <w:shd w:val="clear" w:color="auto" w:fill="FFFFFF"/>
            <w:tcMar>
              <w:top w:w="110" w:type="dxa"/>
            </w:tcMar>
          </w:tcPr>
          <w:p w:rsidR="00F777B4" w:rsidRPr="00526311" w:rsidRDefault="00F777B4" w:rsidP="0063039A">
            <w:pPr>
              <w:rPr>
                <w:sz w:val="16"/>
                <w:szCs w:val="16"/>
                <w:lang w:bidi="th-TH"/>
              </w:rPr>
            </w:pPr>
            <w:r w:rsidRPr="00526311">
              <w:rPr>
                <w:sz w:val="16"/>
                <w:szCs w:val="16"/>
                <w:lang w:bidi="th-TH"/>
              </w:rPr>
              <w:t>Más del 60%</w:t>
            </w:r>
          </w:p>
        </w:tc>
        <w:tc>
          <w:tcPr>
            <w:tcW w:w="604" w:type="pct"/>
            <w:gridSpan w:val="2"/>
            <w:tcBorders>
              <w:top w:val="nil"/>
              <w:bottom w:val="single" w:sz="4" w:space="0" w:color="auto"/>
              <w:right w:val="single" w:sz="4" w:space="0" w:color="auto"/>
            </w:tcBorders>
            <w:shd w:val="clear" w:color="auto" w:fill="auto"/>
            <w:tcMar>
              <w:top w:w="110" w:type="dxa"/>
            </w:tcMar>
          </w:tcPr>
          <w:p w:rsidR="00F777B4" w:rsidRPr="00526311" w:rsidRDefault="00F777B4" w:rsidP="0063039A">
            <w:pPr>
              <w:ind w:left="-112" w:right="-104"/>
              <w:jc w:val="center"/>
              <w:rPr>
                <w:b/>
                <w:bCs/>
                <w:sz w:val="16"/>
                <w:szCs w:val="16"/>
              </w:rPr>
            </w:pPr>
            <w:r w:rsidRPr="00526311">
              <w:rPr>
                <w:b/>
                <w:bCs/>
                <w:color w:val="00B050"/>
                <w:sz w:val="16"/>
                <w:szCs w:val="16"/>
              </w:rPr>
              <w:t>Avanza</w:t>
            </w:r>
          </w:p>
        </w:tc>
      </w:tr>
      <w:tr w:rsidR="00F777B4" w:rsidRPr="00526311" w:rsidTr="0063039A">
        <w:trPr>
          <w:trHeight w:val="526"/>
        </w:trPr>
        <w:tc>
          <w:tcPr>
            <w:tcW w:w="5000" w:type="pct"/>
            <w:gridSpan w:val="8"/>
            <w:tcBorders>
              <w:top w:val="single" w:sz="4" w:space="0" w:color="auto"/>
              <w:bottom w:val="single" w:sz="4" w:space="0" w:color="auto"/>
            </w:tcBorders>
            <w:shd w:val="clear" w:color="auto" w:fill="CCFFFF"/>
            <w:vAlign w:val="center"/>
          </w:tcPr>
          <w:p w:rsidR="00F777B4" w:rsidRPr="00526311" w:rsidRDefault="00F777B4" w:rsidP="0063039A">
            <w:pPr>
              <w:keepNext/>
              <w:keepLines/>
              <w:tabs>
                <w:tab w:val="left" w:pos="1452"/>
              </w:tabs>
              <w:ind w:left="1701" w:hanging="1701"/>
              <w:rPr>
                <w:b/>
                <w:bCs/>
                <w:sz w:val="16"/>
                <w:szCs w:val="16"/>
              </w:rPr>
            </w:pPr>
            <w:r w:rsidRPr="00526311">
              <w:rPr>
                <w:b/>
                <w:bCs/>
                <w:sz w:val="16"/>
                <w:szCs w:val="16"/>
              </w:rPr>
              <w:t>Resultado previsto:</w:t>
            </w:r>
            <w:r w:rsidRPr="00526311">
              <w:rPr>
                <w:bCs/>
                <w:sz w:val="16"/>
                <w:szCs w:val="16"/>
              </w:rPr>
              <w:tab/>
              <w:t>IV.2 Mejora del acceso y uso de información de P.I. por parte de instituciones de P.I. y el público para fomentar la innovación y la creatividad</w:t>
            </w:r>
          </w:p>
        </w:tc>
      </w:tr>
      <w:tr w:rsidR="00F777B4" w:rsidRPr="00526311" w:rsidTr="004F7C21">
        <w:tc>
          <w:tcPr>
            <w:tcW w:w="1218" w:type="pct"/>
            <w:gridSpan w:val="2"/>
            <w:tcBorders>
              <w:top w:val="single" w:sz="4" w:space="0" w:color="auto"/>
              <w:left w:val="single" w:sz="4" w:space="0" w:color="auto"/>
              <w:bottom w:val="nil"/>
            </w:tcBorders>
            <w:shd w:val="clear" w:color="auto" w:fill="auto"/>
            <w:vAlign w:val="center"/>
          </w:tcPr>
          <w:p w:rsidR="00F777B4" w:rsidRPr="00526311" w:rsidRDefault="00F777B4" w:rsidP="0063039A">
            <w:pPr>
              <w:keepNext/>
              <w:keepLines/>
              <w:rPr>
                <w:sz w:val="16"/>
                <w:szCs w:val="16"/>
              </w:rPr>
            </w:pPr>
            <w:r w:rsidRPr="00526311">
              <w:rPr>
                <w:b/>
                <w:sz w:val="16"/>
                <w:szCs w:val="16"/>
              </w:rPr>
              <w:t>Indicadores de rendimiento</w:t>
            </w:r>
          </w:p>
        </w:tc>
        <w:tc>
          <w:tcPr>
            <w:tcW w:w="1287" w:type="pct"/>
            <w:tcBorders>
              <w:top w:val="single" w:sz="4" w:space="0" w:color="auto"/>
              <w:bottom w:val="nil"/>
            </w:tcBorders>
            <w:shd w:val="clear" w:color="auto" w:fill="auto"/>
            <w:vAlign w:val="center"/>
          </w:tcPr>
          <w:p w:rsidR="00F777B4" w:rsidRPr="00526311" w:rsidRDefault="00F777B4" w:rsidP="0063039A">
            <w:pPr>
              <w:keepNext/>
              <w:keepLines/>
              <w:rPr>
                <w:b/>
                <w:bCs/>
                <w:sz w:val="16"/>
                <w:szCs w:val="16"/>
              </w:rPr>
            </w:pPr>
            <w:r w:rsidRPr="00526311">
              <w:rPr>
                <w:b/>
                <w:bCs/>
                <w:sz w:val="16"/>
                <w:szCs w:val="16"/>
              </w:rPr>
              <w:t>Referencia</w:t>
            </w:r>
          </w:p>
        </w:tc>
        <w:tc>
          <w:tcPr>
            <w:tcW w:w="676" w:type="pct"/>
            <w:tcBorders>
              <w:top w:val="single" w:sz="4" w:space="0" w:color="auto"/>
              <w:bottom w:val="nil"/>
            </w:tcBorders>
            <w:shd w:val="clear" w:color="auto" w:fill="auto"/>
            <w:tcMar>
              <w:top w:w="110" w:type="dxa"/>
            </w:tcMar>
            <w:vAlign w:val="center"/>
          </w:tcPr>
          <w:p w:rsidR="00F777B4" w:rsidRPr="00526311" w:rsidRDefault="00F777B4" w:rsidP="0063039A">
            <w:pPr>
              <w:keepNext/>
              <w:keepLines/>
              <w:rPr>
                <w:b/>
                <w:sz w:val="16"/>
                <w:szCs w:val="16"/>
              </w:rPr>
            </w:pPr>
            <w:r w:rsidRPr="00526311">
              <w:rPr>
                <w:b/>
                <w:sz w:val="16"/>
                <w:szCs w:val="16"/>
              </w:rPr>
              <w:t>Objetivos</w:t>
            </w:r>
          </w:p>
        </w:tc>
        <w:tc>
          <w:tcPr>
            <w:tcW w:w="1216" w:type="pct"/>
            <w:gridSpan w:val="2"/>
            <w:tcBorders>
              <w:top w:val="single" w:sz="4" w:space="0" w:color="auto"/>
              <w:bottom w:val="nil"/>
            </w:tcBorders>
            <w:shd w:val="clear" w:color="auto" w:fill="FFFFFF"/>
            <w:tcMar>
              <w:top w:w="110" w:type="dxa"/>
            </w:tcMar>
            <w:vAlign w:val="center"/>
          </w:tcPr>
          <w:p w:rsidR="00F777B4" w:rsidRPr="00526311" w:rsidRDefault="00F777B4" w:rsidP="0063039A">
            <w:pPr>
              <w:keepNext/>
              <w:keepLines/>
              <w:rPr>
                <w:sz w:val="16"/>
                <w:szCs w:val="16"/>
              </w:rPr>
            </w:pPr>
            <w:r w:rsidRPr="00526311">
              <w:rPr>
                <w:b/>
                <w:sz w:val="16"/>
                <w:szCs w:val="16"/>
              </w:rPr>
              <w:t>Datos sobre el rendimiento</w:t>
            </w:r>
          </w:p>
        </w:tc>
        <w:tc>
          <w:tcPr>
            <w:tcW w:w="604" w:type="pct"/>
            <w:gridSpan w:val="2"/>
            <w:tcBorders>
              <w:top w:val="single" w:sz="4" w:space="0" w:color="auto"/>
              <w:bottom w:val="nil"/>
              <w:right w:val="single" w:sz="4" w:space="0" w:color="auto"/>
            </w:tcBorders>
            <w:shd w:val="clear" w:color="auto" w:fill="auto"/>
            <w:tcMar>
              <w:top w:w="110" w:type="dxa"/>
            </w:tcMar>
            <w:vAlign w:val="center"/>
          </w:tcPr>
          <w:p w:rsidR="00F777B4" w:rsidRPr="00526311" w:rsidRDefault="00F777B4" w:rsidP="0063039A">
            <w:pPr>
              <w:keepNext/>
              <w:keepLines/>
              <w:jc w:val="center"/>
              <w:rPr>
                <w:b/>
                <w:bCs/>
                <w:sz w:val="16"/>
                <w:szCs w:val="16"/>
              </w:rPr>
            </w:pPr>
            <w:r w:rsidRPr="00526311">
              <w:rPr>
                <w:b/>
                <w:bCs/>
                <w:sz w:val="16"/>
                <w:szCs w:val="16"/>
              </w:rPr>
              <w:t>Clave de colores</w:t>
            </w:r>
          </w:p>
        </w:tc>
      </w:tr>
      <w:tr w:rsidR="00F777B4" w:rsidRPr="00526311" w:rsidTr="004F7C21">
        <w:tc>
          <w:tcPr>
            <w:tcW w:w="1218" w:type="pct"/>
            <w:gridSpan w:val="2"/>
            <w:tcBorders>
              <w:top w:val="nil"/>
              <w:left w:val="single" w:sz="4" w:space="0" w:color="auto"/>
              <w:bottom w:val="single" w:sz="4" w:space="0" w:color="auto"/>
            </w:tcBorders>
            <w:shd w:val="clear" w:color="auto" w:fill="auto"/>
          </w:tcPr>
          <w:p w:rsidR="00F777B4" w:rsidRPr="00526311" w:rsidRDefault="00F777B4" w:rsidP="0063039A">
            <w:pPr>
              <w:rPr>
                <w:sz w:val="16"/>
                <w:szCs w:val="16"/>
                <w:lang w:bidi="th-TH"/>
              </w:rPr>
            </w:pPr>
            <w:r w:rsidRPr="00526311">
              <w:rPr>
                <w:sz w:val="16"/>
                <w:szCs w:val="16"/>
                <w:lang w:bidi="th-TH"/>
              </w:rPr>
              <w:t>Número de intermediarios de confianza y titulares de derechos que se han adherido a la red de sistemas TIGAR, incluidos los procedentes de países en desarrollo y PMA.</w:t>
            </w:r>
          </w:p>
          <w:p w:rsidR="00F777B4" w:rsidRPr="00526311" w:rsidRDefault="00F777B4" w:rsidP="0063039A">
            <w:pPr>
              <w:rPr>
                <w:color w:val="000000"/>
                <w:sz w:val="16"/>
                <w:szCs w:val="16"/>
                <w:lang w:bidi="th-TH"/>
              </w:rPr>
            </w:pPr>
          </w:p>
        </w:tc>
        <w:tc>
          <w:tcPr>
            <w:tcW w:w="1287" w:type="pct"/>
            <w:tcBorders>
              <w:top w:val="nil"/>
              <w:bottom w:val="single" w:sz="4" w:space="0" w:color="auto"/>
            </w:tcBorders>
            <w:shd w:val="clear" w:color="auto" w:fill="auto"/>
          </w:tcPr>
          <w:p w:rsidR="00F777B4" w:rsidRPr="00526311" w:rsidRDefault="00F777B4" w:rsidP="0063039A">
            <w:pPr>
              <w:keepNext/>
              <w:rPr>
                <w:i/>
                <w:color w:val="002060"/>
                <w:sz w:val="16"/>
                <w:szCs w:val="16"/>
              </w:rPr>
            </w:pPr>
            <w:r w:rsidRPr="00526311">
              <w:rPr>
                <w:i/>
                <w:color w:val="002060"/>
                <w:sz w:val="16"/>
                <w:szCs w:val="16"/>
              </w:rPr>
              <w:t xml:space="preserve">Referencia actualizada a fines de 2013: </w:t>
            </w:r>
            <w:r w:rsidRPr="00526311">
              <w:rPr>
                <w:color w:val="002060"/>
                <w:sz w:val="16"/>
                <w:szCs w:val="16"/>
              </w:rPr>
              <w:t>Para finales de 2013, 25 intermediarios de confianza y 45 titulares de derechos habían firmado el memorando de entendimiento del proyecto TIGAR, incluyendo intermediarios de confianza procedentes de países en desarrollo y países menos adelantados.  A fines de 2013, 11 intermediarios de confianza habían cargado sus títulos en formato accesible en la base de datos del proyecto TIGAR.</w:t>
            </w:r>
          </w:p>
          <w:p w:rsidR="00F777B4" w:rsidRPr="00526311" w:rsidRDefault="00F777B4" w:rsidP="0063039A">
            <w:pPr>
              <w:keepNext/>
              <w:rPr>
                <w:i/>
                <w:sz w:val="16"/>
                <w:szCs w:val="16"/>
                <w:lang w:bidi="th-TH"/>
              </w:rPr>
            </w:pPr>
          </w:p>
          <w:p w:rsidR="00F777B4" w:rsidRPr="00526311" w:rsidRDefault="007B705E" w:rsidP="0063039A">
            <w:pPr>
              <w:rPr>
                <w:sz w:val="16"/>
                <w:szCs w:val="16"/>
                <w:lang w:bidi="th-TH"/>
              </w:rPr>
            </w:pPr>
            <w:r w:rsidRPr="00526311">
              <w:rPr>
                <w:i/>
                <w:sz w:val="16"/>
                <w:szCs w:val="16"/>
                <w:lang w:bidi="th-TH"/>
              </w:rPr>
              <w:t>Referencia original en el presupuesto de 2014/15</w:t>
            </w:r>
            <w:r w:rsidR="00F777B4" w:rsidRPr="00526311">
              <w:rPr>
                <w:i/>
                <w:sz w:val="16"/>
                <w:szCs w:val="16"/>
                <w:lang w:bidi="th-TH"/>
              </w:rPr>
              <w:t xml:space="preserve">: </w:t>
            </w:r>
            <w:r w:rsidR="00F777B4" w:rsidRPr="00526311">
              <w:rPr>
                <w:sz w:val="16"/>
                <w:szCs w:val="16"/>
                <w:lang w:bidi="th-TH"/>
              </w:rPr>
              <w:t xml:space="preserve"> 19 intermediarios de confianza y 40 titulares de derechos</w:t>
            </w:r>
          </w:p>
          <w:p w:rsidR="00F777B4" w:rsidRPr="00526311" w:rsidRDefault="00F777B4" w:rsidP="0063039A">
            <w:pPr>
              <w:rPr>
                <w:sz w:val="16"/>
                <w:szCs w:val="16"/>
                <w:lang w:bidi="th-TH"/>
              </w:rPr>
            </w:pPr>
          </w:p>
        </w:tc>
        <w:tc>
          <w:tcPr>
            <w:tcW w:w="676" w:type="pct"/>
            <w:tcBorders>
              <w:top w:val="nil"/>
              <w:bottom w:val="single" w:sz="4" w:space="0" w:color="auto"/>
            </w:tcBorders>
            <w:shd w:val="clear" w:color="auto" w:fill="auto"/>
            <w:tcMar>
              <w:top w:w="110" w:type="dxa"/>
            </w:tcMar>
          </w:tcPr>
          <w:p w:rsidR="00F777B4" w:rsidRPr="00526311" w:rsidRDefault="00F777B4" w:rsidP="0063039A">
            <w:pPr>
              <w:autoSpaceDE w:val="0"/>
              <w:autoSpaceDN w:val="0"/>
              <w:adjustRightInd w:val="0"/>
              <w:rPr>
                <w:sz w:val="16"/>
                <w:szCs w:val="16"/>
              </w:rPr>
            </w:pPr>
            <w:r w:rsidRPr="00526311">
              <w:rPr>
                <w:sz w:val="16"/>
                <w:szCs w:val="16"/>
              </w:rPr>
              <w:t>24 intermediarios de confianza y 46 titulares de derechos (en total)</w:t>
            </w: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tc>
        <w:tc>
          <w:tcPr>
            <w:tcW w:w="1216" w:type="pct"/>
            <w:gridSpan w:val="2"/>
            <w:tcBorders>
              <w:top w:val="nil"/>
              <w:bottom w:val="single" w:sz="4" w:space="0" w:color="auto"/>
            </w:tcBorders>
            <w:shd w:val="clear" w:color="auto" w:fill="FFFFFF"/>
            <w:tcMar>
              <w:top w:w="110" w:type="dxa"/>
            </w:tcMar>
          </w:tcPr>
          <w:p w:rsidR="00F777B4" w:rsidRPr="00526311" w:rsidRDefault="00F777B4" w:rsidP="0063039A">
            <w:pPr>
              <w:rPr>
                <w:sz w:val="16"/>
                <w:szCs w:val="16"/>
                <w:lang w:bidi="th-TH"/>
              </w:rPr>
            </w:pPr>
            <w:r w:rsidRPr="00526311">
              <w:rPr>
                <w:sz w:val="16"/>
                <w:szCs w:val="16"/>
                <w:lang w:bidi="th-TH"/>
              </w:rPr>
              <w:t>La plataforma de sectores interesados se ha trasladado al Consorcio de Libros Accesibles (ABC).</w:t>
            </w: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tc>
        <w:tc>
          <w:tcPr>
            <w:tcW w:w="604" w:type="pct"/>
            <w:gridSpan w:val="2"/>
            <w:tcBorders>
              <w:top w:val="nil"/>
              <w:bottom w:val="single" w:sz="4" w:space="0" w:color="auto"/>
              <w:right w:val="single" w:sz="4" w:space="0" w:color="auto"/>
            </w:tcBorders>
            <w:shd w:val="clear" w:color="auto" w:fill="auto"/>
            <w:tcMar>
              <w:top w:w="110" w:type="dxa"/>
            </w:tcMar>
          </w:tcPr>
          <w:p w:rsidR="00F777B4" w:rsidRPr="00526311" w:rsidRDefault="00F777B4" w:rsidP="0063039A">
            <w:pPr>
              <w:jc w:val="center"/>
              <w:rPr>
                <w:b/>
                <w:bCs/>
                <w:sz w:val="13"/>
                <w:szCs w:val="13"/>
              </w:rPr>
            </w:pPr>
            <w:r w:rsidRPr="00526311">
              <w:rPr>
                <w:b/>
                <w:bCs/>
                <w:sz w:val="13"/>
                <w:szCs w:val="13"/>
              </w:rPr>
              <w:t>Discontinuado</w:t>
            </w: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rPr>
                <w:b/>
                <w:bCs/>
                <w:color w:val="808080" w:themeColor="background1" w:themeShade="80"/>
                <w:sz w:val="16"/>
                <w:szCs w:val="16"/>
              </w:rPr>
            </w:pPr>
          </w:p>
        </w:tc>
      </w:tr>
      <w:tr w:rsidR="00F777B4" w:rsidRPr="00526311" w:rsidTr="004F7C21">
        <w:tc>
          <w:tcPr>
            <w:tcW w:w="1218" w:type="pct"/>
            <w:gridSpan w:val="2"/>
            <w:tcBorders>
              <w:top w:val="single" w:sz="4" w:space="0" w:color="auto"/>
              <w:left w:val="single" w:sz="4" w:space="0" w:color="auto"/>
              <w:bottom w:val="nil"/>
            </w:tcBorders>
            <w:shd w:val="clear" w:color="auto" w:fill="auto"/>
            <w:vAlign w:val="center"/>
          </w:tcPr>
          <w:p w:rsidR="00F777B4" w:rsidRPr="00526311" w:rsidRDefault="00F777B4" w:rsidP="0063039A">
            <w:pPr>
              <w:keepNext/>
              <w:keepLines/>
              <w:rPr>
                <w:sz w:val="16"/>
                <w:szCs w:val="16"/>
              </w:rPr>
            </w:pPr>
            <w:r w:rsidRPr="00526311">
              <w:rPr>
                <w:b/>
                <w:sz w:val="16"/>
                <w:szCs w:val="16"/>
              </w:rPr>
              <w:lastRenderedPageBreak/>
              <w:t>Indicadores de rendimiento</w:t>
            </w:r>
          </w:p>
        </w:tc>
        <w:tc>
          <w:tcPr>
            <w:tcW w:w="1287" w:type="pct"/>
            <w:tcBorders>
              <w:top w:val="single" w:sz="4" w:space="0" w:color="auto"/>
              <w:bottom w:val="nil"/>
            </w:tcBorders>
            <w:shd w:val="clear" w:color="auto" w:fill="auto"/>
            <w:vAlign w:val="center"/>
          </w:tcPr>
          <w:p w:rsidR="00F777B4" w:rsidRPr="00526311" w:rsidRDefault="00F777B4" w:rsidP="0063039A">
            <w:pPr>
              <w:keepNext/>
              <w:keepLines/>
              <w:rPr>
                <w:b/>
                <w:bCs/>
                <w:sz w:val="16"/>
                <w:szCs w:val="16"/>
              </w:rPr>
            </w:pPr>
            <w:r w:rsidRPr="00526311">
              <w:rPr>
                <w:b/>
                <w:bCs/>
                <w:sz w:val="16"/>
                <w:szCs w:val="16"/>
              </w:rPr>
              <w:t>Referencia</w:t>
            </w:r>
          </w:p>
        </w:tc>
        <w:tc>
          <w:tcPr>
            <w:tcW w:w="676" w:type="pct"/>
            <w:tcBorders>
              <w:top w:val="single" w:sz="4" w:space="0" w:color="auto"/>
              <w:bottom w:val="nil"/>
            </w:tcBorders>
            <w:shd w:val="clear" w:color="auto" w:fill="auto"/>
            <w:tcMar>
              <w:top w:w="110" w:type="dxa"/>
            </w:tcMar>
            <w:vAlign w:val="center"/>
          </w:tcPr>
          <w:p w:rsidR="00F777B4" w:rsidRPr="00526311" w:rsidRDefault="00F777B4" w:rsidP="0063039A">
            <w:pPr>
              <w:keepNext/>
              <w:keepLines/>
              <w:rPr>
                <w:b/>
                <w:sz w:val="16"/>
                <w:szCs w:val="16"/>
              </w:rPr>
            </w:pPr>
            <w:r w:rsidRPr="00526311">
              <w:rPr>
                <w:b/>
                <w:sz w:val="16"/>
                <w:szCs w:val="16"/>
              </w:rPr>
              <w:t>Objetivos</w:t>
            </w:r>
          </w:p>
        </w:tc>
        <w:tc>
          <w:tcPr>
            <w:tcW w:w="1216" w:type="pct"/>
            <w:gridSpan w:val="2"/>
            <w:tcBorders>
              <w:top w:val="single" w:sz="4" w:space="0" w:color="auto"/>
              <w:bottom w:val="nil"/>
            </w:tcBorders>
            <w:shd w:val="clear" w:color="auto" w:fill="FFFFFF"/>
            <w:tcMar>
              <w:top w:w="110" w:type="dxa"/>
            </w:tcMar>
            <w:vAlign w:val="center"/>
          </w:tcPr>
          <w:p w:rsidR="00F777B4" w:rsidRPr="00526311" w:rsidRDefault="00F777B4" w:rsidP="0063039A">
            <w:pPr>
              <w:keepNext/>
              <w:keepLines/>
              <w:rPr>
                <w:sz w:val="16"/>
                <w:szCs w:val="16"/>
              </w:rPr>
            </w:pPr>
            <w:r w:rsidRPr="00526311">
              <w:rPr>
                <w:b/>
                <w:sz w:val="16"/>
                <w:szCs w:val="16"/>
              </w:rPr>
              <w:t>Datos sobre el rendimiento</w:t>
            </w:r>
          </w:p>
        </w:tc>
        <w:tc>
          <w:tcPr>
            <w:tcW w:w="604" w:type="pct"/>
            <w:gridSpan w:val="2"/>
            <w:tcBorders>
              <w:top w:val="single" w:sz="4" w:space="0" w:color="auto"/>
              <w:bottom w:val="nil"/>
              <w:right w:val="single" w:sz="4" w:space="0" w:color="auto"/>
            </w:tcBorders>
            <w:shd w:val="clear" w:color="auto" w:fill="auto"/>
            <w:tcMar>
              <w:top w:w="110" w:type="dxa"/>
            </w:tcMar>
            <w:vAlign w:val="center"/>
          </w:tcPr>
          <w:p w:rsidR="00F777B4" w:rsidRPr="00526311" w:rsidRDefault="00F777B4" w:rsidP="0063039A">
            <w:pPr>
              <w:keepNext/>
              <w:keepLines/>
              <w:ind w:left="-111"/>
              <w:jc w:val="center"/>
              <w:rPr>
                <w:b/>
                <w:bCs/>
                <w:sz w:val="16"/>
                <w:szCs w:val="16"/>
              </w:rPr>
            </w:pPr>
            <w:r w:rsidRPr="00526311">
              <w:rPr>
                <w:b/>
                <w:bCs/>
                <w:sz w:val="16"/>
                <w:szCs w:val="16"/>
              </w:rPr>
              <w:t>Clave de colores</w:t>
            </w:r>
          </w:p>
        </w:tc>
      </w:tr>
      <w:tr w:rsidR="00F777B4" w:rsidRPr="00526311" w:rsidTr="004F7C21">
        <w:tc>
          <w:tcPr>
            <w:tcW w:w="1218" w:type="pct"/>
            <w:gridSpan w:val="2"/>
            <w:tcBorders>
              <w:top w:val="nil"/>
              <w:left w:val="single" w:sz="4" w:space="0" w:color="auto"/>
              <w:bottom w:val="nil"/>
            </w:tcBorders>
            <w:shd w:val="clear" w:color="auto" w:fill="auto"/>
          </w:tcPr>
          <w:p w:rsidR="00F777B4" w:rsidRPr="00526311" w:rsidRDefault="00F777B4" w:rsidP="0063039A">
            <w:pPr>
              <w:keepNext/>
              <w:keepLines/>
              <w:rPr>
                <w:sz w:val="16"/>
                <w:szCs w:val="16"/>
                <w:lang w:bidi="th-TH"/>
              </w:rPr>
            </w:pPr>
            <w:r w:rsidRPr="00526311">
              <w:rPr>
                <w:sz w:val="16"/>
                <w:szCs w:val="16"/>
                <w:lang w:bidi="th-TH"/>
              </w:rPr>
              <w:t xml:space="preserve">Número de obras protegidas por derecho de autor y distribuidas entre intermediarios de confianza puestas a disposición de las personas con discapacidad visual a escala internacional por medio de la red de sistemas TIGAR. </w:t>
            </w:r>
          </w:p>
        </w:tc>
        <w:tc>
          <w:tcPr>
            <w:tcW w:w="1287" w:type="pct"/>
            <w:tcBorders>
              <w:top w:val="nil"/>
              <w:bottom w:val="nil"/>
            </w:tcBorders>
            <w:shd w:val="clear" w:color="auto" w:fill="auto"/>
          </w:tcPr>
          <w:p w:rsidR="00F777B4" w:rsidRPr="00526311" w:rsidRDefault="00F777B4" w:rsidP="0063039A">
            <w:pPr>
              <w:pStyle w:val="Default"/>
              <w:keepNext/>
              <w:keepLines/>
              <w:rPr>
                <w:color w:val="002060"/>
                <w:sz w:val="16"/>
                <w:szCs w:val="16"/>
                <w:lang w:val="es-ES" w:bidi="th-TH"/>
              </w:rPr>
            </w:pPr>
            <w:r w:rsidRPr="00526311">
              <w:rPr>
                <w:i/>
                <w:color w:val="002060"/>
                <w:sz w:val="16"/>
                <w:szCs w:val="16"/>
                <w:lang w:val="es-ES" w:bidi="th-TH"/>
              </w:rPr>
              <w:t>Referencia actualizada a fines de 2013: A</w:t>
            </w:r>
            <w:r w:rsidRPr="00526311">
              <w:rPr>
                <w:color w:val="002060"/>
                <w:sz w:val="16"/>
                <w:szCs w:val="16"/>
                <w:lang w:val="es-ES" w:bidi="th-TH"/>
              </w:rPr>
              <w:t xml:space="preserve"> fines de 2013, se habían descargado de la base de datos del proyecto TIGAR aproximadamente 600 libros en formatos accesibles en distintos países.</w:t>
            </w:r>
          </w:p>
          <w:p w:rsidR="00F777B4" w:rsidRPr="00526311" w:rsidRDefault="00F777B4" w:rsidP="0063039A">
            <w:pPr>
              <w:keepNext/>
              <w:keepLines/>
              <w:rPr>
                <w:color w:val="002060"/>
                <w:sz w:val="8"/>
                <w:szCs w:val="8"/>
                <w:lang w:bidi="th-TH"/>
              </w:rPr>
            </w:pPr>
          </w:p>
          <w:p w:rsidR="00F777B4" w:rsidRPr="00526311" w:rsidRDefault="007B705E" w:rsidP="0063039A">
            <w:pPr>
              <w:keepNext/>
              <w:keepLines/>
              <w:rPr>
                <w:sz w:val="16"/>
                <w:szCs w:val="16"/>
                <w:lang w:bidi="th-TH"/>
              </w:rPr>
            </w:pPr>
            <w:r w:rsidRPr="00526311">
              <w:rPr>
                <w:i/>
                <w:sz w:val="16"/>
                <w:szCs w:val="16"/>
                <w:lang w:bidi="th-TH"/>
              </w:rPr>
              <w:t>Referencia original en el presupuesto de 2014/15</w:t>
            </w:r>
            <w:r w:rsidR="00F777B4" w:rsidRPr="00526311">
              <w:rPr>
                <w:i/>
                <w:sz w:val="16"/>
                <w:szCs w:val="16"/>
                <w:lang w:bidi="th-TH"/>
              </w:rPr>
              <w:t xml:space="preserve">: </w:t>
            </w:r>
            <w:r w:rsidR="00F777B4" w:rsidRPr="00526311">
              <w:rPr>
                <w:sz w:val="16"/>
                <w:szCs w:val="16"/>
                <w:lang w:bidi="th-TH"/>
              </w:rPr>
              <w:t xml:space="preserve"> 400</w:t>
            </w:r>
          </w:p>
        </w:tc>
        <w:tc>
          <w:tcPr>
            <w:tcW w:w="676" w:type="pct"/>
            <w:tcBorders>
              <w:top w:val="nil"/>
              <w:bottom w:val="nil"/>
            </w:tcBorders>
            <w:shd w:val="clear" w:color="auto" w:fill="auto"/>
            <w:tcMar>
              <w:top w:w="110" w:type="dxa"/>
            </w:tcMar>
          </w:tcPr>
          <w:p w:rsidR="00F777B4" w:rsidRPr="00526311" w:rsidRDefault="00F777B4" w:rsidP="0063039A">
            <w:pPr>
              <w:keepNext/>
              <w:keepLines/>
              <w:rPr>
                <w:sz w:val="16"/>
                <w:szCs w:val="16"/>
                <w:lang w:bidi="th-TH"/>
              </w:rPr>
            </w:pPr>
            <w:r w:rsidRPr="00526311">
              <w:rPr>
                <w:sz w:val="16"/>
                <w:szCs w:val="16"/>
                <w:lang w:bidi="th-TH"/>
              </w:rPr>
              <w:t>1.000 (en total).</w:t>
            </w:r>
          </w:p>
        </w:tc>
        <w:tc>
          <w:tcPr>
            <w:tcW w:w="1216" w:type="pct"/>
            <w:gridSpan w:val="2"/>
            <w:tcBorders>
              <w:top w:val="nil"/>
              <w:bottom w:val="nil"/>
            </w:tcBorders>
            <w:shd w:val="clear" w:color="auto" w:fill="FFFFFF"/>
            <w:tcMar>
              <w:top w:w="110" w:type="dxa"/>
            </w:tcMar>
          </w:tcPr>
          <w:p w:rsidR="00F777B4" w:rsidRPr="00526311" w:rsidRDefault="00F777B4" w:rsidP="00BA23FA">
            <w:pPr>
              <w:keepNext/>
              <w:keepLines/>
              <w:rPr>
                <w:sz w:val="16"/>
                <w:szCs w:val="16"/>
                <w:lang w:bidi="th-TH"/>
              </w:rPr>
            </w:pPr>
            <w:r w:rsidRPr="00526311">
              <w:rPr>
                <w:sz w:val="16"/>
                <w:szCs w:val="16"/>
                <w:lang w:bidi="th-TH"/>
              </w:rPr>
              <w:t>Las bibliotecas participantes descargaron 2.500 libros audio a finales de 2014</w:t>
            </w:r>
            <w:r w:rsidR="00BA23FA" w:rsidRPr="00526311">
              <w:rPr>
                <w:sz w:val="16"/>
                <w:szCs w:val="16"/>
                <w:lang w:bidi="th-TH"/>
              </w:rPr>
              <w:t>. A fines de 2014 unas</w:t>
            </w:r>
            <w:r w:rsidRPr="00526311">
              <w:rPr>
                <w:sz w:val="16"/>
                <w:szCs w:val="16"/>
                <w:lang w:bidi="th-TH"/>
              </w:rPr>
              <w:t xml:space="preserve"> 16.000 personas con dificultades para acceder al texto impreso </w:t>
            </w:r>
            <w:r w:rsidR="00BA23FA" w:rsidRPr="00526311">
              <w:rPr>
                <w:sz w:val="16"/>
                <w:szCs w:val="16"/>
                <w:lang w:bidi="th-TH"/>
              </w:rPr>
              <w:t>habían sido favorecidas</w:t>
            </w:r>
            <w:r w:rsidRPr="00526311">
              <w:rPr>
                <w:i/>
                <w:sz w:val="16"/>
                <w:szCs w:val="16"/>
                <w:lang w:bidi="th-TH"/>
              </w:rPr>
              <w:t>.</w:t>
            </w:r>
          </w:p>
        </w:tc>
        <w:tc>
          <w:tcPr>
            <w:tcW w:w="604" w:type="pct"/>
            <w:gridSpan w:val="2"/>
            <w:tcBorders>
              <w:top w:val="nil"/>
              <w:bottom w:val="nil"/>
              <w:right w:val="single" w:sz="4" w:space="0" w:color="auto"/>
            </w:tcBorders>
            <w:shd w:val="clear" w:color="auto" w:fill="auto"/>
          </w:tcPr>
          <w:p w:rsidR="00F777B4" w:rsidRPr="00526311" w:rsidRDefault="00F777B4" w:rsidP="0063039A">
            <w:pPr>
              <w:ind w:left="-112" w:right="-104"/>
              <w:jc w:val="center"/>
              <w:rPr>
                <w:bCs/>
                <w:color w:val="00B050"/>
                <w:sz w:val="16"/>
                <w:szCs w:val="16"/>
              </w:rPr>
            </w:pPr>
            <w:r w:rsidRPr="00526311">
              <w:rPr>
                <w:b/>
                <w:bCs/>
                <w:color w:val="00B050"/>
                <w:sz w:val="16"/>
                <w:szCs w:val="16"/>
              </w:rPr>
              <w:t>Avanza</w:t>
            </w:r>
          </w:p>
        </w:tc>
      </w:tr>
      <w:tr w:rsidR="00F777B4" w:rsidRPr="00526311" w:rsidTr="004F7C21">
        <w:tc>
          <w:tcPr>
            <w:tcW w:w="1218" w:type="pct"/>
            <w:gridSpan w:val="2"/>
            <w:tcBorders>
              <w:top w:val="nil"/>
              <w:left w:val="single" w:sz="4" w:space="0" w:color="auto"/>
              <w:bottom w:val="nil"/>
            </w:tcBorders>
            <w:shd w:val="clear" w:color="auto" w:fill="auto"/>
          </w:tcPr>
          <w:p w:rsidR="00F777B4" w:rsidRPr="00526311" w:rsidRDefault="00F777B4" w:rsidP="0063039A">
            <w:pPr>
              <w:keepNext/>
              <w:keepLines/>
              <w:rPr>
                <w:sz w:val="16"/>
                <w:szCs w:val="16"/>
                <w:lang w:bidi="th-TH"/>
              </w:rPr>
            </w:pPr>
            <w:r w:rsidRPr="00526311">
              <w:rPr>
                <w:sz w:val="16"/>
                <w:szCs w:val="16"/>
                <w:lang w:bidi="th-TH"/>
              </w:rPr>
              <w:t>Porcentaje de personas satisfechas con el apoyo al fortalecimiento de capacidades en infr</w:t>
            </w:r>
            <w:r w:rsidR="007722BB" w:rsidRPr="00526311">
              <w:rPr>
                <w:sz w:val="16"/>
                <w:szCs w:val="16"/>
                <w:lang w:bidi="th-TH"/>
              </w:rPr>
              <w:t>aestructura de derecho de autor</w:t>
            </w:r>
          </w:p>
        </w:tc>
        <w:tc>
          <w:tcPr>
            <w:tcW w:w="1287" w:type="pct"/>
            <w:tcBorders>
              <w:top w:val="nil"/>
              <w:bottom w:val="nil"/>
            </w:tcBorders>
            <w:shd w:val="clear" w:color="auto" w:fill="auto"/>
          </w:tcPr>
          <w:p w:rsidR="00F777B4" w:rsidRPr="00526311" w:rsidRDefault="00BA23FA" w:rsidP="00BA23FA">
            <w:pPr>
              <w:keepNext/>
              <w:keepLines/>
              <w:rPr>
                <w:sz w:val="16"/>
                <w:szCs w:val="16"/>
                <w:lang w:bidi="th-TH"/>
              </w:rPr>
            </w:pPr>
            <w:r w:rsidRPr="00526311">
              <w:rPr>
                <w:sz w:val="16"/>
                <w:szCs w:val="16"/>
                <w:lang w:bidi="th-TH"/>
              </w:rPr>
              <w:t>No hay datos disponibles</w:t>
            </w:r>
            <w:r w:rsidR="00F777B4" w:rsidRPr="00526311">
              <w:rPr>
                <w:color w:val="FF00FF"/>
                <w:sz w:val="16"/>
                <w:szCs w:val="16"/>
                <w:lang w:bidi="th-TH"/>
              </w:rPr>
              <w:t>.</w:t>
            </w:r>
          </w:p>
        </w:tc>
        <w:tc>
          <w:tcPr>
            <w:tcW w:w="676" w:type="pct"/>
            <w:tcBorders>
              <w:top w:val="nil"/>
              <w:bottom w:val="nil"/>
            </w:tcBorders>
            <w:shd w:val="clear" w:color="auto" w:fill="auto"/>
            <w:tcMar>
              <w:top w:w="110" w:type="dxa"/>
            </w:tcMar>
          </w:tcPr>
          <w:p w:rsidR="00F777B4" w:rsidRPr="00526311" w:rsidRDefault="00F777B4" w:rsidP="0063039A">
            <w:pPr>
              <w:keepNext/>
              <w:keepLines/>
              <w:rPr>
                <w:sz w:val="16"/>
                <w:szCs w:val="16"/>
                <w:lang w:bidi="th-TH"/>
              </w:rPr>
            </w:pPr>
            <w:r w:rsidRPr="00526311">
              <w:rPr>
                <w:sz w:val="16"/>
                <w:szCs w:val="16"/>
                <w:lang w:bidi="th-TH"/>
              </w:rPr>
              <w:t>60%</w:t>
            </w:r>
          </w:p>
        </w:tc>
        <w:tc>
          <w:tcPr>
            <w:tcW w:w="1216" w:type="pct"/>
            <w:gridSpan w:val="2"/>
            <w:tcBorders>
              <w:top w:val="nil"/>
              <w:bottom w:val="nil"/>
            </w:tcBorders>
            <w:shd w:val="clear" w:color="auto" w:fill="FFFFFF"/>
            <w:tcMar>
              <w:top w:w="110" w:type="dxa"/>
            </w:tcMar>
          </w:tcPr>
          <w:p w:rsidR="00F777B4" w:rsidRPr="00526311" w:rsidRDefault="00F777B4" w:rsidP="0063039A">
            <w:pPr>
              <w:keepNext/>
              <w:keepLines/>
              <w:rPr>
                <w:sz w:val="16"/>
                <w:szCs w:val="16"/>
                <w:lang w:bidi="th-TH"/>
              </w:rPr>
            </w:pPr>
            <w:r w:rsidRPr="00526311">
              <w:rPr>
                <w:sz w:val="16"/>
                <w:szCs w:val="16"/>
                <w:lang w:bidi="th-TH"/>
              </w:rPr>
              <w:t>100%</w:t>
            </w:r>
          </w:p>
        </w:tc>
        <w:tc>
          <w:tcPr>
            <w:tcW w:w="604" w:type="pct"/>
            <w:gridSpan w:val="2"/>
            <w:tcBorders>
              <w:top w:val="nil"/>
              <w:bottom w:val="nil"/>
              <w:right w:val="single" w:sz="4" w:space="0" w:color="auto"/>
            </w:tcBorders>
            <w:shd w:val="clear" w:color="auto" w:fill="auto"/>
          </w:tcPr>
          <w:p w:rsidR="00F777B4" w:rsidRPr="00526311" w:rsidRDefault="00F777B4" w:rsidP="0063039A">
            <w:pPr>
              <w:keepNext/>
              <w:keepLines/>
              <w:ind w:left="-111"/>
              <w:jc w:val="center"/>
              <w:rPr>
                <w:bCs/>
                <w:color w:val="00B050"/>
                <w:sz w:val="16"/>
                <w:szCs w:val="16"/>
              </w:rPr>
            </w:pPr>
            <w:r w:rsidRPr="00526311">
              <w:rPr>
                <w:b/>
                <w:bCs/>
                <w:color w:val="00B050"/>
                <w:sz w:val="16"/>
                <w:szCs w:val="16"/>
              </w:rPr>
              <w:t>Avanza</w:t>
            </w:r>
          </w:p>
        </w:tc>
      </w:tr>
      <w:tr w:rsidR="00F777B4" w:rsidRPr="00526311" w:rsidTr="004F7C21">
        <w:trPr>
          <w:trHeight w:val="1629"/>
        </w:trPr>
        <w:tc>
          <w:tcPr>
            <w:tcW w:w="1218" w:type="pct"/>
            <w:gridSpan w:val="2"/>
            <w:tcBorders>
              <w:top w:val="nil"/>
              <w:left w:val="single" w:sz="4" w:space="0" w:color="auto"/>
              <w:bottom w:val="nil"/>
            </w:tcBorders>
            <w:shd w:val="clear" w:color="auto" w:fill="auto"/>
          </w:tcPr>
          <w:p w:rsidR="00F777B4" w:rsidRPr="00526311" w:rsidRDefault="00F777B4" w:rsidP="0063039A">
            <w:pPr>
              <w:keepNext/>
              <w:keepLines/>
              <w:rPr>
                <w:sz w:val="16"/>
                <w:szCs w:val="16"/>
                <w:lang w:bidi="th-TH"/>
              </w:rPr>
            </w:pPr>
            <w:r w:rsidRPr="00526311">
              <w:rPr>
                <w:sz w:val="16"/>
                <w:szCs w:val="16"/>
                <w:lang w:bidi="th-TH"/>
              </w:rPr>
              <w:t>Número de instituciones que utilizan el sistema GDA.</w:t>
            </w:r>
          </w:p>
        </w:tc>
        <w:tc>
          <w:tcPr>
            <w:tcW w:w="1287" w:type="pct"/>
            <w:tcBorders>
              <w:top w:val="nil"/>
              <w:bottom w:val="nil"/>
            </w:tcBorders>
            <w:shd w:val="clear" w:color="auto" w:fill="auto"/>
          </w:tcPr>
          <w:p w:rsidR="00F777B4" w:rsidRPr="00526311" w:rsidRDefault="00F777B4" w:rsidP="0063039A">
            <w:pPr>
              <w:keepNext/>
              <w:keepLines/>
              <w:rPr>
                <w:color w:val="002060"/>
                <w:sz w:val="16"/>
                <w:szCs w:val="16"/>
                <w:lang w:bidi="th-TH"/>
              </w:rPr>
            </w:pPr>
            <w:r w:rsidRPr="00526311">
              <w:rPr>
                <w:i/>
                <w:color w:val="002060"/>
                <w:sz w:val="16"/>
                <w:szCs w:val="16"/>
              </w:rPr>
              <w:t>Referencia actualizada a fines de 2013:</w:t>
            </w:r>
            <w:r w:rsidRPr="00526311">
              <w:rPr>
                <w:color w:val="002060"/>
                <w:sz w:val="16"/>
                <w:szCs w:val="16"/>
                <w:lang w:bidi="th-TH"/>
              </w:rPr>
              <w:t xml:space="preserve">  15</w:t>
            </w:r>
            <w:r w:rsidRPr="00526311">
              <w:rPr>
                <w:rStyle w:val="FootnoteReference"/>
                <w:color w:val="002060"/>
                <w:sz w:val="16"/>
                <w:szCs w:val="16"/>
                <w:lang w:bidi="th-TH"/>
              </w:rPr>
              <w:footnoteReference w:id="8"/>
            </w:r>
            <w:r w:rsidRPr="00526311">
              <w:rPr>
                <w:color w:val="002060"/>
                <w:sz w:val="16"/>
                <w:szCs w:val="16"/>
                <w:lang w:bidi="th-TH"/>
              </w:rPr>
              <w:t xml:space="preserve"> oficinas de derecho de autor que utilizan el sistema GDA (en total)</w:t>
            </w:r>
          </w:p>
          <w:p w:rsidR="00F777B4" w:rsidRPr="00526311" w:rsidRDefault="00F777B4" w:rsidP="0063039A">
            <w:pPr>
              <w:keepNext/>
              <w:keepLines/>
              <w:rPr>
                <w:sz w:val="8"/>
                <w:szCs w:val="8"/>
                <w:lang w:bidi="th-TH"/>
              </w:rPr>
            </w:pPr>
          </w:p>
          <w:p w:rsidR="00F777B4" w:rsidRPr="00526311" w:rsidRDefault="007B705E" w:rsidP="0063039A">
            <w:pPr>
              <w:keepNext/>
              <w:keepLines/>
              <w:rPr>
                <w:i/>
                <w:color w:val="002060"/>
                <w:sz w:val="16"/>
                <w:szCs w:val="16"/>
              </w:rPr>
            </w:pPr>
            <w:r w:rsidRPr="00526311">
              <w:rPr>
                <w:i/>
                <w:sz w:val="16"/>
                <w:szCs w:val="16"/>
                <w:lang w:bidi="th-TH"/>
              </w:rPr>
              <w:t>Referencia original en el presupuesto de 2014/15</w:t>
            </w:r>
            <w:r w:rsidR="00F777B4" w:rsidRPr="00526311">
              <w:rPr>
                <w:i/>
                <w:sz w:val="16"/>
                <w:szCs w:val="16"/>
                <w:lang w:bidi="th-TH"/>
              </w:rPr>
              <w:t xml:space="preserve">:  </w:t>
            </w:r>
            <w:r w:rsidR="00F777B4" w:rsidRPr="00526311">
              <w:rPr>
                <w:sz w:val="16"/>
                <w:szCs w:val="16"/>
                <w:lang w:bidi="th-TH"/>
              </w:rPr>
              <w:t>15</w:t>
            </w:r>
          </w:p>
        </w:tc>
        <w:tc>
          <w:tcPr>
            <w:tcW w:w="676" w:type="pct"/>
            <w:tcBorders>
              <w:top w:val="nil"/>
              <w:bottom w:val="nil"/>
            </w:tcBorders>
            <w:shd w:val="clear" w:color="auto" w:fill="auto"/>
            <w:tcMar>
              <w:top w:w="110" w:type="dxa"/>
            </w:tcMar>
          </w:tcPr>
          <w:p w:rsidR="00F777B4" w:rsidRPr="00526311" w:rsidRDefault="00F777B4" w:rsidP="0063039A">
            <w:pPr>
              <w:keepNext/>
              <w:keepLines/>
              <w:rPr>
                <w:sz w:val="16"/>
                <w:szCs w:val="16"/>
                <w:lang w:bidi="th-TH"/>
              </w:rPr>
            </w:pPr>
            <w:r w:rsidRPr="00526311">
              <w:rPr>
                <w:sz w:val="16"/>
                <w:szCs w:val="16"/>
                <w:lang w:bidi="th-TH"/>
              </w:rPr>
              <w:t>15</w:t>
            </w:r>
          </w:p>
        </w:tc>
        <w:tc>
          <w:tcPr>
            <w:tcW w:w="1216" w:type="pct"/>
            <w:gridSpan w:val="2"/>
            <w:tcBorders>
              <w:top w:val="nil"/>
              <w:bottom w:val="nil"/>
            </w:tcBorders>
            <w:shd w:val="clear" w:color="auto" w:fill="FFFFFF"/>
            <w:tcMar>
              <w:top w:w="110" w:type="dxa"/>
            </w:tcMar>
          </w:tcPr>
          <w:p w:rsidR="00F777B4" w:rsidRPr="00526311" w:rsidRDefault="00F777B4" w:rsidP="0063039A">
            <w:pPr>
              <w:keepNext/>
              <w:keepLines/>
              <w:rPr>
                <w:sz w:val="16"/>
                <w:szCs w:val="16"/>
                <w:lang w:bidi="th-TH"/>
              </w:rPr>
            </w:pPr>
            <w:r w:rsidRPr="00526311">
              <w:rPr>
                <w:sz w:val="16"/>
                <w:szCs w:val="16"/>
                <w:lang w:bidi="th-TH"/>
              </w:rPr>
              <w:t>16 oficinas de derecho de autor que utilizan el sistema GDA</w:t>
            </w:r>
          </w:p>
          <w:p w:rsidR="00F777B4" w:rsidRPr="00526311" w:rsidRDefault="00F777B4" w:rsidP="0063039A">
            <w:pPr>
              <w:keepNext/>
              <w:keepLines/>
              <w:rPr>
                <w:sz w:val="12"/>
                <w:szCs w:val="12"/>
                <w:lang w:bidi="th-TH"/>
              </w:rPr>
            </w:pPr>
          </w:p>
          <w:p w:rsidR="00F777B4" w:rsidRPr="00526311" w:rsidRDefault="00F777B4" w:rsidP="0063039A">
            <w:pPr>
              <w:keepNext/>
              <w:keepLines/>
              <w:rPr>
                <w:sz w:val="16"/>
                <w:szCs w:val="16"/>
                <w:lang w:bidi="th-TH"/>
              </w:rPr>
            </w:pPr>
            <w:r w:rsidRPr="00526311">
              <w:rPr>
                <w:sz w:val="16"/>
                <w:szCs w:val="16"/>
                <w:lang w:bidi="th-TH"/>
              </w:rPr>
              <w:t xml:space="preserve">Se prevé que el apoyo prestado por la OMPI al Sistema GDA se eliminará gradualmente antes del fin de 2015.  </w:t>
            </w:r>
          </w:p>
        </w:tc>
        <w:tc>
          <w:tcPr>
            <w:tcW w:w="604" w:type="pct"/>
            <w:gridSpan w:val="2"/>
            <w:tcBorders>
              <w:top w:val="nil"/>
              <w:bottom w:val="nil"/>
              <w:right w:val="single" w:sz="4" w:space="0" w:color="auto"/>
            </w:tcBorders>
            <w:shd w:val="clear" w:color="auto" w:fill="auto"/>
          </w:tcPr>
          <w:p w:rsidR="00F777B4" w:rsidRPr="00526311" w:rsidRDefault="00F777B4" w:rsidP="0063039A">
            <w:pPr>
              <w:keepNext/>
              <w:keepLines/>
              <w:ind w:left="-111"/>
              <w:jc w:val="center"/>
              <w:rPr>
                <w:b/>
                <w:bCs/>
                <w:color w:val="00B050"/>
                <w:sz w:val="16"/>
                <w:szCs w:val="16"/>
              </w:rPr>
            </w:pPr>
            <w:r w:rsidRPr="00526311">
              <w:rPr>
                <w:b/>
                <w:bCs/>
                <w:color w:val="00B050"/>
                <w:sz w:val="16"/>
                <w:szCs w:val="16"/>
              </w:rPr>
              <w:t>Avanza</w:t>
            </w:r>
          </w:p>
        </w:tc>
      </w:tr>
      <w:tr w:rsidR="00F777B4" w:rsidRPr="00526311" w:rsidTr="004F7C21">
        <w:tc>
          <w:tcPr>
            <w:tcW w:w="1218" w:type="pct"/>
            <w:gridSpan w:val="2"/>
            <w:tcBorders>
              <w:top w:val="nil"/>
              <w:left w:val="single" w:sz="4" w:space="0" w:color="auto"/>
              <w:bottom w:val="nil"/>
            </w:tcBorders>
            <w:shd w:val="clear" w:color="auto" w:fill="auto"/>
          </w:tcPr>
          <w:p w:rsidR="00F777B4" w:rsidRPr="00526311" w:rsidRDefault="00F777B4" w:rsidP="0063039A">
            <w:pPr>
              <w:keepNext/>
              <w:keepLines/>
              <w:rPr>
                <w:sz w:val="16"/>
                <w:szCs w:val="16"/>
                <w:lang w:bidi="th-TH"/>
              </w:rPr>
            </w:pPr>
            <w:r w:rsidRPr="00526311">
              <w:rPr>
                <w:sz w:val="16"/>
                <w:szCs w:val="16"/>
                <w:lang w:bidi="th-TH"/>
              </w:rPr>
              <w:t>Uso de la base de datos de la OMPI sobre gestión colectiva de los derechos.</w:t>
            </w:r>
          </w:p>
        </w:tc>
        <w:tc>
          <w:tcPr>
            <w:tcW w:w="1287" w:type="pct"/>
            <w:tcBorders>
              <w:top w:val="nil"/>
              <w:bottom w:val="nil"/>
            </w:tcBorders>
            <w:shd w:val="clear" w:color="auto" w:fill="auto"/>
          </w:tcPr>
          <w:p w:rsidR="00F777B4" w:rsidRPr="00526311" w:rsidRDefault="00AE0F76" w:rsidP="0063039A">
            <w:pPr>
              <w:keepNext/>
              <w:keepLines/>
              <w:rPr>
                <w:i/>
                <w:color w:val="808080"/>
                <w:sz w:val="16"/>
                <w:szCs w:val="16"/>
              </w:rPr>
            </w:pPr>
            <w:r w:rsidRPr="00526311">
              <w:rPr>
                <w:sz w:val="16"/>
                <w:szCs w:val="16"/>
                <w:lang w:bidi="th-TH"/>
              </w:rPr>
              <w:t>No hay datos disponibles</w:t>
            </w:r>
            <w:r w:rsidR="00F777B4" w:rsidRPr="00526311">
              <w:rPr>
                <w:i/>
                <w:color w:val="808080"/>
                <w:sz w:val="16"/>
                <w:szCs w:val="16"/>
              </w:rPr>
              <w:t>.</w:t>
            </w:r>
          </w:p>
        </w:tc>
        <w:tc>
          <w:tcPr>
            <w:tcW w:w="676" w:type="pct"/>
            <w:tcBorders>
              <w:top w:val="nil"/>
              <w:bottom w:val="nil"/>
            </w:tcBorders>
            <w:shd w:val="clear" w:color="auto" w:fill="auto"/>
            <w:tcMar>
              <w:top w:w="110" w:type="dxa"/>
            </w:tcMar>
          </w:tcPr>
          <w:p w:rsidR="00F777B4" w:rsidRPr="00526311" w:rsidRDefault="00F777B4" w:rsidP="0063039A">
            <w:pPr>
              <w:keepNext/>
              <w:keepLines/>
              <w:rPr>
                <w:sz w:val="16"/>
                <w:szCs w:val="16"/>
                <w:lang w:bidi="th-TH"/>
              </w:rPr>
            </w:pPr>
            <w:r w:rsidRPr="00526311">
              <w:rPr>
                <w:sz w:val="16"/>
                <w:szCs w:val="16"/>
                <w:lang w:bidi="th-TH"/>
              </w:rPr>
              <w:t>100 usuarios.</w:t>
            </w:r>
          </w:p>
        </w:tc>
        <w:tc>
          <w:tcPr>
            <w:tcW w:w="1216" w:type="pct"/>
            <w:gridSpan w:val="2"/>
            <w:tcBorders>
              <w:top w:val="nil"/>
              <w:bottom w:val="nil"/>
            </w:tcBorders>
            <w:shd w:val="clear" w:color="auto" w:fill="FFFFFF"/>
            <w:tcMar>
              <w:top w:w="110" w:type="dxa"/>
            </w:tcMar>
          </w:tcPr>
          <w:p w:rsidR="00F777B4" w:rsidRPr="00526311" w:rsidRDefault="00F777B4" w:rsidP="0063039A">
            <w:pPr>
              <w:keepNext/>
              <w:keepLines/>
              <w:rPr>
                <w:sz w:val="16"/>
                <w:szCs w:val="16"/>
                <w:lang w:bidi="th-TH"/>
              </w:rPr>
            </w:pPr>
            <w:r w:rsidRPr="00526311">
              <w:rPr>
                <w:sz w:val="16"/>
                <w:szCs w:val="16"/>
                <w:lang w:bidi="th-TH"/>
              </w:rPr>
              <w:t>1.600 usuarios.</w:t>
            </w:r>
          </w:p>
        </w:tc>
        <w:tc>
          <w:tcPr>
            <w:tcW w:w="604" w:type="pct"/>
            <w:gridSpan w:val="2"/>
            <w:tcBorders>
              <w:top w:val="nil"/>
              <w:bottom w:val="nil"/>
              <w:right w:val="single" w:sz="4" w:space="0" w:color="auto"/>
            </w:tcBorders>
            <w:shd w:val="clear" w:color="auto" w:fill="auto"/>
          </w:tcPr>
          <w:p w:rsidR="00F777B4" w:rsidRPr="00526311" w:rsidRDefault="00F777B4" w:rsidP="0063039A">
            <w:pPr>
              <w:keepNext/>
              <w:keepLines/>
              <w:ind w:left="-111"/>
              <w:jc w:val="center"/>
              <w:rPr>
                <w:b/>
                <w:bCs/>
                <w:color w:val="00B050"/>
                <w:sz w:val="16"/>
                <w:szCs w:val="16"/>
              </w:rPr>
            </w:pPr>
            <w:r w:rsidRPr="00526311">
              <w:rPr>
                <w:b/>
                <w:bCs/>
                <w:color w:val="00B050"/>
                <w:sz w:val="16"/>
                <w:szCs w:val="16"/>
              </w:rPr>
              <w:t>Avanza</w:t>
            </w:r>
          </w:p>
        </w:tc>
      </w:tr>
      <w:tr w:rsidR="00F777B4" w:rsidRPr="00526311" w:rsidTr="004F7C21">
        <w:tc>
          <w:tcPr>
            <w:tcW w:w="1218" w:type="pct"/>
            <w:gridSpan w:val="2"/>
            <w:tcBorders>
              <w:top w:val="nil"/>
              <w:left w:val="single" w:sz="4" w:space="0" w:color="auto"/>
              <w:bottom w:val="single" w:sz="4" w:space="0" w:color="auto"/>
            </w:tcBorders>
            <w:shd w:val="clear" w:color="auto" w:fill="auto"/>
          </w:tcPr>
          <w:p w:rsidR="00F777B4" w:rsidRPr="00526311" w:rsidRDefault="00F777B4" w:rsidP="0063039A">
            <w:pPr>
              <w:keepNext/>
              <w:keepLines/>
              <w:rPr>
                <w:sz w:val="16"/>
                <w:szCs w:val="16"/>
                <w:lang w:bidi="th-TH"/>
              </w:rPr>
            </w:pPr>
            <w:r w:rsidRPr="00526311">
              <w:rPr>
                <w:sz w:val="16"/>
                <w:szCs w:val="16"/>
                <w:lang w:bidi="th-TH"/>
              </w:rPr>
              <w:t>Número de instrumentos jurídicos, directrices, declaraciones de principios distintas de tratados acordados o suscritos por las partes interesadas en ámbitos como los de la P.I. y el deporte y el derecho de autor en el entorno digital.</w:t>
            </w:r>
          </w:p>
        </w:tc>
        <w:tc>
          <w:tcPr>
            <w:tcW w:w="1287" w:type="pct"/>
            <w:tcBorders>
              <w:top w:val="nil"/>
              <w:bottom w:val="single" w:sz="4" w:space="0" w:color="auto"/>
            </w:tcBorders>
            <w:shd w:val="clear" w:color="auto" w:fill="auto"/>
          </w:tcPr>
          <w:p w:rsidR="00F777B4" w:rsidRPr="00526311" w:rsidRDefault="00F777B4" w:rsidP="0063039A">
            <w:pPr>
              <w:keepNext/>
              <w:keepLines/>
              <w:rPr>
                <w:color w:val="002060"/>
                <w:sz w:val="16"/>
                <w:szCs w:val="16"/>
                <w:lang w:bidi="th-TH"/>
              </w:rPr>
            </w:pPr>
            <w:r w:rsidRPr="00526311">
              <w:rPr>
                <w:i/>
                <w:color w:val="002060"/>
                <w:sz w:val="16"/>
                <w:szCs w:val="16"/>
                <w:lang w:bidi="th-TH"/>
              </w:rPr>
              <w:t>Referencia actualizada a fines de 2013:</w:t>
            </w:r>
            <w:r w:rsidRPr="00526311">
              <w:rPr>
                <w:color w:val="002060"/>
                <w:sz w:val="16"/>
                <w:szCs w:val="16"/>
                <w:lang w:bidi="th-TH"/>
              </w:rPr>
              <w:t xml:space="preserve">  </w:t>
            </w:r>
          </w:p>
          <w:p w:rsidR="00F777B4" w:rsidRPr="00526311" w:rsidRDefault="00F777B4" w:rsidP="0063039A">
            <w:pPr>
              <w:keepNext/>
              <w:keepLines/>
              <w:rPr>
                <w:sz w:val="8"/>
                <w:szCs w:val="8"/>
                <w:lang w:bidi="th-TH"/>
              </w:rPr>
            </w:pPr>
          </w:p>
          <w:p w:rsidR="00F777B4" w:rsidRPr="00526311" w:rsidRDefault="007B705E" w:rsidP="0063039A">
            <w:pPr>
              <w:keepNext/>
              <w:keepLines/>
              <w:rPr>
                <w:i/>
                <w:color w:val="002060"/>
                <w:sz w:val="16"/>
                <w:szCs w:val="16"/>
              </w:rPr>
            </w:pPr>
            <w:r w:rsidRPr="00526311">
              <w:rPr>
                <w:i/>
                <w:sz w:val="16"/>
                <w:szCs w:val="16"/>
                <w:lang w:bidi="th-TH"/>
              </w:rPr>
              <w:t>Referencia original en el presupuesto de 2014/15</w:t>
            </w:r>
            <w:r w:rsidR="00F777B4" w:rsidRPr="00526311">
              <w:rPr>
                <w:i/>
                <w:sz w:val="16"/>
                <w:szCs w:val="16"/>
                <w:lang w:bidi="th-TH"/>
              </w:rPr>
              <w:t xml:space="preserve">:  </w:t>
            </w:r>
            <w:r w:rsidR="00F777B4" w:rsidRPr="00526311">
              <w:rPr>
                <w:sz w:val="16"/>
                <w:szCs w:val="16"/>
                <w:lang w:bidi="th-TH"/>
              </w:rPr>
              <w:t>Uno (Examen de la OMPI de las consideraciones contractuales en el sector audiovisual)</w:t>
            </w:r>
          </w:p>
        </w:tc>
        <w:tc>
          <w:tcPr>
            <w:tcW w:w="676" w:type="pct"/>
            <w:tcBorders>
              <w:top w:val="nil"/>
              <w:bottom w:val="single" w:sz="4" w:space="0" w:color="auto"/>
            </w:tcBorders>
            <w:shd w:val="clear" w:color="auto" w:fill="auto"/>
            <w:tcMar>
              <w:top w:w="110" w:type="dxa"/>
            </w:tcMar>
          </w:tcPr>
          <w:p w:rsidR="00F777B4" w:rsidRPr="00526311" w:rsidRDefault="00F777B4" w:rsidP="0063039A">
            <w:pPr>
              <w:keepNext/>
              <w:keepLines/>
              <w:rPr>
                <w:sz w:val="16"/>
                <w:szCs w:val="16"/>
                <w:lang w:bidi="th-TH"/>
              </w:rPr>
            </w:pPr>
            <w:r w:rsidRPr="00526311">
              <w:rPr>
                <w:sz w:val="16"/>
                <w:szCs w:val="16"/>
                <w:lang w:bidi="th-TH"/>
              </w:rPr>
              <w:t>1</w:t>
            </w:r>
          </w:p>
        </w:tc>
        <w:tc>
          <w:tcPr>
            <w:tcW w:w="1216" w:type="pct"/>
            <w:gridSpan w:val="2"/>
            <w:tcBorders>
              <w:top w:val="nil"/>
              <w:bottom w:val="single" w:sz="4" w:space="0" w:color="auto"/>
            </w:tcBorders>
            <w:shd w:val="clear" w:color="auto" w:fill="FFFFFF"/>
            <w:tcMar>
              <w:top w:w="110" w:type="dxa"/>
            </w:tcMar>
          </w:tcPr>
          <w:p w:rsidR="00F777B4" w:rsidRPr="00526311" w:rsidRDefault="00F777B4" w:rsidP="0063039A">
            <w:pPr>
              <w:keepNext/>
              <w:keepLines/>
              <w:rPr>
                <w:sz w:val="16"/>
                <w:szCs w:val="16"/>
                <w:lang w:bidi="th-TH"/>
              </w:rPr>
            </w:pPr>
            <w:r w:rsidRPr="00526311">
              <w:rPr>
                <w:sz w:val="16"/>
                <w:szCs w:val="16"/>
                <w:lang w:bidi="th-TH"/>
              </w:rPr>
              <w:t>El proyecto de directrices de la OMPI para la evaluación de la repercusión económica, social y cultural del derecho de autor en la economía (Directrices ESCIA) se finalizó en 2014 y entró en la fase piloto de ejecución.</w:t>
            </w:r>
          </w:p>
        </w:tc>
        <w:tc>
          <w:tcPr>
            <w:tcW w:w="604" w:type="pct"/>
            <w:gridSpan w:val="2"/>
            <w:tcBorders>
              <w:top w:val="nil"/>
              <w:bottom w:val="single" w:sz="4" w:space="0" w:color="auto"/>
              <w:right w:val="single" w:sz="4" w:space="0" w:color="auto"/>
            </w:tcBorders>
            <w:shd w:val="clear" w:color="auto" w:fill="auto"/>
          </w:tcPr>
          <w:p w:rsidR="00F777B4" w:rsidRPr="00526311" w:rsidRDefault="00F777B4" w:rsidP="0063039A">
            <w:pPr>
              <w:keepNext/>
              <w:keepLines/>
              <w:ind w:left="-111"/>
              <w:jc w:val="center"/>
              <w:rPr>
                <w:b/>
                <w:bCs/>
                <w:color w:val="00B050"/>
                <w:sz w:val="16"/>
                <w:szCs w:val="16"/>
              </w:rPr>
            </w:pPr>
            <w:r w:rsidRPr="00526311">
              <w:rPr>
                <w:b/>
                <w:bCs/>
                <w:color w:val="00B050"/>
                <w:sz w:val="16"/>
                <w:szCs w:val="16"/>
              </w:rPr>
              <w:t>Avanza</w:t>
            </w:r>
          </w:p>
        </w:tc>
      </w:tr>
      <w:tr w:rsidR="00F777B4" w:rsidRPr="00526311" w:rsidTr="0063039A">
        <w:trPr>
          <w:trHeight w:val="581"/>
        </w:trPr>
        <w:tc>
          <w:tcPr>
            <w:tcW w:w="5000" w:type="pct"/>
            <w:gridSpan w:val="8"/>
            <w:tcBorders>
              <w:top w:val="single" w:sz="4" w:space="0" w:color="auto"/>
              <w:bottom w:val="single" w:sz="4" w:space="0" w:color="auto"/>
            </w:tcBorders>
            <w:shd w:val="clear" w:color="auto" w:fill="CCFFFF"/>
            <w:vAlign w:val="center"/>
          </w:tcPr>
          <w:p w:rsidR="00F777B4" w:rsidRPr="00526311" w:rsidRDefault="00F777B4" w:rsidP="0063039A">
            <w:pPr>
              <w:tabs>
                <w:tab w:val="left" w:pos="1452"/>
              </w:tabs>
              <w:ind w:left="1701" w:hanging="1701"/>
              <w:rPr>
                <w:b/>
                <w:bCs/>
                <w:sz w:val="16"/>
                <w:szCs w:val="16"/>
              </w:rPr>
            </w:pPr>
            <w:r w:rsidRPr="00526311">
              <w:rPr>
                <w:b/>
                <w:bCs/>
                <w:sz w:val="16"/>
                <w:szCs w:val="16"/>
              </w:rPr>
              <w:t>Resultado previsto:</w:t>
            </w:r>
            <w:r w:rsidRPr="00526311">
              <w:rPr>
                <w:bCs/>
                <w:sz w:val="16"/>
                <w:szCs w:val="16"/>
              </w:rPr>
              <w:tab/>
              <w:t>IV.4 Mejora en la infraestructura técnica y de conocimientos de las Oficinas y demás instituciones de P.I. que les permita prestar mejores servicios (más económicos, más rápidos y de mejor calidad) a sus partes interesadas</w:t>
            </w:r>
          </w:p>
        </w:tc>
      </w:tr>
      <w:tr w:rsidR="00F777B4" w:rsidRPr="00526311" w:rsidTr="004F7C21">
        <w:tc>
          <w:tcPr>
            <w:tcW w:w="1137" w:type="pct"/>
            <w:tcBorders>
              <w:top w:val="single" w:sz="4" w:space="0" w:color="auto"/>
            </w:tcBorders>
            <w:shd w:val="clear" w:color="auto" w:fill="auto"/>
            <w:vAlign w:val="center"/>
          </w:tcPr>
          <w:p w:rsidR="00F777B4" w:rsidRPr="00526311" w:rsidRDefault="00F777B4" w:rsidP="0063039A">
            <w:pPr>
              <w:rPr>
                <w:sz w:val="16"/>
                <w:szCs w:val="16"/>
              </w:rPr>
            </w:pPr>
            <w:r w:rsidRPr="00526311">
              <w:rPr>
                <w:b/>
                <w:sz w:val="16"/>
                <w:szCs w:val="16"/>
              </w:rPr>
              <w:t>Indicadores de rendimiento</w:t>
            </w:r>
          </w:p>
        </w:tc>
        <w:tc>
          <w:tcPr>
            <w:tcW w:w="1368" w:type="pct"/>
            <w:gridSpan w:val="2"/>
            <w:tcBorders>
              <w:top w:val="single" w:sz="4" w:space="0" w:color="auto"/>
            </w:tcBorders>
            <w:shd w:val="clear" w:color="auto" w:fill="auto"/>
            <w:vAlign w:val="center"/>
          </w:tcPr>
          <w:p w:rsidR="00F777B4" w:rsidRPr="00526311" w:rsidRDefault="00F777B4" w:rsidP="0063039A">
            <w:pPr>
              <w:rPr>
                <w:b/>
                <w:bCs/>
                <w:sz w:val="16"/>
                <w:szCs w:val="16"/>
              </w:rPr>
            </w:pPr>
            <w:r w:rsidRPr="00526311">
              <w:rPr>
                <w:b/>
                <w:bCs/>
                <w:sz w:val="16"/>
                <w:szCs w:val="16"/>
              </w:rPr>
              <w:t>Referencia</w:t>
            </w:r>
          </w:p>
        </w:tc>
        <w:tc>
          <w:tcPr>
            <w:tcW w:w="678" w:type="pct"/>
            <w:tcBorders>
              <w:top w:val="single" w:sz="4" w:space="0" w:color="auto"/>
            </w:tcBorders>
            <w:shd w:val="clear" w:color="auto" w:fill="auto"/>
            <w:tcMar>
              <w:top w:w="110" w:type="dxa"/>
            </w:tcMar>
            <w:vAlign w:val="center"/>
          </w:tcPr>
          <w:p w:rsidR="00F777B4" w:rsidRPr="00526311" w:rsidRDefault="00F777B4" w:rsidP="0063039A">
            <w:pPr>
              <w:rPr>
                <w:b/>
                <w:sz w:val="16"/>
                <w:szCs w:val="16"/>
              </w:rPr>
            </w:pPr>
            <w:r w:rsidRPr="00526311">
              <w:rPr>
                <w:b/>
                <w:sz w:val="16"/>
                <w:szCs w:val="16"/>
              </w:rPr>
              <w:t>Objetivos</w:t>
            </w:r>
          </w:p>
        </w:tc>
        <w:tc>
          <w:tcPr>
            <w:tcW w:w="1214" w:type="pct"/>
            <w:gridSpan w:val="2"/>
            <w:tcBorders>
              <w:top w:val="single" w:sz="4" w:space="0" w:color="auto"/>
            </w:tcBorders>
            <w:shd w:val="clear" w:color="auto" w:fill="FFFFFF"/>
            <w:tcMar>
              <w:top w:w="110" w:type="dxa"/>
            </w:tcMar>
            <w:vAlign w:val="center"/>
          </w:tcPr>
          <w:p w:rsidR="00F777B4" w:rsidRPr="00526311" w:rsidRDefault="00F777B4" w:rsidP="0063039A">
            <w:pPr>
              <w:rPr>
                <w:sz w:val="16"/>
                <w:szCs w:val="16"/>
              </w:rPr>
            </w:pPr>
            <w:r w:rsidRPr="00526311">
              <w:rPr>
                <w:b/>
                <w:sz w:val="16"/>
                <w:szCs w:val="16"/>
              </w:rPr>
              <w:t>Datos sobre el rendimiento</w:t>
            </w:r>
          </w:p>
        </w:tc>
        <w:tc>
          <w:tcPr>
            <w:tcW w:w="604" w:type="pct"/>
            <w:gridSpan w:val="2"/>
            <w:tcBorders>
              <w:top w:val="single" w:sz="4" w:space="0" w:color="auto"/>
            </w:tcBorders>
            <w:shd w:val="clear" w:color="auto" w:fill="auto"/>
            <w:tcMar>
              <w:top w:w="110" w:type="dxa"/>
            </w:tcMar>
            <w:vAlign w:val="center"/>
          </w:tcPr>
          <w:p w:rsidR="00F777B4" w:rsidRPr="00526311" w:rsidRDefault="00F777B4" w:rsidP="0063039A">
            <w:pPr>
              <w:keepNext/>
              <w:keepLines/>
              <w:ind w:left="-111"/>
              <w:jc w:val="center"/>
              <w:rPr>
                <w:b/>
                <w:bCs/>
                <w:sz w:val="16"/>
                <w:szCs w:val="16"/>
              </w:rPr>
            </w:pPr>
            <w:r w:rsidRPr="00526311">
              <w:rPr>
                <w:b/>
                <w:bCs/>
                <w:sz w:val="16"/>
                <w:szCs w:val="16"/>
              </w:rPr>
              <w:t>Clave de colores</w:t>
            </w:r>
          </w:p>
        </w:tc>
      </w:tr>
      <w:tr w:rsidR="00F777B4" w:rsidRPr="00526311" w:rsidTr="004F7C21">
        <w:tc>
          <w:tcPr>
            <w:tcW w:w="1137" w:type="pct"/>
            <w:shd w:val="clear" w:color="auto" w:fill="auto"/>
          </w:tcPr>
          <w:p w:rsidR="00F777B4" w:rsidRPr="00526311" w:rsidRDefault="00F777B4" w:rsidP="0063039A">
            <w:pPr>
              <w:rPr>
                <w:sz w:val="16"/>
                <w:szCs w:val="16"/>
                <w:lang w:bidi="th-TH"/>
              </w:rPr>
            </w:pPr>
            <w:r w:rsidRPr="00526311">
              <w:rPr>
                <w:sz w:val="16"/>
                <w:szCs w:val="16"/>
                <w:lang w:bidi="th-TH"/>
              </w:rPr>
              <w:t>Número de gobiernos y OGC que firman acuerdos con la OMPI para reestructurar WIPOCOS.</w:t>
            </w:r>
          </w:p>
        </w:tc>
        <w:tc>
          <w:tcPr>
            <w:tcW w:w="1368" w:type="pct"/>
            <w:gridSpan w:val="2"/>
            <w:shd w:val="clear" w:color="auto" w:fill="auto"/>
          </w:tcPr>
          <w:p w:rsidR="00F777B4" w:rsidRPr="00526311" w:rsidRDefault="00F777B4" w:rsidP="0063039A">
            <w:pPr>
              <w:rPr>
                <w:color w:val="808080"/>
                <w:sz w:val="16"/>
                <w:szCs w:val="16"/>
                <w:lang w:bidi="th-TH"/>
              </w:rPr>
            </w:pPr>
            <w:r w:rsidRPr="00526311">
              <w:rPr>
                <w:sz w:val="16"/>
                <w:szCs w:val="16"/>
                <w:lang w:bidi="th-TH"/>
              </w:rPr>
              <w:t>Aún no se ha iniciado</w:t>
            </w:r>
            <w:r w:rsidRPr="00526311">
              <w:rPr>
                <w:color w:val="808080"/>
                <w:sz w:val="16"/>
                <w:szCs w:val="16"/>
                <w:lang w:bidi="th-TH"/>
              </w:rPr>
              <w:t>.</w:t>
            </w:r>
          </w:p>
        </w:tc>
        <w:tc>
          <w:tcPr>
            <w:tcW w:w="678" w:type="pct"/>
            <w:shd w:val="clear" w:color="auto" w:fill="auto"/>
            <w:tcMar>
              <w:top w:w="110" w:type="dxa"/>
            </w:tcMar>
          </w:tcPr>
          <w:p w:rsidR="00F777B4" w:rsidRPr="00526311" w:rsidRDefault="00F777B4" w:rsidP="0063039A">
            <w:pPr>
              <w:pStyle w:val="Default"/>
              <w:rPr>
                <w:color w:val="808080"/>
                <w:sz w:val="16"/>
                <w:szCs w:val="16"/>
                <w:lang w:val="es-ES" w:bidi="th-TH"/>
              </w:rPr>
            </w:pPr>
            <w:r w:rsidRPr="00526311">
              <w:rPr>
                <w:color w:val="auto"/>
                <w:sz w:val="16"/>
                <w:szCs w:val="16"/>
                <w:lang w:val="es-ES" w:bidi="th-TH"/>
              </w:rPr>
              <w:t>Cuatro gobiernos y cinco OGC.</w:t>
            </w:r>
          </w:p>
        </w:tc>
        <w:tc>
          <w:tcPr>
            <w:tcW w:w="1214" w:type="pct"/>
            <w:gridSpan w:val="2"/>
            <w:shd w:val="clear" w:color="auto" w:fill="FFFFFF"/>
            <w:tcMar>
              <w:top w:w="110" w:type="dxa"/>
            </w:tcMar>
          </w:tcPr>
          <w:p w:rsidR="00F777B4" w:rsidRPr="00526311" w:rsidRDefault="00F777B4" w:rsidP="0063039A">
            <w:pPr>
              <w:rPr>
                <w:sz w:val="16"/>
                <w:szCs w:val="16"/>
                <w:lang w:bidi="th-TH"/>
              </w:rPr>
            </w:pPr>
            <w:r w:rsidRPr="00526311">
              <w:rPr>
                <w:sz w:val="16"/>
                <w:szCs w:val="16"/>
                <w:lang w:bidi="th-TH"/>
              </w:rPr>
              <w:t>Siete gobiernos (Chad, Rep. Dem. del Congo, Malasia, Malí, Nepal, Filipinas y Uganda) y 43 organismos de gestión colectiva</w:t>
            </w:r>
          </w:p>
        </w:tc>
        <w:tc>
          <w:tcPr>
            <w:tcW w:w="604" w:type="pct"/>
            <w:gridSpan w:val="2"/>
            <w:shd w:val="clear" w:color="auto" w:fill="auto"/>
            <w:tcMar>
              <w:top w:w="110" w:type="dxa"/>
            </w:tcMar>
          </w:tcPr>
          <w:p w:rsidR="00F777B4" w:rsidRPr="00526311" w:rsidRDefault="00F777B4" w:rsidP="0063039A">
            <w:pPr>
              <w:keepNext/>
              <w:keepLines/>
              <w:ind w:left="-111"/>
              <w:jc w:val="center"/>
              <w:rPr>
                <w:bCs/>
                <w:color w:val="00B050"/>
                <w:sz w:val="16"/>
                <w:szCs w:val="16"/>
              </w:rPr>
            </w:pPr>
            <w:r w:rsidRPr="00526311">
              <w:rPr>
                <w:b/>
                <w:bCs/>
                <w:color w:val="00B050"/>
                <w:sz w:val="16"/>
                <w:szCs w:val="16"/>
              </w:rPr>
              <w:t>Avanza</w:t>
            </w:r>
          </w:p>
        </w:tc>
      </w:tr>
      <w:tr w:rsidR="00F777B4" w:rsidRPr="00526311" w:rsidTr="004F7C21">
        <w:tc>
          <w:tcPr>
            <w:tcW w:w="1137" w:type="pct"/>
            <w:tcBorders>
              <w:bottom w:val="nil"/>
            </w:tcBorders>
            <w:shd w:val="clear" w:color="auto" w:fill="auto"/>
          </w:tcPr>
          <w:p w:rsidR="00F777B4" w:rsidRPr="00526311" w:rsidRDefault="00F777B4" w:rsidP="00AE0F76">
            <w:pPr>
              <w:rPr>
                <w:sz w:val="16"/>
                <w:szCs w:val="16"/>
                <w:lang w:bidi="th-TH"/>
              </w:rPr>
            </w:pPr>
            <w:r w:rsidRPr="00526311">
              <w:rPr>
                <w:sz w:val="16"/>
                <w:szCs w:val="16"/>
                <w:lang w:bidi="th-TH"/>
              </w:rPr>
              <w:t xml:space="preserve">Número de OGC en países en desarrollo y PMA que </w:t>
            </w:r>
            <w:r w:rsidR="00AE0F76" w:rsidRPr="00526311">
              <w:rPr>
                <w:sz w:val="16"/>
                <w:szCs w:val="16"/>
                <w:lang w:bidi="th-TH"/>
              </w:rPr>
              <w:t>participan en redes regionales y mundiales facilitadas por la OMPI.</w:t>
            </w:r>
          </w:p>
        </w:tc>
        <w:tc>
          <w:tcPr>
            <w:tcW w:w="1368" w:type="pct"/>
            <w:gridSpan w:val="2"/>
            <w:tcBorders>
              <w:bottom w:val="nil"/>
            </w:tcBorders>
            <w:shd w:val="clear" w:color="auto" w:fill="auto"/>
          </w:tcPr>
          <w:p w:rsidR="00F777B4" w:rsidRPr="00526311" w:rsidRDefault="00F777B4" w:rsidP="0063039A">
            <w:pPr>
              <w:autoSpaceDE w:val="0"/>
              <w:autoSpaceDN w:val="0"/>
              <w:adjustRightInd w:val="0"/>
              <w:rPr>
                <w:sz w:val="16"/>
                <w:szCs w:val="16"/>
              </w:rPr>
            </w:pPr>
            <w:r w:rsidRPr="00526311">
              <w:rPr>
                <w:sz w:val="16"/>
                <w:szCs w:val="16"/>
                <w:lang w:bidi="th-TH"/>
              </w:rPr>
              <w:t>0 (cero)</w:t>
            </w:r>
          </w:p>
        </w:tc>
        <w:tc>
          <w:tcPr>
            <w:tcW w:w="678" w:type="pct"/>
            <w:tcBorders>
              <w:bottom w:val="nil"/>
            </w:tcBorders>
            <w:shd w:val="clear" w:color="auto" w:fill="auto"/>
            <w:tcMar>
              <w:top w:w="110" w:type="dxa"/>
            </w:tcMar>
          </w:tcPr>
          <w:p w:rsidR="00F777B4" w:rsidRPr="00526311" w:rsidRDefault="00F777B4" w:rsidP="0063039A">
            <w:pPr>
              <w:rPr>
                <w:sz w:val="16"/>
                <w:szCs w:val="16"/>
                <w:lang w:bidi="th-TH"/>
              </w:rPr>
            </w:pPr>
            <w:r w:rsidRPr="00526311">
              <w:rPr>
                <w:rFonts w:eastAsia="Batang"/>
                <w:sz w:val="16"/>
                <w:szCs w:val="16"/>
                <w:lang w:eastAsia="ja-JP"/>
              </w:rPr>
              <w:t>10</w:t>
            </w:r>
          </w:p>
        </w:tc>
        <w:tc>
          <w:tcPr>
            <w:tcW w:w="1214" w:type="pct"/>
            <w:gridSpan w:val="2"/>
            <w:tcBorders>
              <w:bottom w:val="nil"/>
            </w:tcBorders>
            <w:shd w:val="clear" w:color="auto" w:fill="FFFFFF"/>
            <w:tcMar>
              <w:top w:w="110" w:type="dxa"/>
            </w:tcMar>
          </w:tcPr>
          <w:p w:rsidR="00F777B4" w:rsidRPr="00526311" w:rsidRDefault="00F777B4" w:rsidP="0063039A">
            <w:pPr>
              <w:rPr>
                <w:sz w:val="16"/>
                <w:szCs w:val="16"/>
                <w:lang w:bidi="th-TH"/>
              </w:rPr>
            </w:pPr>
            <w:r w:rsidRPr="00526311">
              <w:rPr>
                <w:sz w:val="16"/>
                <w:szCs w:val="16"/>
                <w:lang w:bidi="th-TH"/>
              </w:rPr>
              <w:t>13</w:t>
            </w:r>
          </w:p>
        </w:tc>
        <w:tc>
          <w:tcPr>
            <w:tcW w:w="604" w:type="pct"/>
            <w:gridSpan w:val="2"/>
            <w:tcBorders>
              <w:bottom w:val="nil"/>
            </w:tcBorders>
            <w:shd w:val="clear" w:color="auto" w:fill="auto"/>
          </w:tcPr>
          <w:p w:rsidR="00F777B4" w:rsidRPr="00526311" w:rsidRDefault="00F777B4" w:rsidP="0063039A">
            <w:pPr>
              <w:keepNext/>
              <w:keepLines/>
              <w:ind w:left="-111"/>
              <w:jc w:val="center"/>
              <w:rPr>
                <w:bCs/>
                <w:color w:val="00B050"/>
                <w:sz w:val="16"/>
                <w:szCs w:val="16"/>
              </w:rPr>
            </w:pPr>
            <w:r w:rsidRPr="00526311">
              <w:rPr>
                <w:b/>
                <w:bCs/>
                <w:color w:val="00B050"/>
                <w:sz w:val="16"/>
                <w:szCs w:val="16"/>
              </w:rPr>
              <w:t>Avanza</w:t>
            </w:r>
          </w:p>
        </w:tc>
      </w:tr>
      <w:tr w:rsidR="00F777B4" w:rsidRPr="00526311" w:rsidTr="004F7C21">
        <w:tc>
          <w:tcPr>
            <w:tcW w:w="1137" w:type="pct"/>
            <w:tcBorders>
              <w:top w:val="nil"/>
              <w:bottom w:val="single" w:sz="4" w:space="0" w:color="auto"/>
            </w:tcBorders>
            <w:shd w:val="clear" w:color="auto" w:fill="auto"/>
          </w:tcPr>
          <w:p w:rsidR="00F777B4" w:rsidRPr="00526311" w:rsidRDefault="00F777B4" w:rsidP="0063039A">
            <w:pPr>
              <w:rPr>
                <w:sz w:val="16"/>
                <w:szCs w:val="16"/>
                <w:lang w:bidi="th-TH"/>
              </w:rPr>
            </w:pPr>
            <w:r w:rsidRPr="00526311">
              <w:rPr>
                <w:sz w:val="16"/>
                <w:szCs w:val="16"/>
                <w:lang w:bidi="th-TH"/>
              </w:rPr>
              <w:t>Porcentaje de gobiernos que informan favorablemente acerca de la eficacia y la gobernanza de las oficinas de derecho de autor y otras instituciones en el país.</w:t>
            </w:r>
          </w:p>
        </w:tc>
        <w:tc>
          <w:tcPr>
            <w:tcW w:w="1368" w:type="pct"/>
            <w:gridSpan w:val="2"/>
            <w:tcBorders>
              <w:top w:val="nil"/>
              <w:bottom w:val="single" w:sz="4" w:space="0" w:color="auto"/>
            </w:tcBorders>
            <w:shd w:val="clear" w:color="auto" w:fill="auto"/>
          </w:tcPr>
          <w:p w:rsidR="00F777B4" w:rsidRPr="00526311" w:rsidRDefault="00F777B4" w:rsidP="0063039A">
            <w:pPr>
              <w:rPr>
                <w:i/>
                <w:color w:val="002060"/>
                <w:sz w:val="16"/>
                <w:szCs w:val="16"/>
                <w:lang w:bidi="th-TH"/>
              </w:rPr>
            </w:pPr>
            <w:r w:rsidRPr="00526311">
              <w:rPr>
                <w:i/>
                <w:color w:val="002060"/>
                <w:sz w:val="16"/>
                <w:szCs w:val="16"/>
                <w:lang w:bidi="th-TH"/>
              </w:rPr>
              <w:t xml:space="preserve">Referencia actualizada a fines de 2013: </w:t>
            </w:r>
            <w:r w:rsidR="008F5325" w:rsidRPr="00526311">
              <w:rPr>
                <w:i/>
                <w:color w:val="002060"/>
                <w:sz w:val="16"/>
                <w:szCs w:val="16"/>
                <w:lang w:bidi="th-TH"/>
              </w:rPr>
              <w:t xml:space="preserve"> </w:t>
            </w:r>
            <w:r w:rsidRPr="00526311">
              <w:rPr>
                <w:color w:val="002060"/>
                <w:sz w:val="16"/>
                <w:szCs w:val="16"/>
                <w:lang w:bidi="th-TH"/>
              </w:rPr>
              <w:t>Más del 70% de los gobiernos que recibieron asistencia informaron favorablemente respecto de la mejora de la eficacia y gobernanza de las instituciones pertinentes en el país después de la formación.</w:t>
            </w:r>
          </w:p>
          <w:p w:rsidR="00F777B4" w:rsidRPr="00526311" w:rsidRDefault="00F777B4" w:rsidP="0063039A">
            <w:pPr>
              <w:rPr>
                <w:i/>
                <w:sz w:val="6"/>
                <w:szCs w:val="6"/>
                <w:lang w:bidi="th-TH"/>
              </w:rPr>
            </w:pPr>
          </w:p>
          <w:p w:rsidR="00F777B4" w:rsidRPr="00526311" w:rsidRDefault="007B705E" w:rsidP="0063039A">
            <w:pPr>
              <w:pStyle w:val="Default"/>
              <w:rPr>
                <w:i/>
                <w:color w:val="002060"/>
                <w:sz w:val="16"/>
                <w:szCs w:val="16"/>
                <w:lang w:val="es-ES"/>
              </w:rPr>
            </w:pPr>
            <w:r w:rsidRPr="00526311">
              <w:rPr>
                <w:i/>
                <w:sz w:val="16"/>
                <w:szCs w:val="16"/>
                <w:lang w:val="es-ES" w:bidi="th-TH"/>
              </w:rPr>
              <w:t>Referencia original en el presupuesto de 2014/15</w:t>
            </w:r>
            <w:r w:rsidR="00F777B4" w:rsidRPr="00526311">
              <w:rPr>
                <w:i/>
                <w:sz w:val="16"/>
                <w:szCs w:val="16"/>
                <w:lang w:val="es-ES" w:bidi="th-TH"/>
              </w:rPr>
              <w:t xml:space="preserve">:  </w:t>
            </w:r>
            <w:r w:rsidR="00F777B4" w:rsidRPr="00526311">
              <w:rPr>
                <w:sz w:val="16"/>
                <w:szCs w:val="16"/>
                <w:lang w:val="es-ES" w:bidi="th-TH"/>
              </w:rPr>
              <w:t xml:space="preserve">Índice de satisfacción del 80% </w:t>
            </w:r>
          </w:p>
        </w:tc>
        <w:tc>
          <w:tcPr>
            <w:tcW w:w="678" w:type="pct"/>
            <w:tcBorders>
              <w:top w:val="nil"/>
              <w:bottom w:val="single" w:sz="4" w:space="0" w:color="auto"/>
            </w:tcBorders>
            <w:shd w:val="clear" w:color="auto" w:fill="auto"/>
            <w:tcMar>
              <w:top w:w="110" w:type="dxa"/>
            </w:tcMar>
          </w:tcPr>
          <w:p w:rsidR="00F777B4" w:rsidRPr="00526311" w:rsidRDefault="00F777B4" w:rsidP="0063039A">
            <w:pPr>
              <w:rPr>
                <w:rFonts w:eastAsia="Batang"/>
                <w:sz w:val="16"/>
                <w:szCs w:val="16"/>
                <w:lang w:eastAsia="ja-JP"/>
              </w:rPr>
            </w:pPr>
            <w:r w:rsidRPr="00526311">
              <w:rPr>
                <w:rFonts w:eastAsia="Batang"/>
                <w:sz w:val="16"/>
                <w:szCs w:val="16"/>
                <w:lang w:eastAsia="ja-JP"/>
              </w:rPr>
              <w:t>El 80% de los países que recibieron asistencia técnica</w:t>
            </w:r>
            <w:r w:rsidRPr="00526311">
              <w:rPr>
                <w:rFonts w:eastAsia="Batang"/>
                <w:color w:val="FF00FF"/>
                <w:sz w:val="16"/>
                <w:szCs w:val="16"/>
                <w:lang w:eastAsia="ja-JP"/>
              </w:rPr>
              <w:t>.</w:t>
            </w:r>
          </w:p>
        </w:tc>
        <w:tc>
          <w:tcPr>
            <w:tcW w:w="1214" w:type="pct"/>
            <w:gridSpan w:val="2"/>
            <w:tcBorders>
              <w:top w:val="nil"/>
              <w:bottom w:val="single" w:sz="4" w:space="0" w:color="auto"/>
            </w:tcBorders>
            <w:shd w:val="clear" w:color="auto" w:fill="FFFFFF"/>
            <w:tcMar>
              <w:top w:w="110" w:type="dxa"/>
            </w:tcMar>
          </w:tcPr>
          <w:p w:rsidR="00F777B4" w:rsidRPr="00526311" w:rsidRDefault="00F777B4" w:rsidP="0063039A">
            <w:pPr>
              <w:rPr>
                <w:sz w:val="16"/>
                <w:szCs w:val="16"/>
                <w:lang w:bidi="th-TH"/>
              </w:rPr>
            </w:pPr>
            <w:r w:rsidRPr="00526311">
              <w:rPr>
                <w:sz w:val="16"/>
                <w:szCs w:val="16"/>
                <w:lang w:bidi="th-TH"/>
              </w:rPr>
              <w:t>Más del 80%</w:t>
            </w:r>
          </w:p>
        </w:tc>
        <w:tc>
          <w:tcPr>
            <w:tcW w:w="604" w:type="pct"/>
            <w:gridSpan w:val="2"/>
            <w:tcBorders>
              <w:top w:val="nil"/>
              <w:bottom w:val="single" w:sz="4" w:space="0" w:color="auto"/>
            </w:tcBorders>
            <w:shd w:val="clear" w:color="auto" w:fill="auto"/>
          </w:tcPr>
          <w:p w:rsidR="00F777B4" w:rsidRPr="00526311" w:rsidRDefault="00F777B4" w:rsidP="0063039A">
            <w:pPr>
              <w:keepNext/>
              <w:keepLines/>
              <w:ind w:left="-111"/>
              <w:jc w:val="center"/>
              <w:rPr>
                <w:b/>
                <w:bCs/>
                <w:color w:val="00B050"/>
                <w:sz w:val="16"/>
                <w:szCs w:val="16"/>
              </w:rPr>
            </w:pPr>
            <w:r w:rsidRPr="00526311">
              <w:rPr>
                <w:b/>
                <w:bCs/>
                <w:color w:val="00B050"/>
                <w:sz w:val="16"/>
                <w:szCs w:val="16"/>
              </w:rPr>
              <w:t>Avanza</w:t>
            </w:r>
          </w:p>
        </w:tc>
      </w:tr>
      <w:tr w:rsidR="00F777B4" w:rsidRPr="00526311" w:rsidTr="0063039A">
        <w:trPr>
          <w:trHeight w:val="430"/>
        </w:trPr>
        <w:tc>
          <w:tcPr>
            <w:tcW w:w="5000" w:type="pct"/>
            <w:gridSpan w:val="8"/>
            <w:tcBorders>
              <w:top w:val="single" w:sz="4" w:space="0" w:color="auto"/>
              <w:bottom w:val="single" w:sz="4" w:space="0" w:color="auto"/>
            </w:tcBorders>
            <w:shd w:val="clear" w:color="auto" w:fill="CCFFFF"/>
            <w:vAlign w:val="center"/>
          </w:tcPr>
          <w:p w:rsidR="00F777B4" w:rsidRPr="00526311" w:rsidRDefault="00F777B4" w:rsidP="0063039A">
            <w:pPr>
              <w:keepNext/>
              <w:keepLines/>
              <w:tabs>
                <w:tab w:val="left" w:pos="1452"/>
              </w:tabs>
              <w:ind w:left="1452" w:hanging="1452"/>
              <w:rPr>
                <w:b/>
                <w:bCs/>
                <w:sz w:val="16"/>
                <w:szCs w:val="16"/>
              </w:rPr>
            </w:pPr>
            <w:r w:rsidRPr="00526311">
              <w:rPr>
                <w:b/>
                <w:bCs/>
                <w:sz w:val="16"/>
                <w:szCs w:val="16"/>
              </w:rPr>
              <w:lastRenderedPageBreak/>
              <w:t>Resultado previsto:</w:t>
            </w:r>
            <w:r w:rsidRPr="00526311">
              <w:rPr>
                <w:bCs/>
                <w:sz w:val="16"/>
                <w:szCs w:val="16"/>
              </w:rPr>
              <w:tab/>
              <w:t>V.2 Ampliación y mejora del uso de los análisis económicos de la OMPI en la formulación de políticas</w:t>
            </w:r>
          </w:p>
        </w:tc>
      </w:tr>
      <w:tr w:rsidR="00F777B4" w:rsidRPr="00526311" w:rsidTr="004F7C21">
        <w:tc>
          <w:tcPr>
            <w:tcW w:w="1218" w:type="pct"/>
            <w:gridSpan w:val="2"/>
            <w:tcBorders>
              <w:top w:val="single" w:sz="4" w:space="0" w:color="auto"/>
            </w:tcBorders>
            <w:shd w:val="clear" w:color="auto" w:fill="auto"/>
            <w:vAlign w:val="center"/>
          </w:tcPr>
          <w:p w:rsidR="00F777B4" w:rsidRPr="00526311" w:rsidRDefault="00F777B4" w:rsidP="0063039A">
            <w:pPr>
              <w:keepNext/>
              <w:keepLines/>
              <w:rPr>
                <w:sz w:val="16"/>
                <w:szCs w:val="16"/>
              </w:rPr>
            </w:pPr>
            <w:r w:rsidRPr="00526311">
              <w:rPr>
                <w:b/>
                <w:sz w:val="16"/>
                <w:szCs w:val="16"/>
              </w:rPr>
              <w:t>Indicadores de rendimiento</w:t>
            </w:r>
          </w:p>
        </w:tc>
        <w:tc>
          <w:tcPr>
            <w:tcW w:w="1287" w:type="pct"/>
            <w:tcBorders>
              <w:top w:val="single" w:sz="4" w:space="0" w:color="auto"/>
            </w:tcBorders>
            <w:shd w:val="clear" w:color="auto" w:fill="auto"/>
            <w:vAlign w:val="center"/>
          </w:tcPr>
          <w:p w:rsidR="00F777B4" w:rsidRPr="00526311" w:rsidRDefault="00F777B4" w:rsidP="0063039A">
            <w:pPr>
              <w:keepNext/>
              <w:keepLines/>
              <w:rPr>
                <w:b/>
                <w:bCs/>
                <w:sz w:val="16"/>
                <w:szCs w:val="16"/>
              </w:rPr>
            </w:pPr>
            <w:r w:rsidRPr="00526311">
              <w:rPr>
                <w:b/>
                <w:bCs/>
                <w:sz w:val="16"/>
                <w:szCs w:val="16"/>
              </w:rPr>
              <w:t>Referencia</w:t>
            </w:r>
          </w:p>
        </w:tc>
        <w:tc>
          <w:tcPr>
            <w:tcW w:w="833" w:type="pct"/>
            <w:gridSpan w:val="2"/>
            <w:tcBorders>
              <w:top w:val="single" w:sz="4" w:space="0" w:color="auto"/>
            </w:tcBorders>
            <w:shd w:val="clear" w:color="auto" w:fill="auto"/>
            <w:tcMar>
              <w:top w:w="110" w:type="dxa"/>
            </w:tcMar>
            <w:vAlign w:val="center"/>
          </w:tcPr>
          <w:p w:rsidR="00F777B4" w:rsidRPr="00526311" w:rsidRDefault="00F777B4" w:rsidP="0063039A">
            <w:pPr>
              <w:keepNext/>
              <w:keepLines/>
              <w:rPr>
                <w:b/>
                <w:sz w:val="16"/>
                <w:szCs w:val="16"/>
              </w:rPr>
            </w:pPr>
            <w:r w:rsidRPr="00526311">
              <w:rPr>
                <w:b/>
                <w:sz w:val="16"/>
                <w:szCs w:val="16"/>
              </w:rPr>
              <w:t>Objetivos</w:t>
            </w:r>
          </w:p>
        </w:tc>
        <w:tc>
          <w:tcPr>
            <w:tcW w:w="1134" w:type="pct"/>
            <w:gridSpan w:val="2"/>
            <w:tcBorders>
              <w:top w:val="single" w:sz="4" w:space="0" w:color="auto"/>
            </w:tcBorders>
            <w:shd w:val="clear" w:color="auto" w:fill="FFFFFF"/>
            <w:tcMar>
              <w:top w:w="110" w:type="dxa"/>
            </w:tcMar>
            <w:vAlign w:val="center"/>
          </w:tcPr>
          <w:p w:rsidR="00F777B4" w:rsidRPr="00526311" w:rsidRDefault="00F777B4" w:rsidP="0063039A">
            <w:pPr>
              <w:keepNext/>
              <w:keepLines/>
              <w:rPr>
                <w:sz w:val="16"/>
                <w:szCs w:val="16"/>
              </w:rPr>
            </w:pPr>
            <w:r w:rsidRPr="00526311">
              <w:rPr>
                <w:b/>
                <w:sz w:val="16"/>
                <w:szCs w:val="16"/>
              </w:rPr>
              <w:t>Datos sobre el rendimiento</w:t>
            </w:r>
          </w:p>
        </w:tc>
        <w:tc>
          <w:tcPr>
            <w:tcW w:w="529" w:type="pct"/>
            <w:tcBorders>
              <w:top w:val="single" w:sz="4" w:space="0" w:color="auto"/>
            </w:tcBorders>
            <w:shd w:val="clear" w:color="auto" w:fill="auto"/>
            <w:tcMar>
              <w:top w:w="110" w:type="dxa"/>
            </w:tcMar>
            <w:vAlign w:val="center"/>
          </w:tcPr>
          <w:p w:rsidR="00F777B4" w:rsidRPr="00526311" w:rsidRDefault="00F777B4" w:rsidP="0063039A">
            <w:pPr>
              <w:keepNext/>
              <w:keepLines/>
              <w:ind w:left="-111"/>
              <w:jc w:val="center"/>
              <w:rPr>
                <w:b/>
                <w:bCs/>
                <w:sz w:val="16"/>
                <w:szCs w:val="16"/>
              </w:rPr>
            </w:pPr>
            <w:r w:rsidRPr="00526311">
              <w:rPr>
                <w:b/>
                <w:bCs/>
                <w:sz w:val="16"/>
                <w:szCs w:val="16"/>
              </w:rPr>
              <w:t>Clave de colores</w:t>
            </w:r>
          </w:p>
        </w:tc>
      </w:tr>
      <w:tr w:rsidR="00F777B4" w:rsidRPr="00526311" w:rsidTr="004F7C21">
        <w:tc>
          <w:tcPr>
            <w:tcW w:w="1218" w:type="pct"/>
            <w:gridSpan w:val="2"/>
            <w:shd w:val="clear" w:color="auto" w:fill="auto"/>
          </w:tcPr>
          <w:p w:rsidR="00F777B4" w:rsidRPr="00526311" w:rsidRDefault="00F777B4" w:rsidP="0063039A">
            <w:pPr>
              <w:keepNext/>
              <w:keepLines/>
              <w:rPr>
                <w:sz w:val="16"/>
                <w:szCs w:val="16"/>
                <w:lang w:bidi="th-TH"/>
              </w:rPr>
            </w:pPr>
            <w:r w:rsidRPr="00526311">
              <w:rPr>
                <w:sz w:val="16"/>
                <w:szCs w:val="16"/>
                <w:lang w:bidi="th-TH"/>
              </w:rPr>
              <w:t>Uso de estudios económicos de la OMPI sobre derecho de autor en la toma de decisiones de gobiernos y ONG.</w:t>
            </w:r>
          </w:p>
        </w:tc>
        <w:tc>
          <w:tcPr>
            <w:tcW w:w="1287" w:type="pct"/>
            <w:shd w:val="clear" w:color="auto" w:fill="auto"/>
          </w:tcPr>
          <w:p w:rsidR="00F777B4" w:rsidRPr="00526311" w:rsidRDefault="00F777B4" w:rsidP="0063039A">
            <w:pPr>
              <w:keepNext/>
              <w:keepLines/>
              <w:rPr>
                <w:color w:val="002060"/>
                <w:sz w:val="16"/>
                <w:szCs w:val="16"/>
                <w:lang w:bidi="th-TH"/>
              </w:rPr>
            </w:pPr>
            <w:r w:rsidRPr="00526311">
              <w:rPr>
                <w:i/>
                <w:color w:val="002060"/>
                <w:sz w:val="16"/>
                <w:szCs w:val="16"/>
                <w:lang w:bidi="th-TH"/>
              </w:rPr>
              <w:t>Referencia actualizada a fines de 2013:</w:t>
            </w:r>
            <w:r w:rsidR="00AE0F76" w:rsidRPr="00526311">
              <w:rPr>
                <w:color w:val="002060"/>
                <w:sz w:val="16"/>
                <w:szCs w:val="16"/>
                <w:lang w:bidi="th-TH"/>
              </w:rPr>
              <w:t xml:space="preserve">  </w:t>
            </w:r>
            <w:r w:rsidRPr="00526311">
              <w:rPr>
                <w:color w:val="002060"/>
                <w:sz w:val="16"/>
                <w:szCs w:val="16"/>
                <w:lang w:bidi="th-TH"/>
              </w:rPr>
              <w:t>10 países en 2012/13:  Bulgaria, China, Colombia, Croacia, Jamaica, Kenya, Malasia, la Rep. Unida de Tanzanía, Tailandia, y Trinidad y Tabago.</w:t>
            </w:r>
          </w:p>
          <w:p w:rsidR="00F777B4" w:rsidRPr="00526311" w:rsidRDefault="00F777B4" w:rsidP="0063039A">
            <w:pPr>
              <w:keepNext/>
              <w:keepLines/>
              <w:rPr>
                <w:sz w:val="8"/>
                <w:szCs w:val="8"/>
                <w:lang w:bidi="th-TH"/>
              </w:rPr>
            </w:pPr>
          </w:p>
          <w:p w:rsidR="00F777B4" w:rsidRPr="00526311" w:rsidRDefault="007B705E" w:rsidP="0063039A">
            <w:pPr>
              <w:keepNext/>
              <w:keepLines/>
              <w:rPr>
                <w:sz w:val="16"/>
                <w:szCs w:val="16"/>
                <w:lang w:bidi="th-TH"/>
              </w:rPr>
            </w:pPr>
            <w:r w:rsidRPr="00526311">
              <w:rPr>
                <w:i/>
                <w:sz w:val="16"/>
                <w:szCs w:val="16"/>
                <w:lang w:bidi="th-TH"/>
              </w:rPr>
              <w:t>Referencia original en el presupuesto de 2014/15</w:t>
            </w:r>
            <w:r w:rsidR="00F777B4" w:rsidRPr="00526311">
              <w:rPr>
                <w:sz w:val="16"/>
                <w:szCs w:val="16"/>
                <w:lang w:bidi="th-TH"/>
              </w:rPr>
              <w:t>:  ocho gobiernos u ONG que utilizan los estudios de la OMPI</w:t>
            </w:r>
          </w:p>
          <w:p w:rsidR="00F777B4" w:rsidRPr="00526311" w:rsidRDefault="00F777B4" w:rsidP="0063039A">
            <w:pPr>
              <w:keepNext/>
              <w:keepLines/>
              <w:rPr>
                <w:sz w:val="16"/>
                <w:szCs w:val="16"/>
                <w:lang w:bidi="th-TH"/>
              </w:rPr>
            </w:pPr>
          </w:p>
        </w:tc>
        <w:tc>
          <w:tcPr>
            <w:tcW w:w="833" w:type="pct"/>
            <w:gridSpan w:val="2"/>
            <w:shd w:val="clear" w:color="auto" w:fill="auto"/>
            <w:tcMar>
              <w:top w:w="110" w:type="dxa"/>
            </w:tcMar>
          </w:tcPr>
          <w:p w:rsidR="00F777B4" w:rsidRPr="00526311" w:rsidRDefault="00F777B4" w:rsidP="0063039A">
            <w:pPr>
              <w:keepNext/>
              <w:keepLines/>
              <w:rPr>
                <w:sz w:val="16"/>
                <w:szCs w:val="16"/>
                <w:lang w:bidi="th-TH"/>
              </w:rPr>
            </w:pPr>
            <w:r w:rsidRPr="00526311">
              <w:rPr>
                <w:sz w:val="16"/>
                <w:szCs w:val="16"/>
                <w:lang w:bidi="th-TH"/>
              </w:rPr>
              <w:t>12 gobiernos u ONG que utilizan los estudios de la OMPI (en total).</w:t>
            </w:r>
          </w:p>
        </w:tc>
        <w:tc>
          <w:tcPr>
            <w:tcW w:w="1059" w:type="pct"/>
            <w:shd w:val="clear" w:color="auto" w:fill="FFFFFF"/>
            <w:tcMar>
              <w:top w:w="110" w:type="dxa"/>
            </w:tcMar>
          </w:tcPr>
          <w:p w:rsidR="00F777B4" w:rsidRPr="00526311" w:rsidRDefault="00F777B4" w:rsidP="0063039A">
            <w:pPr>
              <w:keepNext/>
              <w:keepLines/>
              <w:rPr>
                <w:sz w:val="16"/>
                <w:szCs w:val="16"/>
                <w:lang w:bidi="th-TH"/>
              </w:rPr>
            </w:pPr>
            <w:r w:rsidRPr="00526311">
              <w:rPr>
                <w:sz w:val="16"/>
                <w:szCs w:val="16"/>
                <w:lang w:bidi="th-TH"/>
              </w:rPr>
              <w:t xml:space="preserve">Otros ocho países utilizan los estudios de la OMPI (Finlandia, Letonia, Lituania, Malawi, Países Bajos, República de Corea, Serbia, Estados Unidos de América) </w:t>
            </w:r>
          </w:p>
          <w:p w:rsidR="00F777B4" w:rsidRPr="00526311" w:rsidRDefault="00F777B4" w:rsidP="0063039A">
            <w:pPr>
              <w:keepNext/>
              <w:keepLines/>
              <w:rPr>
                <w:sz w:val="16"/>
                <w:szCs w:val="16"/>
                <w:lang w:bidi="th-TH"/>
              </w:rPr>
            </w:pPr>
          </w:p>
          <w:p w:rsidR="00F777B4" w:rsidRPr="00526311" w:rsidRDefault="00F777B4" w:rsidP="0063039A">
            <w:pPr>
              <w:keepNext/>
              <w:keepLines/>
              <w:rPr>
                <w:sz w:val="16"/>
                <w:szCs w:val="16"/>
                <w:lang w:bidi="th-TH"/>
              </w:rPr>
            </w:pPr>
          </w:p>
          <w:p w:rsidR="00F777B4" w:rsidRPr="00526311" w:rsidRDefault="00F777B4" w:rsidP="0063039A">
            <w:pPr>
              <w:keepNext/>
              <w:keepLines/>
              <w:rPr>
                <w:sz w:val="16"/>
                <w:szCs w:val="16"/>
                <w:lang w:bidi="th-TH"/>
              </w:rPr>
            </w:pPr>
            <w:r w:rsidRPr="00526311">
              <w:rPr>
                <w:sz w:val="16"/>
                <w:szCs w:val="16"/>
                <w:lang w:bidi="th-TH"/>
              </w:rPr>
              <w:t>17 países (en total).</w:t>
            </w:r>
          </w:p>
          <w:p w:rsidR="00F777B4" w:rsidRPr="00526311" w:rsidRDefault="00F777B4" w:rsidP="0063039A">
            <w:pPr>
              <w:keepNext/>
              <w:keepLines/>
              <w:rPr>
                <w:sz w:val="16"/>
                <w:szCs w:val="16"/>
                <w:lang w:bidi="th-TH"/>
              </w:rPr>
            </w:pPr>
          </w:p>
          <w:p w:rsidR="00F777B4" w:rsidRPr="00526311" w:rsidRDefault="00F777B4" w:rsidP="0063039A">
            <w:pPr>
              <w:keepNext/>
              <w:keepLines/>
              <w:rPr>
                <w:sz w:val="16"/>
                <w:szCs w:val="16"/>
                <w:lang w:bidi="th-TH"/>
              </w:rPr>
            </w:pPr>
          </w:p>
          <w:p w:rsidR="00F777B4" w:rsidRPr="00526311" w:rsidRDefault="00F777B4" w:rsidP="0063039A">
            <w:pPr>
              <w:keepNext/>
              <w:keepLines/>
              <w:rPr>
                <w:sz w:val="16"/>
                <w:szCs w:val="16"/>
                <w:lang w:bidi="th-TH"/>
              </w:rPr>
            </w:pPr>
          </w:p>
        </w:tc>
        <w:tc>
          <w:tcPr>
            <w:tcW w:w="604" w:type="pct"/>
            <w:gridSpan w:val="2"/>
            <w:shd w:val="clear" w:color="auto" w:fill="auto"/>
            <w:tcMar>
              <w:top w:w="110" w:type="dxa"/>
            </w:tcMar>
          </w:tcPr>
          <w:p w:rsidR="00F777B4" w:rsidRPr="00526311" w:rsidRDefault="00F777B4" w:rsidP="0063039A">
            <w:pPr>
              <w:keepNext/>
              <w:keepLines/>
              <w:ind w:left="-111"/>
              <w:jc w:val="center"/>
              <w:rPr>
                <w:b/>
                <w:color w:val="00B050"/>
                <w:sz w:val="16"/>
                <w:szCs w:val="16"/>
              </w:rPr>
            </w:pPr>
            <w:r w:rsidRPr="00526311">
              <w:rPr>
                <w:b/>
                <w:bCs/>
                <w:color w:val="00B050"/>
                <w:sz w:val="16"/>
                <w:szCs w:val="16"/>
              </w:rPr>
              <w:t>Avanza</w:t>
            </w:r>
          </w:p>
        </w:tc>
      </w:tr>
      <w:tr w:rsidR="00F777B4" w:rsidRPr="00526311" w:rsidTr="004F7C21">
        <w:tc>
          <w:tcPr>
            <w:tcW w:w="1218" w:type="pct"/>
            <w:gridSpan w:val="2"/>
            <w:shd w:val="clear" w:color="auto" w:fill="auto"/>
          </w:tcPr>
          <w:p w:rsidR="00F777B4" w:rsidRPr="00526311" w:rsidRDefault="00F777B4" w:rsidP="0063039A">
            <w:pPr>
              <w:rPr>
                <w:sz w:val="16"/>
                <w:szCs w:val="16"/>
                <w:lang w:bidi="th-TH"/>
              </w:rPr>
            </w:pPr>
            <w:r w:rsidRPr="00526311">
              <w:rPr>
                <w:sz w:val="16"/>
                <w:szCs w:val="16"/>
                <w:lang w:bidi="th-TH"/>
              </w:rPr>
              <w:t xml:space="preserve">Iniciativas nacionales para elaborar nuevas estadísticas sobre las industrias creativas teniendo en cuenta la labor de la OMPI en ese ámbito. </w:t>
            </w:r>
          </w:p>
        </w:tc>
        <w:tc>
          <w:tcPr>
            <w:tcW w:w="1287" w:type="pct"/>
            <w:shd w:val="clear" w:color="auto" w:fill="auto"/>
          </w:tcPr>
          <w:p w:rsidR="00F777B4" w:rsidRPr="00526311" w:rsidRDefault="00F777B4" w:rsidP="0063039A">
            <w:pPr>
              <w:rPr>
                <w:sz w:val="16"/>
                <w:szCs w:val="16"/>
                <w:lang w:bidi="th-TH"/>
              </w:rPr>
            </w:pPr>
            <w:r w:rsidRPr="00526311">
              <w:rPr>
                <w:sz w:val="16"/>
                <w:szCs w:val="16"/>
                <w:lang w:bidi="th-TH"/>
              </w:rPr>
              <w:t>10 iniciativas nacionales (Bulgaria, China, Colombia, Croacia, Jamaica, Kenya, Malasia, Tailandia, Trinidad y Tabago, R. U. de Tanzanía)</w:t>
            </w:r>
          </w:p>
          <w:p w:rsidR="00F777B4" w:rsidRPr="00526311" w:rsidRDefault="00F777B4" w:rsidP="0063039A">
            <w:pPr>
              <w:rPr>
                <w:sz w:val="16"/>
                <w:szCs w:val="16"/>
                <w:lang w:bidi="th-TH"/>
              </w:rPr>
            </w:pPr>
          </w:p>
        </w:tc>
        <w:tc>
          <w:tcPr>
            <w:tcW w:w="833" w:type="pct"/>
            <w:gridSpan w:val="2"/>
            <w:shd w:val="clear" w:color="auto" w:fill="auto"/>
            <w:tcMar>
              <w:top w:w="110" w:type="dxa"/>
            </w:tcMar>
          </w:tcPr>
          <w:p w:rsidR="00F777B4" w:rsidRPr="00526311" w:rsidRDefault="00F777B4" w:rsidP="0063039A">
            <w:pPr>
              <w:pStyle w:val="Default"/>
              <w:rPr>
                <w:color w:val="auto"/>
                <w:sz w:val="16"/>
                <w:szCs w:val="16"/>
                <w:lang w:val="es-ES"/>
              </w:rPr>
            </w:pPr>
            <w:r w:rsidRPr="00526311">
              <w:rPr>
                <w:color w:val="auto"/>
                <w:sz w:val="16"/>
                <w:szCs w:val="16"/>
                <w:lang w:val="es-ES"/>
              </w:rPr>
              <w:t>15 iniciativas nacionales (en total)</w:t>
            </w:r>
          </w:p>
        </w:tc>
        <w:tc>
          <w:tcPr>
            <w:tcW w:w="1059" w:type="pct"/>
            <w:shd w:val="clear" w:color="auto" w:fill="FFFFFF"/>
            <w:tcMar>
              <w:top w:w="110" w:type="dxa"/>
            </w:tcMar>
          </w:tcPr>
          <w:p w:rsidR="00F777B4" w:rsidRPr="00526311" w:rsidRDefault="00AE0F76" w:rsidP="0063039A">
            <w:pPr>
              <w:rPr>
                <w:sz w:val="16"/>
                <w:szCs w:val="16"/>
                <w:lang w:bidi="th-TH"/>
              </w:rPr>
            </w:pPr>
            <w:r w:rsidRPr="00526311">
              <w:rPr>
                <w:sz w:val="16"/>
                <w:szCs w:val="16"/>
                <w:lang w:bidi="th-TH"/>
              </w:rPr>
              <w:t>6</w:t>
            </w:r>
            <w:r w:rsidR="00F777B4" w:rsidRPr="00526311">
              <w:rPr>
                <w:sz w:val="16"/>
                <w:szCs w:val="16"/>
                <w:lang w:bidi="th-TH"/>
              </w:rPr>
              <w:t xml:space="preserve"> nueva</w:t>
            </w:r>
            <w:r w:rsidRPr="00526311">
              <w:rPr>
                <w:sz w:val="16"/>
                <w:szCs w:val="16"/>
                <w:lang w:bidi="th-TH"/>
              </w:rPr>
              <w:t>s</w:t>
            </w:r>
            <w:r w:rsidR="00F777B4" w:rsidRPr="00526311">
              <w:rPr>
                <w:sz w:val="16"/>
                <w:szCs w:val="16"/>
                <w:lang w:bidi="th-TH"/>
              </w:rPr>
              <w:t xml:space="preserve"> iniciativa</w:t>
            </w:r>
            <w:r w:rsidRPr="00526311">
              <w:rPr>
                <w:sz w:val="16"/>
                <w:szCs w:val="16"/>
                <w:lang w:bidi="th-TH"/>
              </w:rPr>
              <w:t>s</w:t>
            </w:r>
            <w:r w:rsidR="00F777B4" w:rsidRPr="00526311">
              <w:rPr>
                <w:sz w:val="16"/>
                <w:szCs w:val="16"/>
                <w:lang w:bidi="th-TH"/>
              </w:rPr>
              <w:t xml:space="preserve"> nacional</w:t>
            </w:r>
            <w:r w:rsidRPr="00526311">
              <w:rPr>
                <w:sz w:val="16"/>
                <w:szCs w:val="16"/>
                <w:lang w:bidi="th-TH"/>
              </w:rPr>
              <w:t>es</w:t>
            </w:r>
            <w:r w:rsidR="00F777B4" w:rsidRPr="00526311">
              <w:rPr>
                <w:sz w:val="16"/>
                <w:szCs w:val="16"/>
                <w:lang w:bidi="th-TH"/>
              </w:rPr>
              <w:t xml:space="preserve"> (</w:t>
            </w:r>
            <w:r w:rsidRPr="00526311">
              <w:rPr>
                <w:sz w:val="16"/>
                <w:szCs w:val="16"/>
                <w:lang w:bidi="th-TH"/>
              </w:rPr>
              <w:t xml:space="preserve">Australia (2), </w:t>
            </w:r>
            <w:r w:rsidR="00F777B4" w:rsidRPr="00526311">
              <w:rPr>
                <w:sz w:val="16"/>
                <w:szCs w:val="16"/>
                <w:lang w:bidi="th-TH"/>
              </w:rPr>
              <w:t>Finlandia</w:t>
            </w:r>
            <w:r w:rsidRPr="00526311">
              <w:rPr>
                <w:sz w:val="16"/>
                <w:szCs w:val="16"/>
                <w:lang w:bidi="th-TH"/>
              </w:rPr>
              <w:t>, Lituania, Países Bajos, Estados Unidos de América</w:t>
            </w:r>
            <w:r w:rsidR="00F777B4" w:rsidRPr="00526311">
              <w:rPr>
                <w:sz w:val="16"/>
                <w:szCs w:val="16"/>
                <w:lang w:bidi="th-TH"/>
              </w:rPr>
              <w:t>) en 2014</w:t>
            </w:r>
          </w:p>
          <w:p w:rsidR="00F777B4" w:rsidRPr="00526311" w:rsidRDefault="00F777B4" w:rsidP="0063039A">
            <w:pPr>
              <w:rPr>
                <w:sz w:val="16"/>
                <w:szCs w:val="16"/>
                <w:lang w:bidi="th-TH"/>
              </w:rPr>
            </w:pPr>
          </w:p>
          <w:p w:rsidR="00F777B4" w:rsidRPr="00526311" w:rsidRDefault="00AE0F76" w:rsidP="0063039A">
            <w:pPr>
              <w:rPr>
                <w:sz w:val="16"/>
                <w:szCs w:val="16"/>
                <w:lang w:bidi="th-TH"/>
              </w:rPr>
            </w:pPr>
            <w:r w:rsidRPr="00526311">
              <w:rPr>
                <w:sz w:val="16"/>
                <w:szCs w:val="16"/>
                <w:lang w:bidi="th-TH"/>
              </w:rPr>
              <w:t>16</w:t>
            </w:r>
            <w:r w:rsidR="00F777B4" w:rsidRPr="00526311">
              <w:rPr>
                <w:sz w:val="16"/>
                <w:szCs w:val="16"/>
                <w:lang w:bidi="th-TH"/>
              </w:rPr>
              <w:t xml:space="preserve"> iniciativas nacionales (en total)</w:t>
            </w:r>
            <w:r w:rsidR="00F777B4" w:rsidRPr="00526311">
              <w:rPr>
                <w:sz w:val="16"/>
                <w:szCs w:val="16"/>
                <w:lang w:bidi="th-TH"/>
              </w:rPr>
              <w:br/>
            </w:r>
          </w:p>
        </w:tc>
        <w:tc>
          <w:tcPr>
            <w:tcW w:w="604" w:type="pct"/>
            <w:gridSpan w:val="2"/>
            <w:shd w:val="clear" w:color="auto" w:fill="auto"/>
          </w:tcPr>
          <w:p w:rsidR="00F777B4" w:rsidRPr="00526311" w:rsidRDefault="00AE0F76" w:rsidP="0063039A">
            <w:pPr>
              <w:keepNext/>
              <w:keepLines/>
              <w:ind w:left="-108"/>
              <w:jc w:val="center"/>
              <w:rPr>
                <w:color w:val="FF0000"/>
                <w:sz w:val="16"/>
                <w:szCs w:val="16"/>
              </w:rPr>
            </w:pPr>
            <w:r w:rsidRPr="00526311">
              <w:rPr>
                <w:b/>
                <w:bCs/>
                <w:color w:val="00B050"/>
                <w:sz w:val="16"/>
                <w:szCs w:val="16"/>
              </w:rPr>
              <w:t>Avanza</w:t>
            </w:r>
          </w:p>
        </w:tc>
      </w:tr>
    </w:tbl>
    <w:p w:rsidR="00F777B4" w:rsidRPr="00526311" w:rsidRDefault="00F777B4" w:rsidP="0063039A">
      <w:pPr>
        <w:rPr>
          <w:sz w:val="20"/>
        </w:rPr>
      </w:pPr>
    </w:p>
    <w:p w:rsidR="00F777B4" w:rsidRPr="00526311" w:rsidRDefault="00F777B4" w:rsidP="0063039A">
      <w:pPr>
        <w:rPr>
          <w:color w:val="000000"/>
          <w:sz w:val="20"/>
          <w:szCs w:val="22"/>
        </w:rPr>
      </w:pPr>
    </w:p>
    <w:p w:rsidR="00F777B4" w:rsidRPr="00526311" w:rsidRDefault="00F777B4" w:rsidP="0063039A">
      <w:pPr>
        <w:rPr>
          <w:b/>
          <w:sz w:val="18"/>
          <w:szCs w:val="18"/>
        </w:rPr>
      </w:pPr>
      <w:r w:rsidRPr="00526311">
        <w:rPr>
          <w:color w:val="000000"/>
          <w:szCs w:val="22"/>
        </w:rPr>
        <w:t xml:space="preserve">UTILIZACIÓN DE LOS RECURSOS </w:t>
      </w:r>
    </w:p>
    <w:p w:rsidR="00F777B4" w:rsidRPr="00526311" w:rsidRDefault="00F777B4">
      <w:pPr>
        <w:rPr>
          <w:sz w:val="20"/>
        </w:rPr>
      </w:pPr>
    </w:p>
    <w:p w:rsidR="00F777B4" w:rsidRPr="00526311" w:rsidRDefault="00F777B4"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F777B4" w:rsidRPr="00526311" w:rsidRDefault="00F777B4"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F777B4" w:rsidRPr="00526311" w:rsidRDefault="00F777B4" w:rsidP="0063039A">
      <w:pPr>
        <w:pStyle w:val="NormalWeb"/>
        <w:spacing w:before="0" w:beforeAutospacing="0" w:after="0" w:afterAutospacing="0"/>
        <w:jc w:val="center"/>
        <w:rPr>
          <w:sz w:val="20"/>
          <w:szCs w:val="20"/>
          <w:lang w:val="es-ES"/>
        </w:rPr>
      </w:pPr>
    </w:p>
    <w:p w:rsidR="00F777B4" w:rsidRPr="00526311" w:rsidRDefault="00DD7B62" w:rsidP="0063039A">
      <w:pPr>
        <w:jc w:val="center"/>
        <w:rPr>
          <w:sz w:val="20"/>
        </w:rPr>
      </w:pPr>
      <w:r w:rsidRPr="00526311">
        <w:rPr>
          <w:noProof/>
          <w:lang w:val="en-US" w:eastAsia="en-US"/>
        </w:rPr>
        <w:drawing>
          <wp:inline distT="0" distB="0" distL="0" distR="0" wp14:anchorId="18FE4C58" wp14:editId="6EC37EEB">
            <wp:extent cx="5762625" cy="4457700"/>
            <wp:effectExtent l="0" t="0" r="9525"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4457700"/>
                    </a:xfrm>
                    <a:prstGeom prst="rect">
                      <a:avLst/>
                    </a:prstGeom>
                    <a:noFill/>
                    <a:ln>
                      <a:noFill/>
                    </a:ln>
                  </pic:spPr>
                </pic:pic>
              </a:graphicData>
            </a:graphic>
          </wp:inline>
        </w:drawing>
      </w:r>
    </w:p>
    <w:p w:rsidR="00F777B4" w:rsidRPr="00526311" w:rsidRDefault="00F777B4">
      <w:pPr>
        <w:rPr>
          <w:sz w:val="20"/>
        </w:rPr>
      </w:pPr>
    </w:p>
    <w:p w:rsidR="00F777B4" w:rsidRPr="00526311" w:rsidRDefault="00F777B4" w:rsidP="0063039A">
      <w:pPr>
        <w:pStyle w:val="NormalWeb"/>
        <w:keepNext/>
        <w:keepLines/>
        <w:spacing w:before="0" w:beforeAutospacing="0" w:after="0" w:afterAutospacing="0"/>
        <w:jc w:val="center"/>
        <w:rPr>
          <w:sz w:val="20"/>
          <w:szCs w:val="20"/>
          <w:lang w:val="es-ES"/>
        </w:rPr>
      </w:pPr>
      <w:r w:rsidRPr="00526311">
        <w:rPr>
          <w:sz w:val="20"/>
          <w:szCs w:val="20"/>
          <w:lang w:val="es-ES"/>
        </w:rPr>
        <w:lastRenderedPageBreak/>
        <w:t xml:space="preserve">Presupuesto y gastos reales (de personal y no relativos a personal) </w:t>
      </w:r>
    </w:p>
    <w:p w:rsidR="00F777B4" w:rsidRPr="00526311" w:rsidRDefault="00F777B4"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(en miles de francos suizos)</w:t>
      </w:r>
    </w:p>
    <w:p w:rsidR="00F777B4" w:rsidRPr="00526311" w:rsidRDefault="00F777B4" w:rsidP="0063039A">
      <w:pPr>
        <w:pStyle w:val="NormalWeb"/>
        <w:keepNext/>
        <w:keepLines/>
        <w:spacing w:before="0" w:beforeAutospacing="0" w:after="0" w:afterAutospacing="0"/>
        <w:jc w:val="center"/>
        <w:rPr>
          <w:lang w:val="es-ES"/>
        </w:rPr>
      </w:pPr>
    </w:p>
    <w:p w:rsidR="00F777B4" w:rsidRPr="00526311" w:rsidRDefault="00FF6E74" w:rsidP="0063039A">
      <w:pPr>
        <w:jc w:val="center"/>
        <w:rPr>
          <w:sz w:val="20"/>
        </w:rPr>
      </w:pPr>
      <w:bookmarkStart w:id="19" w:name="Punto3"/>
      <w:r w:rsidRPr="00526311">
        <w:rPr>
          <w:noProof/>
          <w:lang w:val="en-US" w:eastAsia="en-US"/>
        </w:rPr>
        <w:drawing>
          <wp:inline distT="0" distB="0" distL="0" distR="0" wp14:anchorId="5CE8EAFD" wp14:editId="6E8BE238">
            <wp:extent cx="5940425" cy="1209029"/>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1209029"/>
                    </a:xfrm>
                    <a:prstGeom prst="rect">
                      <a:avLst/>
                    </a:prstGeom>
                    <a:noFill/>
                    <a:ln>
                      <a:noFill/>
                    </a:ln>
                  </pic:spPr>
                </pic:pic>
              </a:graphicData>
            </a:graphic>
          </wp:inline>
        </w:drawing>
      </w:r>
      <w:bookmarkEnd w:id="19"/>
    </w:p>
    <w:p w:rsidR="00F777B4" w:rsidRPr="00526311" w:rsidRDefault="00F777B4" w:rsidP="0063039A">
      <w:pPr>
        <w:rPr>
          <w:sz w:val="16"/>
          <w:szCs w:val="16"/>
        </w:rPr>
      </w:pPr>
      <w:r w:rsidRPr="00526311">
        <w:rPr>
          <w:i/>
          <w:sz w:val="16"/>
          <w:szCs w:val="16"/>
        </w:rPr>
        <w:t xml:space="preserve">NOTA:  </w:t>
      </w:r>
      <w:r w:rsidRPr="00526311">
        <w:rPr>
          <w:i/>
          <w:iCs/>
          <w:sz w:val="16"/>
          <w:szCs w:val="16"/>
        </w:rPr>
        <w:t>El presupuesto de 2014/15 tras las transferencias refleja las transferencias efectuadas al 31 de marzo de 2015 para hacer frente a las necesidades durante el bienio 2014/15, según lo previsto en el artículo 5.5 del Reglamento Financiero</w:t>
      </w:r>
      <w:r w:rsidRPr="00526311">
        <w:rPr>
          <w:i/>
          <w:sz w:val="16"/>
          <w:szCs w:val="16"/>
        </w:rPr>
        <w:t>.</w:t>
      </w:r>
    </w:p>
    <w:p w:rsidR="00F777B4" w:rsidRPr="00526311" w:rsidRDefault="00F777B4" w:rsidP="0063039A">
      <w:pPr>
        <w:keepNext/>
        <w:autoSpaceDE w:val="0"/>
        <w:autoSpaceDN w:val="0"/>
        <w:rPr>
          <w:sz w:val="16"/>
          <w:szCs w:val="16"/>
        </w:rPr>
      </w:pPr>
    </w:p>
    <w:p w:rsidR="00F777B4" w:rsidRPr="00526311" w:rsidRDefault="00F777B4" w:rsidP="0063039A">
      <w:pPr>
        <w:keepNext/>
        <w:autoSpaceDE w:val="0"/>
        <w:autoSpaceDN w:val="0"/>
        <w:rPr>
          <w:sz w:val="16"/>
          <w:szCs w:val="16"/>
        </w:rPr>
      </w:pPr>
    </w:p>
    <w:p w:rsidR="00F777B4" w:rsidRPr="00526311" w:rsidRDefault="00F777B4"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F777B4" w:rsidRPr="00526311" w:rsidRDefault="00F777B4" w:rsidP="0063039A">
      <w:pPr>
        <w:rPr>
          <w:sz w:val="20"/>
          <w:u w:val="single"/>
        </w:rPr>
      </w:pPr>
    </w:p>
    <w:p w:rsidR="00F777B4" w:rsidRPr="00526311" w:rsidRDefault="00F777B4" w:rsidP="00B45FC3">
      <w:pPr>
        <w:pStyle w:val="ListParagraph"/>
        <w:numPr>
          <w:ilvl w:val="0"/>
          <w:numId w:val="14"/>
        </w:numPr>
        <w:tabs>
          <w:tab w:val="left" w:pos="0"/>
          <w:tab w:val="left" w:pos="709"/>
        </w:tabs>
        <w:ind w:left="0" w:firstLine="0"/>
        <w:jc w:val="both"/>
        <w:rPr>
          <w:rFonts w:cs="Arial"/>
          <w:lang w:val="es-ES"/>
        </w:rPr>
      </w:pPr>
      <w:r w:rsidRPr="00526311">
        <w:rPr>
          <w:rFonts w:cs="Arial"/>
          <w:lang w:val="es-ES"/>
        </w:rPr>
        <w:t>El trasvase de recursos del resultado previsto I.1 al resultado previsto I.2 se debió principalmente a que se asignaron recursos adicionales de personal y no relativos a personal a la atención de las peticiones de asistencia relacionadas con la ratificación y la aplicación de los Tratados de Marrakech y Beijing.</w:t>
      </w:r>
    </w:p>
    <w:p w:rsidR="00F777B4" w:rsidRPr="00526311" w:rsidRDefault="00F777B4" w:rsidP="0063039A">
      <w:pPr>
        <w:rPr>
          <w:sz w:val="20"/>
        </w:rPr>
      </w:pPr>
    </w:p>
    <w:p w:rsidR="00F777B4" w:rsidRPr="00526311" w:rsidRDefault="00F777B4" w:rsidP="00B45FC3">
      <w:pPr>
        <w:pStyle w:val="ListParagraph"/>
        <w:numPr>
          <w:ilvl w:val="0"/>
          <w:numId w:val="14"/>
        </w:numPr>
        <w:tabs>
          <w:tab w:val="left" w:pos="0"/>
          <w:tab w:val="left" w:pos="709"/>
        </w:tabs>
        <w:ind w:left="0" w:firstLine="0"/>
        <w:jc w:val="both"/>
        <w:rPr>
          <w:rFonts w:cs="Arial"/>
          <w:lang w:val="es-ES"/>
        </w:rPr>
      </w:pPr>
      <w:r w:rsidRPr="00526311">
        <w:rPr>
          <w:rFonts w:cs="Arial"/>
          <w:lang w:val="es-ES"/>
        </w:rPr>
        <w:t>El aumento de los recursos asignados al resultado previsto IV.2 se debió esencialmente a la mayor prioridad otorgada a las actividades relacionadas con el Consorcio ABC.</w:t>
      </w:r>
    </w:p>
    <w:p w:rsidR="00F777B4" w:rsidRPr="00526311" w:rsidRDefault="00F777B4" w:rsidP="0063039A">
      <w:pPr>
        <w:rPr>
          <w:sz w:val="20"/>
        </w:rPr>
      </w:pPr>
    </w:p>
    <w:p w:rsidR="00F777B4" w:rsidRPr="00526311" w:rsidRDefault="00F777B4" w:rsidP="00B45FC3">
      <w:pPr>
        <w:pStyle w:val="ListParagraph"/>
        <w:numPr>
          <w:ilvl w:val="0"/>
          <w:numId w:val="14"/>
        </w:numPr>
        <w:tabs>
          <w:tab w:val="left" w:pos="0"/>
          <w:tab w:val="left" w:pos="709"/>
        </w:tabs>
        <w:ind w:left="0" w:firstLine="0"/>
        <w:jc w:val="both"/>
        <w:rPr>
          <w:rFonts w:cs="Arial"/>
          <w:lang w:val="es-ES"/>
        </w:rPr>
      </w:pPr>
      <w:r w:rsidRPr="00526311">
        <w:rPr>
          <w:rFonts w:cs="Arial"/>
          <w:lang w:val="es-ES"/>
        </w:rPr>
        <w:t>La disminución de los recursos asignados al resultado previsto IV.4 se debió a que determinadas actividades relacionadas con WIPOCOS se realizaron por funcionarios no comprendidos en el programa.</w:t>
      </w:r>
    </w:p>
    <w:p w:rsidR="00F777B4" w:rsidRPr="00526311" w:rsidRDefault="00F777B4" w:rsidP="0063039A">
      <w:pPr>
        <w:rPr>
          <w:rFonts w:eastAsiaTheme="minorHAnsi"/>
          <w:sz w:val="20"/>
        </w:rPr>
      </w:pPr>
    </w:p>
    <w:p w:rsidR="00F777B4" w:rsidRPr="00526311" w:rsidRDefault="00F777B4" w:rsidP="00B45FC3">
      <w:pPr>
        <w:pStyle w:val="ListParagraph"/>
        <w:numPr>
          <w:ilvl w:val="0"/>
          <w:numId w:val="14"/>
        </w:numPr>
        <w:tabs>
          <w:tab w:val="left" w:pos="0"/>
          <w:tab w:val="left" w:pos="709"/>
        </w:tabs>
        <w:ind w:left="0" w:firstLine="0"/>
        <w:jc w:val="both"/>
        <w:rPr>
          <w:rFonts w:eastAsiaTheme="minorHAnsi" w:cs="Arial"/>
          <w:lang w:val="es-ES"/>
        </w:rPr>
      </w:pPr>
      <w:r w:rsidRPr="00526311">
        <w:rPr>
          <w:rFonts w:eastAsia="SimSun" w:cs="Arial"/>
          <w:bCs/>
          <w:lang w:val="es-ES" w:eastAsia="zh-CN"/>
        </w:rPr>
        <w:t xml:space="preserve">Los recursos asignados al </w:t>
      </w:r>
      <w:r w:rsidRPr="00526311">
        <w:rPr>
          <w:rFonts w:eastAsiaTheme="minorHAnsi" w:cs="Arial"/>
          <w:lang w:val="es-ES"/>
        </w:rPr>
        <w:t>resultado previsto VIII.1 reflejan los esfuerzos que ha dedicado la Oficina del Director General Adjunto encargado del sector del derecho de autor y derechos conexos a las actividades del programa 19.</w:t>
      </w:r>
    </w:p>
    <w:p w:rsidR="00F777B4" w:rsidRPr="00526311" w:rsidRDefault="00F777B4" w:rsidP="0063039A">
      <w:pPr>
        <w:autoSpaceDE w:val="0"/>
        <w:autoSpaceDN w:val="0"/>
        <w:jc w:val="both"/>
        <w:rPr>
          <w:sz w:val="20"/>
          <w:lang w:eastAsia="ko-KR"/>
        </w:rPr>
      </w:pPr>
    </w:p>
    <w:p w:rsidR="00F777B4" w:rsidRPr="00526311" w:rsidRDefault="00F777B4"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F777B4" w:rsidRPr="00526311" w:rsidRDefault="00F777B4" w:rsidP="0063039A">
      <w:pPr>
        <w:jc w:val="both"/>
        <w:rPr>
          <w:sz w:val="20"/>
          <w:u w:val="single"/>
          <w:lang w:eastAsia="ko-KR"/>
        </w:rPr>
      </w:pPr>
    </w:p>
    <w:p w:rsidR="00F777B4" w:rsidRPr="00526311" w:rsidRDefault="00F777B4" w:rsidP="00B45FC3">
      <w:pPr>
        <w:pStyle w:val="ListParagraph"/>
        <w:numPr>
          <w:ilvl w:val="0"/>
          <w:numId w:val="14"/>
        </w:numPr>
        <w:tabs>
          <w:tab w:val="left" w:pos="0"/>
          <w:tab w:val="left" w:pos="709"/>
        </w:tabs>
        <w:ind w:left="0" w:firstLine="0"/>
        <w:jc w:val="both"/>
        <w:rPr>
          <w:rFonts w:cs="Arial"/>
          <w:lang w:val="es-ES" w:eastAsia="ko-KR"/>
        </w:rPr>
      </w:pPr>
      <w:r w:rsidRPr="00526311">
        <w:rPr>
          <w:lang w:val="es-ES" w:eastAsia="zh-CN"/>
        </w:rPr>
        <w:t>La utilización del presupuesto se ha mantenido dentro de los límites establecidos (40-60%) durante el primer año del bienio y está bien encaminada</w:t>
      </w:r>
      <w:r w:rsidRPr="00526311">
        <w:rPr>
          <w:rFonts w:cs="Arial"/>
          <w:lang w:val="es-ES" w:eastAsia="ko-KR"/>
        </w:rPr>
        <w:t xml:space="preserve">. </w:t>
      </w:r>
    </w:p>
    <w:p w:rsidR="00F777B4" w:rsidRPr="00526311" w:rsidRDefault="00F777B4" w:rsidP="0063039A">
      <w:pPr>
        <w:jc w:val="both"/>
        <w:rPr>
          <w:sz w:val="20"/>
          <w:u w:val="single"/>
          <w:lang w:eastAsia="ko-KR"/>
        </w:rPr>
      </w:pPr>
    </w:p>
    <w:p w:rsidR="00F777B4" w:rsidRPr="00526311" w:rsidRDefault="00F777B4" w:rsidP="0063039A">
      <w:pPr>
        <w:autoSpaceDE w:val="0"/>
        <w:autoSpaceDN w:val="0"/>
        <w:jc w:val="both"/>
        <w:rPr>
          <w:sz w:val="20"/>
        </w:rPr>
      </w:pPr>
    </w:p>
    <w:p w:rsidR="00DD13E3" w:rsidRPr="00526311" w:rsidRDefault="00DD13E3">
      <w:pPr>
        <w:rPr>
          <w:bCs/>
          <w:iCs/>
          <w:caps/>
          <w:szCs w:val="28"/>
        </w:rPr>
      </w:pPr>
      <w:r w:rsidRPr="00526311">
        <w:rPr>
          <w:sz w:val="20"/>
        </w:rPr>
        <w:br w:type="page"/>
      </w:r>
    </w:p>
    <w:p w:rsidR="00F777B4" w:rsidRPr="00526311" w:rsidRDefault="00F777B4" w:rsidP="0063039A">
      <w:pPr>
        <w:pStyle w:val="Heading2"/>
        <w:tabs>
          <w:tab w:val="left" w:pos="2410"/>
        </w:tabs>
        <w:ind w:left="2410" w:hanging="2410"/>
        <w:rPr>
          <w:b/>
        </w:rPr>
      </w:pPr>
      <w:bookmarkStart w:id="20" w:name="_Toc422927405"/>
      <w:r w:rsidRPr="00526311">
        <w:rPr>
          <w:b/>
        </w:rPr>
        <w:lastRenderedPageBreak/>
        <w:t>PROGRAMA 4</w:t>
      </w:r>
      <w:r w:rsidRPr="00526311">
        <w:rPr>
          <w:b/>
        </w:rPr>
        <w:tab/>
        <w:t>CONOCIMIENTOS TRADICIONALES, EXPRESIONES CULTURALES TRADICIONALES Y RECURSOS GENÉTICOS</w:t>
      </w:r>
      <w:bookmarkEnd w:id="20"/>
    </w:p>
    <w:p w:rsidR="00F777B4" w:rsidRPr="00526311" w:rsidRDefault="00F777B4" w:rsidP="0063039A">
      <w:pPr>
        <w:rPr>
          <w:sz w:val="20"/>
        </w:rPr>
      </w:pPr>
    </w:p>
    <w:p w:rsidR="00F777B4" w:rsidRPr="00526311" w:rsidRDefault="00F777B4" w:rsidP="0063039A">
      <w:pPr>
        <w:tabs>
          <w:tab w:val="left" w:pos="2410"/>
        </w:tabs>
        <w:rPr>
          <w:b/>
          <w:sz w:val="20"/>
        </w:rPr>
      </w:pPr>
      <w:r w:rsidRPr="00526311">
        <w:rPr>
          <w:b/>
          <w:sz w:val="20"/>
        </w:rPr>
        <w:t>Director de programa</w:t>
      </w:r>
      <w:r w:rsidRPr="00526311">
        <w:rPr>
          <w:b/>
          <w:sz w:val="20"/>
        </w:rPr>
        <w:tab/>
        <w:t>Sr. M. A. Getahun</w:t>
      </w:r>
    </w:p>
    <w:p w:rsidR="00F777B4" w:rsidRPr="00526311" w:rsidRDefault="00F777B4" w:rsidP="0063039A">
      <w:pPr>
        <w:rPr>
          <w:sz w:val="20"/>
        </w:rPr>
      </w:pPr>
    </w:p>
    <w:p w:rsidR="00F777B4" w:rsidRPr="00526311" w:rsidRDefault="00F777B4" w:rsidP="0063039A">
      <w:pPr>
        <w:rPr>
          <w:sz w:val="20"/>
        </w:rPr>
      </w:pPr>
    </w:p>
    <w:p w:rsidR="00F777B4" w:rsidRPr="00526311" w:rsidRDefault="00F777B4" w:rsidP="0063039A">
      <w:pPr>
        <w:rPr>
          <w:bCs/>
          <w:szCs w:val="22"/>
        </w:rPr>
      </w:pPr>
      <w:r w:rsidRPr="00526311">
        <w:rPr>
          <w:bCs/>
          <w:szCs w:val="22"/>
        </w:rPr>
        <w:t>RESEÑA DE LOS AVANCES LOGRADOS EN 2014</w:t>
      </w:r>
    </w:p>
    <w:p w:rsidR="00F777B4" w:rsidRPr="00526311" w:rsidRDefault="00F777B4" w:rsidP="0063039A">
      <w:pPr>
        <w:jc w:val="both"/>
        <w:rPr>
          <w:sz w:val="20"/>
        </w:rPr>
      </w:pPr>
    </w:p>
    <w:p w:rsidR="00F777B4" w:rsidRPr="00526311" w:rsidRDefault="00F777B4" w:rsidP="00B45FC3">
      <w:pPr>
        <w:numPr>
          <w:ilvl w:val="0"/>
          <w:numId w:val="15"/>
        </w:numPr>
        <w:jc w:val="both"/>
        <w:rPr>
          <w:sz w:val="20"/>
        </w:rPr>
      </w:pPr>
      <w:r w:rsidRPr="00526311">
        <w:rPr>
          <w:sz w:val="20"/>
        </w:rPr>
        <w:t xml:space="preserve">En el año objeto de examen siguieron avanzando las negociaciones en el Comité Intergubernamental sobre Propiedad Intelectual y Recursos Genéticos, Conocimientos Tradicionales y Folclore de la OMPI (CIG).  En el marco de su nuevo mandato para el bienio en curso, establecido en 2013, el CIG se reunió en tres ocasiones (26ª, 27ª y 28ª sesiones del CIG).  El CIG se acogió a un programa de trabajo bien definido y unos métodos de trabajo adecuados.  Los Estados miembros siguieron organizando consultas y reuniones preparatorias antes de las sesiones del CIG.  El Comité realizó progresos en las “negociaciones basadas en textos”, en cumplimiento de su mandato.  En la tercera y última sesión del año (la 28ª sesión del CIG) el Comité había simplificado más el texto consolidado sobre los recursos genéticos (RR.GG.) y conseguido nuevos avances en lo que atañe a los textos sobre los conocimientos tradicionales (CC.TT.) y las expresiones culturales tradicionales (ECT).  La Secretaría siguió esforzándose por cumplir una función de apoyo neutral, profesional y eficaz al proceso del CIG y por mejorar los servicios prestados a los participantes en el Comité, tras la evaluación realizada por la División de Supervisión Interna de la OMPI (DSI) en 2013, que determinó que el índice de satisfacción entre los participantes en el CIG era elevado (96%).  Aunque la Secretaría siguió facilitando, en la medida de lo posible, la participación en el CIG de los pueblos indígenas y las comunidades locales, el Fondo de Contribuciones Voluntarias para las Comunidades Indígenas y Locales Acreditadas carecía de recursos.  </w:t>
      </w:r>
      <w:r w:rsidR="008761B9" w:rsidRPr="00526311">
        <w:rPr>
          <w:sz w:val="20"/>
        </w:rPr>
        <w:t>En octubre de 2014</w:t>
      </w:r>
      <w:r w:rsidRPr="00526311">
        <w:rPr>
          <w:sz w:val="20"/>
        </w:rPr>
        <w:t xml:space="preserve"> la Asamblea General de la OMPI examinó y ponderó los textos y los avances realizados, </w:t>
      </w:r>
      <w:r w:rsidR="008761B9" w:rsidRPr="00526311">
        <w:rPr>
          <w:sz w:val="20"/>
        </w:rPr>
        <w:t xml:space="preserve">pero </w:t>
      </w:r>
      <w:r w:rsidRPr="00526311">
        <w:rPr>
          <w:sz w:val="20"/>
        </w:rPr>
        <w:t>no logró llegar en ese momento a un acuerdo sobre el programa de trabajo del CIG para 2015.</w:t>
      </w:r>
    </w:p>
    <w:p w:rsidR="00F777B4" w:rsidRPr="00526311" w:rsidRDefault="00F777B4" w:rsidP="0063039A">
      <w:pPr>
        <w:jc w:val="both"/>
        <w:rPr>
          <w:sz w:val="20"/>
        </w:rPr>
      </w:pPr>
    </w:p>
    <w:p w:rsidR="00F777B4" w:rsidRPr="00526311" w:rsidRDefault="00F777B4" w:rsidP="00B45FC3">
      <w:pPr>
        <w:numPr>
          <w:ilvl w:val="0"/>
          <w:numId w:val="15"/>
        </w:numPr>
        <w:jc w:val="both"/>
        <w:rPr>
          <w:rFonts w:eastAsia="MS Mincho"/>
          <w:bCs/>
          <w:sz w:val="20"/>
          <w:lang w:eastAsia="ja-JP" w:bidi="th-TH"/>
        </w:rPr>
      </w:pPr>
      <w:r w:rsidRPr="00526311">
        <w:rPr>
          <w:rFonts w:eastAsia="MS Mincho"/>
          <w:bCs/>
          <w:sz w:val="20"/>
          <w:lang w:eastAsia="ja-JP" w:bidi="th-TH"/>
        </w:rPr>
        <w:t>La conclusión satisfactoria de las negociaciones en el marco del CIG es el objeto de la recomendación 18 de la A.D., en la que se insta al Comité a “agilizar el proceso sobre la protección de RR.GG., CC.TT. y folclore, sin perjuicio de ningún posible resultado, como pueda ser la elaboración de un instrumento o instrumentos de dimensión internacional”.  Las actividades normativas del programa en el marco del CIG se siguieron caracterizando por ser incluyentes, estar orientadas hacia los miembros y basarse en consultas abiertas y equilibradas, en particular con la sociedad civil en su conjunto (recomendaciones 15, 21 y 42), y por tener en cuenta el dominio público (recomendaciones 16 y 20) y las flexibilidades establecidas en los acuerdos internacionales (recomendaciones 14 y 17).  Las negociaciones mantenidas en el seno del CIG facilitaron la incorporación de las cuestiones de desarrollo y contribuyeron a los objetivos de desarrollo de las Naciones Unidas (recomendaciones 12 y 22).</w:t>
      </w:r>
    </w:p>
    <w:p w:rsidR="00F777B4" w:rsidRPr="00526311" w:rsidRDefault="00F777B4" w:rsidP="0063039A">
      <w:pPr>
        <w:jc w:val="both"/>
        <w:rPr>
          <w:sz w:val="20"/>
        </w:rPr>
      </w:pPr>
    </w:p>
    <w:p w:rsidR="00F777B4" w:rsidRPr="00526311" w:rsidRDefault="008761B9" w:rsidP="00B45FC3">
      <w:pPr>
        <w:numPr>
          <w:ilvl w:val="0"/>
          <w:numId w:val="15"/>
        </w:numPr>
        <w:jc w:val="both"/>
        <w:rPr>
          <w:sz w:val="20"/>
        </w:rPr>
      </w:pPr>
      <w:r w:rsidRPr="00526311">
        <w:rPr>
          <w:sz w:val="20"/>
        </w:rPr>
        <w:t>En relación con el</w:t>
      </w:r>
      <w:r w:rsidR="00F777B4" w:rsidRPr="00526311">
        <w:rPr>
          <w:sz w:val="20"/>
        </w:rPr>
        <w:t xml:space="preserve"> fortalecimiento de capacidad</w:t>
      </w:r>
      <w:r w:rsidRPr="00526311">
        <w:rPr>
          <w:sz w:val="20"/>
        </w:rPr>
        <w:t>es y</w:t>
      </w:r>
      <w:r w:rsidR="00F777B4" w:rsidRPr="00526311">
        <w:rPr>
          <w:sz w:val="20"/>
        </w:rPr>
        <w:t xml:space="preserve"> la sensibilización</w:t>
      </w:r>
      <w:r w:rsidRPr="00526311">
        <w:rPr>
          <w:sz w:val="20"/>
        </w:rPr>
        <w:t>, se prosiguió la labor relativa a la</w:t>
      </w:r>
      <w:r w:rsidR="00F777B4" w:rsidRPr="00526311">
        <w:rPr>
          <w:sz w:val="20"/>
        </w:rPr>
        <w:t xml:space="preserve"> divulgación entre los pueblos indígenas y las comunidades locales con vistas a </w:t>
      </w:r>
      <w:r w:rsidRPr="00526311">
        <w:rPr>
          <w:sz w:val="20"/>
        </w:rPr>
        <w:t xml:space="preserve">familiarizarlos aún más con la P.I. y </w:t>
      </w:r>
      <w:r w:rsidR="00F777B4" w:rsidRPr="00526311">
        <w:rPr>
          <w:sz w:val="20"/>
        </w:rPr>
        <w:t>facilitar su participación efectiva en el proceso del CIG;  la asistencia, previa petición, en relación con el desarrollo de legislación y las políticas nacionales y regionales;  y la consecución de soluciones prácticas a todos los niveles mediante la mayor comprensión de los problemas y las opciones.  En 2014 la Secretaría respondió de forma positiva a algo más de 40 solicitudes provenientes de Estados miembros, ONG, pueblos indígenas y comunidades locales, asociaciones profesionales y universidades para la celebración de sesiones informativas y otro tipo de exposiciones sobre P.I. y CC.TT., ECT y RR.GG., en Ginebra o en otros lugares.  Dada la importancia y magnitud del proceso del CIG, se redujeron al mínimo los grandes proyectos o actividades en relación con el fortalecimiento de la capacidad y la asistencia técnica.  Un país que lo solicitó recibió asistencia en materia legislativa y de política.  En diciembre de 2014 se organizó un taller práctico destinado a representantes de poblaciones indígenas y comunidades locales sobre la propiedad intelectual y los conocimientos tradicionales.  La OMPI siguió contribuyendo en calidad de socio técnico a diversos proyectos regionales en África, Asia y el Pacífico, y América Latina y el Caribe.  La OMPI también facilitó una serie de publicaciones cortas y accesibles sobre las cuestiones fundamentales y publicó una guía práctica sobre la propiedad intelectual y los festivales de folclore, artísticos y culturales</w:t>
      </w:r>
      <w:r w:rsidR="00F777B4" w:rsidRPr="00526311">
        <w:rPr>
          <w:rStyle w:val="FootnoteReference"/>
        </w:rPr>
        <w:footnoteReference w:id="9"/>
      </w:r>
      <w:r w:rsidR="00F777B4" w:rsidRPr="00526311">
        <w:rPr>
          <w:sz w:val="20"/>
        </w:rPr>
        <w:t>.</w:t>
      </w:r>
    </w:p>
    <w:p w:rsidR="00F777B4" w:rsidRPr="00526311" w:rsidRDefault="00F777B4" w:rsidP="0063039A">
      <w:pPr>
        <w:jc w:val="both"/>
        <w:rPr>
          <w:sz w:val="20"/>
        </w:rPr>
      </w:pPr>
    </w:p>
    <w:p w:rsidR="00F777B4" w:rsidRPr="00526311" w:rsidRDefault="00F777B4" w:rsidP="00B45FC3">
      <w:pPr>
        <w:keepNext/>
        <w:keepLines/>
        <w:numPr>
          <w:ilvl w:val="0"/>
          <w:numId w:val="15"/>
        </w:numPr>
        <w:jc w:val="both"/>
        <w:rPr>
          <w:sz w:val="20"/>
        </w:rPr>
      </w:pPr>
      <w:r w:rsidRPr="00526311">
        <w:rPr>
          <w:sz w:val="20"/>
        </w:rPr>
        <w:lastRenderedPageBreak/>
        <w:t>Con el fin de fomentar la cooperación con otros foros y organizaciones intergubernamentales  pertinentes, la Secretaría reforzó su colaboración con la Secretaría del Convenio sobre la Diversidad Biológica (CDB) y el Protocolo de Nagoya sobre Acceso a los Recursos Genéticos y Participación Justa y Equitativa en los Beneficios que se deriven de su Utilización</w:t>
      </w:r>
      <w:r w:rsidRPr="00526311">
        <w:rPr>
          <w:iCs/>
          <w:sz w:val="20"/>
        </w:rPr>
        <w:t xml:space="preserve">, en particular mediante la coorganización de talleres destinados a funcionarios y a representantes de las poblaciones indígenas y comunidades locales.  La Secretaría también colaboró con el Foro Permanente de las Naciones Unidas para las Cuestiones Indígenas y participó en su 13º período de sesiones, en mayo de </w:t>
      </w:r>
      <w:r w:rsidRPr="00526311">
        <w:rPr>
          <w:sz w:val="20"/>
        </w:rPr>
        <w:t xml:space="preserve">2014, y en la Conferencia Mundial sobre Pueblos Indígenas en septiembre de 2014, con miras a potenciar su colaboración con las organizaciones indígenas y comunitarias locales y otras organizaciones de las NN.UU., y abarcarlas en sus actividades de divulgación.  A petición de la Secretaría del </w:t>
      </w:r>
      <w:r w:rsidRPr="00526311">
        <w:rPr>
          <w:iCs/>
          <w:sz w:val="20"/>
        </w:rPr>
        <w:t>Foro Permanente</w:t>
      </w:r>
      <w:r w:rsidRPr="00526311">
        <w:rPr>
          <w:sz w:val="20"/>
        </w:rPr>
        <w:t>, la Secretaría de la OMPI proporcionó ayuda financiera para la elaboración, por un experto indígena, de un estudio técnico para el Foro sobre los proyectos de textos del CIG desde una perspectiva de derechos humanos.</w:t>
      </w:r>
    </w:p>
    <w:p w:rsidR="00F777B4" w:rsidRPr="00526311" w:rsidRDefault="00F777B4" w:rsidP="0063039A">
      <w:pPr>
        <w:jc w:val="both"/>
        <w:rPr>
          <w:sz w:val="20"/>
        </w:rPr>
      </w:pPr>
    </w:p>
    <w:p w:rsidR="00F777B4" w:rsidRPr="00526311" w:rsidRDefault="00F777B4" w:rsidP="00B45FC3">
      <w:pPr>
        <w:numPr>
          <w:ilvl w:val="0"/>
          <w:numId w:val="15"/>
        </w:numPr>
        <w:jc w:val="both"/>
        <w:rPr>
          <w:rFonts w:eastAsia="MS Mincho"/>
          <w:bCs/>
          <w:sz w:val="20"/>
          <w:lang w:eastAsia="ja-JP" w:bidi="th-TH"/>
        </w:rPr>
      </w:pPr>
      <w:r w:rsidRPr="00526311">
        <w:rPr>
          <w:rFonts w:eastAsia="MS Mincho"/>
          <w:bCs/>
          <w:sz w:val="20"/>
          <w:lang w:eastAsia="ja-JP" w:bidi="th-TH"/>
        </w:rPr>
        <w:t>Las actividades del programa en materia de asistencia técnica, fortalecimiento de capacidad y asistencia legislativa contribuyeron directamente al desarrollo y a la aplicación de otras recomendaciones de la A.D., en particular velando por que la asistencia técnica esté orientada a potenciar el desarrollo y obedezca a una demanda (recomendaciones 1 y 12), prestando asesoramiento legislativo y de política respecto de textos normativos nacionales (recomendaciones 11, 13 y 14), potenciando la sensibilización acerca de la P.I. en relación con los CC.TT., los RR.GG. y las ECT (recomendación 3) e intensificando la cooperación en cuestiones relacionadas con la P.I. con los organismos de las Naciones Unidas (recomendación 40).</w:t>
      </w:r>
    </w:p>
    <w:p w:rsidR="00F777B4" w:rsidRPr="00526311" w:rsidRDefault="00F777B4" w:rsidP="0063039A">
      <w:pPr>
        <w:jc w:val="both"/>
        <w:rPr>
          <w:sz w:val="20"/>
        </w:rPr>
      </w:pPr>
    </w:p>
    <w:p w:rsidR="00F777B4" w:rsidRPr="00526311" w:rsidRDefault="00F777B4" w:rsidP="0063039A">
      <w:pPr>
        <w:rPr>
          <w:b/>
        </w:rPr>
      </w:pPr>
    </w:p>
    <w:p w:rsidR="00F777B4" w:rsidRPr="00526311" w:rsidRDefault="00F777B4" w:rsidP="0063039A">
      <w:pPr>
        <w:rPr>
          <w:szCs w:val="22"/>
        </w:rPr>
      </w:pPr>
      <w:r w:rsidRPr="00526311">
        <w:rPr>
          <w:szCs w:val="22"/>
        </w:rPr>
        <w:t>DATOS SOBRE EL RENDIMIENTO</w:t>
      </w:r>
    </w:p>
    <w:p w:rsidR="00F777B4" w:rsidRPr="00526311" w:rsidRDefault="00F777B4" w:rsidP="0063039A">
      <w:pPr>
        <w:rPr>
          <w:sz w:val="20"/>
        </w:rPr>
      </w:pPr>
    </w:p>
    <w:tbl>
      <w:tblPr>
        <w:tblW w:w="489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7"/>
        <w:gridCol w:w="2419"/>
        <w:gridCol w:w="1134"/>
        <w:gridCol w:w="285"/>
        <w:gridCol w:w="1984"/>
        <w:gridCol w:w="1421"/>
      </w:tblGrid>
      <w:tr w:rsidR="00F777B4" w:rsidRPr="00526311" w:rsidTr="008761B9">
        <w:trPr>
          <w:cantSplit/>
          <w:trHeight w:val="480"/>
        </w:trPr>
        <w:tc>
          <w:tcPr>
            <w:tcW w:w="5000" w:type="pct"/>
            <w:gridSpan w:val="6"/>
            <w:tcBorders>
              <w:top w:val="single" w:sz="4" w:space="0" w:color="auto"/>
              <w:bottom w:val="nil"/>
            </w:tcBorders>
            <w:shd w:val="clear" w:color="auto" w:fill="CCFFFF"/>
            <w:vAlign w:val="center"/>
          </w:tcPr>
          <w:p w:rsidR="00F777B4" w:rsidRPr="00526311" w:rsidRDefault="00F777B4" w:rsidP="0063039A">
            <w:pPr>
              <w:keepNext/>
              <w:keepLines/>
              <w:tabs>
                <w:tab w:val="left" w:pos="1452"/>
              </w:tabs>
              <w:ind w:left="1701" w:hanging="1701"/>
              <w:rPr>
                <w:b/>
                <w:bCs/>
                <w:sz w:val="16"/>
                <w:szCs w:val="16"/>
              </w:rPr>
            </w:pPr>
            <w:r w:rsidRPr="00526311">
              <w:rPr>
                <w:b/>
                <w:bCs/>
                <w:sz w:val="16"/>
                <w:szCs w:val="16"/>
              </w:rPr>
              <w:t>Resultado previsto:</w:t>
            </w:r>
            <w:r w:rsidRPr="00526311">
              <w:rPr>
                <w:bCs/>
                <w:sz w:val="16"/>
                <w:szCs w:val="16"/>
              </w:rPr>
              <w:tab/>
              <w:t>I.1 Mejor cooperación entre los Estados miembros en lo que atañe a la elaboración de marcos normativos internacionales equilibrados para la P.I. y fomento de acuerdos sobre las cuestiones específicas respecto de las que se acuerdan instrumentos internacionales</w:t>
            </w:r>
          </w:p>
        </w:tc>
      </w:tr>
      <w:tr w:rsidR="00F777B4" w:rsidRPr="00526311" w:rsidTr="008761B9">
        <w:trPr>
          <w:cantSplit/>
        </w:trPr>
        <w:tc>
          <w:tcPr>
            <w:tcW w:w="1131" w:type="pct"/>
            <w:tcBorders>
              <w:top w:val="single" w:sz="4" w:space="0" w:color="auto"/>
              <w:bottom w:val="nil"/>
            </w:tcBorders>
            <w:vAlign w:val="center"/>
          </w:tcPr>
          <w:p w:rsidR="00F777B4" w:rsidRPr="00526311" w:rsidRDefault="00F777B4" w:rsidP="0063039A">
            <w:pPr>
              <w:rPr>
                <w:sz w:val="16"/>
                <w:szCs w:val="16"/>
              </w:rPr>
            </w:pPr>
            <w:r w:rsidRPr="00526311">
              <w:rPr>
                <w:b/>
                <w:sz w:val="16"/>
                <w:szCs w:val="16"/>
              </w:rPr>
              <w:t>Indicadores de rendimiento</w:t>
            </w:r>
          </w:p>
        </w:tc>
        <w:tc>
          <w:tcPr>
            <w:tcW w:w="1292" w:type="pct"/>
            <w:tcBorders>
              <w:top w:val="single" w:sz="4" w:space="0" w:color="auto"/>
              <w:bottom w:val="nil"/>
            </w:tcBorders>
            <w:shd w:val="clear" w:color="auto" w:fill="auto"/>
            <w:vAlign w:val="center"/>
          </w:tcPr>
          <w:p w:rsidR="00F777B4" w:rsidRPr="00526311" w:rsidRDefault="00F777B4" w:rsidP="0063039A">
            <w:pPr>
              <w:rPr>
                <w:b/>
                <w:bCs/>
                <w:sz w:val="16"/>
                <w:szCs w:val="16"/>
              </w:rPr>
            </w:pPr>
            <w:r w:rsidRPr="00526311">
              <w:rPr>
                <w:b/>
                <w:bCs/>
                <w:sz w:val="16"/>
                <w:szCs w:val="16"/>
              </w:rPr>
              <w:t>Referencia</w:t>
            </w:r>
          </w:p>
        </w:tc>
        <w:tc>
          <w:tcPr>
            <w:tcW w:w="758" w:type="pct"/>
            <w:gridSpan w:val="2"/>
            <w:tcBorders>
              <w:top w:val="single" w:sz="4" w:space="0" w:color="auto"/>
              <w:bottom w:val="nil"/>
            </w:tcBorders>
            <w:tcMar>
              <w:top w:w="110" w:type="dxa"/>
            </w:tcMar>
            <w:vAlign w:val="center"/>
          </w:tcPr>
          <w:p w:rsidR="00F777B4" w:rsidRPr="00526311" w:rsidRDefault="00F777B4" w:rsidP="0063039A">
            <w:pPr>
              <w:rPr>
                <w:b/>
                <w:sz w:val="16"/>
                <w:szCs w:val="16"/>
              </w:rPr>
            </w:pPr>
            <w:r w:rsidRPr="00526311">
              <w:rPr>
                <w:b/>
                <w:sz w:val="16"/>
                <w:szCs w:val="16"/>
              </w:rPr>
              <w:t>Objetivos</w:t>
            </w:r>
          </w:p>
        </w:tc>
        <w:tc>
          <w:tcPr>
            <w:tcW w:w="1060" w:type="pct"/>
            <w:tcBorders>
              <w:top w:val="single" w:sz="4" w:space="0" w:color="auto"/>
              <w:bottom w:val="nil"/>
            </w:tcBorders>
            <w:shd w:val="clear" w:color="auto" w:fill="FFFFFF"/>
            <w:tcMar>
              <w:top w:w="110" w:type="dxa"/>
            </w:tcMar>
            <w:vAlign w:val="center"/>
          </w:tcPr>
          <w:p w:rsidR="00F777B4" w:rsidRPr="00526311" w:rsidRDefault="00F777B4" w:rsidP="008761B9">
            <w:pPr>
              <w:ind w:right="-179"/>
              <w:rPr>
                <w:sz w:val="16"/>
                <w:szCs w:val="16"/>
              </w:rPr>
            </w:pPr>
            <w:r w:rsidRPr="00526311">
              <w:rPr>
                <w:b/>
                <w:sz w:val="16"/>
                <w:szCs w:val="16"/>
              </w:rPr>
              <w:t>Datos sobre el rendimiento</w:t>
            </w:r>
          </w:p>
        </w:tc>
        <w:tc>
          <w:tcPr>
            <w:tcW w:w="759" w:type="pct"/>
            <w:tcBorders>
              <w:top w:val="single" w:sz="4" w:space="0" w:color="auto"/>
              <w:bottom w:val="nil"/>
            </w:tcBorders>
            <w:tcMar>
              <w:top w:w="110" w:type="dxa"/>
            </w:tcMar>
            <w:vAlign w:val="center"/>
          </w:tcPr>
          <w:p w:rsidR="00F777B4" w:rsidRPr="00526311" w:rsidRDefault="00F777B4" w:rsidP="0063039A">
            <w:pPr>
              <w:keepNext/>
              <w:keepLines/>
              <w:ind w:left="-136"/>
              <w:jc w:val="center"/>
              <w:rPr>
                <w:b/>
                <w:bCs/>
                <w:sz w:val="16"/>
                <w:szCs w:val="16"/>
              </w:rPr>
            </w:pPr>
            <w:r w:rsidRPr="00526311">
              <w:rPr>
                <w:b/>
                <w:bCs/>
                <w:sz w:val="16"/>
                <w:szCs w:val="16"/>
              </w:rPr>
              <w:t>Clave de colores</w:t>
            </w:r>
          </w:p>
        </w:tc>
      </w:tr>
      <w:tr w:rsidR="00F777B4" w:rsidRPr="00526311" w:rsidTr="008761B9">
        <w:trPr>
          <w:cantSplit/>
        </w:trPr>
        <w:tc>
          <w:tcPr>
            <w:tcW w:w="1131" w:type="pct"/>
            <w:tcBorders>
              <w:top w:val="nil"/>
              <w:bottom w:val="single" w:sz="4" w:space="0" w:color="auto"/>
            </w:tcBorders>
          </w:tcPr>
          <w:p w:rsidR="00F777B4" w:rsidRPr="00526311" w:rsidRDefault="00F777B4" w:rsidP="0063039A">
            <w:pPr>
              <w:rPr>
                <w:sz w:val="16"/>
                <w:szCs w:val="16"/>
              </w:rPr>
            </w:pPr>
            <w:r w:rsidRPr="00526311">
              <w:rPr>
                <w:sz w:val="16"/>
                <w:szCs w:val="16"/>
              </w:rPr>
              <w:t>Acuerdo en las negociaciones del CIG sobre uno o varios instrumentos jurídicos internacionales relativos a los CC.TT., ECT y RR.GG.</w:t>
            </w:r>
          </w:p>
        </w:tc>
        <w:tc>
          <w:tcPr>
            <w:tcW w:w="1292" w:type="pct"/>
            <w:tcBorders>
              <w:top w:val="nil"/>
              <w:bottom w:val="single" w:sz="4" w:space="0" w:color="auto"/>
            </w:tcBorders>
            <w:shd w:val="clear" w:color="auto" w:fill="auto"/>
          </w:tcPr>
          <w:p w:rsidR="00F777B4" w:rsidRPr="00526311" w:rsidRDefault="00F777B4" w:rsidP="0063039A">
            <w:pPr>
              <w:rPr>
                <w:i/>
                <w:color w:val="002060"/>
                <w:sz w:val="16"/>
                <w:szCs w:val="16"/>
              </w:rPr>
            </w:pPr>
            <w:r w:rsidRPr="00526311">
              <w:rPr>
                <w:i/>
                <w:color w:val="002060"/>
                <w:sz w:val="16"/>
                <w:szCs w:val="16"/>
              </w:rPr>
              <w:t>Referencia actualizada a fines de 2013:  La Asamblea General de la OMPI celebrada en octubre de 2013 acordó un mandato renovado para el CIG para 2014/15 y un programa de trabajo para 2014</w:t>
            </w:r>
          </w:p>
          <w:p w:rsidR="00F777B4" w:rsidRPr="00526311" w:rsidRDefault="00F777B4" w:rsidP="0063039A">
            <w:pPr>
              <w:rPr>
                <w:i/>
                <w:color w:val="002060"/>
                <w:sz w:val="8"/>
                <w:szCs w:val="8"/>
              </w:rPr>
            </w:pPr>
          </w:p>
          <w:p w:rsidR="00F777B4" w:rsidRPr="00526311" w:rsidRDefault="007B705E" w:rsidP="0063039A">
            <w:pPr>
              <w:rPr>
                <w:sz w:val="16"/>
                <w:szCs w:val="16"/>
              </w:rPr>
            </w:pPr>
            <w:r w:rsidRPr="00526311">
              <w:rPr>
                <w:i/>
                <w:sz w:val="16"/>
                <w:szCs w:val="16"/>
              </w:rPr>
              <w:t>Referencia original en el presupuesto de 2014/15</w:t>
            </w:r>
            <w:r w:rsidR="00F777B4" w:rsidRPr="00526311">
              <w:rPr>
                <w:i/>
                <w:sz w:val="16"/>
                <w:szCs w:val="16"/>
              </w:rPr>
              <w:t>:</w:t>
            </w:r>
          </w:p>
          <w:p w:rsidR="00F777B4" w:rsidRPr="00526311" w:rsidRDefault="00F777B4" w:rsidP="0063039A">
            <w:pPr>
              <w:rPr>
                <w:sz w:val="16"/>
                <w:szCs w:val="16"/>
              </w:rPr>
            </w:pPr>
            <w:r w:rsidRPr="00526311">
              <w:rPr>
                <w:sz w:val="16"/>
                <w:szCs w:val="16"/>
              </w:rPr>
              <w:t>Negociaciones en curso en el marco del mandato del CIG correspondiente a 2012-2013 y programa de trabajo de 2013</w:t>
            </w:r>
          </w:p>
          <w:p w:rsidR="00F777B4" w:rsidRPr="00526311" w:rsidRDefault="00F777B4" w:rsidP="0063039A">
            <w:pPr>
              <w:rPr>
                <w:sz w:val="16"/>
                <w:szCs w:val="16"/>
              </w:rPr>
            </w:pPr>
          </w:p>
        </w:tc>
        <w:tc>
          <w:tcPr>
            <w:tcW w:w="758" w:type="pct"/>
            <w:gridSpan w:val="2"/>
            <w:tcBorders>
              <w:top w:val="nil"/>
              <w:bottom w:val="single" w:sz="4" w:space="0" w:color="auto"/>
            </w:tcBorders>
            <w:tcMar>
              <w:top w:w="110" w:type="dxa"/>
            </w:tcMar>
          </w:tcPr>
          <w:p w:rsidR="00F777B4" w:rsidRPr="00526311" w:rsidRDefault="00F777B4" w:rsidP="0063039A">
            <w:pPr>
              <w:autoSpaceDE w:val="0"/>
              <w:autoSpaceDN w:val="0"/>
              <w:adjustRightInd w:val="0"/>
              <w:rPr>
                <w:sz w:val="16"/>
                <w:szCs w:val="16"/>
              </w:rPr>
            </w:pPr>
            <w:r w:rsidRPr="00526311">
              <w:rPr>
                <w:sz w:val="16"/>
                <w:szCs w:val="16"/>
              </w:rPr>
              <w:t>Adopción de uno o varios instrumentos internacionales en una conferencia diplomática</w:t>
            </w:r>
          </w:p>
        </w:tc>
        <w:tc>
          <w:tcPr>
            <w:tcW w:w="1060" w:type="pct"/>
            <w:tcBorders>
              <w:top w:val="nil"/>
              <w:bottom w:val="single" w:sz="4" w:space="0" w:color="auto"/>
            </w:tcBorders>
            <w:shd w:val="clear" w:color="auto" w:fill="FFFFFF"/>
            <w:tcMar>
              <w:top w:w="110" w:type="dxa"/>
            </w:tcMar>
          </w:tcPr>
          <w:p w:rsidR="00F777B4" w:rsidRPr="00526311" w:rsidRDefault="008761B9" w:rsidP="008761B9">
            <w:pPr>
              <w:ind w:right="-89"/>
              <w:rPr>
                <w:sz w:val="16"/>
                <w:szCs w:val="16"/>
              </w:rPr>
            </w:pPr>
            <w:r w:rsidRPr="00526311">
              <w:rPr>
                <w:sz w:val="16"/>
                <w:szCs w:val="16"/>
                <w:lang w:bidi="th-TH"/>
              </w:rPr>
              <w:t xml:space="preserve">Tras tres sesiones adicionales en 2014, el CIG logró avanzar en sus negociaciones basadas en textos, conforme al mandato recibido. </w:t>
            </w:r>
            <w:r w:rsidR="00F777B4" w:rsidRPr="00526311">
              <w:rPr>
                <w:sz w:val="16"/>
                <w:szCs w:val="16"/>
                <w:lang w:bidi="th-TH"/>
              </w:rPr>
              <w:t>La Asamblea General de la OMPI, celebrada en octubre de 2014, no llegó a un acuerdo sobre el programa de trabajo del CIG para 2015</w:t>
            </w:r>
          </w:p>
        </w:tc>
        <w:tc>
          <w:tcPr>
            <w:tcW w:w="759" w:type="pct"/>
            <w:tcBorders>
              <w:top w:val="nil"/>
              <w:bottom w:val="single" w:sz="4" w:space="0" w:color="auto"/>
            </w:tcBorders>
            <w:tcMar>
              <w:top w:w="110" w:type="dxa"/>
            </w:tcMar>
          </w:tcPr>
          <w:p w:rsidR="00F777B4" w:rsidRPr="00526311" w:rsidRDefault="00F777B4" w:rsidP="0063039A">
            <w:pPr>
              <w:keepNext/>
              <w:keepLines/>
              <w:ind w:left="-136"/>
              <w:jc w:val="center"/>
              <w:rPr>
                <w:b/>
                <w:bCs/>
                <w:color w:val="FF0000"/>
                <w:sz w:val="16"/>
                <w:szCs w:val="16"/>
              </w:rPr>
            </w:pPr>
            <w:r w:rsidRPr="00526311">
              <w:rPr>
                <w:b/>
                <w:bCs/>
                <w:color w:val="FF0000"/>
                <w:sz w:val="16"/>
                <w:szCs w:val="16"/>
              </w:rPr>
              <w:t>No avanza</w:t>
            </w:r>
          </w:p>
        </w:tc>
      </w:tr>
      <w:tr w:rsidR="00F777B4" w:rsidRPr="00526311" w:rsidTr="008761B9">
        <w:trPr>
          <w:cantSplit/>
          <w:trHeight w:val="563"/>
        </w:trPr>
        <w:tc>
          <w:tcPr>
            <w:tcW w:w="5000" w:type="pct"/>
            <w:gridSpan w:val="6"/>
            <w:tcBorders>
              <w:top w:val="single" w:sz="4" w:space="0" w:color="auto"/>
              <w:bottom w:val="single" w:sz="4" w:space="0" w:color="auto"/>
            </w:tcBorders>
            <w:shd w:val="clear" w:color="auto" w:fill="CCFFFF"/>
            <w:vAlign w:val="center"/>
          </w:tcPr>
          <w:p w:rsidR="00F777B4" w:rsidRPr="00526311" w:rsidRDefault="00F777B4" w:rsidP="0063039A">
            <w:pPr>
              <w:keepNext/>
              <w:keepLines/>
              <w:tabs>
                <w:tab w:val="left" w:pos="1452"/>
              </w:tabs>
              <w:ind w:left="1701" w:hanging="1701"/>
              <w:rPr>
                <w:b/>
                <w:bCs/>
                <w:sz w:val="16"/>
                <w:szCs w:val="16"/>
              </w:rPr>
            </w:pPr>
            <w:r w:rsidRPr="00526311">
              <w:rPr>
                <w:b/>
                <w:bCs/>
                <w:sz w:val="16"/>
                <w:szCs w:val="16"/>
              </w:rPr>
              <w:t>Resultado previsto:</w:t>
            </w:r>
            <w:r w:rsidRPr="00526311">
              <w:rPr>
                <w:bCs/>
                <w:sz w:val="16"/>
                <w:szCs w:val="16"/>
              </w:rPr>
              <w:tab/>
              <w:t xml:space="preserve">III.2 </w:t>
            </w:r>
            <w:r w:rsidR="00BD7510" w:rsidRPr="00526311">
              <w:rPr>
                <w:bCs/>
                <w:sz w:val="16"/>
                <w:szCs w:val="16"/>
              </w:rPr>
              <w:t>Aumento de las capacidades en recursos humanos para hacer frente a la gran diversidad de exigencias que supone la utilización eficaz de la P.I. para fomentar el desarrollo en los países en desarrollo, PMA y países con economías en transición</w:t>
            </w:r>
          </w:p>
        </w:tc>
      </w:tr>
      <w:tr w:rsidR="00F777B4" w:rsidRPr="00526311" w:rsidTr="008761B9">
        <w:trPr>
          <w:cantSplit/>
        </w:trPr>
        <w:tc>
          <w:tcPr>
            <w:tcW w:w="1131" w:type="pct"/>
            <w:tcBorders>
              <w:top w:val="single" w:sz="4" w:space="0" w:color="auto"/>
              <w:bottom w:val="nil"/>
            </w:tcBorders>
            <w:vAlign w:val="center"/>
          </w:tcPr>
          <w:p w:rsidR="00F777B4" w:rsidRPr="00526311" w:rsidRDefault="00F777B4" w:rsidP="0063039A">
            <w:pPr>
              <w:keepNext/>
              <w:keepLines/>
              <w:rPr>
                <w:sz w:val="16"/>
                <w:szCs w:val="16"/>
              </w:rPr>
            </w:pPr>
            <w:r w:rsidRPr="00526311">
              <w:rPr>
                <w:b/>
                <w:sz w:val="16"/>
                <w:szCs w:val="16"/>
              </w:rPr>
              <w:t>Indicadores de rendimiento</w:t>
            </w:r>
          </w:p>
        </w:tc>
        <w:tc>
          <w:tcPr>
            <w:tcW w:w="1292" w:type="pct"/>
            <w:tcBorders>
              <w:top w:val="single" w:sz="4" w:space="0" w:color="auto"/>
              <w:bottom w:val="nil"/>
            </w:tcBorders>
            <w:shd w:val="clear" w:color="auto" w:fill="auto"/>
            <w:vAlign w:val="center"/>
          </w:tcPr>
          <w:p w:rsidR="00F777B4" w:rsidRPr="00526311" w:rsidRDefault="00F777B4" w:rsidP="0063039A">
            <w:pPr>
              <w:keepNext/>
              <w:keepLines/>
              <w:rPr>
                <w:b/>
                <w:bCs/>
                <w:sz w:val="16"/>
                <w:szCs w:val="16"/>
              </w:rPr>
            </w:pPr>
            <w:r w:rsidRPr="00526311">
              <w:rPr>
                <w:b/>
                <w:bCs/>
                <w:sz w:val="16"/>
                <w:szCs w:val="16"/>
              </w:rPr>
              <w:t>Referencia</w:t>
            </w:r>
          </w:p>
        </w:tc>
        <w:tc>
          <w:tcPr>
            <w:tcW w:w="606" w:type="pct"/>
            <w:tcBorders>
              <w:top w:val="single" w:sz="4" w:space="0" w:color="auto"/>
              <w:bottom w:val="nil"/>
            </w:tcBorders>
            <w:tcMar>
              <w:top w:w="110" w:type="dxa"/>
            </w:tcMar>
            <w:vAlign w:val="center"/>
          </w:tcPr>
          <w:p w:rsidR="00F777B4" w:rsidRPr="00526311" w:rsidRDefault="00F777B4" w:rsidP="0063039A">
            <w:pPr>
              <w:keepNext/>
              <w:keepLines/>
              <w:rPr>
                <w:b/>
                <w:sz w:val="16"/>
                <w:szCs w:val="16"/>
              </w:rPr>
            </w:pPr>
            <w:r w:rsidRPr="00526311">
              <w:rPr>
                <w:b/>
                <w:sz w:val="16"/>
                <w:szCs w:val="16"/>
              </w:rPr>
              <w:t>Objetivos</w:t>
            </w:r>
          </w:p>
        </w:tc>
        <w:tc>
          <w:tcPr>
            <w:tcW w:w="1212" w:type="pct"/>
            <w:gridSpan w:val="2"/>
            <w:tcBorders>
              <w:top w:val="single" w:sz="4" w:space="0" w:color="auto"/>
              <w:bottom w:val="nil"/>
            </w:tcBorders>
            <w:shd w:val="clear" w:color="auto" w:fill="FFFFFF"/>
            <w:tcMar>
              <w:top w:w="110" w:type="dxa"/>
            </w:tcMar>
            <w:vAlign w:val="center"/>
          </w:tcPr>
          <w:p w:rsidR="00F777B4" w:rsidRPr="00526311" w:rsidRDefault="00F777B4" w:rsidP="0063039A">
            <w:pPr>
              <w:keepNext/>
              <w:keepLines/>
              <w:rPr>
                <w:sz w:val="16"/>
                <w:szCs w:val="16"/>
              </w:rPr>
            </w:pPr>
            <w:r w:rsidRPr="00526311">
              <w:rPr>
                <w:b/>
                <w:sz w:val="16"/>
                <w:szCs w:val="16"/>
              </w:rPr>
              <w:t>Datos sobre el rendimiento</w:t>
            </w:r>
          </w:p>
        </w:tc>
        <w:tc>
          <w:tcPr>
            <w:tcW w:w="759" w:type="pct"/>
            <w:tcBorders>
              <w:top w:val="single" w:sz="4" w:space="0" w:color="auto"/>
              <w:bottom w:val="nil"/>
            </w:tcBorders>
            <w:tcMar>
              <w:top w:w="110" w:type="dxa"/>
            </w:tcMar>
            <w:vAlign w:val="center"/>
          </w:tcPr>
          <w:p w:rsidR="00F777B4" w:rsidRPr="00526311" w:rsidRDefault="00F777B4" w:rsidP="0063039A">
            <w:pPr>
              <w:keepNext/>
              <w:keepLines/>
              <w:ind w:left="-136"/>
              <w:jc w:val="center"/>
              <w:rPr>
                <w:b/>
                <w:bCs/>
                <w:sz w:val="16"/>
                <w:szCs w:val="16"/>
              </w:rPr>
            </w:pPr>
            <w:r w:rsidRPr="00526311">
              <w:rPr>
                <w:b/>
                <w:bCs/>
                <w:sz w:val="16"/>
                <w:szCs w:val="16"/>
              </w:rPr>
              <w:t>Clave de colores</w:t>
            </w:r>
          </w:p>
        </w:tc>
      </w:tr>
      <w:tr w:rsidR="00F777B4" w:rsidRPr="00526311" w:rsidTr="008761B9">
        <w:trPr>
          <w:cantSplit/>
        </w:trPr>
        <w:tc>
          <w:tcPr>
            <w:tcW w:w="1131" w:type="pct"/>
            <w:tcBorders>
              <w:top w:val="nil"/>
              <w:bottom w:val="single" w:sz="4" w:space="0" w:color="auto"/>
            </w:tcBorders>
            <w:shd w:val="clear" w:color="auto" w:fill="FFFFFF"/>
          </w:tcPr>
          <w:p w:rsidR="00F777B4" w:rsidRPr="00526311" w:rsidRDefault="00F777B4" w:rsidP="0063039A">
            <w:pPr>
              <w:rPr>
                <w:sz w:val="16"/>
                <w:szCs w:val="16"/>
                <w:lang w:bidi="th-TH"/>
              </w:rPr>
            </w:pPr>
            <w:r w:rsidRPr="00526311">
              <w:rPr>
                <w:sz w:val="16"/>
                <w:szCs w:val="16"/>
                <w:lang w:bidi="th-TH"/>
              </w:rPr>
              <w:t>Porcentaje de participantes en actividades de la OMPI que afirman haber fomentado la capacidad de comprender y utilizar principios, sistemas y herramientas de P.I. para la protección de los CC.TT. y las ECT, y para la gestión de la relación existente entre la P.I. y los RR.GG.</w:t>
            </w:r>
          </w:p>
        </w:tc>
        <w:tc>
          <w:tcPr>
            <w:tcW w:w="1292" w:type="pct"/>
            <w:tcBorders>
              <w:top w:val="nil"/>
              <w:bottom w:val="single" w:sz="4" w:space="0" w:color="auto"/>
            </w:tcBorders>
            <w:shd w:val="clear" w:color="auto" w:fill="auto"/>
          </w:tcPr>
          <w:p w:rsidR="00F777B4" w:rsidRPr="00526311" w:rsidRDefault="00F777B4"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el</w:t>
            </w:r>
            <w:r w:rsidRPr="00526311">
              <w:rPr>
                <w:i/>
                <w:color w:val="002060"/>
                <w:sz w:val="16"/>
                <w:szCs w:val="16"/>
              </w:rPr>
              <w:t xml:space="preserve"> </w:t>
            </w:r>
            <w:r w:rsidRPr="00526311">
              <w:rPr>
                <w:color w:val="002060"/>
                <w:sz w:val="16"/>
                <w:szCs w:val="16"/>
              </w:rPr>
              <w:t>95% (79 de 83) de los  participantes han respondido positivamente (cuestionario de evaluación utilizado en cinco actividades organizadas por la División de CC.TT. en 2012/13)</w:t>
            </w:r>
          </w:p>
          <w:p w:rsidR="00F777B4" w:rsidRPr="00526311" w:rsidRDefault="00F777B4" w:rsidP="0063039A">
            <w:pPr>
              <w:rPr>
                <w:i/>
                <w:color w:val="002060"/>
                <w:sz w:val="8"/>
                <w:szCs w:val="8"/>
              </w:rPr>
            </w:pPr>
          </w:p>
          <w:p w:rsidR="00F777B4" w:rsidRPr="00526311" w:rsidRDefault="007B705E" w:rsidP="0063039A">
            <w:pPr>
              <w:rPr>
                <w:sz w:val="16"/>
                <w:szCs w:val="16"/>
              </w:rPr>
            </w:pPr>
            <w:r w:rsidRPr="00526311">
              <w:rPr>
                <w:i/>
                <w:sz w:val="16"/>
                <w:szCs w:val="16"/>
              </w:rPr>
              <w:t>Referencia original en el presupuesto de 2014/15</w:t>
            </w:r>
            <w:r w:rsidR="00F777B4" w:rsidRPr="00526311">
              <w:rPr>
                <w:i/>
                <w:sz w:val="16"/>
                <w:szCs w:val="16"/>
              </w:rPr>
              <w:t>:</w:t>
            </w:r>
          </w:p>
          <w:p w:rsidR="00F777B4" w:rsidRPr="00526311" w:rsidRDefault="00F777B4" w:rsidP="0063039A">
            <w:pPr>
              <w:rPr>
                <w:sz w:val="16"/>
                <w:szCs w:val="16"/>
                <w:lang w:bidi="th-TH"/>
              </w:rPr>
            </w:pPr>
            <w:r w:rsidRPr="00526311">
              <w:rPr>
                <w:sz w:val="16"/>
                <w:szCs w:val="16"/>
                <w:lang w:bidi="th-TH"/>
              </w:rPr>
              <w:t>Aún no está disponible.</w:t>
            </w:r>
          </w:p>
        </w:tc>
        <w:tc>
          <w:tcPr>
            <w:tcW w:w="606" w:type="pct"/>
            <w:tcBorders>
              <w:top w:val="nil"/>
              <w:bottom w:val="single" w:sz="4" w:space="0" w:color="auto"/>
            </w:tcBorders>
            <w:tcMar>
              <w:top w:w="110" w:type="dxa"/>
            </w:tcMar>
          </w:tcPr>
          <w:p w:rsidR="00F777B4" w:rsidRPr="00526311" w:rsidRDefault="00F777B4" w:rsidP="0063039A">
            <w:pPr>
              <w:rPr>
                <w:sz w:val="16"/>
                <w:szCs w:val="16"/>
                <w:lang w:bidi="th-TH"/>
              </w:rPr>
            </w:pPr>
            <w:r w:rsidRPr="00526311">
              <w:rPr>
                <w:sz w:val="16"/>
                <w:szCs w:val="16"/>
              </w:rPr>
              <w:t>80%</w:t>
            </w:r>
          </w:p>
        </w:tc>
        <w:tc>
          <w:tcPr>
            <w:tcW w:w="1212" w:type="pct"/>
            <w:gridSpan w:val="2"/>
            <w:tcBorders>
              <w:top w:val="nil"/>
              <w:bottom w:val="single" w:sz="4" w:space="0" w:color="auto"/>
            </w:tcBorders>
            <w:shd w:val="clear" w:color="auto" w:fill="FFFFFF"/>
            <w:tcMar>
              <w:top w:w="110" w:type="dxa"/>
            </w:tcMar>
          </w:tcPr>
          <w:p w:rsidR="00F777B4" w:rsidRPr="00526311" w:rsidRDefault="00F777B4" w:rsidP="008761B9">
            <w:pPr>
              <w:ind w:right="-89"/>
              <w:rPr>
                <w:sz w:val="16"/>
                <w:szCs w:val="16"/>
                <w:lang w:bidi="th-TH"/>
              </w:rPr>
            </w:pPr>
            <w:r w:rsidRPr="00526311">
              <w:rPr>
                <w:sz w:val="16"/>
                <w:szCs w:val="16"/>
                <w:lang w:bidi="th-TH"/>
              </w:rPr>
              <w:t>El 91% (163 de 179) de los participantes han respondido positivamente (cuestionario de evaluación utilizado en nueve actividades organizadas por la División de CC.TT. en 2014)</w:t>
            </w:r>
          </w:p>
        </w:tc>
        <w:tc>
          <w:tcPr>
            <w:tcW w:w="759" w:type="pct"/>
            <w:tcBorders>
              <w:top w:val="nil"/>
              <w:bottom w:val="single" w:sz="4" w:space="0" w:color="auto"/>
            </w:tcBorders>
            <w:tcMar>
              <w:top w:w="110" w:type="dxa"/>
            </w:tcMar>
          </w:tcPr>
          <w:p w:rsidR="00F777B4" w:rsidRPr="00526311" w:rsidRDefault="00F777B4" w:rsidP="0063039A">
            <w:pPr>
              <w:keepNext/>
              <w:keepLines/>
              <w:ind w:left="-136"/>
              <w:jc w:val="center"/>
              <w:rPr>
                <w:b/>
                <w:bCs/>
                <w:color w:val="00B050"/>
                <w:sz w:val="16"/>
                <w:szCs w:val="16"/>
              </w:rPr>
            </w:pPr>
            <w:r w:rsidRPr="00526311">
              <w:rPr>
                <w:b/>
                <w:bCs/>
                <w:color w:val="00B050"/>
                <w:sz w:val="16"/>
                <w:szCs w:val="16"/>
              </w:rPr>
              <w:t>Avanza</w:t>
            </w:r>
          </w:p>
        </w:tc>
      </w:tr>
    </w:tbl>
    <w:p w:rsidR="00F777B4" w:rsidRPr="00526311" w:rsidRDefault="00F777B4">
      <w:r w:rsidRPr="00526311">
        <w:rPr>
          <w:color w:val="000000"/>
          <w:szCs w:val="22"/>
        </w:rPr>
        <w:br w:type="page"/>
      </w:r>
    </w:p>
    <w:p w:rsidR="00F777B4" w:rsidRPr="00526311" w:rsidRDefault="00F777B4" w:rsidP="0063039A">
      <w:pPr>
        <w:rPr>
          <w:b/>
          <w:sz w:val="18"/>
          <w:szCs w:val="18"/>
        </w:rPr>
      </w:pPr>
      <w:r w:rsidRPr="00526311">
        <w:rPr>
          <w:color w:val="000000"/>
          <w:szCs w:val="22"/>
        </w:rPr>
        <w:lastRenderedPageBreak/>
        <w:t>UTILIZACIÓN DE LOS RECURSOS</w:t>
      </w:r>
    </w:p>
    <w:p w:rsidR="00F777B4" w:rsidRPr="00526311" w:rsidRDefault="00F777B4">
      <w:pPr>
        <w:rPr>
          <w:sz w:val="20"/>
        </w:rPr>
      </w:pPr>
    </w:p>
    <w:p w:rsidR="00F777B4" w:rsidRPr="00526311" w:rsidRDefault="00F777B4"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F777B4" w:rsidRPr="00526311" w:rsidRDefault="00F777B4"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F777B4" w:rsidRPr="00526311" w:rsidRDefault="00F777B4" w:rsidP="0063039A">
      <w:pPr>
        <w:pStyle w:val="NormalWeb"/>
        <w:spacing w:before="0" w:beforeAutospacing="0" w:after="0" w:afterAutospacing="0"/>
        <w:jc w:val="center"/>
        <w:rPr>
          <w:sz w:val="20"/>
          <w:szCs w:val="20"/>
          <w:lang w:val="es-ES"/>
        </w:rPr>
      </w:pPr>
    </w:p>
    <w:p w:rsidR="00F777B4" w:rsidRPr="00526311" w:rsidRDefault="00DD7B62" w:rsidP="0063039A">
      <w:pPr>
        <w:jc w:val="center"/>
        <w:rPr>
          <w:sz w:val="20"/>
        </w:rPr>
      </w:pPr>
      <w:r w:rsidRPr="00526311">
        <w:rPr>
          <w:noProof/>
          <w:lang w:val="en-US" w:eastAsia="en-US"/>
        </w:rPr>
        <w:drawing>
          <wp:inline distT="0" distB="0" distL="0" distR="0" wp14:anchorId="07727748" wp14:editId="4D56BF13">
            <wp:extent cx="5762625" cy="3076575"/>
            <wp:effectExtent l="0" t="0" r="9525" b="952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076575"/>
                    </a:xfrm>
                    <a:prstGeom prst="rect">
                      <a:avLst/>
                    </a:prstGeom>
                    <a:noFill/>
                    <a:ln>
                      <a:noFill/>
                    </a:ln>
                  </pic:spPr>
                </pic:pic>
              </a:graphicData>
            </a:graphic>
          </wp:inline>
        </w:drawing>
      </w:r>
    </w:p>
    <w:p w:rsidR="00F777B4" w:rsidRPr="00526311" w:rsidRDefault="00F777B4">
      <w:pPr>
        <w:rPr>
          <w:sz w:val="20"/>
        </w:rPr>
      </w:pPr>
    </w:p>
    <w:p w:rsidR="00F777B4" w:rsidRPr="00526311" w:rsidRDefault="00F777B4">
      <w:pPr>
        <w:rPr>
          <w:sz w:val="20"/>
        </w:rPr>
      </w:pPr>
    </w:p>
    <w:p w:rsidR="00F777B4" w:rsidRPr="00526311" w:rsidRDefault="00F777B4"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F777B4" w:rsidRPr="00526311" w:rsidRDefault="00F777B4"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(en miles de francos suizos)</w:t>
      </w:r>
    </w:p>
    <w:p w:rsidR="00F777B4" w:rsidRPr="00526311" w:rsidRDefault="00F777B4" w:rsidP="0063039A">
      <w:pPr>
        <w:pStyle w:val="NormalWeb"/>
        <w:keepNext/>
        <w:keepLines/>
        <w:spacing w:before="0" w:beforeAutospacing="0" w:after="0" w:afterAutospacing="0"/>
        <w:jc w:val="center"/>
        <w:rPr>
          <w:lang w:val="es-ES"/>
        </w:rPr>
      </w:pPr>
    </w:p>
    <w:p w:rsidR="00F777B4" w:rsidRPr="00526311" w:rsidRDefault="00FF6E74" w:rsidP="0063039A">
      <w:pPr>
        <w:jc w:val="center"/>
        <w:rPr>
          <w:sz w:val="20"/>
        </w:rPr>
      </w:pPr>
      <w:bookmarkStart w:id="21" w:name="Punto4"/>
      <w:r w:rsidRPr="00526311">
        <w:rPr>
          <w:noProof/>
          <w:lang w:val="en-US" w:eastAsia="en-US"/>
        </w:rPr>
        <w:drawing>
          <wp:inline distT="0" distB="0" distL="0" distR="0" wp14:anchorId="13ED2568" wp14:editId="0BC0B0AB">
            <wp:extent cx="5940425" cy="1231877"/>
            <wp:effectExtent l="0" t="0" r="317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1231877"/>
                    </a:xfrm>
                    <a:prstGeom prst="rect">
                      <a:avLst/>
                    </a:prstGeom>
                    <a:noFill/>
                    <a:ln>
                      <a:noFill/>
                    </a:ln>
                  </pic:spPr>
                </pic:pic>
              </a:graphicData>
            </a:graphic>
          </wp:inline>
        </w:drawing>
      </w:r>
      <w:bookmarkEnd w:id="21"/>
    </w:p>
    <w:p w:rsidR="00F777B4" w:rsidRPr="00526311" w:rsidRDefault="00F777B4" w:rsidP="0063039A">
      <w:pPr>
        <w:keepNext/>
        <w:autoSpaceDE w:val="0"/>
        <w:autoSpaceDN w:val="0"/>
        <w:rPr>
          <w:i/>
          <w:sz w:val="16"/>
          <w:szCs w:val="16"/>
        </w:rPr>
      </w:pPr>
    </w:p>
    <w:p w:rsidR="00F777B4" w:rsidRPr="00526311" w:rsidRDefault="00F777B4" w:rsidP="0063039A">
      <w:pPr>
        <w:keepNext/>
        <w:autoSpaceDE w:val="0"/>
        <w:autoSpaceDN w:val="0"/>
        <w:rPr>
          <w:sz w:val="16"/>
          <w:szCs w:val="16"/>
        </w:rPr>
      </w:pPr>
      <w:r w:rsidRPr="00526311">
        <w:rPr>
          <w:i/>
          <w:sz w:val="16"/>
          <w:szCs w:val="16"/>
        </w:rPr>
        <w:t xml:space="preserve">NOTA:  </w:t>
      </w:r>
      <w:r w:rsidRPr="00526311">
        <w:rPr>
          <w:i/>
          <w:iCs/>
          <w:sz w:val="16"/>
          <w:szCs w:val="16"/>
        </w:rPr>
        <w:t>El presupuesto de 2014/15 tras las transferencias refleja las transferencias efectuadas al 31 de marzo de 2015 para hacer frente a las necesidades durante el bienio 2014/15, según lo previsto en el artículo 5.5 del Reglamento Financiero</w:t>
      </w:r>
      <w:r w:rsidRPr="00526311">
        <w:rPr>
          <w:i/>
          <w:sz w:val="16"/>
          <w:szCs w:val="16"/>
        </w:rPr>
        <w:t>.</w:t>
      </w:r>
    </w:p>
    <w:p w:rsidR="00F777B4" w:rsidRPr="00526311" w:rsidRDefault="00F777B4" w:rsidP="0063039A">
      <w:pPr>
        <w:widowControl w:val="0"/>
        <w:autoSpaceDE w:val="0"/>
        <w:autoSpaceDN w:val="0"/>
        <w:adjustRightInd w:val="0"/>
        <w:rPr>
          <w:sz w:val="20"/>
        </w:rPr>
      </w:pPr>
    </w:p>
    <w:p w:rsidR="00F777B4" w:rsidRPr="00526311" w:rsidRDefault="00F777B4"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F777B4" w:rsidRPr="00526311" w:rsidRDefault="00F777B4" w:rsidP="0063039A">
      <w:pPr>
        <w:rPr>
          <w:sz w:val="20"/>
          <w:u w:val="single"/>
        </w:rPr>
      </w:pPr>
    </w:p>
    <w:p w:rsidR="00F777B4" w:rsidRPr="00526311" w:rsidRDefault="004B4857" w:rsidP="00B45FC3">
      <w:pPr>
        <w:pStyle w:val="ListParagraph"/>
        <w:numPr>
          <w:ilvl w:val="0"/>
          <w:numId w:val="15"/>
        </w:numPr>
        <w:jc w:val="both"/>
        <w:rPr>
          <w:szCs w:val="24"/>
          <w:lang w:val="es-ES" w:eastAsia="ko-KR"/>
        </w:rPr>
      </w:pPr>
      <w:r>
        <w:rPr>
          <w:szCs w:val="24"/>
          <w:lang w:val="es-ES" w:eastAsia="ko-KR"/>
        </w:rPr>
        <w:t>La disminución del presupu</w:t>
      </w:r>
      <w:r w:rsidRPr="00526311">
        <w:rPr>
          <w:szCs w:val="24"/>
          <w:lang w:val="es-ES" w:eastAsia="ko-KR"/>
        </w:rPr>
        <w:t>esto</w:t>
      </w:r>
      <w:r w:rsidR="00F777B4" w:rsidRPr="00526311">
        <w:rPr>
          <w:szCs w:val="24"/>
          <w:lang w:val="es-ES" w:eastAsia="ko-KR"/>
        </w:rPr>
        <w:t xml:space="preserve"> tras las transferencias en relación con el resultado I.1 (Elaboración de marcos normativos internacionales equilibrados para la P.I.) refleja una reducción en la asignación de recursos prevista inicialmente para la organización de una conferencia diplomática en el ámbito de la P.I. y los recursos genéticos, los conocimientos tradicionales y el folclore.</w:t>
      </w:r>
    </w:p>
    <w:p w:rsidR="00F777B4" w:rsidRPr="00526311" w:rsidRDefault="00F777B4" w:rsidP="0063039A">
      <w:pPr>
        <w:autoSpaceDE w:val="0"/>
        <w:autoSpaceDN w:val="0"/>
        <w:jc w:val="both"/>
        <w:rPr>
          <w:sz w:val="20"/>
          <w:lang w:eastAsia="ko-KR"/>
        </w:rPr>
      </w:pPr>
    </w:p>
    <w:p w:rsidR="00F777B4" w:rsidRPr="00526311" w:rsidRDefault="008761B9" w:rsidP="00B45FC3">
      <w:pPr>
        <w:numPr>
          <w:ilvl w:val="0"/>
          <w:numId w:val="15"/>
        </w:numPr>
        <w:jc w:val="both"/>
        <w:rPr>
          <w:sz w:val="20"/>
          <w:lang w:eastAsia="ko-KR"/>
        </w:rPr>
      </w:pPr>
      <w:r w:rsidRPr="00526311">
        <w:rPr>
          <w:sz w:val="20"/>
          <w:lang w:eastAsia="ko-KR"/>
        </w:rPr>
        <w:t>El programa 4 dispone de recursos consignados al Departamento de Conocimientos Tradicionales y Desafíos Mundiales</w:t>
      </w:r>
      <w:r w:rsidR="00416BA4" w:rsidRPr="00526311">
        <w:rPr>
          <w:sz w:val="20"/>
          <w:lang w:eastAsia="ko-KR"/>
        </w:rPr>
        <w:t xml:space="preserve"> en relación con el resultado previsto VII.2</w:t>
      </w:r>
      <w:r w:rsidR="00F777B4" w:rsidRPr="00526311">
        <w:rPr>
          <w:sz w:val="20"/>
          <w:lang w:eastAsia="ko-KR"/>
        </w:rPr>
        <w:t>.</w:t>
      </w:r>
    </w:p>
    <w:p w:rsidR="00F777B4" w:rsidRPr="00526311" w:rsidRDefault="00F777B4" w:rsidP="0063039A">
      <w:pPr>
        <w:autoSpaceDE w:val="0"/>
        <w:autoSpaceDN w:val="0"/>
        <w:jc w:val="both"/>
        <w:rPr>
          <w:sz w:val="20"/>
          <w:lang w:eastAsia="ko-KR"/>
        </w:rPr>
      </w:pPr>
    </w:p>
    <w:p w:rsidR="00F777B4" w:rsidRPr="00526311" w:rsidRDefault="00F777B4"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F777B4" w:rsidRPr="00526311" w:rsidRDefault="00F777B4" w:rsidP="0063039A">
      <w:pPr>
        <w:tabs>
          <w:tab w:val="left" w:pos="709"/>
        </w:tabs>
        <w:jc w:val="both"/>
        <w:rPr>
          <w:sz w:val="20"/>
          <w:u w:val="single"/>
          <w:lang w:eastAsia="ko-KR"/>
        </w:rPr>
      </w:pPr>
    </w:p>
    <w:p w:rsidR="00F777B4" w:rsidRPr="00526311" w:rsidRDefault="00F777B4" w:rsidP="00B45FC3">
      <w:pPr>
        <w:numPr>
          <w:ilvl w:val="0"/>
          <w:numId w:val="15"/>
        </w:numPr>
        <w:jc w:val="both"/>
        <w:rPr>
          <w:rFonts w:ascii="Calibri" w:hAnsi="Calibri"/>
          <w:szCs w:val="22"/>
        </w:rPr>
      </w:pPr>
      <w:r w:rsidRPr="00526311">
        <w:rPr>
          <w:sz w:val="20"/>
          <w:lang w:eastAsia="ko-KR"/>
        </w:rPr>
        <w:t>La utilización del presupuesto se ha mantenido dentro de los límites establecidos (40-60%) durante el primer año del bienio y está bien encaminada.</w:t>
      </w:r>
    </w:p>
    <w:p w:rsidR="00F777B4" w:rsidRPr="00526311" w:rsidRDefault="00F777B4" w:rsidP="0063039A">
      <w:pPr>
        <w:autoSpaceDE w:val="0"/>
        <w:autoSpaceDN w:val="0"/>
        <w:jc w:val="both"/>
        <w:rPr>
          <w:sz w:val="20"/>
        </w:rPr>
      </w:pPr>
    </w:p>
    <w:p w:rsidR="00F777B4" w:rsidRPr="00526311" w:rsidRDefault="00F777B4" w:rsidP="0063039A">
      <w:pPr>
        <w:autoSpaceDE w:val="0"/>
        <w:autoSpaceDN w:val="0"/>
        <w:jc w:val="both"/>
        <w:rPr>
          <w:sz w:val="20"/>
        </w:rPr>
      </w:pPr>
    </w:p>
    <w:p w:rsidR="00DD13E3" w:rsidRPr="00526311" w:rsidRDefault="00DD13E3">
      <w:pPr>
        <w:rPr>
          <w:rFonts w:eastAsia="Times New Roman"/>
          <w:b/>
          <w:iCs/>
          <w:sz w:val="20"/>
          <w:szCs w:val="24"/>
          <w:lang w:eastAsia="en-US"/>
        </w:rPr>
      </w:pPr>
      <w:bookmarkStart w:id="22" w:name="_Toc367350576"/>
      <w:r w:rsidRPr="00526311">
        <w:rPr>
          <w:bCs/>
          <w:caps/>
          <w:sz w:val="20"/>
          <w:szCs w:val="24"/>
          <w:lang w:eastAsia="en-US"/>
        </w:rPr>
        <w:br w:type="page"/>
      </w:r>
    </w:p>
    <w:p w:rsidR="00F777B4" w:rsidRPr="00526311" w:rsidRDefault="00F777B4" w:rsidP="0063039A">
      <w:pPr>
        <w:pStyle w:val="StyleHeading214ptAuto"/>
        <w:rPr>
          <w:rFonts w:ascii="Arial" w:hAnsi="Arial" w:cs="Arial"/>
          <w:bCs w:val="0"/>
          <w:caps w:val="0"/>
          <w:sz w:val="20"/>
          <w:szCs w:val="24"/>
          <w:lang w:val="es-ES" w:eastAsia="en-US"/>
        </w:rPr>
      </w:pPr>
      <w:bookmarkStart w:id="23" w:name="_Toc422927406"/>
      <w:r w:rsidRPr="00526311">
        <w:rPr>
          <w:rFonts w:ascii="Arial" w:hAnsi="Arial" w:cs="Arial"/>
          <w:bCs w:val="0"/>
          <w:caps w:val="0"/>
          <w:sz w:val="20"/>
          <w:szCs w:val="24"/>
          <w:lang w:val="es-ES" w:eastAsia="en-US"/>
        </w:rPr>
        <w:lastRenderedPageBreak/>
        <w:t>META ESTRATÉGICA II</w:t>
      </w:r>
      <w:bookmarkEnd w:id="23"/>
    </w:p>
    <w:p w:rsidR="00F777B4" w:rsidRPr="00526311" w:rsidRDefault="00F777B4" w:rsidP="0063039A">
      <w:pPr>
        <w:jc w:val="center"/>
        <w:rPr>
          <w:bCs/>
          <w:caps/>
          <w:sz w:val="20"/>
          <w:szCs w:val="24"/>
        </w:rPr>
      </w:pPr>
    </w:p>
    <w:bookmarkEnd w:id="22"/>
    <w:p w:rsidR="00F777B4" w:rsidRPr="00526311" w:rsidRDefault="00F777B4" w:rsidP="0063039A">
      <w:pPr>
        <w:jc w:val="center"/>
        <w:rPr>
          <w:bCs/>
          <w:caps/>
          <w:sz w:val="20"/>
          <w:szCs w:val="24"/>
        </w:rPr>
      </w:pPr>
      <w:r w:rsidRPr="00526311">
        <w:rPr>
          <w:b/>
          <w:bCs/>
          <w:caps/>
          <w:sz w:val="20"/>
          <w:szCs w:val="24"/>
        </w:rPr>
        <w:t>Principal proveedor de servicios mundiales de P.I.</w:t>
      </w:r>
    </w:p>
    <w:p w:rsidR="00F777B4" w:rsidRPr="00526311" w:rsidRDefault="00F777B4" w:rsidP="0063039A">
      <w:pPr>
        <w:jc w:val="center"/>
        <w:rPr>
          <w:bCs/>
          <w:caps/>
          <w:sz w:val="20"/>
          <w:szCs w:val="24"/>
        </w:rPr>
      </w:pPr>
    </w:p>
    <w:p w:rsidR="00F777B4" w:rsidRPr="00526311" w:rsidRDefault="00F777B4" w:rsidP="0063039A">
      <w:pPr>
        <w:jc w:val="center"/>
        <w:rPr>
          <w:b/>
          <w:sz w:val="20"/>
        </w:rPr>
      </w:pPr>
      <w:r w:rsidRPr="00526311">
        <w:rPr>
          <w:b/>
          <w:sz w:val="20"/>
        </w:rPr>
        <w:t>Tablero de control del rendimiento a mediano plazo (2014)</w:t>
      </w:r>
    </w:p>
    <w:p w:rsidR="00F777B4" w:rsidRPr="00526311" w:rsidRDefault="00F777B4" w:rsidP="0063039A">
      <w:pPr>
        <w:jc w:val="center"/>
        <w:rPr>
          <w:b/>
        </w:rPr>
      </w:pPr>
    </w:p>
    <w:p w:rsidR="00F777B4" w:rsidRPr="00526311" w:rsidRDefault="00F777B4" w:rsidP="0063039A">
      <w:pPr>
        <w:jc w:val="both"/>
        <w:rPr>
          <w:sz w:val="20"/>
        </w:rPr>
      </w:pPr>
      <w:r w:rsidRPr="00526311">
        <w:rPr>
          <w:sz w:val="20"/>
        </w:rPr>
        <w:t>En el siguiente tablero de control se reseñan los avances realizados hacia la consecución de los resultados en 2014, medidos con arreglo a los indicadores del programa o programas que contribuyen al logro de esta meta estratégica.</w:t>
      </w:r>
    </w:p>
    <w:p w:rsidR="00F777B4" w:rsidRPr="00526311" w:rsidRDefault="00416BA4" w:rsidP="0063039A">
      <w:pPr>
        <w:jc w:val="center"/>
        <w:rPr>
          <w:bCs/>
          <w:caps/>
          <w:sz w:val="20"/>
        </w:rPr>
      </w:pPr>
      <w:r w:rsidRPr="00526311">
        <w:rPr>
          <w:noProof/>
          <w:lang w:val="en-US" w:eastAsia="en-US"/>
        </w:rPr>
        <w:drawing>
          <wp:inline distT="0" distB="0" distL="0" distR="0" wp14:anchorId="7A465833" wp14:editId="77B292B0">
            <wp:extent cx="5940425" cy="2544705"/>
            <wp:effectExtent l="0" t="0" r="317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2544705"/>
                    </a:xfrm>
                    <a:prstGeom prst="rect">
                      <a:avLst/>
                    </a:prstGeom>
                    <a:noFill/>
                    <a:ln>
                      <a:noFill/>
                    </a:ln>
                  </pic:spPr>
                </pic:pic>
              </a:graphicData>
            </a:graphic>
          </wp:inline>
        </w:drawing>
      </w:r>
    </w:p>
    <w:p w:rsidR="00F777B4" w:rsidRPr="00526311" w:rsidRDefault="00F777B4" w:rsidP="0063039A">
      <w:pPr>
        <w:jc w:val="center"/>
        <w:rPr>
          <w:bCs/>
          <w:caps/>
          <w:sz w:val="20"/>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30"/>
        <w:gridCol w:w="3852"/>
        <w:gridCol w:w="1807"/>
        <w:gridCol w:w="971"/>
      </w:tblGrid>
      <w:tr w:rsidR="00F777B4" w:rsidRPr="00526311" w:rsidTr="0063039A">
        <w:trPr>
          <w:cantSplit/>
          <w:tblHeader/>
        </w:trPr>
        <w:tc>
          <w:tcPr>
            <w:tcW w:w="1495" w:type="pct"/>
            <w:tcBorders>
              <w:top w:val="single" w:sz="4" w:space="0" w:color="auto"/>
              <w:bottom w:val="single" w:sz="4" w:space="0" w:color="auto"/>
            </w:tcBorders>
            <w:shd w:val="clear" w:color="auto" w:fill="CCFFFF"/>
            <w:tcMar>
              <w:top w:w="113" w:type="dxa"/>
              <w:bottom w:w="113" w:type="dxa"/>
            </w:tcMar>
            <w:vAlign w:val="center"/>
          </w:tcPr>
          <w:p w:rsidR="00F777B4" w:rsidRPr="00526311" w:rsidRDefault="00F777B4" w:rsidP="0063039A">
            <w:pPr>
              <w:spacing w:after="120"/>
              <w:jc w:val="center"/>
              <w:rPr>
                <w:b/>
                <w:bCs/>
                <w:sz w:val="18"/>
                <w:szCs w:val="18"/>
              </w:rPr>
            </w:pPr>
            <w:r w:rsidRPr="00526311">
              <w:rPr>
                <w:b/>
                <w:bCs/>
                <w:color w:val="000000"/>
                <w:sz w:val="18"/>
                <w:szCs w:val="18"/>
              </w:rPr>
              <w:t>Resultados previstos</w:t>
            </w:r>
          </w:p>
        </w:tc>
        <w:tc>
          <w:tcPr>
            <w:tcW w:w="2036" w:type="pct"/>
            <w:tcBorders>
              <w:top w:val="single" w:sz="4" w:space="0" w:color="auto"/>
              <w:bottom w:val="single" w:sz="4" w:space="0" w:color="auto"/>
            </w:tcBorders>
            <w:shd w:val="clear" w:color="auto" w:fill="CCFFFF"/>
            <w:tcMar>
              <w:top w:w="113" w:type="dxa"/>
              <w:bottom w:w="113" w:type="dxa"/>
            </w:tcMar>
            <w:vAlign w:val="center"/>
          </w:tcPr>
          <w:p w:rsidR="00F777B4" w:rsidRPr="00526311" w:rsidRDefault="00F777B4" w:rsidP="0063039A">
            <w:pPr>
              <w:spacing w:after="120"/>
              <w:jc w:val="center"/>
              <w:rPr>
                <w:b/>
                <w:sz w:val="18"/>
                <w:szCs w:val="18"/>
              </w:rPr>
            </w:pPr>
            <w:r w:rsidRPr="00526311">
              <w:rPr>
                <w:b/>
                <w:color w:val="000000"/>
                <w:sz w:val="18"/>
                <w:szCs w:val="18"/>
              </w:rPr>
              <w:t>Indicadores de rendimiento</w:t>
            </w:r>
          </w:p>
        </w:tc>
        <w:tc>
          <w:tcPr>
            <w:tcW w:w="955" w:type="pct"/>
            <w:tcBorders>
              <w:top w:val="single" w:sz="4" w:space="0" w:color="auto"/>
              <w:bottom w:val="single" w:sz="4" w:space="0" w:color="auto"/>
            </w:tcBorders>
            <w:shd w:val="clear" w:color="auto" w:fill="CCFFFF"/>
            <w:tcMar>
              <w:top w:w="113" w:type="dxa"/>
              <w:bottom w:w="113" w:type="dxa"/>
            </w:tcMar>
            <w:vAlign w:val="center"/>
          </w:tcPr>
          <w:p w:rsidR="00F777B4" w:rsidRPr="00526311" w:rsidRDefault="00F777B4" w:rsidP="0063039A">
            <w:pPr>
              <w:spacing w:after="120"/>
              <w:ind w:left="85"/>
              <w:jc w:val="center"/>
              <w:rPr>
                <w:sz w:val="18"/>
                <w:szCs w:val="18"/>
              </w:rPr>
            </w:pPr>
            <w:r w:rsidRPr="00526311">
              <w:rPr>
                <w:b/>
                <w:color w:val="000000"/>
                <w:sz w:val="18"/>
                <w:szCs w:val="18"/>
              </w:rPr>
              <w:t>Programas responsables</w:t>
            </w:r>
          </w:p>
        </w:tc>
        <w:tc>
          <w:tcPr>
            <w:tcW w:w="513" w:type="pct"/>
            <w:tcBorders>
              <w:top w:val="single" w:sz="4" w:space="0" w:color="auto"/>
              <w:bottom w:val="single" w:sz="4" w:space="0" w:color="auto"/>
            </w:tcBorders>
            <w:shd w:val="clear" w:color="auto" w:fill="CCFFFF"/>
            <w:vAlign w:val="center"/>
          </w:tcPr>
          <w:p w:rsidR="00F777B4" w:rsidRPr="00526311" w:rsidRDefault="00F777B4" w:rsidP="0063039A">
            <w:pPr>
              <w:spacing w:after="120"/>
              <w:ind w:left="-125"/>
              <w:jc w:val="center"/>
              <w:rPr>
                <w:b/>
                <w:bCs/>
                <w:sz w:val="18"/>
                <w:szCs w:val="18"/>
              </w:rPr>
            </w:pPr>
            <w:r w:rsidRPr="00526311">
              <w:rPr>
                <w:b/>
                <w:bCs/>
                <w:color w:val="000000"/>
                <w:sz w:val="18"/>
                <w:szCs w:val="18"/>
              </w:rPr>
              <w:t>Clave de colores</w:t>
            </w:r>
          </w:p>
        </w:tc>
      </w:tr>
      <w:tr w:rsidR="00F777B4" w:rsidRPr="00526311" w:rsidTr="0063039A">
        <w:trPr>
          <w:cantSplit/>
        </w:trPr>
        <w:tc>
          <w:tcPr>
            <w:tcW w:w="1495"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II.1 Fomento del uso de la vía del PCT para la presentación de solicitudes internacionales de patente</w:t>
            </w: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Nivel de satisfacción de los usuarios del PCT respecto de los servicios de información y formación destinados a los usuarios</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rPr>
            </w:pPr>
            <w:r w:rsidRPr="00526311">
              <w:rPr>
                <w:sz w:val="16"/>
                <w:szCs w:val="16"/>
              </w:rPr>
              <w:t>Programa 5</w:t>
            </w:r>
          </w:p>
        </w:tc>
        <w:tc>
          <w:tcPr>
            <w:tcW w:w="513" w:type="pct"/>
            <w:shd w:val="clear" w:color="auto" w:fill="FFFFFF"/>
          </w:tcPr>
          <w:p w:rsidR="00F777B4" w:rsidRPr="00526311" w:rsidRDefault="00F777B4" w:rsidP="0063039A">
            <w:pPr>
              <w:spacing w:before="40"/>
              <w:jc w:val="center"/>
              <w:rPr>
                <w:color w:val="E36C0A" w:themeColor="accent6" w:themeShade="BF"/>
                <w:szCs w:val="22"/>
              </w:rPr>
            </w:pPr>
            <w:r w:rsidRPr="00526311">
              <w:rPr>
                <w:color w:val="0070C0"/>
                <w:szCs w:val="22"/>
              </w:rPr>
              <w:sym w:font="Wingdings" w:char="F06C"/>
            </w:r>
          </w:p>
        </w:tc>
      </w:tr>
      <w:tr w:rsidR="00F777B4" w:rsidRPr="00526311" w:rsidTr="0063039A">
        <w:trPr>
          <w:cantSplit/>
          <w:trHeight w:val="112"/>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Satisfacción de las oficinas y las administraciones internacionales con las actividades de cooperación en el marco del PCT</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5</w:t>
            </w:r>
          </w:p>
        </w:tc>
        <w:tc>
          <w:tcPr>
            <w:tcW w:w="513" w:type="pct"/>
            <w:shd w:val="clear" w:color="auto" w:fill="FFFFFF"/>
          </w:tcPr>
          <w:p w:rsidR="00F777B4" w:rsidRPr="00526311" w:rsidRDefault="00F777B4" w:rsidP="0063039A">
            <w:pPr>
              <w:spacing w:before="40"/>
              <w:jc w:val="center"/>
            </w:pPr>
            <w:r w:rsidRPr="00526311">
              <w:rPr>
                <w:color w:val="0070C0"/>
                <w:szCs w:val="22"/>
              </w:rPr>
              <w:sym w:font="Wingdings" w:char="F06C"/>
            </w:r>
          </w:p>
        </w:tc>
      </w:tr>
      <w:tr w:rsidR="00F777B4" w:rsidRPr="00526311" w:rsidTr="0063039A">
        <w:trPr>
          <w:cantSplit/>
          <w:trHeight w:val="311"/>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solicitudes PCT procedentes de países con economías en transición y países desarrollados</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10</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22"/>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Porcentaje de solicitudes presentadas en virtud del PCT</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20</w:t>
            </w:r>
          </w:p>
        </w:tc>
        <w:tc>
          <w:tcPr>
            <w:tcW w:w="513" w:type="pct"/>
            <w:shd w:val="clear" w:color="auto" w:fill="FFFFFF"/>
          </w:tcPr>
          <w:p w:rsidR="00F777B4" w:rsidRPr="00526311" w:rsidRDefault="00F777B4" w:rsidP="0063039A">
            <w:pPr>
              <w:jc w:val="center"/>
            </w:pPr>
            <w:r w:rsidRPr="00526311">
              <w:rPr>
                <w:color w:val="FF0000"/>
                <w:szCs w:val="22"/>
              </w:rPr>
              <w:sym w:font="Wingdings" w:char="F06C"/>
            </w:r>
            <w:r w:rsidRPr="00526311">
              <w:rPr>
                <w:color w:val="FF0000"/>
                <w:szCs w:val="22"/>
              </w:rPr>
              <w:sym w:font="Wingdings" w:char="F06C"/>
            </w:r>
            <w:r w:rsidRPr="00526311">
              <w:rPr>
                <w:color w:val="008000"/>
                <w:szCs w:val="22"/>
              </w:rPr>
              <w:sym w:font="Wingdings" w:char="F06C"/>
            </w:r>
          </w:p>
        </w:tc>
      </w:tr>
      <w:tr w:rsidR="00F777B4" w:rsidRPr="00526311" w:rsidTr="0063039A">
        <w:trPr>
          <w:cantSplit/>
          <w:trHeight w:val="672"/>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Porcentaje de encargados de la adopción de políticas, funcionarios gubernamentales, profesionales de la P.I. y participantes en talleres con un mayor conocimiento del PCT y los temas conexos</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20</w:t>
            </w:r>
          </w:p>
        </w:tc>
        <w:tc>
          <w:tcPr>
            <w:tcW w:w="513" w:type="pct"/>
            <w:shd w:val="clear" w:color="auto" w:fill="FFFFFF"/>
          </w:tcPr>
          <w:p w:rsidR="00F777B4" w:rsidRPr="00526311" w:rsidRDefault="00F777B4" w:rsidP="0063039A">
            <w:pPr>
              <w:jc w:val="center"/>
            </w:pP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p>
        </w:tc>
      </w:tr>
      <w:tr w:rsidR="00F777B4" w:rsidRPr="00526311" w:rsidTr="0063039A">
        <w:trPr>
          <w:cantSplit/>
          <w:trHeight w:val="518"/>
        </w:trPr>
        <w:tc>
          <w:tcPr>
            <w:tcW w:w="1495" w:type="pct"/>
            <w:shd w:val="clear" w:color="auto" w:fill="auto"/>
            <w:tcMar>
              <w:top w:w="113" w:type="dxa"/>
              <w:bottom w:w="113" w:type="dxa"/>
            </w:tcMar>
          </w:tcPr>
          <w:p w:rsidR="00F777B4" w:rsidRPr="00526311" w:rsidRDefault="00F777B4" w:rsidP="0063039A">
            <w:pPr>
              <w:autoSpaceDE w:val="0"/>
              <w:autoSpaceDN w:val="0"/>
              <w:adjustRightInd w:val="0"/>
              <w:rPr>
                <w:sz w:val="16"/>
                <w:szCs w:val="16"/>
                <w:lang w:bidi="th-TH"/>
              </w:rPr>
            </w:pPr>
            <w:r w:rsidRPr="00526311">
              <w:rPr>
                <w:sz w:val="16"/>
                <w:szCs w:val="16"/>
                <w:lang w:bidi="th-TH"/>
              </w:rPr>
              <w:t>II.2 Mejora del sistema del PCT</w:t>
            </w:r>
          </w:p>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Continuo desarrollo del sistema del PCT, sobre todo gracias a la aplicación de las recomendaciones de la hoja de ruta del PCT suscritas por los Estados miembros del PCT</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5</w:t>
            </w:r>
          </w:p>
        </w:tc>
        <w:tc>
          <w:tcPr>
            <w:tcW w:w="513" w:type="pct"/>
            <w:shd w:val="clear" w:color="auto" w:fill="FFFFFF"/>
          </w:tcPr>
          <w:p w:rsidR="00F777B4" w:rsidRPr="00526311" w:rsidRDefault="00F777B4" w:rsidP="0063039A">
            <w:pPr>
              <w:spacing w:before="40"/>
              <w:jc w:val="center"/>
            </w:pPr>
            <w:r w:rsidRPr="00526311">
              <w:rPr>
                <w:color w:val="008000"/>
                <w:szCs w:val="22"/>
              </w:rPr>
              <w:sym w:font="Wingdings" w:char="F06C"/>
            </w:r>
          </w:p>
        </w:tc>
      </w:tr>
      <w:tr w:rsidR="00F777B4" w:rsidRPr="00526311" w:rsidTr="0063039A">
        <w:trPr>
          <w:cantSplit/>
          <w:trHeight w:val="221"/>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Mejora de los servicios electrónicos dirigidos a solicitantes, terceros, oficinas y Administraciones</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5</w:t>
            </w:r>
          </w:p>
        </w:tc>
        <w:tc>
          <w:tcPr>
            <w:tcW w:w="513" w:type="pct"/>
            <w:shd w:val="clear" w:color="auto" w:fill="FFFFFF"/>
          </w:tcPr>
          <w:p w:rsidR="00F777B4" w:rsidRPr="00526311" w:rsidRDefault="00F777B4" w:rsidP="0063039A">
            <w:pPr>
              <w:spacing w:before="40"/>
              <w:jc w:val="center"/>
            </w:pPr>
            <w:r w:rsidRPr="00526311">
              <w:rPr>
                <w:color w:val="008000"/>
                <w:szCs w:val="22"/>
              </w:rPr>
              <w:sym w:font="Wingdings" w:char="F06C"/>
            </w:r>
          </w:p>
        </w:tc>
      </w:tr>
      <w:tr w:rsidR="00F777B4" w:rsidRPr="00526311" w:rsidTr="0063039A">
        <w:trPr>
          <w:cantSplit/>
          <w:trHeight w:val="45"/>
        </w:trPr>
        <w:tc>
          <w:tcPr>
            <w:tcW w:w="1495"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II.3 Mejora de la productividad y de la calidad de los servicios en las operaciones del PCT</w:t>
            </w: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Costo unitario de tramitación de las solicitudes </w:t>
            </w:r>
          </w:p>
          <w:p w:rsidR="00F777B4" w:rsidRPr="00526311" w:rsidRDefault="00F777B4" w:rsidP="0063039A">
            <w:pPr>
              <w:rPr>
                <w:sz w:val="16"/>
                <w:szCs w:val="16"/>
              </w:rPr>
            </w:pPr>
          </w:p>
          <w:p w:rsidR="00F777B4" w:rsidRPr="00526311" w:rsidRDefault="00F777B4" w:rsidP="0063039A">
            <w:pPr>
              <w:rPr>
                <w:sz w:val="16"/>
                <w:szCs w:val="16"/>
              </w:rPr>
            </w:pPr>
            <w:r w:rsidRPr="00526311">
              <w:rPr>
                <w:sz w:val="16"/>
                <w:szCs w:val="16"/>
              </w:rPr>
              <w:t>Calidad global del examen de forma (incluido el tiempo empleado)</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5</w:t>
            </w:r>
          </w:p>
          <w:p w:rsidR="00F777B4" w:rsidRPr="00526311" w:rsidRDefault="00F777B4" w:rsidP="0063039A">
            <w:pPr>
              <w:ind w:left="441"/>
              <w:jc w:val="center"/>
              <w:rPr>
                <w:sz w:val="16"/>
                <w:szCs w:val="16"/>
                <w:lang w:bidi="th-TH"/>
              </w:rPr>
            </w:pPr>
          </w:p>
          <w:p w:rsidR="00F777B4" w:rsidRPr="00526311" w:rsidRDefault="00F777B4" w:rsidP="0063039A">
            <w:pPr>
              <w:ind w:left="441"/>
              <w:jc w:val="center"/>
              <w:rPr>
                <w:sz w:val="16"/>
                <w:szCs w:val="16"/>
                <w:lang w:bidi="th-TH"/>
              </w:rPr>
            </w:pPr>
            <w:r w:rsidRPr="00526311">
              <w:rPr>
                <w:sz w:val="16"/>
                <w:szCs w:val="16"/>
                <w:lang w:bidi="th-TH"/>
              </w:rPr>
              <w:t>Programa 5</w:t>
            </w:r>
          </w:p>
        </w:tc>
        <w:tc>
          <w:tcPr>
            <w:tcW w:w="513" w:type="pct"/>
            <w:shd w:val="clear" w:color="auto" w:fill="FFFFFF"/>
          </w:tcPr>
          <w:p w:rsidR="00F777B4" w:rsidRPr="00526311" w:rsidRDefault="00F777B4" w:rsidP="0063039A">
            <w:pPr>
              <w:spacing w:before="40"/>
              <w:jc w:val="center"/>
              <w:rPr>
                <w:color w:val="008000"/>
                <w:szCs w:val="22"/>
              </w:rPr>
            </w:pPr>
            <w:r w:rsidRPr="00526311">
              <w:rPr>
                <w:color w:val="008000"/>
                <w:szCs w:val="22"/>
              </w:rPr>
              <w:sym w:font="Wingdings" w:char="F06C"/>
            </w:r>
          </w:p>
          <w:p w:rsidR="00F777B4" w:rsidRPr="00526311" w:rsidRDefault="00F777B4" w:rsidP="0063039A">
            <w:pPr>
              <w:spacing w:before="40"/>
              <w:jc w:val="center"/>
              <w:rPr>
                <w:b/>
              </w:rPr>
            </w:pPr>
            <w:r w:rsidRPr="00526311">
              <w:rPr>
                <w:color w:val="008000"/>
                <w:szCs w:val="22"/>
              </w:rPr>
              <w:sym w:font="Wingdings" w:char="F06C"/>
            </w:r>
          </w:p>
        </w:tc>
      </w:tr>
      <w:tr w:rsidR="00F777B4" w:rsidRPr="00526311" w:rsidTr="0063039A">
        <w:trPr>
          <w:cantSplit/>
          <w:trHeight w:val="201"/>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Calidad de las traducciones</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5</w:t>
            </w:r>
          </w:p>
        </w:tc>
        <w:tc>
          <w:tcPr>
            <w:tcW w:w="513" w:type="pct"/>
            <w:shd w:val="clear" w:color="auto" w:fill="FFFFFF"/>
          </w:tcPr>
          <w:p w:rsidR="00F777B4" w:rsidRPr="00526311" w:rsidRDefault="00F777B4" w:rsidP="0063039A">
            <w:pPr>
              <w:spacing w:before="40"/>
              <w:jc w:val="center"/>
            </w:pPr>
            <w:r w:rsidRPr="00526311">
              <w:rPr>
                <w:color w:val="008000"/>
                <w:szCs w:val="22"/>
              </w:rPr>
              <w:sym w:font="Wingdings" w:char="F06C"/>
            </w:r>
          </w:p>
        </w:tc>
      </w:tr>
      <w:tr w:rsidR="00F777B4" w:rsidRPr="00526311" w:rsidTr="0063039A">
        <w:trPr>
          <w:cantSplit/>
          <w:trHeight w:val="156"/>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tabs>
                <w:tab w:val="left" w:pos="1860"/>
              </w:tabs>
              <w:rPr>
                <w:sz w:val="16"/>
                <w:szCs w:val="16"/>
              </w:rPr>
            </w:pPr>
            <w:r w:rsidRPr="00526311">
              <w:rPr>
                <w:sz w:val="16"/>
                <w:szCs w:val="16"/>
              </w:rPr>
              <w:t>Plazos de traducción de los informes</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5</w:t>
            </w:r>
          </w:p>
        </w:tc>
        <w:tc>
          <w:tcPr>
            <w:tcW w:w="513" w:type="pct"/>
            <w:shd w:val="clear" w:color="auto" w:fill="FFFFFF"/>
          </w:tcPr>
          <w:p w:rsidR="00F777B4" w:rsidRPr="00526311" w:rsidRDefault="00F777B4" w:rsidP="0063039A">
            <w:pPr>
              <w:spacing w:before="40"/>
              <w:jc w:val="center"/>
            </w:pPr>
            <w:r w:rsidRPr="00526311">
              <w:rPr>
                <w:color w:val="008000"/>
                <w:szCs w:val="22"/>
              </w:rPr>
              <w:sym w:font="Wingdings" w:char="F06C"/>
            </w:r>
          </w:p>
        </w:tc>
      </w:tr>
      <w:tr w:rsidR="00F777B4" w:rsidRPr="00526311" w:rsidTr="0063039A">
        <w:trPr>
          <w:cantSplit/>
          <w:trHeight w:val="177"/>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Calidad del desarrollo de programas informáticos</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5</w:t>
            </w:r>
          </w:p>
        </w:tc>
        <w:tc>
          <w:tcPr>
            <w:tcW w:w="513" w:type="pct"/>
            <w:shd w:val="clear" w:color="auto" w:fill="FFFFFF"/>
          </w:tcPr>
          <w:p w:rsidR="00F777B4" w:rsidRPr="00526311" w:rsidRDefault="00F777B4" w:rsidP="0063039A">
            <w:pPr>
              <w:spacing w:before="40"/>
              <w:jc w:val="center"/>
            </w:pPr>
            <w:r w:rsidRPr="00526311">
              <w:rPr>
                <w:color w:val="008000"/>
                <w:szCs w:val="22"/>
              </w:rPr>
              <w:sym w:font="Wingdings" w:char="F06C"/>
            </w:r>
          </w:p>
        </w:tc>
      </w:tr>
      <w:tr w:rsidR="00F777B4" w:rsidRPr="00526311" w:rsidTr="0063039A">
        <w:trPr>
          <w:cantSplit/>
          <w:trHeight w:val="40"/>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Niveles de los servicios prestados por los sistemas de información</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5</w:t>
            </w:r>
          </w:p>
        </w:tc>
        <w:tc>
          <w:tcPr>
            <w:tcW w:w="513" w:type="pct"/>
            <w:shd w:val="clear" w:color="auto" w:fill="FFFFFF"/>
          </w:tcPr>
          <w:p w:rsidR="00F777B4" w:rsidRPr="00526311" w:rsidRDefault="00F777B4" w:rsidP="0063039A">
            <w:pPr>
              <w:spacing w:before="40"/>
              <w:jc w:val="center"/>
            </w:pPr>
            <w:r w:rsidRPr="00526311">
              <w:rPr>
                <w:color w:val="008000"/>
                <w:szCs w:val="22"/>
              </w:rPr>
              <w:sym w:font="Wingdings" w:char="F06C"/>
            </w:r>
          </w:p>
        </w:tc>
      </w:tr>
      <w:tr w:rsidR="00F777B4" w:rsidRPr="00526311" w:rsidTr="0063039A">
        <w:trPr>
          <w:cantSplit/>
          <w:trHeight w:val="180"/>
        </w:trPr>
        <w:tc>
          <w:tcPr>
            <w:tcW w:w="1495"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II.4 </w:t>
            </w:r>
            <w:r w:rsidR="00A06E08" w:rsidRPr="00526311">
              <w:rPr>
                <w:sz w:val="16"/>
                <w:szCs w:val="16"/>
              </w:rPr>
              <w:t>Mayor y más eficaz utilización del Sistema de La Haya por los países en desarrollo y los PMA, entre otros</w:t>
            </w: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solicitudes del Sistema de La Haya procedentes de países con economías en transición y países desarrollados</w:t>
            </w:r>
          </w:p>
          <w:p w:rsidR="00F777B4" w:rsidRPr="00526311" w:rsidRDefault="00F777B4" w:rsidP="0063039A">
            <w:pPr>
              <w:rPr>
                <w:sz w:val="16"/>
                <w:szCs w:val="16"/>
              </w:rPr>
            </w:pPr>
          </w:p>
          <w:p w:rsidR="00F777B4" w:rsidRPr="00526311" w:rsidRDefault="00F777B4" w:rsidP="0063039A">
            <w:pPr>
              <w:rPr>
                <w:sz w:val="16"/>
                <w:szCs w:val="16"/>
              </w:rPr>
            </w:pPr>
            <w:r w:rsidRPr="00526311">
              <w:rPr>
                <w:sz w:val="16"/>
                <w:szCs w:val="16"/>
              </w:rPr>
              <w:t>Número de países que han formulado o adoptado políticas en las que se expone su adhesión al Arreglo de La Haya</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10</w:t>
            </w:r>
          </w:p>
          <w:p w:rsidR="00F777B4" w:rsidRPr="00526311" w:rsidRDefault="00F777B4" w:rsidP="0063039A">
            <w:pPr>
              <w:ind w:left="441"/>
              <w:jc w:val="center"/>
              <w:rPr>
                <w:sz w:val="16"/>
                <w:szCs w:val="16"/>
                <w:lang w:bidi="th-TH"/>
              </w:rPr>
            </w:pPr>
          </w:p>
          <w:p w:rsidR="00F777B4" w:rsidRPr="00526311" w:rsidRDefault="00F777B4" w:rsidP="0063039A">
            <w:pPr>
              <w:ind w:left="441"/>
              <w:jc w:val="center"/>
              <w:rPr>
                <w:sz w:val="16"/>
                <w:szCs w:val="16"/>
                <w:lang w:bidi="th-TH"/>
              </w:rPr>
            </w:pPr>
            <w:r w:rsidRPr="00526311">
              <w:rPr>
                <w:sz w:val="16"/>
                <w:szCs w:val="16"/>
                <w:lang w:bidi="th-TH"/>
              </w:rPr>
              <w:br/>
            </w:r>
          </w:p>
          <w:p w:rsidR="00F777B4" w:rsidRPr="00526311" w:rsidRDefault="00F777B4" w:rsidP="0063039A">
            <w:pPr>
              <w:ind w:left="441"/>
              <w:jc w:val="center"/>
              <w:rPr>
                <w:sz w:val="16"/>
                <w:szCs w:val="16"/>
                <w:lang w:bidi="th-TH"/>
              </w:rPr>
            </w:pPr>
            <w:r w:rsidRPr="00526311">
              <w:rPr>
                <w:sz w:val="16"/>
                <w:szCs w:val="16"/>
                <w:lang w:bidi="th-TH"/>
              </w:rPr>
              <w:t>Programa 20</w:t>
            </w:r>
          </w:p>
        </w:tc>
        <w:tc>
          <w:tcPr>
            <w:tcW w:w="513" w:type="pct"/>
            <w:shd w:val="clear" w:color="auto" w:fill="FFFFFF"/>
          </w:tcPr>
          <w:p w:rsidR="00F777B4" w:rsidRPr="00526311" w:rsidRDefault="00F777B4" w:rsidP="0063039A">
            <w:pPr>
              <w:jc w:val="center"/>
              <w:rPr>
                <w:color w:val="FF0000"/>
                <w:szCs w:val="22"/>
              </w:rPr>
            </w:pPr>
            <w:r w:rsidRPr="00526311">
              <w:rPr>
                <w:color w:val="FF0000"/>
                <w:szCs w:val="22"/>
              </w:rPr>
              <w:sym w:font="Wingdings" w:char="F06C"/>
            </w:r>
          </w:p>
          <w:p w:rsidR="00F777B4" w:rsidRPr="00526311" w:rsidRDefault="00F777B4" w:rsidP="0063039A">
            <w:pPr>
              <w:jc w:val="center"/>
              <w:rPr>
                <w:color w:val="A6A6A6" w:themeColor="background1" w:themeShade="A6"/>
                <w:sz w:val="20"/>
              </w:rPr>
            </w:pPr>
            <w:r w:rsidRPr="00526311">
              <w:rPr>
                <w:color w:val="A6A6A6" w:themeColor="background1" w:themeShade="A6"/>
                <w:szCs w:val="22"/>
              </w:rPr>
              <w:br/>
            </w:r>
          </w:p>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696"/>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Porcentaje de encargados de la adopción de políticas, funcionarios gubernamentales, profesionales de la P.I. y participantes en talleres con un mayor conocimiento del </w:t>
            </w:r>
            <w:r w:rsidR="00DF7826" w:rsidRPr="00526311">
              <w:rPr>
                <w:sz w:val="16"/>
                <w:szCs w:val="16"/>
              </w:rPr>
              <w:t>Sistema de La Haya</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20</w:t>
            </w:r>
          </w:p>
        </w:tc>
        <w:tc>
          <w:tcPr>
            <w:tcW w:w="513" w:type="pct"/>
            <w:shd w:val="clear" w:color="auto" w:fill="FFFFFF"/>
          </w:tcPr>
          <w:p w:rsidR="00F777B4" w:rsidRPr="00526311" w:rsidRDefault="00F777B4" w:rsidP="0063039A">
            <w:pPr>
              <w:jc w:val="center"/>
            </w:pP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p>
        </w:tc>
      </w:tr>
      <w:tr w:rsidR="00F777B4" w:rsidRPr="00526311" w:rsidTr="0063039A">
        <w:trPr>
          <w:cantSplit/>
          <w:trHeight w:val="156"/>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partes contratantes en el Sistema de La Haya de la región de Asia y el Pacífico</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20</w:t>
            </w:r>
          </w:p>
        </w:tc>
        <w:tc>
          <w:tcPr>
            <w:tcW w:w="513" w:type="pct"/>
            <w:shd w:val="clear" w:color="auto" w:fill="FFFFFF"/>
          </w:tcPr>
          <w:p w:rsidR="00F777B4" w:rsidRPr="00526311" w:rsidRDefault="00F777B4" w:rsidP="0063039A">
            <w:pPr>
              <w:jc w:val="center"/>
              <w:rPr>
                <w:color w:val="FF0000"/>
                <w:szCs w:val="22"/>
              </w:rPr>
            </w:pPr>
            <w:r w:rsidRPr="00526311">
              <w:rPr>
                <w:color w:val="FF0000"/>
                <w:szCs w:val="22"/>
              </w:rPr>
              <w:sym w:font="Wingdings" w:char="F06C"/>
            </w:r>
            <w:r w:rsidRPr="00526311">
              <w:rPr>
                <w:color w:val="008000"/>
                <w:szCs w:val="22"/>
              </w:rPr>
              <w:sym w:font="Wingdings" w:char="F06C"/>
            </w:r>
          </w:p>
        </w:tc>
      </w:tr>
      <w:tr w:rsidR="00F777B4" w:rsidRPr="00526311" w:rsidTr="0063039A">
        <w:trPr>
          <w:cantSplit/>
          <w:trHeight w:val="332"/>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miembros del Acta de Ginebra (1999)</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31</w:t>
            </w:r>
          </w:p>
        </w:tc>
        <w:tc>
          <w:tcPr>
            <w:tcW w:w="513" w:type="pct"/>
            <w:shd w:val="clear" w:color="auto" w:fill="FFFFFF"/>
          </w:tcPr>
          <w:p w:rsidR="00F777B4" w:rsidRPr="00526311" w:rsidRDefault="00F777B4" w:rsidP="0063039A">
            <w:pPr>
              <w:jc w:val="center"/>
            </w:pPr>
            <w:r w:rsidRPr="00526311">
              <w:rPr>
                <w:color w:val="FF0000"/>
                <w:szCs w:val="22"/>
              </w:rPr>
              <w:sym w:font="Wingdings" w:char="F06C"/>
            </w:r>
          </w:p>
        </w:tc>
      </w:tr>
      <w:tr w:rsidR="00F777B4" w:rsidRPr="00526311" w:rsidTr="0063039A">
        <w:trPr>
          <w:cantSplit/>
          <w:trHeight w:val="178"/>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Porcentaje de oficinas que proporcionan información sobre el </w:t>
            </w:r>
            <w:r w:rsidR="00DF7826" w:rsidRPr="00526311">
              <w:rPr>
                <w:sz w:val="16"/>
                <w:szCs w:val="16"/>
              </w:rPr>
              <w:t>Sistema de La Haya</w:t>
            </w:r>
            <w:r w:rsidRPr="00526311">
              <w:rPr>
                <w:sz w:val="16"/>
                <w:szCs w:val="16"/>
              </w:rPr>
              <w:t xml:space="preserve">. </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31</w:t>
            </w:r>
          </w:p>
        </w:tc>
        <w:tc>
          <w:tcPr>
            <w:tcW w:w="513" w:type="pct"/>
            <w:shd w:val="clear" w:color="auto" w:fill="FFFFFF"/>
          </w:tcPr>
          <w:p w:rsidR="00F777B4" w:rsidRPr="00526311" w:rsidRDefault="00F777B4" w:rsidP="0063039A">
            <w:pPr>
              <w:jc w:val="center"/>
            </w:pPr>
            <w:r w:rsidRPr="00526311">
              <w:rPr>
                <w:color w:val="FF0000"/>
                <w:szCs w:val="22"/>
              </w:rPr>
              <w:sym w:font="Wingdings" w:char="F06C"/>
            </w:r>
          </w:p>
        </w:tc>
      </w:tr>
      <w:tr w:rsidR="00F777B4" w:rsidRPr="00526311" w:rsidTr="0063039A">
        <w:trPr>
          <w:cantSplit/>
          <w:trHeight w:val="22"/>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Solicitudes de registro y renovaciones en virtud del </w:t>
            </w:r>
            <w:r w:rsidR="00DF7826" w:rsidRPr="00526311">
              <w:rPr>
                <w:sz w:val="16"/>
                <w:szCs w:val="16"/>
              </w:rPr>
              <w:t>Sistema de La Haya</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31</w:t>
            </w:r>
          </w:p>
        </w:tc>
        <w:tc>
          <w:tcPr>
            <w:tcW w:w="513" w:type="pct"/>
            <w:shd w:val="clear" w:color="auto" w:fill="FFFFFF"/>
          </w:tcPr>
          <w:p w:rsidR="00F777B4" w:rsidRPr="00526311" w:rsidRDefault="00F777B4" w:rsidP="0063039A">
            <w:pPr>
              <w:jc w:val="center"/>
            </w:pPr>
            <w:r w:rsidRPr="00526311">
              <w:rPr>
                <w:color w:val="FF0000"/>
                <w:szCs w:val="22"/>
              </w:rPr>
              <w:sym w:font="Wingdings" w:char="F06C"/>
            </w:r>
          </w:p>
        </w:tc>
      </w:tr>
      <w:tr w:rsidR="00F777B4" w:rsidRPr="00526311" w:rsidTr="0063039A">
        <w:trPr>
          <w:cantSplit/>
          <w:trHeight w:val="495"/>
        </w:trPr>
        <w:tc>
          <w:tcPr>
            <w:tcW w:w="1495" w:type="pct"/>
            <w:shd w:val="clear" w:color="auto" w:fill="auto"/>
            <w:tcMar>
              <w:top w:w="113" w:type="dxa"/>
              <w:bottom w:w="113" w:type="dxa"/>
            </w:tcMar>
          </w:tcPr>
          <w:p w:rsidR="00F777B4" w:rsidRPr="00526311" w:rsidRDefault="00F777B4" w:rsidP="0063039A">
            <w:pPr>
              <w:tabs>
                <w:tab w:val="right" w:pos="2835"/>
              </w:tabs>
              <w:spacing w:after="60"/>
              <w:rPr>
                <w:sz w:val="16"/>
                <w:szCs w:val="16"/>
              </w:rPr>
            </w:pPr>
            <w:r w:rsidRPr="00526311">
              <w:rPr>
                <w:sz w:val="16"/>
                <w:szCs w:val="16"/>
              </w:rPr>
              <w:t>II.5 Mejora de la productividad y de la calidad de los servicios en las operaciones del Sistema de La Haya</w:t>
            </w: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Predominio del Acta de Ginebra (1999) en el Sistema de La Haya</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31</w:t>
            </w:r>
          </w:p>
        </w:tc>
        <w:tc>
          <w:tcPr>
            <w:tcW w:w="513" w:type="pct"/>
            <w:shd w:val="clear" w:color="auto" w:fill="FFFFFF"/>
          </w:tcPr>
          <w:p w:rsidR="00F777B4" w:rsidRPr="00526311" w:rsidRDefault="00F777B4" w:rsidP="0063039A">
            <w:pPr>
              <w:jc w:val="center"/>
            </w:pPr>
            <w:r w:rsidRPr="00526311">
              <w:rPr>
                <w:color w:val="FF0000"/>
                <w:szCs w:val="22"/>
              </w:rPr>
              <w:sym w:font="Wingdings" w:char="F06C"/>
            </w:r>
          </w:p>
        </w:tc>
      </w:tr>
      <w:tr w:rsidR="00F777B4" w:rsidRPr="00526311" w:rsidTr="0063039A">
        <w:trPr>
          <w:cantSplit/>
          <w:trHeight w:val="344"/>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Avances en la mejora del marco jurídico</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31</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324"/>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Flexibilidad de los datos inscritos en el Registro Internacional</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31</w:t>
            </w:r>
          </w:p>
        </w:tc>
        <w:tc>
          <w:tcPr>
            <w:tcW w:w="513" w:type="pct"/>
            <w:shd w:val="clear" w:color="auto" w:fill="FFFFFF"/>
          </w:tcPr>
          <w:p w:rsidR="00F777B4" w:rsidRPr="00526311" w:rsidRDefault="00F777B4" w:rsidP="0063039A">
            <w:pPr>
              <w:jc w:val="center"/>
            </w:pPr>
            <w:r w:rsidRPr="00526311">
              <w:rPr>
                <w:color w:val="FF0000"/>
                <w:szCs w:val="22"/>
              </w:rPr>
              <w:sym w:font="Wingdings" w:char="F06C"/>
            </w:r>
          </w:p>
        </w:tc>
      </w:tr>
      <w:tr w:rsidR="00F777B4" w:rsidRPr="00526311" w:rsidTr="0063039A">
        <w:trPr>
          <w:cantSplit/>
          <w:trHeight w:val="149"/>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procedimientos automatizados</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31</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283"/>
        </w:trPr>
        <w:tc>
          <w:tcPr>
            <w:tcW w:w="1495" w:type="pct"/>
            <w:vMerge w:val="restart"/>
            <w:shd w:val="clear" w:color="auto" w:fill="auto"/>
            <w:tcMar>
              <w:top w:w="113" w:type="dxa"/>
              <w:bottom w:w="113" w:type="dxa"/>
            </w:tcMar>
          </w:tcPr>
          <w:p w:rsidR="00F777B4" w:rsidRPr="00526311" w:rsidRDefault="00F777B4" w:rsidP="0063039A">
            <w:pPr>
              <w:rPr>
                <w:sz w:val="16"/>
                <w:szCs w:val="16"/>
              </w:rPr>
            </w:pPr>
            <w:r w:rsidRPr="00526311">
              <w:rPr>
                <w:sz w:val="16"/>
                <w:szCs w:val="16"/>
              </w:rPr>
              <w:t>II.6 Mayor y más eficaz utilización de los Sistemas de Madrid y de Lisboa por los países en desarrollo y los PMA, entre otros</w:t>
            </w: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Ampliación de la cobertura geográfica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rPr>
                <w:color w:val="008000"/>
                <w:szCs w:val="22"/>
              </w:rPr>
            </w:pPr>
            <w:r w:rsidRPr="00526311">
              <w:rPr>
                <w:color w:val="008000"/>
                <w:szCs w:val="22"/>
              </w:rPr>
              <w:sym w:font="Wingdings" w:char="F06C"/>
            </w:r>
          </w:p>
        </w:tc>
      </w:tr>
      <w:tr w:rsidR="00F777B4" w:rsidRPr="00526311" w:rsidTr="0063039A">
        <w:trPr>
          <w:cantSplit/>
          <w:trHeight w:val="231"/>
        </w:trPr>
        <w:tc>
          <w:tcPr>
            <w:tcW w:w="1495" w:type="pct"/>
            <w:vMerge/>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Ampliación de la cobertura geográfica (Lisboa)</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rPr>
                <w:color w:val="008000"/>
                <w:szCs w:val="22"/>
              </w:rPr>
            </w:pPr>
            <w:r w:rsidRPr="00526311">
              <w:rPr>
                <w:color w:val="FF0000"/>
                <w:szCs w:val="22"/>
              </w:rPr>
              <w:sym w:font="Wingdings" w:char="F06C"/>
            </w:r>
          </w:p>
        </w:tc>
      </w:tr>
      <w:tr w:rsidR="00F777B4" w:rsidRPr="00526311" w:rsidTr="0063039A">
        <w:trPr>
          <w:cantSplit/>
          <w:trHeight w:val="95"/>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Adopción de disposiciones que agilicen o modernicen el marco jurídico del Sistema de Lisboa</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121"/>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solicitudes internacionales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pPr>
            <w:r w:rsidRPr="00526311">
              <w:rPr>
                <w:color w:val="FF0000"/>
                <w:szCs w:val="22"/>
              </w:rPr>
              <w:sym w:font="Wingdings" w:char="F06C"/>
            </w:r>
          </w:p>
        </w:tc>
      </w:tr>
      <w:tr w:rsidR="00F777B4" w:rsidRPr="00526311" w:rsidTr="0063039A">
        <w:trPr>
          <w:cantSplit/>
          <w:trHeight w:val="325"/>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Porcentaje de oficinas que proporcionan información actualizada sobre el Sistema de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pPr>
            <w:r w:rsidRPr="00526311">
              <w:rPr>
                <w:szCs w:val="22"/>
              </w:rPr>
              <w:sym w:font="Wingdings" w:char="F06C"/>
            </w:r>
          </w:p>
        </w:tc>
      </w:tr>
      <w:tr w:rsidR="00F777B4" w:rsidRPr="00526311" w:rsidTr="0063039A">
        <w:trPr>
          <w:cantSplit/>
          <w:trHeight w:val="432"/>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Porcentaje de participantes en las actividades del </w:t>
            </w:r>
            <w:r w:rsidR="00DF7826" w:rsidRPr="00526311">
              <w:rPr>
                <w:sz w:val="16"/>
                <w:szCs w:val="16"/>
              </w:rPr>
              <w:t>Sistema de Lisboa</w:t>
            </w:r>
            <w:r w:rsidRPr="00526311">
              <w:rPr>
                <w:sz w:val="16"/>
                <w:szCs w:val="16"/>
              </w:rPr>
              <w:t xml:space="preserve"> que están satisfechos y manifiestan haber mejorado sus conocimientos tras haber participado en las actividades</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372"/>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Número y proporción de registros en vigor del </w:t>
            </w:r>
            <w:r w:rsidR="00DF7826" w:rsidRPr="00526311">
              <w:rPr>
                <w:sz w:val="16"/>
                <w:szCs w:val="16"/>
              </w:rPr>
              <w:t>Sistema de Lisboa</w:t>
            </w:r>
            <w:r w:rsidRPr="00526311">
              <w:rPr>
                <w:sz w:val="16"/>
                <w:szCs w:val="16"/>
              </w:rPr>
              <w:t xml:space="preserve"> procedentes de países en desarrollo y PMA</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283"/>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Disminución del número de irregularidades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pPr>
            <w:r w:rsidRPr="00526311">
              <w:rPr>
                <w:color w:val="FF0000"/>
                <w:szCs w:val="22"/>
              </w:rPr>
              <w:sym w:font="Wingdings" w:char="F06C"/>
            </w:r>
          </w:p>
        </w:tc>
      </w:tr>
      <w:tr w:rsidR="00F777B4" w:rsidRPr="00526311" w:rsidTr="0063039A">
        <w:trPr>
          <w:cantSplit/>
          <w:trHeight w:val="589"/>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Número de solicitudes de los </w:t>
            </w:r>
            <w:r w:rsidR="006147F4" w:rsidRPr="00526311">
              <w:rPr>
                <w:sz w:val="16"/>
                <w:szCs w:val="16"/>
              </w:rPr>
              <w:t>Sistemas de Madrid</w:t>
            </w:r>
            <w:r w:rsidRPr="00526311">
              <w:rPr>
                <w:sz w:val="16"/>
                <w:szCs w:val="16"/>
              </w:rPr>
              <w:t xml:space="preserve"> y de Lisboa procedentes de países con economías en transición y países desarrollados</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10</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589"/>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países que han formulado o adoptado políticas en las que se expone su adhesión al Protocolo de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20</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526"/>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Porcentaje de participantes satisfechos en talleres/seminarios sobre temas relacionados con el </w:t>
            </w:r>
            <w:r w:rsidR="00DF7826" w:rsidRPr="00526311">
              <w:rPr>
                <w:sz w:val="16"/>
                <w:szCs w:val="16"/>
              </w:rPr>
              <w:t>Sistema de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20</w:t>
            </w:r>
          </w:p>
        </w:tc>
        <w:tc>
          <w:tcPr>
            <w:tcW w:w="513" w:type="pct"/>
            <w:shd w:val="clear" w:color="auto" w:fill="FFFFFF"/>
          </w:tcPr>
          <w:p w:rsidR="00F777B4" w:rsidRPr="00526311" w:rsidRDefault="00F777B4" w:rsidP="0063039A">
            <w:pPr>
              <w:jc w:val="center"/>
            </w:pPr>
            <w:r w:rsidRPr="00526311">
              <w:rPr>
                <w:color w:val="0070C0"/>
                <w:szCs w:val="22"/>
              </w:rPr>
              <w:sym w:font="Wingdings" w:char="F06C"/>
            </w:r>
            <w:r w:rsidRPr="00526311">
              <w:rPr>
                <w:color w:val="008000"/>
                <w:szCs w:val="22"/>
              </w:rPr>
              <w:sym w:font="Wingdings" w:char="F06C"/>
            </w:r>
          </w:p>
        </w:tc>
      </w:tr>
      <w:tr w:rsidR="00F777B4" w:rsidRPr="00526311" w:rsidTr="0063039A">
        <w:trPr>
          <w:cantSplit/>
          <w:trHeight w:val="311"/>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Partes Contratantes del Protocolo de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20</w:t>
            </w:r>
          </w:p>
        </w:tc>
        <w:tc>
          <w:tcPr>
            <w:tcW w:w="513" w:type="pct"/>
            <w:shd w:val="clear" w:color="auto" w:fill="FFFFFF"/>
          </w:tcPr>
          <w:p w:rsidR="00F777B4" w:rsidRPr="00526311" w:rsidRDefault="00F777B4" w:rsidP="0063039A">
            <w:pPr>
              <w:jc w:val="center"/>
            </w:pPr>
            <w:r w:rsidRPr="00526311">
              <w:rPr>
                <w:color w:val="FF0000"/>
                <w:szCs w:val="22"/>
              </w:rPr>
              <w:sym w:font="Wingdings" w:char="F06C"/>
            </w:r>
          </w:p>
        </w:tc>
      </w:tr>
      <w:tr w:rsidR="00F777B4" w:rsidRPr="00526311" w:rsidTr="0063039A">
        <w:trPr>
          <w:cantSplit/>
          <w:trHeight w:val="149"/>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nuevos registros (Sistema de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20</w:t>
            </w:r>
          </w:p>
        </w:tc>
        <w:tc>
          <w:tcPr>
            <w:tcW w:w="513" w:type="pct"/>
            <w:shd w:val="clear" w:color="auto" w:fill="FFFFFF"/>
          </w:tcPr>
          <w:p w:rsidR="00F777B4" w:rsidRPr="00526311" w:rsidRDefault="00F777B4" w:rsidP="0063039A">
            <w:pPr>
              <w:jc w:val="center"/>
            </w:pPr>
            <w:r w:rsidRPr="00526311">
              <w:rPr>
                <w:color w:val="008000"/>
                <w:szCs w:val="22"/>
              </w:rPr>
              <w:sym w:font="Wingdings" w:char="F06C"/>
            </w:r>
            <w:r w:rsidRPr="00526311">
              <w:rPr>
                <w:color w:val="008000"/>
                <w:szCs w:val="22"/>
              </w:rPr>
              <w:sym w:font="Wingdings" w:char="F06C"/>
            </w:r>
          </w:p>
        </w:tc>
      </w:tr>
      <w:tr w:rsidR="00F777B4" w:rsidRPr="00526311" w:rsidTr="0063039A">
        <w:trPr>
          <w:cantSplit/>
          <w:trHeight w:val="134"/>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renovaciones (Sistema de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20</w:t>
            </w:r>
          </w:p>
        </w:tc>
        <w:tc>
          <w:tcPr>
            <w:tcW w:w="513" w:type="pct"/>
            <w:shd w:val="clear" w:color="auto" w:fill="FFFFFF"/>
          </w:tcPr>
          <w:p w:rsidR="00F777B4" w:rsidRPr="00526311" w:rsidRDefault="00F777B4" w:rsidP="0063039A">
            <w:pPr>
              <w:jc w:val="center"/>
            </w:pPr>
            <w:r w:rsidRPr="00526311">
              <w:rPr>
                <w:color w:val="A6A6A6" w:themeColor="background1" w:themeShade="A6"/>
                <w:szCs w:val="22"/>
              </w:rPr>
              <w:sym w:font="Wingdings" w:char="F06C"/>
            </w:r>
            <w:r w:rsidRPr="00526311">
              <w:rPr>
                <w:color w:val="A6A6A6" w:themeColor="background1" w:themeShade="A6"/>
                <w:szCs w:val="22"/>
              </w:rPr>
              <w:sym w:font="Wingdings" w:char="F06C"/>
            </w:r>
          </w:p>
        </w:tc>
      </w:tr>
      <w:tr w:rsidR="00F777B4" w:rsidRPr="00526311" w:rsidTr="0063039A">
        <w:trPr>
          <w:cantSplit/>
          <w:trHeight w:val="447"/>
        </w:trPr>
        <w:tc>
          <w:tcPr>
            <w:tcW w:w="1495"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II.7 Mejora de la productividad y de la calidad de los servicios en las operaciones de los </w:t>
            </w:r>
            <w:r w:rsidR="006147F4" w:rsidRPr="00526311">
              <w:rPr>
                <w:sz w:val="16"/>
                <w:szCs w:val="16"/>
              </w:rPr>
              <w:t>Sistemas de Madrid</w:t>
            </w:r>
            <w:r w:rsidRPr="00526311">
              <w:rPr>
                <w:sz w:val="16"/>
                <w:szCs w:val="16"/>
              </w:rPr>
              <w:t xml:space="preserve"> y de Lisboa</w:t>
            </w: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Avances en la agilización y simplificación del marco jurídico del </w:t>
            </w:r>
            <w:r w:rsidR="00DF7826" w:rsidRPr="00526311">
              <w:rPr>
                <w:sz w:val="16"/>
                <w:szCs w:val="16"/>
              </w:rPr>
              <w:t>Sistema de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742"/>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registros</w:t>
            </w:r>
          </w:p>
          <w:p w:rsidR="00F777B4" w:rsidRPr="00526311" w:rsidRDefault="00F777B4" w:rsidP="0063039A">
            <w:pPr>
              <w:rPr>
                <w:sz w:val="16"/>
                <w:szCs w:val="16"/>
              </w:rPr>
            </w:pPr>
            <w:r w:rsidRPr="00526311">
              <w:rPr>
                <w:sz w:val="16"/>
                <w:szCs w:val="16"/>
              </w:rPr>
              <w:t>Número de renovaciones tramitadas</w:t>
            </w:r>
          </w:p>
          <w:p w:rsidR="00F777B4" w:rsidRPr="00526311" w:rsidRDefault="00F777B4" w:rsidP="0063039A">
            <w:pPr>
              <w:rPr>
                <w:sz w:val="16"/>
                <w:szCs w:val="16"/>
              </w:rPr>
            </w:pPr>
            <w:r w:rsidRPr="00526311">
              <w:rPr>
                <w:sz w:val="16"/>
                <w:szCs w:val="16"/>
              </w:rPr>
              <w:t>Número de modificaciones, incluidas las designaciones posteriores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pPr>
            <w:r w:rsidRPr="00526311">
              <w:rPr>
                <w:color w:val="FF0000"/>
                <w:szCs w:val="22"/>
              </w:rPr>
              <w:sym w:font="Wingdings" w:char="F06C"/>
            </w:r>
            <w:r w:rsidRPr="00526311">
              <w:rPr>
                <w:color w:val="FF0000"/>
                <w:szCs w:val="22"/>
              </w:rPr>
              <w:sym w:font="Wingdings" w:char="F06C"/>
            </w:r>
            <w:r w:rsidRPr="00526311">
              <w:rPr>
                <w:color w:val="008000"/>
                <w:szCs w:val="22"/>
              </w:rPr>
              <w:sym w:font="Wingdings" w:char="F06C"/>
            </w:r>
          </w:p>
        </w:tc>
      </w:tr>
      <w:tr w:rsidR="00F777B4" w:rsidRPr="00526311" w:rsidTr="0063039A">
        <w:trPr>
          <w:cantSplit/>
          <w:trHeight w:val="315"/>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Traducción de las solicitudes de manera puntual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267"/>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Disminución del número de correcciones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pPr>
            <w:r w:rsidRPr="00526311">
              <w:rPr>
                <w:color w:val="FF0000"/>
                <w:szCs w:val="22"/>
              </w:rPr>
              <w:sym w:font="Wingdings" w:char="F06C"/>
            </w:r>
          </w:p>
        </w:tc>
      </w:tr>
      <w:tr w:rsidR="00F777B4" w:rsidRPr="00526311" w:rsidTr="0063039A">
        <w:trPr>
          <w:cantSplit/>
          <w:trHeight w:val="205"/>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Aumento de la satisfacción de los clientes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131"/>
        </w:trPr>
        <w:tc>
          <w:tcPr>
            <w:tcW w:w="1495" w:type="pct"/>
            <w:tcBorders>
              <w:bottom w:val="nil"/>
            </w:tcBorders>
            <w:shd w:val="clear" w:color="auto" w:fill="auto"/>
            <w:tcMar>
              <w:top w:w="113" w:type="dxa"/>
              <w:bottom w:w="113" w:type="dxa"/>
            </w:tcMar>
          </w:tcPr>
          <w:p w:rsidR="00F777B4" w:rsidRPr="00526311" w:rsidRDefault="00F777B4" w:rsidP="0063039A">
            <w:pPr>
              <w:rPr>
                <w:sz w:val="16"/>
                <w:szCs w:val="16"/>
              </w:rPr>
            </w:pPr>
          </w:p>
        </w:tc>
        <w:tc>
          <w:tcPr>
            <w:tcW w:w="2036" w:type="pct"/>
            <w:tcBorders>
              <w:bottom w:val="nil"/>
            </w:tcBorders>
            <w:shd w:val="clear" w:color="auto" w:fill="auto"/>
            <w:tcMar>
              <w:top w:w="113" w:type="dxa"/>
              <w:bottom w:w="113" w:type="dxa"/>
            </w:tcMar>
          </w:tcPr>
          <w:p w:rsidR="00F777B4" w:rsidRPr="00526311" w:rsidRDefault="00F777B4" w:rsidP="0063039A">
            <w:pPr>
              <w:rPr>
                <w:sz w:val="16"/>
                <w:szCs w:val="16"/>
              </w:rPr>
            </w:pPr>
            <w:r w:rsidRPr="00526311">
              <w:rPr>
                <w:sz w:val="16"/>
                <w:szCs w:val="16"/>
              </w:rPr>
              <w:t>Aumento del uso del intercambio electrónico (Madrid)</w:t>
            </w:r>
          </w:p>
        </w:tc>
        <w:tc>
          <w:tcPr>
            <w:tcW w:w="955" w:type="pct"/>
            <w:tcBorders>
              <w:bottom w:val="nil"/>
            </w:tcBorders>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tcBorders>
              <w:bottom w:val="nil"/>
            </w:tcBorders>
            <w:shd w:val="clear" w:color="auto" w:fill="FFFFFF"/>
          </w:tcPr>
          <w:p w:rsidR="00F777B4" w:rsidRPr="00526311" w:rsidRDefault="00F777B4" w:rsidP="0063039A">
            <w:pPr>
              <w:jc w:val="center"/>
            </w:pP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r w:rsidRPr="00526311">
              <w:rPr>
                <w:color w:val="FF0000"/>
                <w:szCs w:val="22"/>
              </w:rPr>
              <w:sym w:font="Wingdings" w:char="F06C"/>
            </w:r>
          </w:p>
        </w:tc>
      </w:tr>
      <w:tr w:rsidR="00F777B4" w:rsidRPr="00526311" w:rsidTr="0063039A">
        <w:trPr>
          <w:cantSplit/>
          <w:trHeight w:val="264"/>
        </w:trPr>
        <w:tc>
          <w:tcPr>
            <w:tcW w:w="1495" w:type="pct"/>
            <w:tcBorders>
              <w:top w:val="nil"/>
              <w:bottom w:val="nil"/>
            </w:tcBorders>
            <w:shd w:val="clear" w:color="auto" w:fill="auto"/>
            <w:tcMar>
              <w:top w:w="113" w:type="dxa"/>
              <w:bottom w:w="113" w:type="dxa"/>
            </w:tcMar>
          </w:tcPr>
          <w:p w:rsidR="00F777B4" w:rsidRPr="00526311" w:rsidRDefault="00F777B4" w:rsidP="0063039A">
            <w:pPr>
              <w:rPr>
                <w:sz w:val="16"/>
                <w:szCs w:val="16"/>
              </w:rPr>
            </w:pPr>
          </w:p>
        </w:tc>
        <w:tc>
          <w:tcPr>
            <w:tcW w:w="2036" w:type="pct"/>
            <w:tcBorders>
              <w:top w:val="nil"/>
              <w:bottom w:val="nil"/>
            </w:tcBorders>
            <w:shd w:val="clear" w:color="auto" w:fill="auto"/>
            <w:tcMar>
              <w:top w:w="113" w:type="dxa"/>
              <w:bottom w:w="113" w:type="dxa"/>
            </w:tcMar>
          </w:tcPr>
          <w:p w:rsidR="00F777B4" w:rsidRPr="00526311" w:rsidRDefault="00F777B4" w:rsidP="0063039A">
            <w:pPr>
              <w:rPr>
                <w:sz w:val="16"/>
                <w:szCs w:val="16"/>
              </w:rPr>
            </w:pPr>
            <w:r w:rsidRPr="00526311">
              <w:rPr>
                <w:sz w:val="16"/>
                <w:szCs w:val="16"/>
              </w:rPr>
              <w:t>Perfeccionamiento del Registro Internacional electrónico del Sistema de Lisboa</w:t>
            </w:r>
          </w:p>
        </w:tc>
        <w:tc>
          <w:tcPr>
            <w:tcW w:w="955" w:type="pct"/>
            <w:tcBorders>
              <w:top w:val="nil"/>
              <w:bottom w:val="nil"/>
            </w:tcBorders>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tcBorders>
              <w:top w:val="nil"/>
              <w:bottom w:val="nil"/>
            </w:tcBorders>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383"/>
        </w:trPr>
        <w:tc>
          <w:tcPr>
            <w:tcW w:w="1495" w:type="pct"/>
            <w:tcBorders>
              <w:top w:val="nil"/>
              <w:bottom w:val="nil"/>
            </w:tcBorders>
            <w:shd w:val="clear" w:color="auto" w:fill="auto"/>
            <w:tcMar>
              <w:top w:w="113" w:type="dxa"/>
              <w:bottom w:w="113" w:type="dxa"/>
            </w:tcMar>
          </w:tcPr>
          <w:p w:rsidR="00F777B4" w:rsidRPr="00526311" w:rsidRDefault="00F777B4" w:rsidP="0063039A">
            <w:pPr>
              <w:rPr>
                <w:sz w:val="16"/>
                <w:szCs w:val="16"/>
              </w:rPr>
            </w:pPr>
          </w:p>
        </w:tc>
        <w:tc>
          <w:tcPr>
            <w:tcW w:w="2036" w:type="pct"/>
            <w:tcBorders>
              <w:top w:val="nil"/>
              <w:bottom w:val="nil"/>
            </w:tcBorders>
            <w:shd w:val="clear" w:color="auto" w:fill="auto"/>
            <w:tcMar>
              <w:top w:w="113" w:type="dxa"/>
              <w:bottom w:w="113" w:type="dxa"/>
            </w:tcMar>
          </w:tcPr>
          <w:p w:rsidR="00F777B4" w:rsidRPr="00526311" w:rsidRDefault="00F777B4" w:rsidP="0063039A">
            <w:pPr>
              <w:rPr>
                <w:sz w:val="16"/>
                <w:szCs w:val="16"/>
              </w:rPr>
            </w:pPr>
            <w:r w:rsidRPr="00526311">
              <w:rPr>
                <w:sz w:val="16"/>
                <w:szCs w:val="16"/>
              </w:rPr>
              <w:t>Perfeccionamiento de los medios de comunicación y publicación electrónicos en el marco de los procedimientos del Arreglo de Lisboa</w:t>
            </w:r>
          </w:p>
        </w:tc>
        <w:tc>
          <w:tcPr>
            <w:tcW w:w="955" w:type="pct"/>
            <w:tcBorders>
              <w:top w:val="nil"/>
              <w:bottom w:val="nil"/>
            </w:tcBorders>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tcBorders>
              <w:top w:val="nil"/>
              <w:bottom w:val="nil"/>
            </w:tcBorders>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307"/>
        </w:trPr>
        <w:tc>
          <w:tcPr>
            <w:tcW w:w="1495" w:type="pct"/>
            <w:vMerge w:val="restart"/>
            <w:tcBorders>
              <w:top w:val="nil"/>
              <w:bottom w:val="single" w:sz="4" w:space="0" w:color="auto"/>
            </w:tcBorders>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II.8 Las controversias nacionales e internacionales en materia de P.I. se evitan o resuelven cada vez con más frecuencia mediante procedimientos de mediación, </w:t>
            </w:r>
            <w:r w:rsidRPr="00526311">
              <w:rPr>
                <w:sz w:val="16"/>
                <w:szCs w:val="16"/>
              </w:rPr>
              <w:lastRenderedPageBreak/>
              <w:t>arbitraje y demás métodos de solución extrajudicial de controversias</w:t>
            </w:r>
          </w:p>
        </w:tc>
        <w:tc>
          <w:tcPr>
            <w:tcW w:w="2036" w:type="pct"/>
            <w:vMerge w:val="restart"/>
            <w:tcBorders>
              <w:top w:val="nil"/>
              <w:bottom w:val="single" w:sz="4" w:space="0" w:color="auto"/>
            </w:tcBorders>
            <w:shd w:val="clear" w:color="auto" w:fill="auto"/>
            <w:tcMar>
              <w:top w:w="113" w:type="dxa"/>
              <w:bottom w:w="113" w:type="dxa"/>
            </w:tcMar>
          </w:tcPr>
          <w:p w:rsidR="00F777B4" w:rsidRPr="00526311" w:rsidRDefault="00F777B4" w:rsidP="0063039A">
            <w:pPr>
              <w:rPr>
                <w:sz w:val="16"/>
                <w:szCs w:val="16"/>
              </w:rPr>
            </w:pPr>
            <w:r w:rsidRPr="00526311">
              <w:rPr>
                <w:sz w:val="16"/>
                <w:szCs w:val="16"/>
              </w:rPr>
              <w:lastRenderedPageBreak/>
              <w:t>Cada vez más se considera la posibilidad de utilizar servicios extrajudiciales de solución de controversias en las transacciones sobre P.I., entre otras cosas, valiéndose de los procedimientos de la OMPI</w:t>
            </w:r>
          </w:p>
        </w:tc>
        <w:tc>
          <w:tcPr>
            <w:tcW w:w="955" w:type="pct"/>
            <w:tcBorders>
              <w:top w:val="nil"/>
              <w:bottom w:val="nil"/>
            </w:tcBorders>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7</w:t>
            </w:r>
          </w:p>
          <w:p w:rsidR="00F777B4" w:rsidRPr="00526311" w:rsidRDefault="00F777B4" w:rsidP="0063039A">
            <w:pPr>
              <w:rPr>
                <w:sz w:val="16"/>
                <w:szCs w:val="16"/>
                <w:lang w:bidi="th-TH"/>
              </w:rPr>
            </w:pPr>
          </w:p>
        </w:tc>
        <w:tc>
          <w:tcPr>
            <w:tcW w:w="513" w:type="pct"/>
            <w:tcBorders>
              <w:top w:val="nil"/>
              <w:bottom w:val="nil"/>
            </w:tcBorders>
            <w:shd w:val="clear" w:color="auto" w:fill="FFFFFF"/>
          </w:tcPr>
          <w:p w:rsidR="00F777B4" w:rsidRPr="00526311" w:rsidRDefault="00F777B4" w:rsidP="0063039A">
            <w:pPr>
              <w:jc w:val="center"/>
              <w:rPr>
                <w:color w:val="008000"/>
                <w:szCs w:val="22"/>
              </w:rPr>
            </w:pPr>
            <w:r w:rsidRPr="00526311">
              <w:rPr>
                <w:color w:val="008000"/>
                <w:szCs w:val="22"/>
              </w:rPr>
              <w:sym w:font="Wingdings" w:char="F06C"/>
            </w:r>
          </w:p>
        </w:tc>
      </w:tr>
      <w:tr w:rsidR="00F777B4" w:rsidRPr="00526311" w:rsidTr="0063039A">
        <w:trPr>
          <w:cantSplit/>
          <w:trHeight w:val="360"/>
        </w:trPr>
        <w:tc>
          <w:tcPr>
            <w:tcW w:w="1495" w:type="pct"/>
            <w:vMerge/>
            <w:tcBorders>
              <w:top w:val="single" w:sz="4" w:space="0" w:color="auto"/>
            </w:tcBorders>
            <w:shd w:val="clear" w:color="auto" w:fill="auto"/>
            <w:tcMar>
              <w:top w:w="113" w:type="dxa"/>
              <w:bottom w:w="113" w:type="dxa"/>
            </w:tcMar>
          </w:tcPr>
          <w:p w:rsidR="00F777B4" w:rsidRPr="00526311" w:rsidRDefault="00F777B4" w:rsidP="0063039A">
            <w:pPr>
              <w:rPr>
                <w:sz w:val="16"/>
                <w:szCs w:val="16"/>
              </w:rPr>
            </w:pPr>
          </w:p>
        </w:tc>
        <w:tc>
          <w:tcPr>
            <w:tcW w:w="2036" w:type="pct"/>
            <w:vMerge/>
            <w:tcBorders>
              <w:top w:val="single" w:sz="4" w:space="0" w:color="auto"/>
            </w:tcBorders>
            <w:shd w:val="clear" w:color="auto" w:fill="auto"/>
            <w:tcMar>
              <w:top w:w="113" w:type="dxa"/>
              <w:bottom w:w="113" w:type="dxa"/>
            </w:tcMar>
          </w:tcPr>
          <w:p w:rsidR="00F777B4" w:rsidRPr="00526311" w:rsidRDefault="00F777B4" w:rsidP="0063039A">
            <w:pPr>
              <w:rPr>
                <w:sz w:val="16"/>
                <w:szCs w:val="16"/>
              </w:rPr>
            </w:pPr>
          </w:p>
        </w:tc>
        <w:tc>
          <w:tcPr>
            <w:tcW w:w="955" w:type="pct"/>
            <w:tcBorders>
              <w:top w:val="nil"/>
            </w:tcBorders>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20</w:t>
            </w:r>
          </w:p>
          <w:p w:rsidR="00F777B4" w:rsidRPr="00526311" w:rsidRDefault="00F777B4" w:rsidP="0063039A">
            <w:pPr>
              <w:ind w:left="441"/>
              <w:jc w:val="center"/>
              <w:rPr>
                <w:sz w:val="16"/>
                <w:szCs w:val="16"/>
                <w:lang w:bidi="th-TH"/>
              </w:rPr>
            </w:pPr>
          </w:p>
        </w:tc>
        <w:tc>
          <w:tcPr>
            <w:tcW w:w="513" w:type="pct"/>
            <w:tcBorders>
              <w:top w:val="nil"/>
            </w:tcBorders>
            <w:shd w:val="clear" w:color="auto" w:fill="FFFFFF"/>
          </w:tcPr>
          <w:p w:rsidR="00F777B4" w:rsidRPr="00526311" w:rsidRDefault="00F777B4" w:rsidP="0063039A">
            <w:pPr>
              <w:jc w:val="center"/>
              <w:rPr>
                <w:color w:val="008000"/>
                <w:szCs w:val="22"/>
              </w:rPr>
            </w:pPr>
            <w:r w:rsidRPr="00526311">
              <w:rPr>
                <w:color w:val="FF0000"/>
                <w:szCs w:val="22"/>
              </w:rPr>
              <w:sym w:font="Wingdings" w:char="F06C"/>
            </w:r>
          </w:p>
        </w:tc>
      </w:tr>
      <w:tr w:rsidR="00F777B4" w:rsidRPr="00526311" w:rsidTr="0063039A">
        <w:trPr>
          <w:cantSplit/>
          <w:trHeight w:val="613"/>
        </w:trPr>
        <w:tc>
          <w:tcPr>
            <w:tcW w:w="1495" w:type="pct"/>
            <w:vMerge/>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Políticas de solución extrajudicial de controversias a cuyo desarrollo y aplicación ha contribuido el Centro de Arbitraje y Mediación de la OMPI</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7</w:t>
            </w:r>
          </w:p>
        </w:tc>
        <w:tc>
          <w:tcPr>
            <w:tcW w:w="513" w:type="pct"/>
            <w:shd w:val="clear" w:color="auto" w:fill="FFFFFF"/>
          </w:tcPr>
          <w:p w:rsidR="00F777B4" w:rsidRPr="00526311" w:rsidRDefault="00F777B4" w:rsidP="0063039A">
            <w:pPr>
              <w:jc w:val="center"/>
              <w:rPr>
                <w:color w:val="A6A6A6" w:themeColor="background1" w:themeShade="A6"/>
                <w:szCs w:val="22"/>
              </w:rPr>
            </w:pPr>
            <w:r w:rsidRPr="00526311">
              <w:rPr>
                <w:color w:val="008000"/>
                <w:szCs w:val="22"/>
              </w:rPr>
              <w:sym w:font="Wingdings" w:char="F06C"/>
            </w:r>
          </w:p>
        </w:tc>
      </w:tr>
      <w:tr w:rsidR="00F777B4" w:rsidRPr="00526311" w:rsidTr="0063039A">
        <w:trPr>
          <w:cantSplit/>
          <w:trHeight w:val="379"/>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usuarios de países con economías en transición y países desarrollados que utilizan los servicios del Centro de Arbitraje y Mediación</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10</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289"/>
        </w:trPr>
        <w:tc>
          <w:tcPr>
            <w:tcW w:w="1495"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II.9 Protección eficaz de la propiedad intelectual en los gTLD y los ccTLD</w:t>
            </w: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procedimientos relativos a los gTLD administrados en virtud de la Política Uniforme</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7</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255"/>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procedimientos relativos a los ccTLD administrados en virtud de la Política Uniforme</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7</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566"/>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Políticas de solución de controversias en el sistema de nombres de dominio a cuyo desarrollo y aplicación ha contribuido el Centro de Arbitraje y Mediación de la OMPI</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7</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500"/>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administradores de ccTLD que disponen de mecanismos de protección de P.I. concebidos o administrados por la OMPI de conformidad con las normas internacionales</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7</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bl>
    <w:p w:rsidR="00F777B4" w:rsidRPr="00526311" w:rsidRDefault="00F777B4" w:rsidP="0063039A">
      <w:pPr>
        <w:rPr>
          <w:sz w:val="20"/>
        </w:rPr>
      </w:pPr>
    </w:p>
    <w:p w:rsidR="00F777B4" w:rsidRPr="00526311" w:rsidRDefault="00F777B4" w:rsidP="0063039A">
      <w:pPr>
        <w:rPr>
          <w:sz w:val="20"/>
        </w:rPr>
      </w:pPr>
    </w:p>
    <w:p w:rsidR="00B45FC3" w:rsidRPr="00526311" w:rsidRDefault="00B45FC3">
      <w:pPr>
        <w:rPr>
          <w:bCs/>
          <w:iCs/>
          <w:caps/>
          <w:szCs w:val="28"/>
        </w:rPr>
      </w:pPr>
      <w:r w:rsidRPr="00526311">
        <w:br w:type="page"/>
      </w:r>
    </w:p>
    <w:p w:rsidR="00B45FC3" w:rsidRPr="00526311" w:rsidRDefault="00B45FC3" w:rsidP="0063039A">
      <w:pPr>
        <w:pStyle w:val="Heading2"/>
        <w:tabs>
          <w:tab w:val="left" w:pos="2410"/>
        </w:tabs>
        <w:rPr>
          <w:b/>
        </w:rPr>
      </w:pPr>
      <w:bookmarkStart w:id="24" w:name="_Toc422927407"/>
      <w:r w:rsidRPr="00526311">
        <w:rPr>
          <w:b/>
        </w:rPr>
        <w:lastRenderedPageBreak/>
        <w:t>PROGRAMA 5</w:t>
      </w:r>
      <w:r w:rsidRPr="00526311">
        <w:rPr>
          <w:b/>
        </w:rPr>
        <w:tab/>
        <w:t>SISTEMA DEL PCT</w:t>
      </w:r>
      <w:bookmarkEnd w:id="24"/>
    </w:p>
    <w:p w:rsidR="00B45FC3" w:rsidRPr="00526311" w:rsidRDefault="00B45FC3" w:rsidP="0063039A"/>
    <w:p w:rsidR="00B45FC3" w:rsidRPr="00526311" w:rsidRDefault="00B45FC3" w:rsidP="0063039A">
      <w:pPr>
        <w:tabs>
          <w:tab w:val="left" w:pos="2410"/>
        </w:tabs>
        <w:rPr>
          <w:b/>
          <w:sz w:val="20"/>
        </w:rPr>
      </w:pPr>
      <w:r w:rsidRPr="00526311">
        <w:rPr>
          <w:b/>
          <w:sz w:val="20"/>
        </w:rPr>
        <w:t>Director de programa</w:t>
      </w:r>
      <w:r w:rsidRPr="00526311">
        <w:rPr>
          <w:b/>
          <w:sz w:val="20"/>
        </w:rPr>
        <w:tab/>
        <w:t>Sr. J. Sandage</w:t>
      </w:r>
    </w:p>
    <w:p w:rsidR="00B45FC3" w:rsidRPr="00526311" w:rsidRDefault="00B45FC3" w:rsidP="0063039A"/>
    <w:p w:rsidR="00B45FC3" w:rsidRPr="00526311" w:rsidRDefault="00B45FC3" w:rsidP="0063039A"/>
    <w:p w:rsidR="00B45FC3" w:rsidRPr="00526311" w:rsidRDefault="00B45FC3" w:rsidP="0063039A">
      <w:pPr>
        <w:rPr>
          <w:bCs/>
          <w:szCs w:val="22"/>
        </w:rPr>
      </w:pPr>
      <w:r w:rsidRPr="00526311">
        <w:rPr>
          <w:bCs/>
          <w:szCs w:val="22"/>
        </w:rPr>
        <w:t>RESEÑA DE LOS AVANCES LOGRADOS EN 2014</w:t>
      </w:r>
    </w:p>
    <w:p w:rsidR="00B45FC3" w:rsidRPr="00526311" w:rsidRDefault="00B45FC3" w:rsidP="0063039A">
      <w:pPr>
        <w:rPr>
          <w:b/>
        </w:rPr>
      </w:pPr>
    </w:p>
    <w:p w:rsidR="00B45FC3" w:rsidRPr="00526311" w:rsidRDefault="00B45FC3" w:rsidP="00B45FC3">
      <w:pPr>
        <w:pStyle w:val="ListParagraph"/>
        <w:numPr>
          <w:ilvl w:val="0"/>
          <w:numId w:val="21"/>
        </w:numPr>
        <w:tabs>
          <w:tab w:val="left" w:pos="709"/>
        </w:tabs>
        <w:ind w:left="0" w:firstLine="0"/>
        <w:jc w:val="both"/>
        <w:rPr>
          <w:rFonts w:cs="Arial"/>
          <w:lang w:val="es-ES"/>
        </w:rPr>
      </w:pPr>
      <w:r w:rsidRPr="00526311">
        <w:rPr>
          <w:rFonts w:cs="Arial"/>
          <w:lang w:val="es-ES"/>
        </w:rPr>
        <w:t>La Oficina Internacional recibió aproximadamente 217.700 ejemplares originales en 2014, lo que supone un aumento del 7% con respecto a 2013.  El porcentaje de solicitudes presentadas enteramente por medios electrónicos siguió aumentando en 2014, y actualmente constituye el 91% de todas las solicitudes que se presentan.  Aunque la mayoría de las solicitudes se presentan en inglés (51,6% en 2014), el porcentaje de solicitudes presentadas en idiomas asiáticos ha aumentado en el último decenio.  El porcentaje combinado de solicitudes PCT presentadas en japonés, chino y coreano ha pasado del 29,5% en 2009 al 34,5% en 2012, y ha permanecido estable entre 2012 y 2014.</w:t>
      </w:r>
    </w:p>
    <w:p w:rsidR="00416BA4" w:rsidRPr="00526311" w:rsidRDefault="00416BA4" w:rsidP="00416BA4">
      <w:pPr>
        <w:pStyle w:val="ListParagraph"/>
        <w:tabs>
          <w:tab w:val="left" w:pos="709"/>
        </w:tabs>
        <w:ind w:left="0"/>
        <w:jc w:val="both"/>
        <w:rPr>
          <w:rFonts w:cs="Arial"/>
          <w:lang w:val="es-ES"/>
        </w:rPr>
      </w:pPr>
    </w:p>
    <w:p w:rsidR="00416BA4" w:rsidRPr="00526311" w:rsidRDefault="00416BA4" w:rsidP="00B45FC3">
      <w:pPr>
        <w:pStyle w:val="ListParagraph"/>
        <w:numPr>
          <w:ilvl w:val="0"/>
          <w:numId w:val="21"/>
        </w:numPr>
        <w:tabs>
          <w:tab w:val="left" w:pos="709"/>
        </w:tabs>
        <w:ind w:left="0" w:firstLine="0"/>
        <w:jc w:val="both"/>
        <w:rPr>
          <w:rFonts w:cs="Arial"/>
          <w:lang w:val="es-ES"/>
        </w:rPr>
      </w:pPr>
      <w:r w:rsidRPr="00526311">
        <w:rPr>
          <w:rFonts w:cs="Arial"/>
          <w:lang w:val="es-ES"/>
        </w:rPr>
        <w:t xml:space="preserve">Aumentó significativamente la utilización del sistema ePCT en 2014 al ir adquiriendo mayor conocimiento del sistema los solicitantes y las Oficinas.  El acceso al sistema de presentación ePCT, que en 2013 solo estaba disponible para la Oficina receptora de la Oficina Internacional, se extendió en 2014 a todas las Oficinas receptoras deseosas de recibir y tramitar solicitudes internacionales - a fines de 2014 10 Oficinas receptoras habían recibido solicitudes internacionales presentadas mediante el sistema ePCT, incluso de países en desarrollo como el Brasil, la India y Malasia.  Otros países se encontraban en diferentes etapas de prueba del sistema, y varias Oficinas receptoras y Administraciones internacionales permitían la presentación </w:t>
      </w:r>
      <w:r w:rsidR="00011632" w:rsidRPr="00526311">
        <w:rPr>
          <w:rFonts w:cs="Arial"/>
          <w:lang w:val="es-ES"/>
        </w:rPr>
        <w:t xml:space="preserve">de documentos </w:t>
      </w:r>
      <w:r w:rsidRPr="00526311">
        <w:rPr>
          <w:rFonts w:cs="Arial"/>
          <w:lang w:val="es-ES"/>
        </w:rPr>
        <w:t xml:space="preserve">por el sistema ePCT </w:t>
      </w:r>
      <w:r w:rsidR="00011632" w:rsidRPr="00526311">
        <w:rPr>
          <w:rFonts w:cs="Arial"/>
          <w:lang w:val="es-ES"/>
        </w:rPr>
        <w:t>posteriormente a</w:t>
      </w:r>
      <w:r w:rsidRPr="00526311">
        <w:rPr>
          <w:rFonts w:cs="Arial"/>
          <w:lang w:val="es-ES"/>
        </w:rPr>
        <w:t xml:space="preserve"> la presentación de la solicitud internacional.</w:t>
      </w:r>
    </w:p>
    <w:p w:rsidR="00B45FC3" w:rsidRPr="00526311" w:rsidRDefault="00B45FC3" w:rsidP="0063039A">
      <w:pPr>
        <w:tabs>
          <w:tab w:val="left" w:pos="709"/>
        </w:tabs>
        <w:autoSpaceDE w:val="0"/>
        <w:autoSpaceDN w:val="0"/>
        <w:adjustRightInd w:val="0"/>
        <w:jc w:val="both"/>
      </w:pPr>
    </w:p>
    <w:p w:rsidR="00011632" w:rsidRPr="00526311" w:rsidRDefault="00011632" w:rsidP="00011632">
      <w:pPr>
        <w:pStyle w:val="ListParagraph"/>
        <w:numPr>
          <w:ilvl w:val="0"/>
          <w:numId w:val="21"/>
        </w:numPr>
        <w:tabs>
          <w:tab w:val="left" w:pos="709"/>
        </w:tabs>
        <w:autoSpaceDE w:val="0"/>
        <w:autoSpaceDN w:val="0"/>
        <w:adjustRightInd w:val="0"/>
        <w:ind w:left="0" w:firstLine="0"/>
        <w:jc w:val="both"/>
        <w:rPr>
          <w:rFonts w:cs="Arial"/>
          <w:lang w:val="es-ES"/>
        </w:rPr>
      </w:pPr>
      <w:r w:rsidRPr="00526311">
        <w:rPr>
          <w:rFonts w:cs="Arial"/>
          <w:lang w:val="es-ES"/>
        </w:rPr>
        <w:t>En su séptima reunión, celebrada en junio de 2014, el Grupo de Trabajo del PCT continuó los debates sobre algunas propuestas para mejorar el funcionamiento del Sistema del PCT, de conformidad con las recomendaciones respaldadas por el Grupo de Trabajo en su tercera reunión.  Entre los logros de 2014 cabe mencionar el acuerdo sobre los nuevos criterios que deben cumplir los solicitantes de determinados países para obtener una reducción de las tasas, en cuyo marco se amplió el número de países en desarrollo y de PMA que pueden acceder a dichas reducciones de las tasas.  Los Estados miembros concluyeron los debates sobre las posibles reducciones de tasas en favor de las pequeñas y medianas empresas (pymes), habiendo llegado al acuerdo de que no hay una clara vía a seguir y que no se seguirá trabajando en esa cuestión hasta que los Estados miembros no presenten una propuesta concreta.  Se convino en que en 2015 prosigan los debates entre los Estados miembros sobre la posible reducción de las tasas en favor de las universidades y las instituciones de investigación sin fines de lucro, especialmente las de los países en desarrollo y PMA, pero no exclusivamente.</w:t>
      </w:r>
    </w:p>
    <w:p w:rsidR="00011632" w:rsidRPr="00526311" w:rsidRDefault="00011632" w:rsidP="00011632">
      <w:pPr>
        <w:pStyle w:val="ListParagraph"/>
        <w:tabs>
          <w:tab w:val="left" w:pos="709"/>
        </w:tabs>
        <w:autoSpaceDE w:val="0"/>
        <w:autoSpaceDN w:val="0"/>
        <w:adjustRightInd w:val="0"/>
        <w:ind w:left="0"/>
        <w:jc w:val="both"/>
        <w:rPr>
          <w:rFonts w:cs="Arial"/>
          <w:lang w:val="es-ES"/>
        </w:rPr>
      </w:pPr>
    </w:p>
    <w:p w:rsidR="00B45FC3" w:rsidRPr="00526311" w:rsidRDefault="00B45FC3" w:rsidP="00B45FC3">
      <w:pPr>
        <w:pStyle w:val="ListParagraph"/>
        <w:numPr>
          <w:ilvl w:val="0"/>
          <w:numId w:val="21"/>
        </w:numPr>
        <w:tabs>
          <w:tab w:val="left" w:pos="709"/>
        </w:tabs>
        <w:autoSpaceDE w:val="0"/>
        <w:autoSpaceDN w:val="0"/>
        <w:adjustRightInd w:val="0"/>
        <w:ind w:left="0" w:firstLine="0"/>
        <w:jc w:val="both"/>
        <w:rPr>
          <w:rFonts w:cs="Arial"/>
          <w:lang w:val="es-ES"/>
        </w:rPr>
      </w:pPr>
      <w:r w:rsidRPr="00526311">
        <w:rPr>
          <w:rFonts w:cs="Arial"/>
          <w:lang w:val="es-ES"/>
        </w:rPr>
        <w:t>Además, los Estados miembros llegaron a un acuerdo acerca de un procedimiento revisado para la designación de nuevas Administraciones encargadas de la búsqueda y del examen preliminar internacionales y avanzaron en los debates sobre cómo mejorar la calidad y la puntualidad de los textos producidos en el marco del PCT (informes de búsqueda internacional y de examen preliminar internacional).  Por otra parte, los Estados miembros tomaron nota de los progresos realizados para la aceptación de parámetros que permitan evaluar el funcionamiento global del Sistema del PCT, y en particular, la calidad de los textos producidos en el marco del PCT.</w:t>
      </w:r>
    </w:p>
    <w:p w:rsidR="00B45FC3" w:rsidRPr="00526311" w:rsidRDefault="00B45FC3" w:rsidP="0063039A">
      <w:pPr>
        <w:tabs>
          <w:tab w:val="left" w:pos="709"/>
        </w:tabs>
        <w:jc w:val="both"/>
        <w:rPr>
          <w:b/>
        </w:rPr>
      </w:pPr>
    </w:p>
    <w:p w:rsidR="00B45FC3" w:rsidRPr="00526311" w:rsidRDefault="00B45FC3" w:rsidP="00B45FC3">
      <w:pPr>
        <w:pStyle w:val="ListParagraph"/>
        <w:numPr>
          <w:ilvl w:val="0"/>
          <w:numId w:val="21"/>
        </w:numPr>
        <w:tabs>
          <w:tab w:val="left" w:pos="709"/>
        </w:tabs>
        <w:autoSpaceDE w:val="0"/>
        <w:autoSpaceDN w:val="0"/>
        <w:adjustRightInd w:val="0"/>
        <w:ind w:left="0" w:firstLine="0"/>
        <w:jc w:val="both"/>
        <w:rPr>
          <w:rFonts w:cs="Arial"/>
          <w:lang w:val="es-ES"/>
        </w:rPr>
      </w:pPr>
      <w:r w:rsidRPr="00526311">
        <w:rPr>
          <w:lang w:val="es-ES"/>
        </w:rPr>
        <w:t>En el marco del programa, siguió dedicándose una parte importante de la labor y recursos a la cooperación y asistencia técnicas a los países en desarrollo y PMA.  Se llevaron a cabo actividades de formación y de fortalecimiento de las capacidades con el fin de asistir a los Estados miembros en el fortalecimiento de la capacidad nacional para la protección de la creatividad y la innovación nacional, en consonancia con la A.D.  Dichas actividades, efectuadas a petición de los interesados, estaban orientadas a la potenciación del desarrollo y eran transparentes.  Se concibieron en coordinación con organizadores locales teniendo en cuenta el grado de sensibilización o el conocimiento técnico sobre el PCT y las competencias de los participantes en relación con el PCT.  Dichas actividades contribuyeron además a fortalecer las capacidades de los Estados miembros del PCT y de los que estaban estudiando la posibilidad de adherirse al PCT mediante la mejora de los conocimientos y competencias locales en la utilización del Sistema del PCT.</w:t>
      </w:r>
    </w:p>
    <w:p w:rsidR="00B45FC3" w:rsidRPr="00526311" w:rsidRDefault="00B45FC3" w:rsidP="0063039A"/>
    <w:p w:rsidR="00B45FC3" w:rsidRPr="00526311" w:rsidRDefault="00B45FC3" w:rsidP="00B45FC3">
      <w:pPr>
        <w:pStyle w:val="ListParagraph"/>
        <w:numPr>
          <w:ilvl w:val="0"/>
          <w:numId w:val="21"/>
        </w:numPr>
        <w:tabs>
          <w:tab w:val="left" w:pos="709"/>
        </w:tabs>
        <w:autoSpaceDE w:val="0"/>
        <w:autoSpaceDN w:val="0"/>
        <w:adjustRightInd w:val="0"/>
        <w:ind w:left="0" w:firstLine="0"/>
        <w:jc w:val="both"/>
        <w:rPr>
          <w:rFonts w:cs="Arial"/>
          <w:lang w:val="es-ES"/>
        </w:rPr>
      </w:pPr>
      <w:r w:rsidRPr="00526311">
        <w:rPr>
          <w:rFonts w:cs="Arial"/>
          <w:lang w:val="es-ES"/>
        </w:rPr>
        <w:t xml:space="preserve">En 2014 se fomentó el conocimiento del PCT entre los usuarios y potenciales usuarios, a través de diversas actividades de formación y divulgación (53 seminarios, 54 presentaciones, 17 webinarios y 33 visitas de usuarios).  Por otra parte, la Oficina Internacional respondió a 12.426 consultas </w:t>
      </w:r>
      <w:r w:rsidRPr="00526311">
        <w:rPr>
          <w:rFonts w:cs="Arial"/>
          <w:lang w:val="es-ES"/>
        </w:rPr>
        <w:lastRenderedPageBreak/>
        <w:t xml:space="preserve">relacionadas con el PCT formuladas por sus usuarios y potenciales usuarios (una media de 50 consultas al día) y resolvió 1.233 casos </w:t>
      </w:r>
      <w:r w:rsidR="00084BC1" w:rsidRPr="00526311">
        <w:rPr>
          <w:rFonts w:cs="Arial"/>
          <w:lang w:val="es-ES"/>
        </w:rPr>
        <w:t xml:space="preserve">“de tramitación </w:t>
      </w:r>
      <w:r w:rsidRPr="00526311">
        <w:rPr>
          <w:rFonts w:cs="Arial"/>
          <w:lang w:val="es-ES"/>
        </w:rPr>
        <w:t>especial</w:t>
      </w:r>
      <w:r w:rsidR="00084BC1" w:rsidRPr="00526311">
        <w:rPr>
          <w:rFonts w:cs="Arial"/>
          <w:lang w:val="es-ES"/>
        </w:rPr>
        <w:t>”</w:t>
      </w:r>
      <w:r w:rsidRPr="00526311">
        <w:rPr>
          <w:rFonts w:cs="Arial"/>
          <w:lang w:val="es-ES"/>
        </w:rPr>
        <w:t xml:space="preserve"> durante el año.</w:t>
      </w:r>
    </w:p>
    <w:p w:rsidR="00B45FC3" w:rsidRPr="00526311" w:rsidRDefault="00B45FC3" w:rsidP="0063039A"/>
    <w:p w:rsidR="00B45FC3" w:rsidRPr="00526311" w:rsidRDefault="00B45FC3" w:rsidP="00B45FC3">
      <w:pPr>
        <w:pStyle w:val="ListParagraph"/>
        <w:numPr>
          <w:ilvl w:val="0"/>
          <w:numId w:val="21"/>
        </w:numPr>
        <w:tabs>
          <w:tab w:val="left" w:pos="709"/>
        </w:tabs>
        <w:autoSpaceDE w:val="0"/>
        <w:autoSpaceDN w:val="0"/>
        <w:adjustRightInd w:val="0"/>
        <w:ind w:left="0" w:firstLine="0"/>
        <w:jc w:val="both"/>
        <w:rPr>
          <w:lang w:val="es-ES"/>
        </w:rPr>
      </w:pPr>
      <w:r w:rsidRPr="00526311">
        <w:rPr>
          <w:rFonts w:cs="Arial"/>
          <w:lang w:val="es-ES"/>
        </w:rPr>
        <w:t>La Oficina Internacional siguió mejorando y ampliando la automatización de determinados procesos relativos al examen de forma de solicitudes internacionales PCT.  Además de las solicitudes presentadas electrónicamente en formatos XML y PDF, la Oficina Internacional hizo importantes avances en la tramitación automática de los informes de búsqueda internacional y las opiniones escritas que recibe de China y de la Oficina Europea de Patentes en formato XML.  Con ello se logró mejorar considerablemente la productividad y la calidad del examen de forma de las solicitudes internacionales PCT, lo que permitió a la Oficina Internacional afrontar el incesante aumento del volumen de trabajo con el mismo o menor número de miembros del personal, sin dejar de mantener la elevada calidad del servicio.  La productividad, medida por el número de publicaciones del PCT dividido por el número de miembros del personal, aumentó un 18% en 2014 con respecto a 2013, y la calidad en general, medida por el índice agregado, mejoró considerablemente, pasando del 87,5% en 2013 al 93,1% en 2014.</w:t>
      </w:r>
    </w:p>
    <w:p w:rsidR="00B45FC3" w:rsidRPr="00526311" w:rsidRDefault="00B45FC3" w:rsidP="0063039A">
      <w:pPr>
        <w:pStyle w:val="ListParagraph"/>
        <w:rPr>
          <w:lang w:val="es-ES"/>
        </w:rPr>
      </w:pPr>
    </w:p>
    <w:p w:rsidR="00B45FC3" w:rsidRPr="00526311" w:rsidRDefault="00B45FC3" w:rsidP="00B45FC3">
      <w:pPr>
        <w:pStyle w:val="ListParagraph"/>
        <w:numPr>
          <w:ilvl w:val="0"/>
          <w:numId w:val="21"/>
        </w:numPr>
        <w:tabs>
          <w:tab w:val="left" w:pos="709"/>
        </w:tabs>
        <w:autoSpaceDE w:val="0"/>
        <w:autoSpaceDN w:val="0"/>
        <w:adjustRightInd w:val="0"/>
        <w:ind w:left="0" w:firstLine="0"/>
        <w:jc w:val="both"/>
        <w:rPr>
          <w:lang w:val="es-ES"/>
        </w:rPr>
      </w:pPr>
      <w:r w:rsidRPr="00526311">
        <w:rPr>
          <w:lang w:val="es-ES"/>
        </w:rPr>
        <w:t>La Oficina Internacional realizó también progresos en dotar de mayor flexibilidad y seguridad al sistema de gestión del volumen del trabajo de traducción y en promover un mayor recurso a la reutilización de traducciones y automatización de la distribución de traducciones.</w:t>
      </w:r>
    </w:p>
    <w:p w:rsidR="00B45FC3" w:rsidRPr="00526311" w:rsidRDefault="00B45FC3" w:rsidP="0063039A">
      <w:pPr>
        <w:tabs>
          <w:tab w:val="left" w:pos="709"/>
        </w:tabs>
        <w:autoSpaceDE w:val="0"/>
        <w:autoSpaceDN w:val="0"/>
        <w:adjustRightInd w:val="0"/>
        <w:jc w:val="both"/>
      </w:pPr>
    </w:p>
    <w:p w:rsidR="00B45FC3" w:rsidRPr="00526311" w:rsidRDefault="00B45FC3" w:rsidP="0063039A">
      <w:pPr>
        <w:tabs>
          <w:tab w:val="left" w:pos="8145"/>
        </w:tabs>
      </w:pPr>
    </w:p>
    <w:p w:rsidR="00B45FC3" w:rsidRPr="00526311" w:rsidRDefault="00B45FC3" w:rsidP="0063039A">
      <w:pPr>
        <w:rPr>
          <w:szCs w:val="22"/>
        </w:rPr>
      </w:pPr>
      <w:r w:rsidRPr="00526311">
        <w:rPr>
          <w:szCs w:val="22"/>
        </w:rPr>
        <w:t xml:space="preserve">DATOS SOBRE EL RENDIMIENTO </w:t>
      </w:r>
    </w:p>
    <w:p w:rsidR="00B45FC3" w:rsidRPr="00526311" w:rsidRDefault="00B45FC3" w:rsidP="0063039A">
      <w:pPr>
        <w:rPr>
          <w:b/>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2"/>
        <w:gridCol w:w="2264"/>
        <w:gridCol w:w="144"/>
        <w:gridCol w:w="1417"/>
        <w:gridCol w:w="144"/>
        <w:gridCol w:w="2124"/>
        <w:gridCol w:w="142"/>
        <w:gridCol w:w="990"/>
      </w:tblGrid>
      <w:tr w:rsidR="00B45FC3" w:rsidRPr="00526311" w:rsidTr="0063039A">
        <w:trPr>
          <w:trHeight w:val="336"/>
        </w:trPr>
        <w:tc>
          <w:tcPr>
            <w:tcW w:w="5000" w:type="pct"/>
            <w:gridSpan w:val="8"/>
            <w:tcBorders>
              <w:top w:val="single" w:sz="4" w:space="0" w:color="auto"/>
              <w:bottom w:val="single" w:sz="4" w:space="0" w:color="auto"/>
            </w:tcBorders>
            <w:shd w:val="clear" w:color="auto" w:fill="CCFFFF"/>
            <w:vAlign w:val="center"/>
          </w:tcPr>
          <w:p w:rsidR="00B45FC3" w:rsidRPr="00526311" w:rsidRDefault="00B45FC3" w:rsidP="0063039A">
            <w:pPr>
              <w:tabs>
                <w:tab w:val="left" w:pos="1452"/>
              </w:tabs>
              <w:ind w:left="1452" w:hanging="1452"/>
              <w:rPr>
                <w:b/>
                <w:bCs/>
                <w:sz w:val="16"/>
                <w:szCs w:val="16"/>
              </w:rPr>
            </w:pPr>
            <w:r w:rsidRPr="00526311">
              <w:rPr>
                <w:b/>
                <w:bCs/>
                <w:sz w:val="16"/>
                <w:szCs w:val="16"/>
              </w:rPr>
              <w:t>Resultado previsto:</w:t>
            </w:r>
            <w:r w:rsidRPr="00526311">
              <w:rPr>
                <w:bCs/>
                <w:sz w:val="16"/>
                <w:szCs w:val="16"/>
              </w:rPr>
              <w:tab/>
              <w:t>II.1 Fomento del uso de la vía del PCT para la presentación de solicitudes internacionales de patente</w:t>
            </w:r>
          </w:p>
        </w:tc>
      </w:tr>
      <w:tr w:rsidR="00B45FC3" w:rsidRPr="00526311" w:rsidTr="0063039A">
        <w:tc>
          <w:tcPr>
            <w:tcW w:w="1139" w:type="pct"/>
            <w:tcBorders>
              <w:top w:val="single" w:sz="4" w:space="0" w:color="auto"/>
            </w:tcBorders>
            <w:shd w:val="clear" w:color="auto" w:fill="auto"/>
            <w:vAlign w:val="center"/>
          </w:tcPr>
          <w:p w:rsidR="00B45FC3" w:rsidRPr="00526311" w:rsidRDefault="00B45FC3" w:rsidP="0063039A">
            <w:pPr>
              <w:rPr>
                <w:sz w:val="16"/>
                <w:szCs w:val="16"/>
              </w:rPr>
            </w:pPr>
            <w:r w:rsidRPr="00526311">
              <w:rPr>
                <w:b/>
                <w:sz w:val="16"/>
                <w:szCs w:val="16"/>
              </w:rPr>
              <w:t>Indicadores de rendimiento</w:t>
            </w:r>
          </w:p>
        </w:tc>
        <w:tc>
          <w:tcPr>
            <w:tcW w:w="1287" w:type="pct"/>
            <w:gridSpan w:val="2"/>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834" w:type="pct"/>
            <w:gridSpan w:val="2"/>
            <w:tcBorders>
              <w:top w:val="single" w:sz="4" w:space="0" w:color="auto"/>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211" w:type="pct"/>
            <w:gridSpan w:val="2"/>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529" w:type="pct"/>
            <w:tcBorders>
              <w:top w:val="single" w:sz="4" w:space="0" w:color="auto"/>
            </w:tcBorders>
            <w:shd w:val="clear" w:color="auto" w:fill="auto"/>
            <w:tcMar>
              <w:top w:w="110" w:type="dxa"/>
            </w:tcMar>
            <w:vAlign w:val="center"/>
          </w:tcPr>
          <w:p w:rsidR="00B45FC3" w:rsidRPr="00526311" w:rsidRDefault="00B45FC3" w:rsidP="0063039A">
            <w:pPr>
              <w:ind w:left="-112"/>
              <w:jc w:val="center"/>
              <w:rPr>
                <w:b/>
                <w:bCs/>
                <w:sz w:val="16"/>
                <w:szCs w:val="16"/>
              </w:rPr>
            </w:pPr>
            <w:r w:rsidRPr="00526311">
              <w:rPr>
                <w:b/>
                <w:bCs/>
                <w:sz w:val="16"/>
                <w:szCs w:val="16"/>
              </w:rPr>
              <w:t>Clave de colores</w:t>
            </w:r>
          </w:p>
        </w:tc>
      </w:tr>
      <w:tr w:rsidR="00B45FC3" w:rsidRPr="00526311" w:rsidTr="0063039A">
        <w:tc>
          <w:tcPr>
            <w:tcW w:w="1139" w:type="pct"/>
            <w:shd w:val="clear" w:color="auto" w:fill="auto"/>
          </w:tcPr>
          <w:p w:rsidR="00B45FC3" w:rsidRPr="00526311" w:rsidRDefault="00B45FC3" w:rsidP="0063039A">
            <w:pPr>
              <w:rPr>
                <w:sz w:val="16"/>
                <w:szCs w:val="16"/>
              </w:rPr>
            </w:pPr>
            <w:r w:rsidRPr="00526311">
              <w:rPr>
                <w:sz w:val="16"/>
                <w:szCs w:val="16"/>
              </w:rPr>
              <w:t>Nivel de satisfacción de los usuarios del PCT respecto de los servicios de información y formación destinados a los usuarios</w:t>
            </w:r>
          </w:p>
        </w:tc>
        <w:tc>
          <w:tcPr>
            <w:tcW w:w="1287" w:type="pct"/>
            <w:gridSpan w:val="2"/>
            <w:shd w:val="clear" w:color="auto" w:fill="auto"/>
          </w:tcPr>
          <w:p w:rsidR="00B45FC3" w:rsidRPr="00526311" w:rsidRDefault="00B45FC3" w:rsidP="0063039A">
            <w:pPr>
              <w:rPr>
                <w:sz w:val="16"/>
                <w:szCs w:val="16"/>
              </w:rPr>
            </w:pPr>
            <w:r w:rsidRPr="00526311">
              <w:rPr>
                <w:sz w:val="16"/>
                <w:szCs w:val="16"/>
              </w:rPr>
              <w:t>Nivel de satisfacción existente en 2009 entre los usuarios del PCT respecto de los servicios de información y formación destinados a los usuarios</w:t>
            </w:r>
          </w:p>
        </w:tc>
        <w:tc>
          <w:tcPr>
            <w:tcW w:w="834" w:type="pct"/>
            <w:gridSpan w:val="2"/>
            <w:shd w:val="clear" w:color="auto" w:fill="auto"/>
            <w:tcMar>
              <w:top w:w="110" w:type="dxa"/>
            </w:tcMar>
          </w:tcPr>
          <w:p w:rsidR="00B45FC3" w:rsidRPr="00526311" w:rsidRDefault="00B45FC3" w:rsidP="0063039A">
            <w:pPr>
              <w:rPr>
                <w:sz w:val="16"/>
                <w:szCs w:val="16"/>
              </w:rPr>
            </w:pPr>
            <w:r w:rsidRPr="00526311">
              <w:rPr>
                <w:sz w:val="16"/>
                <w:szCs w:val="16"/>
              </w:rPr>
              <w:t>Mantenimiento o aumento del nivel de satisfacción existente en 2009 entre los usuarios del PCT</w:t>
            </w:r>
          </w:p>
        </w:tc>
        <w:tc>
          <w:tcPr>
            <w:tcW w:w="1211" w:type="pct"/>
            <w:gridSpan w:val="2"/>
            <w:shd w:val="clear" w:color="auto" w:fill="FFFFFF"/>
            <w:tcMar>
              <w:top w:w="110" w:type="dxa"/>
            </w:tcMar>
          </w:tcPr>
          <w:p w:rsidR="00B45FC3" w:rsidRPr="00526311" w:rsidRDefault="00B45FC3" w:rsidP="0063039A">
            <w:pPr>
              <w:rPr>
                <w:sz w:val="16"/>
                <w:szCs w:val="16"/>
              </w:rPr>
            </w:pPr>
            <w:r w:rsidRPr="00526311">
              <w:rPr>
                <w:sz w:val="16"/>
                <w:szCs w:val="16"/>
              </w:rPr>
              <w:t>En 2015 se llevará a cabo una encuesta bienal</w:t>
            </w:r>
          </w:p>
        </w:tc>
        <w:tc>
          <w:tcPr>
            <w:tcW w:w="529" w:type="pct"/>
            <w:shd w:val="clear" w:color="auto" w:fill="auto"/>
            <w:tcMar>
              <w:top w:w="110" w:type="dxa"/>
            </w:tcMar>
          </w:tcPr>
          <w:p w:rsidR="00B45FC3" w:rsidRPr="00526311" w:rsidRDefault="00B45FC3" w:rsidP="0063039A">
            <w:pPr>
              <w:jc w:val="center"/>
              <w:rPr>
                <w:b/>
                <w:bCs/>
                <w:color w:val="0070C0"/>
                <w:sz w:val="16"/>
                <w:szCs w:val="16"/>
              </w:rPr>
            </w:pPr>
            <w:r w:rsidRPr="00526311">
              <w:rPr>
                <w:b/>
                <w:bCs/>
                <w:color w:val="0070C0"/>
                <w:sz w:val="16"/>
                <w:szCs w:val="16"/>
              </w:rPr>
              <w:t>n.d. para 2014</w:t>
            </w:r>
          </w:p>
        </w:tc>
      </w:tr>
      <w:tr w:rsidR="00B45FC3" w:rsidRPr="00526311" w:rsidTr="0063039A">
        <w:tc>
          <w:tcPr>
            <w:tcW w:w="1139" w:type="pct"/>
            <w:shd w:val="clear" w:color="auto" w:fill="auto"/>
          </w:tcPr>
          <w:p w:rsidR="00B45FC3" w:rsidRPr="00526311" w:rsidRDefault="00B45FC3" w:rsidP="0063039A">
            <w:pPr>
              <w:rPr>
                <w:sz w:val="16"/>
                <w:szCs w:val="16"/>
              </w:rPr>
            </w:pPr>
            <w:r w:rsidRPr="00526311">
              <w:rPr>
                <w:sz w:val="16"/>
                <w:szCs w:val="16"/>
              </w:rPr>
              <w:t>Satisfacción de las oficinas y las administraciones internacionales respecto de las actividades de cooperación del PCT</w:t>
            </w:r>
          </w:p>
        </w:tc>
        <w:tc>
          <w:tcPr>
            <w:tcW w:w="1287" w:type="pct"/>
            <w:gridSpan w:val="2"/>
            <w:shd w:val="clear" w:color="auto" w:fill="auto"/>
          </w:tcPr>
          <w:p w:rsidR="00B45FC3" w:rsidRPr="00526311" w:rsidRDefault="00B45FC3" w:rsidP="0063039A">
            <w:pPr>
              <w:rPr>
                <w:i/>
                <w:color w:val="002060"/>
                <w:sz w:val="8"/>
                <w:szCs w:val="8"/>
              </w:rPr>
            </w:pPr>
            <w:r w:rsidRPr="00526311">
              <w:rPr>
                <w:i/>
                <w:color w:val="002060"/>
                <w:sz w:val="16"/>
                <w:szCs w:val="16"/>
              </w:rPr>
              <w:t xml:space="preserve">Referencia actualizada a fines de 2013:  </w:t>
            </w:r>
            <w:r w:rsidRPr="00526311">
              <w:rPr>
                <w:color w:val="002060"/>
                <w:sz w:val="16"/>
                <w:szCs w:val="16"/>
              </w:rPr>
              <w:t>56 (95% de los 59 beneficiarios de las actividades de cooperación en el marco del PCT;  85% de los</w:t>
            </w:r>
          </w:p>
          <w:p w:rsidR="00B45FC3" w:rsidRPr="00526311" w:rsidRDefault="00B45FC3" w:rsidP="0063039A">
            <w:pPr>
              <w:rPr>
                <w:color w:val="002060"/>
                <w:sz w:val="16"/>
                <w:szCs w:val="16"/>
              </w:rPr>
            </w:pPr>
            <w:r w:rsidRPr="00526311">
              <w:rPr>
                <w:color w:val="002060"/>
                <w:sz w:val="16"/>
                <w:szCs w:val="16"/>
              </w:rPr>
              <w:t>66 encuestados (encuesta de 2012)</w:t>
            </w:r>
          </w:p>
          <w:p w:rsidR="00B45FC3" w:rsidRPr="00526311" w:rsidRDefault="00B45FC3" w:rsidP="0063039A">
            <w:pPr>
              <w:rPr>
                <w:color w:val="002060"/>
                <w:sz w:val="16"/>
                <w:szCs w:val="16"/>
              </w:rPr>
            </w:pPr>
          </w:p>
          <w:p w:rsidR="00B45FC3" w:rsidRPr="00526311" w:rsidRDefault="007B705E" w:rsidP="0063039A">
            <w:pPr>
              <w:rPr>
                <w:sz w:val="16"/>
                <w:szCs w:val="16"/>
              </w:rPr>
            </w:pPr>
            <w:r w:rsidRPr="00526311">
              <w:rPr>
                <w:i/>
                <w:sz w:val="16"/>
                <w:szCs w:val="16"/>
              </w:rPr>
              <w:t>Referencia original en el presupuesto de 2014/15</w:t>
            </w:r>
            <w:r w:rsidR="00B45FC3" w:rsidRPr="00526311">
              <w:rPr>
                <w:i/>
                <w:sz w:val="16"/>
                <w:szCs w:val="16"/>
              </w:rPr>
              <w:t>:</w:t>
            </w:r>
            <w:r w:rsidR="00B45FC3" w:rsidRPr="00526311">
              <w:rPr>
                <w:sz w:val="16"/>
                <w:szCs w:val="16"/>
              </w:rPr>
              <w:t xml:space="preserve">  59 encuestados expresaron satisfacción con las actividades en 2011 (95% de los 62 que participaron en las actividades / 86% de los 69 encuestados)</w:t>
            </w:r>
            <w:r w:rsidR="00084BC1" w:rsidRPr="00526311">
              <w:rPr>
                <w:sz w:val="16"/>
                <w:szCs w:val="16"/>
              </w:rPr>
              <w:br/>
            </w:r>
          </w:p>
        </w:tc>
        <w:tc>
          <w:tcPr>
            <w:tcW w:w="834" w:type="pct"/>
            <w:gridSpan w:val="2"/>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Mantenimiento del nivel de satisfacción existente en 2011 entre las Oficinas y las Administraciones internacionales</w:t>
            </w:r>
          </w:p>
        </w:tc>
        <w:tc>
          <w:tcPr>
            <w:tcW w:w="1211" w:type="pct"/>
            <w:gridSpan w:val="2"/>
            <w:shd w:val="clear" w:color="auto" w:fill="FFFFFF"/>
            <w:tcMar>
              <w:top w:w="110" w:type="dxa"/>
            </w:tcMar>
          </w:tcPr>
          <w:p w:rsidR="00B45FC3" w:rsidRPr="00526311" w:rsidRDefault="00B45FC3" w:rsidP="0063039A">
            <w:pPr>
              <w:rPr>
                <w:sz w:val="16"/>
                <w:szCs w:val="16"/>
              </w:rPr>
            </w:pPr>
            <w:r w:rsidRPr="00526311">
              <w:rPr>
                <w:sz w:val="16"/>
                <w:szCs w:val="16"/>
              </w:rPr>
              <w:t>En 2016 se llevará a cabo una encuesta bienal que abarque el bienio 2014/2015</w:t>
            </w:r>
          </w:p>
        </w:tc>
        <w:tc>
          <w:tcPr>
            <w:tcW w:w="529" w:type="pct"/>
            <w:shd w:val="clear" w:color="auto" w:fill="auto"/>
            <w:tcMar>
              <w:top w:w="110" w:type="dxa"/>
            </w:tcMar>
          </w:tcPr>
          <w:p w:rsidR="00B45FC3" w:rsidRPr="00526311" w:rsidRDefault="00B45FC3" w:rsidP="00084BC1">
            <w:pPr>
              <w:jc w:val="center"/>
              <w:rPr>
                <w:b/>
                <w:bCs/>
                <w:color w:val="0070C0"/>
                <w:sz w:val="16"/>
                <w:szCs w:val="16"/>
              </w:rPr>
            </w:pPr>
            <w:r w:rsidRPr="00526311">
              <w:rPr>
                <w:b/>
                <w:bCs/>
                <w:color w:val="0070C0"/>
                <w:sz w:val="16"/>
                <w:szCs w:val="16"/>
              </w:rPr>
              <w:t>n</w:t>
            </w:r>
            <w:r w:rsidR="00084BC1" w:rsidRPr="00526311">
              <w:rPr>
                <w:b/>
                <w:bCs/>
                <w:color w:val="0070C0"/>
                <w:sz w:val="16"/>
                <w:szCs w:val="16"/>
              </w:rPr>
              <w:t>.</w:t>
            </w:r>
            <w:r w:rsidRPr="00526311">
              <w:rPr>
                <w:b/>
                <w:bCs/>
                <w:color w:val="0070C0"/>
                <w:sz w:val="16"/>
                <w:szCs w:val="16"/>
              </w:rPr>
              <w:t>d. para 2014</w:t>
            </w:r>
          </w:p>
        </w:tc>
      </w:tr>
      <w:tr w:rsidR="00B45FC3" w:rsidRPr="00526311" w:rsidTr="0063039A">
        <w:trPr>
          <w:trHeight w:val="374"/>
        </w:trPr>
        <w:tc>
          <w:tcPr>
            <w:tcW w:w="5000" w:type="pct"/>
            <w:gridSpan w:val="8"/>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ind w:left="1452" w:hanging="1452"/>
              <w:rPr>
                <w:b/>
                <w:bCs/>
                <w:sz w:val="16"/>
                <w:szCs w:val="16"/>
              </w:rPr>
            </w:pPr>
            <w:r w:rsidRPr="00526311">
              <w:rPr>
                <w:b/>
                <w:bCs/>
                <w:sz w:val="16"/>
                <w:szCs w:val="16"/>
              </w:rPr>
              <w:lastRenderedPageBreak/>
              <w:t>Resultado previsto:</w:t>
            </w:r>
            <w:r w:rsidRPr="00526311">
              <w:rPr>
                <w:bCs/>
                <w:sz w:val="16"/>
                <w:szCs w:val="16"/>
              </w:rPr>
              <w:tab/>
              <w:t>II.2 Mejora del sistema del PCT</w:t>
            </w:r>
          </w:p>
        </w:tc>
      </w:tr>
      <w:tr w:rsidR="00B45FC3" w:rsidRPr="00526311" w:rsidTr="0063039A">
        <w:tc>
          <w:tcPr>
            <w:tcW w:w="1139" w:type="pct"/>
            <w:tcBorders>
              <w:top w:val="single" w:sz="4" w:space="0" w:color="auto"/>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10" w:type="pct"/>
            <w:tcBorders>
              <w:top w:val="single" w:sz="4" w:space="0" w:color="auto"/>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834" w:type="pct"/>
            <w:gridSpan w:val="2"/>
            <w:tcBorders>
              <w:top w:val="single" w:sz="4" w:space="0" w:color="auto"/>
            </w:tcBorders>
            <w:shd w:val="clear" w:color="auto" w:fill="auto"/>
            <w:tcMar>
              <w:top w:w="110" w:type="dxa"/>
            </w:tcMar>
            <w:vAlign w:val="center"/>
          </w:tcPr>
          <w:p w:rsidR="00B45FC3" w:rsidRPr="00526311" w:rsidRDefault="00B45FC3" w:rsidP="0063039A">
            <w:pPr>
              <w:keepNext/>
              <w:keepLines/>
              <w:rPr>
                <w:b/>
                <w:sz w:val="16"/>
                <w:szCs w:val="16"/>
              </w:rPr>
            </w:pPr>
            <w:r w:rsidRPr="00526311">
              <w:rPr>
                <w:b/>
                <w:sz w:val="16"/>
                <w:szCs w:val="16"/>
              </w:rPr>
              <w:t>Objetivos</w:t>
            </w:r>
          </w:p>
        </w:tc>
        <w:tc>
          <w:tcPr>
            <w:tcW w:w="1212" w:type="pct"/>
            <w:gridSpan w:val="2"/>
            <w:tcBorders>
              <w:top w:val="single" w:sz="4" w:space="0" w:color="auto"/>
            </w:tcBorders>
            <w:shd w:val="clear" w:color="auto" w:fill="FFFFFF"/>
            <w:tcMar>
              <w:top w:w="110" w:type="dxa"/>
            </w:tcMar>
            <w:vAlign w:val="center"/>
          </w:tcPr>
          <w:p w:rsidR="00B45FC3" w:rsidRPr="00526311" w:rsidRDefault="00B45FC3" w:rsidP="0063039A">
            <w:pPr>
              <w:keepNext/>
              <w:keepLines/>
              <w:rPr>
                <w:sz w:val="16"/>
                <w:szCs w:val="16"/>
              </w:rPr>
            </w:pPr>
            <w:r w:rsidRPr="00526311">
              <w:rPr>
                <w:b/>
                <w:sz w:val="16"/>
                <w:szCs w:val="16"/>
              </w:rPr>
              <w:t>Datos sobre el rendimiento</w:t>
            </w:r>
          </w:p>
        </w:tc>
        <w:tc>
          <w:tcPr>
            <w:tcW w:w="606" w:type="pct"/>
            <w:gridSpan w:val="2"/>
            <w:tcBorders>
              <w:top w:val="single" w:sz="4" w:space="0" w:color="auto"/>
            </w:tcBorders>
            <w:shd w:val="clear" w:color="auto" w:fill="auto"/>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c>
          <w:tcPr>
            <w:tcW w:w="1139" w:type="pct"/>
            <w:shd w:val="clear" w:color="auto" w:fill="FFFFFF"/>
          </w:tcPr>
          <w:p w:rsidR="00B45FC3" w:rsidRPr="00526311" w:rsidRDefault="00B45FC3" w:rsidP="0063039A">
            <w:pPr>
              <w:keepNext/>
              <w:keepLines/>
              <w:rPr>
                <w:sz w:val="16"/>
                <w:szCs w:val="16"/>
              </w:rPr>
            </w:pPr>
            <w:r w:rsidRPr="00526311">
              <w:rPr>
                <w:sz w:val="16"/>
                <w:szCs w:val="16"/>
              </w:rPr>
              <w:t xml:space="preserve">Continuo desarrollo del </w:t>
            </w:r>
            <w:r w:rsidRPr="00526311">
              <w:rPr>
                <w:sz w:val="16"/>
                <w:szCs w:val="16"/>
              </w:rPr>
              <w:br/>
              <w:t>Sistema del PCT, sobre todo gracias a la aplicación de las recomendaciones de la hoja de ruta del PCT suscritas por los Estados miembros del PCT</w:t>
            </w:r>
          </w:p>
        </w:tc>
        <w:tc>
          <w:tcPr>
            <w:tcW w:w="1210" w:type="pct"/>
            <w:shd w:val="clear" w:color="auto" w:fill="auto"/>
          </w:tcPr>
          <w:p w:rsidR="00B45FC3" w:rsidRPr="00526311" w:rsidRDefault="00B45FC3" w:rsidP="0063039A">
            <w:pPr>
              <w:keepNext/>
              <w:keepLines/>
              <w:rPr>
                <w:color w:val="002060"/>
                <w:sz w:val="16"/>
                <w:szCs w:val="16"/>
              </w:rPr>
            </w:pPr>
            <w:r w:rsidRPr="00526311">
              <w:rPr>
                <w:i/>
                <w:color w:val="002060"/>
                <w:sz w:val="16"/>
                <w:szCs w:val="16"/>
              </w:rPr>
              <w:t xml:space="preserve">Referencia actualizada a fines de 2013:  </w:t>
            </w:r>
            <w:r w:rsidRPr="00526311">
              <w:rPr>
                <w:color w:val="002060"/>
                <w:sz w:val="16"/>
                <w:szCs w:val="16"/>
              </w:rPr>
              <w:t>Situación del Sistema del PCT a fines de 2013</w:t>
            </w:r>
          </w:p>
          <w:p w:rsidR="00B45FC3" w:rsidRPr="00526311" w:rsidRDefault="00B45FC3" w:rsidP="0063039A">
            <w:pPr>
              <w:keepNext/>
              <w:keepLines/>
              <w:rPr>
                <w:i/>
                <w:sz w:val="16"/>
                <w:szCs w:val="16"/>
              </w:rPr>
            </w:pPr>
          </w:p>
          <w:p w:rsidR="00B45FC3" w:rsidRPr="00526311" w:rsidRDefault="007B705E" w:rsidP="0063039A">
            <w:pPr>
              <w:keepNext/>
              <w:keepLines/>
              <w:rPr>
                <w:sz w:val="16"/>
                <w:szCs w:val="16"/>
              </w:rPr>
            </w:pPr>
            <w:r w:rsidRPr="00526311">
              <w:rPr>
                <w:i/>
                <w:sz w:val="16"/>
                <w:szCs w:val="16"/>
              </w:rPr>
              <w:t>Referencia original en el presupuesto de 2014/15</w:t>
            </w:r>
            <w:r w:rsidR="00B45FC3" w:rsidRPr="00526311">
              <w:rPr>
                <w:i/>
                <w:sz w:val="16"/>
                <w:szCs w:val="16"/>
              </w:rPr>
              <w:t>:</w:t>
            </w:r>
            <w:r w:rsidR="00B45FC3" w:rsidRPr="00526311">
              <w:rPr>
                <w:sz w:val="16"/>
                <w:szCs w:val="16"/>
              </w:rPr>
              <w:t xml:space="preserve">  Decisiones de los órganos pertinentes del PCT hasta el final de 2013</w:t>
            </w:r>
          </w:p>
        </w:tc>
        <w:tc>
          <w:tcPr>
            <w:tcW w:w="834" w:type="pct"/>
            <w:gridSpan w:val="2"/>
            <w:shd w:val="clear" w:color="auto" w:fill="auto"/>
            <w:tcMar>
              <w:top w:w="110" w:type="dxa"/>
            </w:tcMar>
          </w:tcPr>
          <w:p w:rsidR="00B45FC3" w:rsidRPr="00526311" w:rsidRDefault="00B45FC3" w:rsidP="0063039A">
            <w:pPr>
              <w:keepNext/>
              <w:keepLines/>
              <w:autoSpaceDE w:val="0"/>
              <w:autoSpaceDN w:val="0"/>
              <w:adjustRightInd w:val="0"/>
              <w:rPr>
                <w:sz w:val="16"/>
                <w:szCs w:val="16"/>
              </w:rPr>
            </w:pPr>
            <w:r w:rsidRPr="00526311">
              <w:rPr>
                <w:sz w:val="16"/>
                <w:szCs w:val="16"/>
              </w:rPr>
              <w:t>Progresos para alcanzar los objetivos del Tratado en beneficio de todas las partes interesadas, en sintonía con las recomendaciones de la hoja de ruta del PCT suscritas por los Estados miembros</w:t>
            </w:r>
            <w:r w:rsidRPr="00526311">
              <w:rPr>
                <w:rStyle w:val="FootnoteReference"/>
                <w:sz w:val="16"/>
                <w:szCs w:val="16"/>
              </w:rPr>
              <w:footnoteReference w:id="10"/>
            </w:r>
          </w:p>
        </w:tc>
        <w:tc>
          <w:tcPr>
            <w:tcW w:w="1212" w:type="pct"/>
            <w:gridSpan w:val="2"/>
            <w:shd w:val="clear" w:color="auto" w:fill="FFFFFF"/>
            <w:tcMar>
              <w:top w:w="110" w:type="dxa"/>
            </w:tcMar>
          </w:tcPr>
          <w:p w:rsidR="00B45FC3" w:rsidRPr="00526311" w:rsidRDefault="00B45FC3" w:rsidP="0063039A">
            <w:pPr>
              <w:keepNext/>
              <w:keepLines/>
              <w:rPr>
                <w:sz w:val="16"/>
                <w:szCs w:val="16"/>
                <w:lang w:bidi="th-TH"/>
              </w:rPr>
            </w:pPr>
            <w:r w:rsidRPr="00526311">
              <w:rPr>
                <w:sz w:val="16"/>
                <w:szCs w:val="16"/>
                <w:lang w:bidi="th-TH"/>
              </w:rPr>
              <w:t>En 2014 se avanzó en el fomento de los objetivos del Tratado, en favor de todos los sectores interesados, de conformidad con las recomendaciones de la hoja de ruta del PCT suscritas por los Estados miembros, con respecto a los siguientes asuntos:  a) Acuerdo de los Estados miembros sobre los criterios que deben cumplirse para obtener una reducción de las tasas;  b) Acuerdo de los Estados miembros sobre el procedimiento revisado para la designación de las Administraciones encargadas de la búsqueda y el examen preliminar internacionales;  c) Avances por los Estados miembros en los debates sobre cómo mejorar la calidad y puntualidad de los textos producidos en el marco del PCT</w:t>
            </w:r>
          </w:p>
        </w:tc>
        <w:tc>
          <w:tcPr>
            <w:tcW w:w="606" w:type="pct"/>
            <w:gridSpan w:val="2"/>
            <w:shd w:val="clear" w:color="auto" w:fill="auto"/>
            <w:tcMar>
              <w:top w:w="110" w:type="dxa"/>
            </w:tcMar>
          </w:tcPr>
          <w:p w:rsidR="00B45FC3" w:rsidRPr="00526311" w:rsidRDefault="00B45FC3" w:rsidP="0063039A">
            <w:pPr>
              <w:keepNext/>
              <w:keepLines/>
              <w:ind w:left="-109"/>
              <w:jc w:val="center"/>
              <w:rPr>
                <w:bCs/>
                <w:color w:val="008000"/>
                <w:sz w:val="16"/>
                <w:szCs w:val="16"/>
              </w:rPr>
            </w:pPr>
            <w:r w:rsidRPr="00526311">
              <w:rPr>
                <w:b/>
                <w:bCs/>
                <w:color w:val="00B050"/>
                <w:sz w:val="16"/>
                <w:szCs w:val="16"/>
              </w:rPr>
              <w:t>Avanza</w:t>
            </w:r>
          </w:p>
        </w:tc>
      </w:tr>
      <w:tr w:rsidR="00B45FC3" w:rsidRPr="00526311" w:rsidTr="0063039A">
        <w:trPr>
          <w:trHeight w:val="321"/>
        </w:trPr>
        <w:tc>
          <w:tcPr>
            <w:tcW w:w="5000" w:type="pct"/>
            <w:gridSpan w:val="8"/>
            <w:tcBorders>
              <w:top w:val="single" w:sz="4" w:space="0" w:color="auto"/>
              <w:bottom w:val="single" w:sz="4" w:space="0" w:color="auto"/>
            </w:tcBorders>
            <w:shd w:val="clear" w:color="auto" w:fill="C5FFFF"/>
            <w:vAlign w:val="center"/>
          </w:tcPr>
          <w:p w:rsidR="00B45FC3" w:rsidRPr="00526311" w:rsidRDefault="00B45FC3" w:rsidP="0063039A">
            <w:pPr>
              <w:tabs>
                <w:tab w:val="left" w:pos="1452"/>
              </w:tabs>
              <w:ind w:left="1452" w:hanging="1452"/>
              <w:rPr>
                <w:bCs/>
                <w:color w:val="008000"/>
                <w:sz w:val="16"/>
                <w:szCs w:val="16"/>
              </w:rPr>
            </w:pPr>
            <w:r w:rsidRPr="00526311">
              <w:rPr>
                <w:b/>
                <w:bCs/>
                <w:sz w:val="16"/>
                <w:szCs w:val="16"/>
              </w:rPr>
              <w:t>Resultado previsto:</w:t>
            </w:r>
            <w:r w:rsidRPr="00526311">
              <w:rPr>
                <w:bCs/>
                <w:sz w:val="16"/>
                <w:szCs w:val="16"/>
              </w:rPr>
              <w:tab/>
              <w:t>II.2 Mejora del sistema del PCT</w:t>
            </w:r>
          </w:p>
        </w:tc>
      </w:tr>
      <w:tr w:rsidR="00B45FC3" w:rsidRPr="00526311" w:rsidTr="0063039A">
        <w:tc>
          <w:tcPr>
            <w:tcW w:w="1139" w:type="pct"/>
            <w:tcBorders>
              <w:top w:val="single" w:sz="4" w:space="0" w:color="auto"/>
            </w:tcBorders>
            <w:shd w:val="clear" w:color="auto" w:fill="FFFFFF"/>
            <w:vAlign w:val="center"/>
          </w:tcPr>
          <w:p w:rsidR="00B45FC3" w:rsidRPr="00526311" w:rsidRDefault="00B45FC3" w:rsidP="0063039A">
            <w:pPr>
              <w:rPr>
                <w:sz w:val="16"/>
                <w:szCs w:val="16"/>
              </w:rPr>
            </w:pPr>
            <w:r w:rsidRPr="00526311">
              <w:rPr>
                <w:b/>
                <w:sz w:val="16"/>
                <w:szCs w:val="16"/>
              </w:rPr>
              <w:t>Indicadores de rendimiento</w:t>
            </w:r>
          </w:p>
        </w:tc>
        <w:tc>
          <w:tcPr>
            <w:tcW w:w="1209"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834" w:type="pct"/>
            <w:gridSpan w:val="2"/>
            <w:tcBorders>
              <w:top w:val="single" w:sz="4" w:space="0" w:color="auto"/>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212" w:type="pct"/>
            <w:gridSpan w:val="2"/>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606" w:type="pct"/>
            <w:gridSpan w:val="2"/>
            <w:tcBorders>
              <w:top w:val="single" w:sz="4" w:space="0" w:color="auto"/>
            </w:tcBorders>
            <w:shd w:val="clear" w:color="auto" w:fill="auto"/>
            <w:tcMar>
              <w:top w:w="110" w:type="dxa"/>
            </w:tcMar>
            <w:vAlign w:val="center"/>
          </w:tcPr>
          <w:p w:rsidR="00B45FC3" w:rsidRPr="00526311" w:rsidRDefault="00B45FC3" w:rsidP="0063039A">
            <w:pPr>
              <w:jc w:val="center"/>
              <w:rPr>
                <w:b/>
                <w:bCs/>
                <w:sz w:val="16"/>
                <w:szCs w:val="16"/>
              </w:rPr>
            </w:pPr>
            <w:r w:rsidRPr="00526311">
              <w:rPr>
                <w:b/>
                <w:bCs/>
                <w:sz w:val="16"/>
                <w:szCs w:val="16"/>
              </w:rPr>
              <w:t>Clave de colores</w:t>
            </w:r>
          </w:p>
        </w:tc>
      </w:tr>
      <w:tr w:rsidR="00B45FC3" w:rsidRPr="00526311" w:rsidTr="0063039A">
        <w:tc>
          <w:tcPr>
            <w:tcW w:w="1139" w:type="pct"/>
            <w:shd w:val="clear" w:color="auto" w:fill="auto"/>
          </w:tcPr>
          <w:p w:rsidR="00B45FC3" w:rsidRPr="00526311" w:rsidRDefault="00B45FC3" w:rsidP="0063039A">
            <w:pPr>
              <w:rPr>
                <w:sz w:val="16"/>
                <w:szCs w:val="16"/>
              </w:rPr>
            </w:pPr>
            <w:r w:rsidRPr="00526311">
              <w:rPr>
                <w:sz w:val="16"/>
                <w:szCs w:val="16"/>
              </w:rPr>
              <w:t>Mejora de los servicios electrónicos dirigidos a solicitantes, terceros, oficinas y Administraciones</w:t>
            </w:r>
          </w:p>
        </w:tc>
        <w:tc>
          <w:tcPr>
            <w:tcW w:w="1209" w:type="pct"/>
            <w:shd w:val="clear" w:color="auto" w:fill="auto"/>
          </w:tcPr>
          <w:p w:rsidR="00B45FC3" w:rsidRPr="00526311" w:rsidRDefault="00B45FC3" w:rsidP="0063039A">
            <w:pPr>
              <w:pStyle w:val="Default"/>
              <w:rPr>
                <w:color w:val="002060"/>
                <w:sz w:val="16"/>
                <w:szCs w:val="16"/>
                <w:lang w:val="es-ES"/>
              </w:rPr>
            </w:pPr>
            <w:r w:rsidRPr="00526311">
              <w:rPr>
                <w:i/>
                <w:color w:val="002060"/>
                <w:sz w:val="16"/>
                <w:szCs w:val="16"/>
                <w:lang w:val="es-ES"/>
              </w:rPr>
              <w:t>Referencia actualizada a fines de 2013:</w:t>
            </w:r>
            <w:r w:rsidRPr="00526311">
              <w:rPr>
                <w:color w:val="943634" w:themeColor="accent2" w:themeShade="BF"/>
                <w:sz w:val="16"/>
                <w:szCs w:val="16"/>
                <w:lang w:val="es-ES"/>
              </w:rPr>
              <w:t xml:space="preserve">  </w:t>
            </w:r>
            <w:r w:rsidRPr="00526311">
              <w:rPr>
                <w:color w:val="002060"/>
                <w:sz w:val="16"/>
                <w:szCs w:val="16"/>
                <w:lang w:val="es-ES"/>
              </w:rPr>
              <w:t xml:space="preserve">Nº de transacciones efectuadas utilizando los servicios ePCT a fines de 2013 con respecto a:  </w:t>
            </w:r>
          </w:p>
          <w:p w:rsidR="00B45FC3" w:rsidRPr="00526311" w:rsidRDefault="00B45FC3" w:rsidP="0063039A">
            <w:pPr>
              <w:pStyle w:val="Default"/>
              <w:rPr>
                <w:color w:val="002060"/>
                <w:sz w:val="16"/>
                <w:szCs w:val="16"/>
                <w:lang w:val="es-ES"/>
              </w:rPr>
            </w:pPr>
            <w:r w:rsidRPr="00526311">
              <w:rPr>
                <w:color w:val="002060"/>
                <w:sz w:val="16"/>
                <w:szCs w:val="16"/>
                <w:lang w:val="es-ES"/>
              </w:rPr>
              <w:t xml:space="preserve">-- 8.005 solicitantes del sector público;  </w:t>
            </w:r>
          </w:p>
          <w:p w:rsidR="00B45FC3" w:rsidRPr="00526311" w:rsidRDefault="00B45FC3" w:rsidP="0063039A">
            <w:pPr>
              <w:pStyle w:val="Default"/>
              <w:rPr>
                <w:color w:val="002060"/>
                <w:sz w:val="16"/>
                <w:szCs w:val="16"/>
                <w:lang w:val="es-ES"/>
              </w:rPr>
            </w:pPr>
            <w:r w:rsidRPr="00526311">
              <w:rPr>
                <w:color w:val="002060"/>
                <w:sz w:val="16"/>
                <w:szCs w:val="16"/>
                <w:lang w:val="es-ES"/>
              </w:rPr>
              <w:t>-- 4.754 solicitantes del sector privado;</w:t>
            </w:r>
          </w:p>
          <w:p w:rsidR="00B45FC3" w:rsidRPr="00526311" w:rsidRDefault="00B45FC3" w:rsidP="0063039A">
            <w:pPr>
              <w:pStyle w:val="Default"/>
              <w:rPr>
                <w:color w:val="002060"/>
                <w:sz w:val="16"/>
                <w:szCs w:val="16"/>
                <w:lang w:val="es-ES"/>
              </w:rPr>
            </w:pPr>
            <w:r w:rsidRPr="00526311">
              <w:rPr>
                <w:color w:val="002060"/>
                <w:sz w:val="16"/>
                <w:szCs w:val="16"/>
                <w:lang w:val="es-ES"/>
              </w:rPr>
              <w:t xml:space="preserve">-- 74 terceros;  </w:t>
            </w:r>
          </w:p>
          <w:p w:rsidR="00B45FC3" w:rsidRPr="00526311" w:rsidRDefault="00B45FC3" w:rsidP="0063039A">
            <w:pPr>
              <w:pStyle w:val="Default"/>
              <w:rPr>
                <w:color w:val="002060"/>
                <w:sz w:val="16"/>
                <w:szCs w:val="16"/>
                <w:lang w:val="es-ES"/>
              </w:rPr>
            </w:pPr>
            <w:r w:rsidRPr="00526311">
              <w:rPr>
                <w:color w:val="002060"/>
                <w:sz w:val="16"/>
                <w:szCs w:val="16"/>
                <w:lang w:val="es-ES"/>
              </w:rPr>
              <w:t>-- 2.474 oficinas;  y</w:t>
            </w:r>
          </w:p>
          <w:p w:rsidR="00B45FC3" w:rsidRPr="00526311" w:rsidRDefault="00B45FC3" w:rsidP="0063039A">
            <w:pPr>
              <w:pStyle w:val="Default"/>
              <w:rPr>
                <w:color w:val="002060"/>
                <w:sz w:val="16"/>
                <w:szCs w:val="16"/>
                <w:lang w:val="es-ES"/>
              </w:rPr>
            </w:pPr>
            <w:r w:rsidRPr="00526311">
              <w:rPr>
                <w:color w:val="002060"/>
                <w:sz w:val="16"/>
                <w:szCs w:val="16"/>
                <w:lang w:val="es-ES"/>
              </w:rPr>
              <w:t>-- 2.398 Administraciones.</w:t>
            </w:r>
          </w:p>
          <w:p w:rsidR="00B45FC3" w:rsidRPr="00526311" w:rsidRDefault="00B45FC3" w:rsidP="0063039A">
            <w:pPr>
              <w:rPr>
                <w:i/>
                <w:sz w:val="8"/>
                <w:szCs w:val="8"/>
              </w:rPr>
            </w:pPr>
          </w:p>
          <w:p w:rsidR="00B45FC3" w:rsidRPr="00526311" w:rsidRDefault="007B705E" w:rsidP="0063039A">
            <w:pPr>
              <w:rPr>
                <w:sz w:val="16"/>
                <w:szCs w:val="16"/>
              </w:rPr>
            </w:pPr>
            <w:r w:rsidRPr="00526311">
              <w:rPr>
                <w:i/>
                <w:sz w:val="16"/>
                <w:szCs w:val="16"/>
              </w:rPr>
              <w:t>Referencia original en el presupuesto de 2014/15</w:t>
            </w:r>
            <w:r w:rsidR="00B45FC3" w:rsidRPr="00526311">
              <w:rPr>
                <w:i/>
                <w:sz w:val="16"/>
                <w:szCs w:val="16"/>
              </w:rPr>
              <w:t>:</w:t>
            </w:r>
            <w:r w:rsidR="00B45FC3" w:rsidRPr="00526311">
              <w:rPr>
                <w:sz w:val="16"/>
                <w:szCs w:val="16"/>
              </w:rPr>
              <w:t xml:space="preserve">  Número de transacciones efectuadas por medio de los servicios ePCT al final de 2013 para:  </w:t>
            </w:r>
          </w:p>
          <w:p w:rsidR="00B45FC3" w:rsidRPr="00526311" w:rsidRDefault="00B45FC3" w:rsidP="0063039A">
            <w:pPr>
              <w:rPr>
                <w:sz w:val="16"/>
                <w:szCs w:val="16"/>
              </w:rPr>
            </w:pPr>
            <w:r w:rsidRPr="00526311">
              <w:rPr>
                <w:sz w:val="16"/>
                <w:szCs w:val="16"/>
              </w:rPr>
              <w:t xml:space="preserve">--  solicitantes; </w:t>
            </w:r>
          </w:p>
          <w:p w:rsidR="00B45FC3" w:rsidRPr="00526311" w:rsidRDefault="00B45FC3" w:rsidP="0063039A">
            <w:pPr>
              <w:rPr>
                <w:sz w:val="16"/>
                <w:szCs w:val="16"/>
              </w:rPr>
            </w:pPr>
            <w:r w:rsidRPr="00526311">
              <w:rPr>
                <w:sz w:val="16"/>
                <w:szCs w:val="16"/>
              </w:rPr>
              <w:t xml:space="preserve">--  terceros;  </w:t>
            </w:r>
          </w:p>
          <w:p w:rsidR="00B45FC3" w:rsidRPr="00526311" w:rsidRDefault="00B45FC3" w:rsidP="0063039A">
            <w:pPr>
              <w:rPr>
                <w:sz w:val="16"/>
                <w:szCs w:val="16"/>
              </w:rPr>
            </w:pPr>
            <w:r w:rsidRPr="00526311">
              <w:rPr>
                <w:sz w:val="16"/>
                <w:szCs w:val="16"/>
              </w:rPr>
              <w:t xml:space="preserve">--  oficinas;  y </w:t>
            </w:r>
          </w:p>
          <w:p w:rsidR="00B45FC3" w:rsidRPr="00526311" w:rsidRDefault="00B45FC3" w:rsidP="0063039A">
            <w:pPr>
              <w:rPr>
                <w:sz w:val="16"/>
                <w:szCs w:val="16"/>
              </w:rPr>
            </w:pPr>
            <w:r w:rsidRPr="00526311">
              <w:rPr>
                <w:sz w:val="16"/>
                <w:szCs w:val="16"/>
              </w:rPr>
              <w:t>--  Administraciones</w:t>
            </w:r>
            <w:r w:rsidR="00084BC1" w:rsidRPr="00526311">
              <w:rPr>
                <w:sz w:val="16"/>
                <w:szCs w:val="16"/>
              </w:rPr>
              <w:br/>
            </w:r>
          </w:p>
        </w:tc>
        <w:tc>
          <w:tcPr>
            <w:tcW w:w="834" w:type="pct"/>
            <w:gridSpan w:val="2"/>
            <w:shd w:val="clear" w:color="auto" w:fill="auto"/>
            <w:tcMar>
              <w:top w:w="110" w:type="dxa"/>
            </w:tcMar>
          </w:tcPr>
          <w:p w:rsidR="00B45FC3" w:rsidRPr="00526311" w:rsidRDefault="00B45FC3" w:rsidP="0063039A">
            <w:pPr>
              <w:rPr>
                <w:sz w:val="16"/>
                <w:szCs w:val="16"/>
              </w:rPr>
            </w:pPr>
            <w:r w:rsidRPr="00526311">
              <w:rPr>
                <w:sz w:val="16"/>
                <w:szCs w:val="16"/>
              </w:rPr>
              <w:t xml:space="preserve">Aumentar el nº de transacciones efectuadas mediante los servicios ePCT para: </w:t>
            </w:r>
          </w:p>
          <w:p w:rsidR="00B45FC3" w:rsidRPr="00526311" w:rsidRDefault="00B45FC3" w:rsidP="0063039A">
            <w:pPr>
              <w:rPr>
                <w:sz w:val="16"/>
                <w:szCs w:val="16"/>
              </w:rPr>
            </w:pPr>
            <w:r w:rsidRPr="00526311">
              <w:rPr>
                <w:sz w:val="16"/>
                <w:szCs w:val="16"/>
              </w:rPr>
              <w:t xml:space="preserve">-- solicitantes;  </w:t>
            </w:r>
          </w:p>
          <w:p w:rsidR="00B45FC3" w:rsidRPr="00526311" w:rsidRDefault="00B45FC3" w:rsidP="0063039A">
            <w:pPr>
              <w:rPr>
                <w:sz w:val="16"/>
                <w:szCs w:val="16"/>
              </w:rPr>
            </w:pPr>
            <w:r w:rsidRPr="00526311">
              <w:rPr>
                <w:sz w:val="16"/>
                <w:szCs w:val="16"/>
              </w:rPr>
              <w:t xml:space="preserve">-- terceros;  </w:t>
            </w:r>
          </w:p>
          <w:p w:rsidR="00B45FC3" w:rsidRPr="00526311" w:rsidRDefault="00B45FC3" w:rsidP="0063039A">
            <w:pPr>
              <w:rPr>
                <w:sz w:val="16"/>
                <w:szCs w:val="16"/>
              </w:rPr>
            </w:pPr>
            <w:r w:rsidRPr="00526311">
              <w:rPr>
                <w:sz w:val="16"/>
                <w:szCs w:val="16"/>
              </w:rPr>
              <w:t xml:space="preserve">-- oficinas;  y </w:t>
            </w:r>
          </w:p>
          <w:p w:rsidR="00B45FC3" w:rsidRPr="00526311" w:rsidRDefault="00B45FC3" w:rsidP="0063039A">
            <w:pPr>
              <w:rPr>
                <w:sz w:val="16"/>
                <w:szCs w:val="16"/>
                <w:lang w:bidi="th-TH"/>
              </w:rPr>
            </w:pPr>
            <w:r w:rsidRPr="00526311">
              <w:rPr>
                <w:sz w:val="16"/>
                <w:szCs w:val="16"/>
              </w:rPr>
              <w:t>-Administraciones</w:t>
            </w:r>
          </w:p>
        </w:tc>
        <w:tc>
          <w:tcPr>
            <w:tcW w:w="1212" w:type="pct"/>
            <w:gridSpan w:val="2"/>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A fines de 2014, con respecto a fines de 2013:</w:t>
            </w:r>
          </w:p>
          <w:p w:rsidR="00B45FC3" w:rsidRPr="00526311" w:rsidRDefault="00B45FC3" w:rsidP="00B45FC3">
            <w:pPr>
              <w:pStyle w:val="ListParagraph"/>
              <w:numPr>
                <w:ilvl w:val="0"/>
                <w:numId w:val="20"/>
              </w:numPr>
              <w:rPr>
                <w:rFonts w:cs="Arial"/>
                <w:sz w:val="16"/>
                <w:szCs w:val="16"/>
                <w:lang w:val="es-ES" w:bidi="th-TH"/>
              </w:rPr>
            </w:pPr>
            <w:r w:rsidRPr="00526311">
              <w:rPr>
                <w:rFonts w:cs="Arial"/>
                <w:sz w:val="16"/>
                <w:szCs w:val="16"/>
                <w:lang w:val="es-ES" w:bidi="th-TH"/>
              </w:rPr>
              <w:t>10.567 solicitantes del sector público (+32%)</w:t>
            </w:r>
          </w:p>
          <w:p w:rsidR="00B45FC3" w:rsidRPr="00526311" w:rsidRDefault="00B45FC3" w:rsidP="00B45FC3">
            <w:pPr>
              <w:pStyle w:val="ListParagraph"/>
              <w:numPr>
                <w:ilvl w:val="0"/>
                <w:numId w:val="20"/>
              </w:numPr>
              <w:rPr>
                <w:rFonts w:cs="Arial"/>
                <w:sz w:val="16"/>
                <w:szCs w:val="16"/>
                <w:lang w:val="es-ES" w:bidi="th-TH"/>
              </w:rPr>
            </w:pPr>
            <w:r w:rsidRPr="00526311">
              <w:rPr>
                <w:rFonts w:cs="Arial"/>
                <w:sz w:val="16"/>
                <w:szCs w:val="16"/>
                <w:lang w:val="es-ES" w:bidi="th-TH"/>
              </w:rPr>
              <w:t xml:space="preserve">9.508 solicitantes del sector privado (+100%) </w:t>
            </w:r>
          </w:p>
          <w:p w:rsidR="00B45FC3" w:rsidRPr="00526311" w:rsidRDefault="00B45FC3" w:rsidP="00B45FC3">
            <w:pPr>
              <w:pStyle w:val="ListParagraph"/>
              <w:numPr>
                <w:ilvl w:val="0"/>
                <w:numId w:val="20"/>
              </w:numPr>
              <w:rPr>
                <w:rFonts w:cs="Arial"/>
                <w:sz w:val="16"/>
                <w:szCs w:val="16"/>
                <w:lang w:val="es-ES" w:bidi="th-TH"/>
              </w:rPr>
            </w:pPr>
            <w:r w:rsidRPr="00526311">
              <w:rPr>
                <w:rFonts w:cs="Arial"/>
                <w:sz w:val="16"/>
                <w:szCs w:val="16"/>
                <w:lang w:val="es-ES" w:bidi="th-TH"/>
              </w:rPr>
              <w:t xml:space="preserve">93 terceros que presentan observaciones (+25%); </w:t>
            </w:r>
          </w:p>
          <w:p w:rsidR="00B45FC3" w:rsidRPr="00526311" w:rsidRDefault="00B45FC3" w:rsidP="00B45FC3">
            <w:pPr>
              <w:pStyle w:val="ListParagraph"/>
              <w:numPr>
                <w:ilvl w:val="0"/>
                <w:numId w:val="20"/>
              </w:numPr>
              <w:rPr>
                <w:rFonts w:cs="Arial"/>
                <w:sz w:val="16"/>
                <w:szCs w:val="16"/>
                <w:lang w:val="es-ES" w:bidi="th-TH"/>
              </w:rPr>
            </w:pPr>
            <w:r w:rsidRPr="00526311">
              <w:rPr>
                <w:rFonts w:cs="Arial"/>
                <w:sz w:val="16"/>
                <w:szCs w:val="16"/>
                <w:lang w:val="es-ES" w:bidi="th-TH"/>
              </w:rPr>
              <w:t xml:space="preserve">8.139 Oficinas receptoras (+329%); </w:t>
            </w:r>
          </w:p>
          <w:p w:rsidR="00B45FC3" w:rsidRPr="00526311" w:rsidRDefault="00B45FC3" w:rsidP="00B45FC3">
            <w:pPr>
              <w:pStyle w:val="ListParagraph"/>
              <w:numPr>
                <w:ilvl w:val="0"/>
                <w:numId w:val="20"/>
              </w:numPr>
              <w:ind w:right="-80"/>
              <w:rPr>
                <w:rFonts w:cs="Arial"/>
                <w:sz w:val="16"/>
                <w:szCs w:val="16"/>
                <w:lang w:val="es-ES" w:bidi="th-TH"/>
              </w:rPr>
            </w:pPr>
            <w:r w:rsidRPr="00526311">
              <w:rPr>
                <w:rFonts w:cs="Arial"/>
                <w:sz w:val="16"/>
                <w:szCs w:val="16"/>
                <w:lang w:val="es-ES" w:bidi="th-TH"/>
              </w:rPr>
              <w:t>647 Administraciones internacionales (-73%) (la oficina con mayor número de usuarios pasó al siguiente nivel de automatización)</w:t>
            </w:r>
          </w:p>
        </w:tc>
        <w:tc>
          <w:tcPr>
            <w:tcW w:w="606" w:type="pct"/>
            <w:gridSpan w:val="2"/>
            <w:shd w:val="clear" w:color="auto" w:fill="auto"/>
          </w:tcPr>
          <w:p w:rsidR="00B45FC3" w:rsidRPr="00526311" w:rsidRDefault="00B45FC3" w:rsidP="0063039A">
            <w:pPr>
              <w:keepNext/>
              <w:keepLines/>
              <w:ind w:left="-109"/>
              <w:jc w:val="center"/>
              <w:rPr>
                <w:b/>
                <w:bCs/>
                <w:color w:val="00B050"/>
                <w:sz w:val="16"/>
                <w:szCs w:val="16"/>
              </w:rPr>
            </w:pPr>
            <w:r w:rsidRPr="00526311">
              <w:rPr>
                <w:b/>
                <w:bCs/>
                <w:color w:val="00B050"/>
                <w:sz w:val="16"/>
                <w:szCs w:val="16"/>
              </w:rPr>
              <w:t>Avanza</w:t>
            </w:r>
          </w:p>
        </w:tc>
      </w:tr>
      <w:tr w:rsidR="00B45FC3" w:rsidRPr="00526311" w:rsidTr="0063039A">
        <w:trPr>
          <w:trHeight w:val="423"/>
        </w:trPr>
        <w:tc>
          <w:tcPr>
            <w:tcW w:w="5000" w:type="pct"/>
            <w:gridSpan w:val="8"/>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ind w:left="1452" w:hanging="1452"/>
              <w:rPr>
                <w:b/>
                <w:bCs/>
                <w:sz w:val="16"/>
                <w:szCs w:val="16"/>
              </w:rPr>
            </w:pPr>
            <w:r w:rsidRPr="00526311">
              <w:rPr>
                <w:b/>
                <w:bCs/>
                <w:sz w:val="16"/>
                <w:szCs w:val="16"/>
              </w:rPr>
              <w:lastRenderedPageBreak/>
              <w:t>Resultado previsto:</w:t>
            </w:r>
            <w:r w:rsidRPr="00526311">
              <w:rPr>
                <w:bCs/>
                <w:sz w:val="16"/>
                <w:szCs w:val="16"/>
              </w:rPr>
              <w:tab/>
              <w:t>II.3 Mejora de la productividad y de la calidad de los servicios en las operaciones del PCT</w:t>
            </w:r>
          </w:p>
        </w:tc>
      </w:tr>
      <w:tr w:rsidR="00B45FC3" w:rsidRPr="00526311" w:rsidTr="0063039A">
        <w:tc>
          <w:tcPr>
            <w:tcW w:w="1139" w:type="pct"/>
            <w:tcBorders>
              <w:top w:val="single" w:sz="4" w:space="0" w:color="auto"/>
              <w:left w:val="single" w:sz="4" w:space="0" w:color="auto"/>
              <w:bottom w:val="nil"/>
            </w:tcBorders>
            <w:shd w:val="clear" w:color="auto" w:fill="auto"/>
          </w:tcPr>
          <w:p w:rsidR="00B45FC3" w:rsidRPr="00526311" w:rsidRDefault="00B45FC3" w:rsidP="0063039A">
            <w:pPr>
              <w:keepNext/>
              <w:keepLines/>
              <w:rPr>
                <w:sz w:val="16"/>
                <w:szCs w:val="16"/>
              </w:rPr>
            </w:pPr>
            <w:r w:rsidRPr="00526311">
              <w:rPr>
                <w:b/>
                <w:sz w:val="16"/>
                <w:szCs w:val="16"/>
              </w:rPr>
              <w:t>Indicadores de rendimiento</w:t>
            </w:r>
          </w:p>
        </w:tc>
        <w:tc>
          <w:tcPr>
            <w:tcW w:w="1287" w:type="pct"/>
            <w:gridSpan w:val="2"/>
            <w:tcBorders>
              <w:top w:val="single" w:sz="4" w:space="0" w:color="auto"/>
              <w:bottom w:val="nil"/>
            </w:tcBorders>
            <w:shd w:val="clear" w:color="auto" w:fill="auto"/>
          </w:tcPr>
          <w:p w:rsidR="00B45FC3" w:rsidRPr="00526311" w:rsidRDefault="00B45FC3" w:rsidP="0063039A">
            <w:pPr>
              <w:keepNext/>
              <w:keepLines/>
              <w:rPr>
                <w:b/>
                <w:bCs/>
                <w:sz w:val="16"/>
                <w:szCs w:val="16"/>
              </w:rPr>
            </w:pPr>
            <w:r w:rsidRPr="00526311">
              <w:rPr>
                <w:b/>
                <w:bCs/>
                <w:sz w:val="16"/>
                <w:szCs w:val="16"/>
              </w:rPr>
              <w:t>Referencia</w:t>
            </w:r>
          </w:p>
        </w:tc>
        <w:tc>
          <w:tcPr>
            <w:tcW w:w="756" w:type="pct"/>
            <w:tcBorders>
              <w:top w:val="single" w:sz="4" w:space="0" w:color="auto"/>
              <w:bottom w:val="nil"/>
            </w:tcBorders>
            <w:shd w:val="clear" w:color="auto" w:fill="auto"/>
            <w:tcMar>
              <w:top w:w="110" w:type="dxa"/>
            </w:tcMar>
          </w:tcPr>
          <w:p w:rsidR="00B45FC3" w:rsidRPr="00526311" w:rsidRDefault="00B45FC3" w:rsidP="0063039A">
            <w:pPr>
              <w:keepNext/>
              <w:keepLines/>
              <w:rPr>
                <w:b/>
                <w:sz w:val="16"/>
                <w:szCs w:val="16"/>
              </w:rPr>
            </w:pPr>
            <w:r w:rsidRPr="00526311">
              <w:rPr>
                <w:b/>
                <w:sz w:val="16"/>
                <w:szCs w:val="16"/>
              </w:rPr>
              <w:t>Objetivos</w:t>
            </w:r>
          </w:p>
        </w:tc>
        <w:tc>
          <w:tcPr>
            <w:tcW w:w="1212" w:type="pct"/>
            <w:gridSpan w:val="2"/>
            <w:tcBorders>
              <w:top w:val="single" w:sz="4" w:space="0" w:color="auto"/>
              <w:bottom w:val="nil"/>
            </w:tcBorders>
            <w:shd w:val="clear" w:color="auto" w:fill="FFFFFF"/>
            <w:tcMar>
              <w:top w:w="110" w:type="dxa"/>
            </w:tcMar>
          </w:tcPr>
          <w:p w:rsidR="00B45FC3" w:rsidRPr="00526311" w:rsidRDefault="00B45FC3" w:rsidP="0063039A">
            <w:pPr>
              <w:keepNext/>
              <w:keepLines/>
              <w:rPr>
                <w:sz w:val="16"/>
                <w:szCs w:val="16"/>
              </w:rPr>
            </w:pPr>
            <w:r w:rsidRPr="00526311">
              <w:rPr>
                <w:b/>
                <w:sz w:val="16"/>
                <w:szCs w:val="16"/>
              </w:rPr>
              <w:t>Datos sobre el rendimiento</w:t>
            </w:r>
          </w:p>
        </w:tc>
        <w:tc>
          <w:tcPr>
            <w:tcW w:w="606" w:type="pct"/>
            <w:gridSpan w:val="2"/>
            <w:tcBorders>
              <w:top w:val="single" w:sz="4" w:space="0" w:color="auto"/>
              <w:bottom w:val="nil"/>
              <w:right w:val="single" w:sz="4" w:space="0" w:color="auto"/>
            </w:tcBorders>
            <w:shd w:val="clear" w:color="auto" w:fill="auto"/>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c>
          <w:tcPr>
            <w:tcW w:w="1139" w:type="pct"/>
            <w:tcBorders>
              <w:top w:val="nil"/>
              <w:left w:val="single" w:sz="4" w:space="0" w:color="auto"/>
              <w:bottom w:val="nil"/>
            </w:tcBorders>
            <w:shd w:val="clear" w:color="auto" w:fill="FFFFFF"/>
          </w:tcPr>
          <w:p w:rsidR="00B45FC3" w:rsidRPr="00526311" w:rsidRDefault="00B45FC3" w:rsidP="0063039A">
            <w:pPr>
              <w:keepNext/>
              <w:keepLines/>
              <w:rPr>
                <w:sz w:val="16"/>
                <w:szCs w:val="16"/>
              </w:rPr>
            </w:pPr>
            <w:r w:rsidRPr="00526311">
              <w:rPr>
                <w:sz w:val="16"/>
                <w:szCs w:val="16"/>
              </w:rPr>
              <w:t>Costo unitario de tramitación de las solicitudes</w:t>
            </w:r>
          </w:p>
        </w:tc>
        <w:tc>
          <w:tcPr>
            <w:tcW w:w="1287" w:type="pct"/>
            <w:gridSpan w:val="2"/>
            <w:tcBorders>
              <w:top w:val="nil"/>
              <w:bottom w:val="nil"/>
            </w:tcBorders>
            <w:shd w:val="clear" w:color="auto" w:fill="auto"/>
          </w:tcPr>
          <w:p w:rsidR="00B45FC3" w:rsidRPr="00526311" w:rsidRDefault="00B45FC3" w:rsidP="0063039A">
            <w:pPr>
              <w:pStyle w:val="Default"/>
              <w:rPr>
                <w:color w:val="002060"/>
                <w:sz w:val="16"/>
                <w:szCs w:val="16"/>
                <w:lang w:val="es-ES"/>
              </w:rPr>
            </w:pPr>
            <w:r w:rsidRPr="00526311">
              <w:rPr>
                <w:i/>
                <w:color w:val="002060"/>
                <w:sz w:val="16"/>
                <w:szCs w:val="16"/>
                <w:lang w:val="es-ES"/>
              </w:rPr>
              <w:t>Referencia actualizada a fines de 2013:</w:t>
            </w:r>
            <w:r w:rsidRPr="00526311">
              <w:rPr>
                <w:color w:val="002060"/>
                <w:sz w:val="16"/>
                <w:szCs w:val="16"/>
                <w:lang w:val="es-ES"/>
              </w:rPr>
              <w:t xml:space="preserve">  722 francos suizos (2013)</w:t>
            </w:r>
          </w:p>
          <w:p w:rsidR="00B45FC3" w:rsidRPr="00526311" w:rsidRDefault="00B45FC3" w:rsidP="0063039A">
            <w:pPr>
              <w:pStyle w:val="Default"/>
              <w:rPr>
                <w:color w:val="002060"/>
                <w:sz w:val="16"/>
                <w:szCs w:val="16"/>
                <w:lang w:val="es-ES"/>
              </w:rPr>
            </w:pPr>
          </w:p>
          <w:p w:rsidR="00B45FC3" w:rsidRPr="00526311" w:rsidRDefault="007B705E" w:rsidP="0063039A">
            <w:pPr>
              <w:rPr>
                <w:sz w:val="16"/>
                <w:szCs w:val="16"/>
              </w:rPr>
            </w:pPr>
            <w:r w:rsidRPr="00526311">
              <w:rPr>
                <w:i/>
                <w:sz w:val="16"/>
                <w:szCs w:val="16"/>
              </w:rPr>
              <w:t>Referencia original en el presupuesto de 2014/15</w:t>
            </w:r>
            <w:r w:rsidR="00B45FC3" w:rsidRPr="00526311">
              <w:rPr>
                <w:i/>
                <w:sz w:val="16"/>
                <w:szCs w:val="16"/>
              </w:rPr>
              <w:t xml:space="preserve">:  </w:t>
            </w:r>
            <w:r w:rsidR="00B45FC3" w:rsidRPr="00526311">
              <w:rPr>
                <w:sz w:val="16"/>
                <w:szCs w:val="16"/>
              </w:rPr>
              <w:t>Costo unitario en 2013</w:t>
            </w:r>
          </w:p>
        </w:tc>
        <w:tc>
          <w:tcPr>
            <w:tcW w:w="756" w:type="pct"/>
            <w:tcBorders>
              <w:top w:val="nil"/>
              <w:bottom w:val="nil"/>
            </w:tcBorders>
            <w:shd w:val="clear" w:color="auto" w:fill="auto"/>
            <w:tcMar>
              <w:top w:w="110" w:type="dxa"/>
            </w:tcMar>
          </w:tcPr>
          <w:p w:rsidR="00B45FC3" w:rsidRPr="00526311" w:rsidRDefault="00B45FC3" w:rsidP="0063039A">
            <w:pPr>
              <w:keepNext/>
              <w:keepLines/>
              <w:autoSpaceDE w:val="0"/>
              <w:autoSpaceDN w:val="0"/>
              <w:adjustRightInd w:val="0"/>
              <w:rPr>
                <w:sz w:val="16"/>
                <w:szCs w:val="16"/>
              </w:rPr>
            </w:pPr>
            <w:r w:rsidRPr="00526311">
              <w:rPr>
                <w:sz w:val="16"/>
                <w:szCs w:val="16"/>
              </w:rPr>
              <w:t>Menor costo unitario</w:t>
            </w:r>
          </w:p>
        </w:tc>
        <w:tc>
          <w:tcPr>
            <w:tcW w:w="1212" w:type="pct"/>
            <w:gridSpan w:val="2"/>
            <w:tcBorders>
              <w:top w:val="nil"/>
              <w:bottom w:val="nil"/>
            </w:tcBorders>
            <w:shd w:val="clear" w:color="auto" w:fill="FFFFFF"/>
            <w:tcMar>
              <w:top w:w="110" w:type="dxa"/>
            </w:tcMar>
          </w:tcPr>
          <w:p w:rsidR="00B45FC3" w:rsidRPr="00526311" w:rsidRDefault="00B45FC3" w:rsidP="0063039A">
            <w:pPr>
              <w:keepNext/>
              <w:keepLines/>
              <w:rPr>
                <w:sz w:val="16"/>
                <w:szCs w:val="16"/>
                <w:lang w:bidi="th-TH"/>
              </w:rPr>
            </w:pPr>
            <w:r w:rsidRPr="00526311">
              <w:rPr>
                <w:sz w:val="16"/>
                <w:szCs w:val="16"/>
                <w:lang w:bidi="th-TH"/>
              </w:rPr>
              <w:t>662 francos suizos en 2014</w:t>
            </w:r>
          </w:p>
        </w:tc>
        <w:tc>
          <w:tcPr>
            <w:tcW w:w="606"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09"/>
              <w:jc w:val="center"/>
              <w:rPr>
                <w:b/>
                <w:bCs/>
                <w:color w:val="00B050"/>
                <w:sz w:val="16"/>
                <w:szCs w:val="16"/>
              </w:rPr>
            </w:pPr>
            <w:r w:rsidRPr="00526311">
              <w:rPr>
                <w:b/>
                <w:bCs/>
                <w:color w:val="00B050"/>
                <w:sz w:val="16"/>
                <w:szCs w:val="16"/>
              </w:rPr>
              <w:t>Avanza</w:t>
            </w:r>
          </w:p>
        </w:tc>
      </w:tr>
      <w:tr w:rsidR="00B45FC3" w:rsidRPr="00526311" w:rsidTr="0063039A">
        <w:tc>
          <w:tcPr>
            <w:tcW w:w="1139" w:type="pct"/>
            <w:tcBorders>
              <w:top w:val="nil"/>
              <w:left w:val="single" w:sz="4" w:space="0" w:color="auto"/>
              <w:bottom w:val="nil"/>
            </w:tcBorders>
            <w:shd w:val="clear" w:color="auto" w:fill="FFFFFF"/>
          </w:tcPr>
          <w:p w:rsidR="00B45FC3" w:rsidRPr="00526311" w:rsidRDefault="00B45FC3" w:rsidP="0063039A">
            <w:pPr>
              <w:rPr>
                <w:sz w:val="16"/>
                <w:szCs w:val="16"/>
              </w:rPr>
            </w:pPr>
            <w:r w:rsidRPr="00526311">
              <w:rPr>
                <w:sz w:val="16"/>
                <w:szCs w:val="16"/>
              </w:rPr>
              <w:t>Calidad global del examen de forma (incluido el tiempo empleado)</w:t>
            </w:r>
          </w:p>
        </w:tc>
        <w:tc>
          <w:tcPr>
            <w:tcW w:w="1287" w:type="pct"/>
            <w:gridSpan w:val="2"/>
            <w:tcBorders>
              <w:top w:val="nil"/>
              <w:bottom w:val="nil"/>
            </w:tcBorders>
            <w:shd w:val="clear" w:color="auto" w:fill="auto"/>
          </w:tcPr>
          <w:p w:rsidR="00B45FC3" w:rsidRPr="00526311" w:rsidRDefault="00B45FC3" w:rsidP="0063039A">
            <w:pPr>
              <w:pStyle w:val="Default"/>
              <w:rPr>
                <w:color w:val="002060"/>
                <w:sz w:val="16"/>
                <w:szCs w:val="16"/>
                <w:lang w:val="es-ES"/>
              </w:rPr>
            </w:pPr>
            <w:r w:rsidRPr="00526311">
              <w:rPr>
                <w:i/>
                <w:color w:val="002060"/>
                <w:sz w:val="16"/>
                <w:szCs w:val="16"/>
                <w:lang w:val="es-ES"/>
              </w:rPr>
              <w:t>Referencia actualizada a fines de 2013:</w:t>
            </w:r>
            <w:r w:rsidRPr="00526311">
              <w:rPr>
                <w:color w:val="002060"/>
                <w:sz w:val="16"/>
                <w:szCs w:val="16"/>
                <w:lang w:val="es-ES"/>
              </w:rPr>
              <w:t xml:space="preserve">  88,74% (promedio 2011-13)</w:t>
            </w:r>
          </w:p>
          <w:p w:rsidR="00B45FC3" w:rsidRPr="00526311" w:rsidRDefault="00B45FC3" w:rsidP="0063039A">
            <w:pPr>
              <w:pStyle w:val="Default"/>
              <w:rPr>
                <w:color w:val="002060"/>
                <w:sz w:val="16"/>
                <w:szCs w:val="16"/>
                <w:lang w:val="es-ES"/>
              </w:rPr>
            </w:pPr>
          </w:p>
          <w:p w:rsidR="00B45FC3" w:rsidRPr="00526311" w:rsidRDefault="007B705E" w:rsidP="0063039A">
            <w:pPr>
              <w:pStyle w:val="Default"/>
              <w:rPr>
                <w:i/>
                <w:color w:val="auto"/>
                <w:sz w:val="16"/>
                <w:szCs w:val="16"/>
                <w:lang w:val="es-ES"/>
              </w:rPr>
            </w:pPr>
            <w:r w:rsidRPr="00526311">
              <w:rPr>
                <w:i/>
                <w:color w:val="auto"/>
                <w:sz w:val="16"/>
                <w:szCs w:val="16"/>
                <w:lang w:val="es-ES"/>
              </w:rPr>
              <w:t>Referencia original en el presupuesto de 2014/15</w:t>
            </w:r>
            <w:r w:rsidR="00B45FC3" w:rsidRPr="00526311">
              <w:rPr>
                <w:i/>
                <w:color w:val="auto"/>
                <w:sz w:val="16"/>
                <w:szCs w:val="16"/>
                <w:lang w:val="es-ES"/>
              </w:rPr>
              <w:t>:</w:t>
            </w:r>
            <w:r w:rsidR="00B45FC3" w:rsidRPr="00526311">
              <w:rPr>
                <w:color w:val="auto"/>
                <w:sz w:val="16"/>
                <w:szCs w:val="16"/>
                <w:lang w:val="es-ES"/>
              </w:rPr>
              <w:t xml:space="preserve"> Promedio de los últimos 3 años</w:t>
            </w:r>
          </w:p>
        </w:tc>
        <w:tc>
          <w:tcPr>
            <w:tcW w:w="756" w:type="pct"/>
            <w:tcBorders>
              <w:top w:val="nil"/>
              <w:bottom w:val="nil"/>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Mayor calidad</w:t>
            </w:r>
          </w:p>
        </w:tc>
        <w:tc>
          <w:tcPr>
            <w:tcW w:w="1212" w:type="pct"/>
            <w:gridSpan w:val="2"/>
            <w:tcBorders>
              <w:top w:val="nil"/>
              <w:bottom w:val="nil"/>
            </w:tcBorders>
            <w:shd w:val="clear" w:color="auto" w:fill="FFFFFF"/>
            <w:tcMar>
              <w:top w:w="110" w:type="dxa"/>
            </w:tcMar>
          </w:tcPr>
          <w:p w:rsidR="00B45FC3" w:rsidRPr="00526311" w:rsidRDefault="00B45FC3" w:rsidP="0063039A">
            <w:pPr>
              <w:rPr>
                <w:sz w:val="16"/>
                <w:szCs w:val="16"/>
              </w:rPr>
            </w:pPr>
            <w:r w:rsidRPr="00526311">
              <w:rPr>
                <w:sz w:val="16"/>
                <w:szCs w:val="16"/>
              </w:rPr>
              <w:t>89,60% (2012-2014)</w:t>
            </w:r>
          </w:p>
        </w:tc>
        <w:tc>
          <w:tcPr>
            <w:tcW w:w="606"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09"/>
              <w:jc w:val="center"/>
              <w:rPr>
                <w:b/>
                <w:bCs/>
                <w:color w:val="00B050"/>
                <w:sz w:val="16"/>
                <w:szCs w:val="16"/>
              </w:rPr>
            </w:pPr>
            <w:r w:rsidRPr="00526311">
              <w:rPr>
                <w:b/>
                <w:bCs/>
                <w:color w:val="00B050"/>
                <w:sz w:val="16"/>
                <w:szCs w:val="16"/>
              </w:rPr>
              <w:t>Avanza</w:t>
            </w:r>
          </w:p>
        </w:tc>
      </w:tr>
      <w:tr w:rsidR="00B45FC3" w:rsidRPr="00526311" w:rsidTr="0063039A">
        <w:tc>
          <w:tcPr>
            <w:tcW w:w="1139" w:type="pct"/>
            <w:tcBorders>
              <w:top w:val="nil"/>
              <w:left w:val="single" w:sz="4" w:space="0" w:color="auto"/>
              <w:bottom w:val="nil"/>
            </w:tcBorders>
            <w:shd w:val="clear" w:color="auto" w:fill="FFFFFF"/>
          </w:tcPr>
          <w:p w:rsidR="00B45FC3" w:rsidRPr="00526311" w:rsidRDefault="00B45FC3" w:rsidP="0063039A">
            <w:pPr>
              <w:rPr>
                <w:sz w:val="16"/>
                <w:szCs w:val="16"/>
              </w:rPr>
            </w:pPr>
            <w:r w:rsidRPr="00526311">
              <w:rPr>
                <w:sz w:val="16"/>
                <w:szCs w:val="16"/>
              </w:rPr>
              <w:t>Calidad de las traducciones</w:t>
            </w:r>
          </w:p>
        </w:tc>
        <w:tc>
          <w:tcPr>
            <w:tcW w:w="1287" w:type="pct"/>
            <w:gridSpan w:val="2"/>
            <w:tcBorders>
              <w:top w:val="nil"/>
              <w:bottom w:val="nil"/>
            </w:tcBorders>
            <w:shd w:val="clear" w:color="auto" w:fill="auto"/>
          </w:tcPr>
          <w:p w:rsidR="00B45FC3" w:rsidRPr="00526311" w:rsidRDefault="00B45FC3" w:rsidP="0063039A">
            <w:pPr>
              <w:rPr>
                <w:rFonts w:eastAsia="Batang"/>
                <w:color w:val="002060"/>
                <w:sz w:val="16"/>
                <w:szCs w:val="16"/>
                <w:lang w:eastAsia="ja-JP"/>
              </w:rPr>
            </w:pPr>
            <w:r w:rsidRPr="00526311">
              <w:rPr>
                <w:rFonts w:eastAsia="Batang"/>
                <w:i/>
                <w:color w:val="002060"/>
                <w:sz w:val="16"/>
                <w:szCs w:val="16"/>
                <w:lang w:eastAsia="ja-JP"/>
              </w:rPr>
              <w:t>Referencia actualizada a fines de 2013:  86,23 (2011-2013</w:t>
            </w:r>
            <w:r w:rsidRPr="00526311">
              <w:rPr>
                <w:rFonts w:eastAsia="Batang"/>
                <w:color w:val="002060"/>
                <w:sz w:val="16"/>
                <w:szCs w:val="16"/>
                <w:lang w:eastAsia="ja-JP"/>
              </w:rPr>
              <w:t>)</w:t>
            </w:r>
          </w:p>
          <w:p w:rsidR="00B45FC3" w:rsidRPr="00526311" w:rsidRDefault="00B45FC3" w:rsidP="0063039A">
            <w:pPr>
              <w:rPr>
                <w:rFonts w:eastAsia="Batang"/>
                <w:color w:val="002060"/>
                <w:sz w:val="16"/>
                <w:szCs w:val="16"/>
                <w:lang w:eastAsia="ja-JP"/>
              </w:rPr>
            </w:pPr>
          </w:p>
          <w:p w:rsidR="00B45FC3" w:rsidRPr="00526311" w:rsidRDefault="007B705E" w:rsidP="0063039A">
            <w:pPr>
              <w:pStyle w:val="Default"/>
              <w:rPr>
                <w:i/>
                <w:color w:val="auto"/>
                <w:sz w:val="16"/>
                <w:szCs w:val="16"/>
                <w:lang w:val="es-ES"/>
              </w:rPr>
            </w:pPr>
            <w:r w:rsidRPr="00526311">
              <w:rPr>
                <w:i/>
                <w:color w:val="auto"/>
                <w:sz w:val="16"/>
                <w:szCs w:val="16"/>
                <w:lang w:val="es-ES"/>
              </w:rPr>
              <w:t>Referencia original en el presupuesto de 2014/15</w:t>
            </w:r>
            <w:r w:rsidR="00B45FC3" w:rsidRPr="00526311">
              <w:rPr>
                <w:i/>
                <w:color w:val="auto"/>
                <w:sz w:val="16"/>
                <w:szCs w:val="16"/>
                <w:lang w:val="es-ES"/>
              </w:rPr>
              <w:t>:</w:t>
            </w:r>
            <w:r w:rsidR="00B45FC3" w:rsidRPr="00526311">
              <w:rPr>
                <w:color w:val="auto"/>
                <w:sz w:val="16"/>
                <w:szCs w:val="16"/>
                <w:lang w:val="es-ES"/>
              </w:rPr>
              <w:t xml:space="preserve"> Promedio de los últimos 3 años</w:t>
            </w:r>
          </w:p>
        </w:tc>
        <w:tc>
          <w:tcPr>
            <w:tcW w:w="756" w:type="pct"/>
            <w:tcBorders>
              <w:top w:val="nil"/>
              <w:bottom w:val="nil"/>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Mayor calidad</w:t>
            </w:r>
          </w:p>
        </w:tc>
        <w:tc>
          <w:tcPr>
            <w:tcW w:w="1212" w:type="pct"/>
            <w:gridSpan w:val="2"/>
            <w:tcBorders>
              <w:top w:val="nil"/>
              <w:bottom w:val="nil"/>
            </w:tcBorders>
            <w:shd w:val="clear" w:color="auto" w:fill="FFFFFF"/>
            <w:tcMar>
              <w:top w:w="110" w:type="dxa"/>
            </w:tcMar>
          </w:tcPr>
          <w:p w:rsidR="00B45FC3" w:rsidRPr="00526311" w:rsidRDefault="00B45FC3" w:rsidP="0063039A">
            <w:pPr>
              <w:rPr>
                <w:sz w:val="16"/>
                <w:szCs w:val="16"/>
              </w:rPr>
            </w:pPr>
            <w:r w:rsidRPr="00526311">
              <w:rPr>
                <w:sz w:val="16"/>
                <w:szCs w:val="16"/>
              </w:rPr>
              <w:t>86,77% (2012-2014)</w:t>
            </w:r>
          </w:p>
        </w:tc>
        <w:tc>
          <w:tcPr>
            <w:tcW w:w="606"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09"/>
              <w:jc w:val="center"/>
              <w:rPr>
                <w:b/>
                <w:bCs/>
                <w:color w:val="00B050"/>
                <w:sz w:val="16"/>
                <w:szCs w:val="16"/>
              </w:rPr>
            </w:pPr>
            <w:r w:rsidRPr="00526311">
              <w:rPr>
                <w:b/>
                <w:bCs/>
                <w:color w:val="00B050"/>
                <w:sz w:val="16"/>
                <w:szCs w:val="16"/>
              </w:rPr>
              <w:t>Avanza</w:t>
            </w:r>
          </w:p>
        </w:tc>
      </w:tr>
      <w:tr w:rsidR="00B45FC3" w:rsidRPr="00526311" w:rsidTr="0063039A">
        <w:tc>
          <w:tcPr>
            <w:tcW w:w="1139" w:type="pct"/>
            <w:tcBorders>
              <w:top w:val="nil"/>
              <w:left w:val="single" w:sz="4" w:space="0" w:color="auto"/>
              <w:bottom w:val="nil"/>
            </w:tcBorders>
            <w:shd w:val="clear" w:color="auto" w:fill="FFFFFF"/>
          </w:tcPr>
          <w:p w:rsidR="00B45FC3" w:rsidRPr="00526311" w:rsidRDefault="00B45FC3" w:rsidP="0063039A">
            <w:pPr>
              <w:rPr>
                <w:sz w:val="16"/>
                <w:szCs w:val="16"/>
              </w:rPr>
            </w:pPr>
            <w:r w:rsidRPr="00526311">
              <w:rPr>
                <w:sz w:val="16"/>
                <w:szCs w:val="16"/>
              </w:rPr>
              <w:t>Plazos de traducción de los informes</w:t>
            </w:r>
          </w:p>
        </w:tc>
        <w:tc>
          <w:tcPr>
            <w:tcW w:w="1287" w:type="pct"/>
            <w:gridSpan w:val="2"/>
            <w:tcBorders>
              <w:top w:val="nil"/>
              <w:bottom w:val="nil"/>
            </w:tcBorders>
            <w:shd w:val="clear" w:color="auto" w:fill="auto"/>
          </w:tcPr>
          <w:p w:rsidR="00B45FC3" w:rsidRPr="00526311" w:rsidRDefault="00B45FC3" w:rsidP="0063039A">
            <w:pPr>
              <w:pStyle w:val="Default"/>
              <w:rPr>
                <w:color w:val="002060"/>
                <w:sz w:val="16"/>
                <w:szCs w:val="16"/>
                <w:lang w:val="es-ES"/>
              </w:rPr>
            </w:pPr>
            <w:r w:rsidRPr="00526311">
              <w:rPr>
                <w:i/>
                <w:color w:val="002060"/>
                <w:sz w:val="16"/>
                <w:szCs w:val="16"/>
                <w:lang w:val="es-ES"/>
              </w:rPr>
              <w:t>Referencia actualizada a fines de 2013:</w:t>
            </w:r>
            <w:r w:rsidRPr="00526311">
              <w:rPr>
                <w:color w:val="002060"/>
                <w:sz w:val="16"/>
                <w:szCs w:val="16"/>
                <w:lang w:val="es-ES"/>
              </w:rPr>
              <w:t xml:space="preserve">  64% a tiempo (2013)</w:t>
            </w:r>
          </w:p>
          <w:p w:rsidR="00B45FC3" w:rsidRPr="00526311" w:rsidRDefault="00B45FC3" w:rsidP="0063039A">
            <w:pPr>
              <w:pStyle w:val="Default"/>
              <w:rPr>
                <w:color w:val="002060"/>
                <w:sz w:val="16"/>
                <w:szCs w:val="16"/>
                <w:lang w:val="es-ES"/>
              </w:rPr>
            </w:pPr>
          </w:p>
          <w:p w:rsidR="00B45FC3" w:rsidRPr="00526311" w:rsidRDefault="007B705E" w:rsidP="0063039A">
            <w:pPr>
              <w:rPr>
                <w:sz w:val="16"/>
                <w:szCs w:val="16"/>
              </w:rPr>
            </w:pPr>
            <w:r w:rsidRPr="00526311">
              <w:rPr>
                <w:i/>
                <w:sz w:val="16"/>
                <w:szCs w:val="16"/>
              </w:rPr>
              <w:t>Referencia original en el presupuesto de 2014/15</w:t>
            </w:r>
            <w:r w:rsidR="00B45FC3" w:rsidRPr="00526311">
              <w:rPr>
                <w:i/>
                <w:sz w:val="16"/>
                <w:szCs w:val="16"/>
              </w:rPr>
              <w:t>:</w:t>
            </w:r>
            <w:r w:rsidR="00B45FC3" w:rsidRPr="00526311">
              <w:rPr>
                <w:sz w:val="16"/>
                <w:szCs w:val="16"/>
              </w:rPr>
              <w:t xml:space="preserve">  Plazos de 2013</w:t>
            </w:r>
          </w:p>
        </w:tc>
        <w:tc>
          <w:tcPr>
            <w:tcW w:w="756" w:type="pct"/>
            <w:tcBorders>
              <w:top w:val="nil"/>
              <w:bottom w:val="nil"/>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Mejora</w:t>
            </w:r>
          </w:p>
        </w:tc>
        <w:tc>
          <w:tcPr>
            <w:tcW w:w="1212" w:type="pct"/>
            <w:gridSpan w:val="2"/>
            <w:tcBorders>
              <w:top w:val="nil"/>
              <w:bottom w:val="nil"/>
            </w:tcBorders>
            <w:shd w:val="clear" w:color="auto" w:fill="FFFFFF"/>
            <w:tcMar>
              <w:top w:w="110" w:type="dxa"/>
            </w:tcMar>
          </w:tcPr>
          <w:p w:rsidR="00B45FC3" w:rsidRPr="00526311" w:rsidRDefault="00B45FC3" w:rsidP="0063039A">
            <w:pPr>
              <w:rPr>
                <w:sz w:val="16"/>
                <w:szCs w:val="16"/>
              </w:rPr>
            </w:pPr>
            <w:r w:rsidRPr="00526311">
              <w:rPr>
                <w:sz w:val="16"/>
                <w:szCs w:val="16"/>
              </w:rPr>
              <w:t>82,5% (2014)</w:t>
            </w:r>
          </w:p>
        </w:tc>
        <w:tc>
          <w:tcPr>
            <w:tcW w:w="606"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09"/>
              <w:jc w:val="center"/>
              <w:rPr>
                <w:b/>
                <w:bCs/>
                <w:color w:val="00B050"/>
                <w:sz w:val="16"/>
                <w:szCs w:val="16"/>
              </w:rPr>
            </w:pPr>
            <w:r w:rsidRPr="00526311">
              <w:rPr>
                <w:b/>
                <w:bCs/>
                <w:color w:val="00B050"/>
                <w:sz w:val="16"/>
                <w:szCs w:val="16"/>
              </w:rPr>
              <w:t>Avanza</w:t>
            </w:r>
          </w:p>
        </w:tc>
      </w:tr>
      <w:tr w:rsidR="00B45FC3" w:rsidRPr="00526311" w:rsidTr="0063039A">
        <w:tc>
          <w:tcPr>
            <w:tcW w:w="1139" w:type="pct"/>
            <w:tcBorders>
              <w:top w:val="nil"/>
              <w:left w:val="single" w:sz="4" w:space="0" w:color="auto"/>
              <w:bottom w:val="nil"/>
            </w:tcBorders>
            <w:shd w:val="clear" w:color="auto" w:fill="FFFFFF"/>
          </w:tcPr>
          <w:p w:rsidR="00B45FC3" w:rsidRPr="00526311" w:rsidRDefault="00B45FC3" w:rsidP="0063039A">
            <w:pPr>
              <w:rPr>
                <w:sz w:val="16"/>
                <w:szCs w:val="16"/>
              </w:rPr>
            </w:pPr>
            <w:r w:rsidRPr="00526311">
              <w:rPr>
                <w:sz w:val="16"/>
                <w:szCs w:val="16"/>
              </w:rPr>
              <w:t>Calidad del desarrollo de programas informáticos</w:t>
            </w:r>
          </w:p>
        </w:tc>
        <w:tc>
          <w:tcPr>
            <w:tcW w:w="1287" w:type="pct"/>
            <w:gridSpan w:val="2"/>
            <w:tcBorders>
              <w:top w:val="nil"/>
              <w:bottom w:val="nil"/>
            </w:tcBorders>
            <w:shd w:val="clear" w:color="auto" w:fill="auto"/>
          </w:tcPr>
          <w:p w:rsidR="00B45FC3" w:rsidRPr="00526311" w:rsidRDefault="00B45FC3" w:rsidP="0063039A">
            <w:pPr>
              <w:pStyle w:val="Default"/>
              <w:rPr>
                <w:color w:val="002060"/>
                <w:sz w:val="16"/>
                <w:szCs w:val="16"/>
                <w:lang w:val="es-ES"/>
              </w:rPr>
            </w:pPr>
            <w:r w:rsidRPr="00526311">
              <w:rPr>
                <w:i/>
                <w:color w:val="002060"/>
                <w:sz w:val="16"/>
                <w:szCs w:val="16"/>
                <w:lang w:val="es-ES"/>
              </w:rPr>
              <w:t xml:space="preserve">Referencia actualizada a fines de 2013:  </w:t>
            </w:r>
            <w:r w:rsidRPr="00526311">
              <w:rPr>
                <w:color w:val="002060"/>
                <w:sz w:val="16"/>
                <w:szCs w:val="16"/>
                <w:lang w:val="es-ES"/>
              </w:rPr>
              <w:t>89,4% (2013)</w:t>
            </w:r>
          </w:p>
          <w:p w:rsidR="00B45FC3" w:rsidRPr="00526311" w:rsidRDefault="00B45FC3" w:rsidP="0063039A">
            <w:pPr>
              <w:pStyle w:val="Default"/>
              <w:rPr>
                <w:color w:val="002060"/>
                <w:sz w:val="16"/>
                <w:szCs w:val="16"/>
                <w:lang w:val="es-ES"/>
              </w:rPr>
            </w:pPr>
          </w:p>
          <w:p w:rsidR="00B45FC3" w:rsidRPr="00526311" w:rsidRDefault="007B705E" w:rsidP="0063039A">
            <w:pPr>
              <w:rPr>
                <w:sz w:val="16"/>
                <w:szCs w:val="16"/>
              </w:rPr>
            </w:pPr>
            <w:r w:rsidRPr="00526311">
              <w:rPr>
                <w:i/>
                <w:sz w:val="16"/>
                <w:szCs w:val="16"/>
              </w:rPr>
              <w:t>Referencia original en el presupuesto de 2014/15</w:t>
            </w:r>
            <w:r w:rsidR="00B45FC3" w:rsidRPr="00526311">
              <w:rPr>
                <w:i/>
                <w:sz w:val="16"/>
                <w:szCs w:val="16"/>
              </w:rPr>
              <w:t>:</w:t>
            </w:r>
            <w:r w:rsidR="00B45FC3" w:rsidRPr="00526311">
              <w:rPr>
                <w:sz w:val="16"/>
                <w:szCs w:val="16"/>
              </w:rPr>
              <w:t xml:space="preserve">  Calidad del desarrollo de las aplicaciones informáticas más recientes de ePCT y eDossier en 2013</w:t>
            </w:r>
          </w:p>
        </w:tc>
        <w:tc>
          <w:tcPr>
            <w:tcW w:w="756" w:type="pct"/>
            <w:tcBorders>
              <w:top w:val="nil"/>
              <w:bottom w:val="nil"/>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Mayor calidad</w:t>
            </w:r>
          </w:p>
        </w:tc>
        <w:tc>
          <w:tcPr>
            <w:tcW w:w="1212" w:type="pct"/>
            <w:gridSpan w:val="2"/>
            <w:tcBorders>
              <w:top w:val="nil"/>
              <w:bottom w:val="nil"/>
            </w:tcBorders>
            <w:shd w:val="clear" w:color="auto" w:fill="FFFFFF"/>
            <w:tcMar>
              <w:top w:w="110" w:type="dxa"/>
            </w:tcMar>
          </w:tcPr>
          <w:p w:rsidR="00B45FC3" w:rsidRPr="00526311" w:rsidRDefault="00B45FC3" w:rsidP="0063039A">
            <w:pPr>
              <w:rPr>
                <w:sz w:val="16"/>
                <w:szCs w:val="16"/>
              </w:rPr>
            </w:pPr>
            <w:r w:rsidRPr="00526311">
              <w:rPr>
                <w:sz w:val="16"/>
                <w:szCs w:val="16"/>
              </w:rPr>
              <w:t>94,3% (2014)</w:t>
            </w:r>
          </w:p>
        </w:tc>
        <w:tc>
          <w:tcPr>
            <w:tcW w:w="606"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09"/>
              <w:jc w:val="center"/>
              <w:rPr>
                <w:b/>
                <w:bCs/>
                <w:color w:val="00B050"/>
                <w:sz w:val="16"/>
                <w:szCs w:val="16"/>
              </w:rPr>
            </w:pPr>
            <w:r w:rsidRPr="00526311">
              <w:rPr>
                <w:b/>
                <w:bCs/>
                <w:color w:val="00B050"/>
                <w:sz w:val="16"/>
                <w:szCs w:val="16"/>
              </w:rPr>
              <w:t>Avanza</w:t>
            </w:r>
          </w:p>
        </w:tc>
      </w:tr>
      <w:tr w:rsidR="00B45FC3" w:rsidRPr="00526311" w:rsidTr="0063039A">
        <w:tc>
          <w:tcPr>
            <w:tcW w:w="1139" w:type="pct"/>
            <w:tcBorders>
              <w:top w:val="nil"/>
              <w:left w:val="single" w:sz="4" w:space="0" w:color="auto"/>
              <w:bottom w:val="single" w:sz="4" w:space="0" w:color="auto"/>
            </w:tcBorders>
            <w:shd w:val="clear" w:color="auto" w:fill="FFFFFF"/>
          </w:tcPr>
          <w:p w:rsidR="00B45FC3" w:rsidRPr="00526311" w:rsidRDefault="00B45FC3" w:rsidP="0063039A">
            <w:pPr>
              <w:rPr>
                <w:sz w:val="16"/>
                <w:szCs w:val="16"/>
              </w:rPr>
            </w:pPr>
            <w:r w:rsidRPr="00526311">
              <w:rPr>
                <w:sz w:val="16"/>
                <w:szCs w:val="16"/>
              </w:rPr>
              <w:t>Niveles de los servicios prestados por los sistemas de información</w:t>
            </w:r>
          </w:p>
        </w:tc>
        <w:tc>
          <w:tcPr>
            <w:tcW w:w="1287" w:type="pct"/>
            <w:gridSpan w:val="2"/>
            <w:tcBorders>
              <w:top w:val="nil"/>
              <w:bottom w:val="single" w:sz="4" w:space="0" w:color="auto"/>
            </w:tcBorders>
            <w:shd w:val="clear" w:color="auto" w:fill="auto"/>
          </w:tcPr>
          <w:p w:rsidR="00B45FC3" w:rsidRPr="00526311" w:rsidRDefault="00B45FC3" w:rsidP="0063039A">
            <w:pPr>
              <w:rPr>
                <w:rFonts w:eastAsia="Batang"/>
                <w:color w:val="002060"/>
                <w:sz w:val="16"/>
                <w:szCs w:val="16"/>
                <w:lang w:eastAsia="ja-JP"/>
              </w:rPr>
            </w:pPr>
            <w:r w:rsidRPr="00526311">
              <w:rPr>
                <w:i/>
                <w:color w:val="002060"/>
                <w:sz w:val="16"/>
                <w:szCs w:val="16"/>
              </w:rPr>
              <w:t>Referencia actualizada a fines de </w:t>
            </w:r>
            <w:r w:rsidRPr="00526311">
              <w:rPr>
                <w:rFonts w:eastAsia="Batang"/>
                <w:i/>
                <w:color w:val="002060"/>
                <w:sz w:val="16"/>
                <w:szCs w:val="16"/>
                <w:lang w:eastAsia="ja-JP"/>
              </w:rPr>
              <w:t xml:space="preserve"> 2013:  </w:t>
            </w:r>
            <w:r w:rsidRPr="00526311">
              <w:rPr>
                <w:rFonts w:eastAsia="Batang"/>
                <w:color w:val="002060"/>
                <w:sz w:val="16"/>
                <w:szCs w:val="16"/>
                <w:lang w:eastAsia="ja-JP"/>
              </w:rPr>
              <w:t>93,0% (2013)</w:t>
            </w:r>
          </w:p>
          <w:p w:rsidR="00B45FC3" w:rsidRPr="00526311" w:rsidRDefault="00B45FC3" w:rsidP="0063039A">
            <w:pPr>
              <w:rPr>
                <w:rFonts w:eastAsia="Batang"/>
                <w:color w:val="002060"/>
                <w:sz w:val="16"/>
                <w:szCs w:val="16"/>
                <w:lang w:eastAsia="ja-JP"/>
              </w:rPr>
            </w:pPr>
          </w:p>
          <w:p w:rsidR="00B45FC3" w:rsidRPr="00526311" w:rsidRDefault="007B705E" w:rsidP="0063039A">
            <w:pPr>
              <w:rPr>
                <w:sz w:val="16"/>
                <w:szCs w:val="16"/>
              </w:rPr>
            </w:pPr>
            <w:r w:rsidRPr="00526311">
              <w:rPr>
                <w:i/>
                <w:sz w:val="16"/>
                <w:szCs w:val="16"/>
              </w:rPr>
              <w:t>Referencia original en el presupuesto de 2014/15</w:t>
            </w:r>
            <w:r w:rsidR="00B45FC3" w:rsidRPr="00526311">
              <w:rPr>
                <w:i/>
                <w:sz w:val="16"/>
                <w:szCs w:val="16"/>
              </w:rPr>
              <w:t>:</w:t>
            </w:r>
            <w:r w:rsidR="00B45FC3" w:rsidRPr="00526311">
              <w:rPr>
                <w:sz w:val="16"/>
                <w:szCs w:val="16"/>
              </w:rPr>
              <w:t xml:space="preserve">  Niveles de los servicios prestados por los sistemas de información en 2013</w:t>
            </w:r>
          </w:p>
        </w:tc>
        <w:tc>
          <w:tcPr>
            <w:tcW w:w="756" w:type="pct"/>
            <w:tcBorders>
              <w:top w:val="nil"/>
              <w:bottom w:val="single" w:sz="4" w:space="0" w:color="auto"/>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Niveles más elevados de los servicios prestados por los sistemas de información</w:t>
            </w:r>
          </w:p>
        </w:tc>
        <w:tc>
          <w:tcPr>
            <w:tcW w:w="1212" w:type="pct"/>
            <w:gridSpan w:val="2"/>
            <w:tcBorders>
              <w:top w:val="nil"/>
              <w:bottom w:val="single" w:sz="4" w:space="0" w:color="auto"/>
            </w:tcBorders>
            <w:shd w:val="clear" w:color="auto" w:fill="FFFFFF"/>
            <w:tcMar>
              <w:top w:w="110" w:type="dxa"/>
            </w:tcMar>
          </w:tcPr>
          <w:p w:rsidR="00B45FC3" w:rsidRPr="00526311" w:rsidRDefault="00B45FC3" w:rsidP="0063039A">
            <w:pPr>
              <w:rPr>
                <w:sz w:val="16"/>
                <w:szCs w:val="16"/>
              </w:rPr>
            </w:pPr>
            <w:r w:rsidRPr="00526311">
              <w:rPr>
                <w:sz w:val="16"/>
                <w:szCs w:val="16"/>
              </w:rPr>
              <w:t>95,3% (2014)</w:t>
            </w:r>
          </w:p>
        </w:tc>
        <w:tc>
          <w:tcPr>
            <w:tcW w:w="606" w:type="pct"/>
            <w:gridSpan w:val="2"/>
            <w:tcBorders>
              <w:top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ind w:left="-109"/>
              <w:jc w:val="center"/>
              <w:rPr>
                <w:b/>
                <w:bCs/>
                <w:color w:val="00B050"/>
                <w:sz w:val="16"/>
                <w:szCs w:val="16"/>
              </w:rPr>
            </w:pPr>
            <w:r w:rsidRPr="00526311">
              <w:rPr>
                <w:b/>
                <w:bCs/>
                <w:color w:val="00B050"/>
                <w:sz w:val="16"/>
                <w:szCs w:val="16"/>
              </w:rPr>
              <w:t>Avanza</w:t>
            </w:r>
          </w:p>
        </w:tc>
      </w:tr>
    </w:tbl>
    <w:p w:rsidR="00B45FC3" w:rsidRPr="00526311" w:rsidRDefault="00B45FC3" w:rsidP="0063039A">
      <w:pPr>
        <w:tabs>
          <w:tab w:val="left" w:pos="1155"/>
        </w:tabs>
        <w:rPr>
          <w:bCs/>
          <w:szCs w:val="22"/>
        </w:rPr>
      </w:pPr>
    </w:p>
    <w:p w:rsidR="00B45FC3" w:rsidRPr="00526311" w:rsidRDefault="00B45FC3" w:rsidP="0063039A">
      <w:pPr>
        <w:rPr>
          <w:bCs/>
          <w:szCs w:val="22"/>
        </w:rPr>
      </w:pPr>
    </w:p>
    <w:p w:rsidR="00B45FC3" w:rsidRPr="00526311" w:rsidRDefault="00B45FC3" w:rsidP="0063039A">
      <w:pPr>
        <w:keepNext/>
        <w:rPr>
          <w:b/>
          <w:sz w:val="18"/>
          <w:szCs w:val="18"/>
        </w:rPr>
      </w:pPr>
      <w:r w:rsidRPr="00526311">
        <w:rPr>
          <w:color w:val="000000"/>
          <w:szCs w:val="22"/>
        </w:rPr>
        <w:lastRenderedPageBreak/>
        <w:t>UTILIZACIÓN DE LOS RECURSOS</w:t>
      </w:r>
    </w:p>
    <w:p w:rsidR="00B45FC3" w:rsidRPr="00526311" w:rsidRDefault="00B45FC3" w:rsidP="0063039A">
      <w:pPr>
        <w:keepNext/>
      </w:pPr>
    </w:p>
    <w:p w:rsidR="00B45FC3" w:rsidRPr="00526311" w:rsidRDefault="00B45FC3" w:rsidP="0063039A">
      <w:pPr>
        <w:pStyle w:val="NormalWeb"/>
        <w:keepNext/>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B45FC3" w:rsidRPr="00526311" w:rsidRDefault="00B45FC3" w:rsidP="0063039A">
      <w:pPr>
        <w:pStyle w:val="NormalWeb"/>
        <w:keepNext/>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pStyle w:val="NormalWeb"/>
        <w:keepNext/>
        <w:spacing w:before="0" w:beforeAutospacing="0" w:after="0" w:afterAutospacing="0"/>
        <w:jc w:val="center"/>
        <w:rPr>
          <w:i/>
          <w:iCs/>
          <w:color w:val="000000"/>
          <w:sz w:val="20"/>
          <w:szCs w:val="20"/>
          <w:lang w:val="es-ES"/>
        </w:rPr>
      </w:pPr>
    </w:p>
    <w:p w:rsidR="00B45FC3" w:rsidRPr="00526311" w:rsidRDefault="00DD7B62" w:rsidP="0063039A">
      <w:pPr>
        <w:jc w:val="center"/>
      </w:pPr>
      <w:r w:rsidRPr="00526311">
        <w:rPr>
          <w:noProof/>
          <w:lang w:val="en-US" w:eastAsia="en-US"/>
        </w:rPr>
        <w:drawing>
          <wp:inline distT="0" distB="0" distL="0" distR="0" wp14:anchorId="18B25503" wp14:editId="0C741D4C">
            <wp:extent cx="5762625" cy="2162175"/>
            <wp:effectExtent l="0" t="0" r="9525" b="9525"/>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2162175"/>
                    </a:xfrm>
                    <a:prstGeom prst="rect">
                      <a:avLst/>
                    </a:prstGeom>
                    <a:noFill/>
                    <a:ln>
                      <a:noFill/>
                    </a:ln>
                  </pic:spPr>
                </pic:pic>
              </a:graphicData>
            </a:graphic>
          </wp:inline>
        </w:drawing>
      </w:r>
    </w:p>
    <w:p w:rsidR="00B45FC3" w:rsidRPr="00526311" w:rsidRDefault="00B45FC3"/>
    <w:p w:rsidR="00B45FC3" w:rsidRPr="00526311" w:rsidRDefault="00B45FC3"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B45FC3" w:rsidRPr="00526311" w:rsidRDefault="00B45FC3"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pStyle w:val="NormalWeb"/>
        <w:keepNext/>
        <w:keepLines/>
        <w:spacing w:before="0" w:beforeAutospacing="0" w:after="0" w:afterAutospacing="0"/>
        <w:jc w:val="center"/>
        <w:rPr>
          <w:lang w:val="es-ES"/>
        </w:rPr>
      </w:pPr>
    </w:p>
    <w:p w:rsidR="00B45FC3" w:rsidRPr="00526311" w:rsidRDefault="00FF6E74" w:rsidP="0063039A">
      <w:pPr>
        <w:jc w:val="center"/>
      </w:pPr>
      <w:bookmarkStart w:id="25" w:name="Punto5"/>
      <w:r w:rsidRPr="00526311">
        <w:rPr>
          <w:noProof/>
          <w:lang w:val="en-US" w:eastAsia="en-US"/>
        </w:rPr>
        <w:drawing>
          <wp:inline distT="0" distB="0" distL="0" distR="0" wp14:anchorId="5D94B1D7" wp14:editId="2C777F04">
            <wp:extent cx="5940425" cy="1140485"/>
            <wp:effectExtent l="0" t="0" r="317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1140485"/>
                    </a:xfrm>
                    <a:prstGeom prst="rect">
                      <a:avLst/>
                    </a:prstGeom>
                    <a:noFill/>
                    <a:ln>
                      <a:noFill/>
                    </a:ln>
                  </pic:spPr>
                </pic:pic>
              </a:graphicData>
            </a:graphic>
          </wp:inline>
        </w:drawing>
      </w:r>
      <w:bookmarkEnd w:id="25"/>
    </w:p>
    <w:p w:rsidR="00B45FC3" w:rsidRPr="00526311" w:rsidRDefault="00B45FC3" w:rsidP="0063039A">
      <w:pPr>
        <w:keepNext/>
        <w:autoSpaceDE w:val="0"/>
        <w:autoSpaceDN w:val="0"/>
        <w:rPr>
          <w:sz w:val="16"/>
          <w:szCs w:val="16"/>
        </w:rPr>
      </w:pPr>
    </w:p>
    <w:p w:rsidR="00B45FC3" w:rsidRPr="00526311" w:rsidRDefault="00B45FC3" w:rsidP="0063039A">
      <w:pPr>
        <w:rPr>
          <w:sz w:val="24"/>
        </w:rPr>
      </w:pPr>
      <w:r w:rsidRPr="00526311">
        <w:rPr>
          <w:i/>
          <w:sz w:val="16"/>
          <w:szCs w:val="16"/>
        </w:rPr>
        <w:t xml:space="preserve">NOTAS:  1) </w:t>
      </w:r>
      <w:r w:rsidRPr="00526311">
        <w:rPr>
          <w:i/>
          <w:iCs/>
          <w:sz w:val="16"/>
          <w:szCs w:val="16"/>
        </w:rPr>
        <w:t>El presupuesto de 2014/15 tras las transferencias refleja las transferencias efectuadas al 31 de marzo de 2015 para hacer frente a las necesidades durante el bienio 2014/15, según lo previsto en el artículo 5.5 del Reglamento Financiero</w:t>
      </w:r>
      <w:r w:rsidRPr="00526311">
        <w:rPr>
          <w:i/>
          <w:sz w:val="16"/>
          <w:szCs w:val="16"/>
        </w:rPr>
        <w:t>.  2) Los recursos para los proyectos de la A.D. (P.I. y transferencia de tecnología, con 280.000 francos suizos y proyectos de colaboración abierta, con 153.000 francos suizos) se recogen bajo el resultado previsto IV.2.  En el programa 30 se exponen los progresos sustantivos que se han realizado en dichos proyectos.</w:t>
      </w:r>
    </w:p>
    <w:p w:rsidR="00B45FC3" w:rsidRPr="00526311" w:rsidRDefault="00B45FC3" w:rsidP="0063039A">
      <w:pPr>
        <w:widowControl w:val="0"/>
        <w:autoSpaceDE w:val="0"/>
        <w:autoSpaceDN w:val="0"/>
        <w:adjustRightInd w:val="0"/>
        <w:rPr>
          <w:sz w:val="20"/>
        </w:rPr>
      </w:pPr>
    </w:p>
    <w:p w:rsidR="00B45FC3" w:rsidRPr="00526311" w:rsidRDefault="00B45FC3"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B45FC3" w:rsidRPr="00526311" w:rsidRDefault="00B45FC3" w:rsidP="0063039A">
      <w:pPr>
        <w:autoSpaceDE w:val="0"/>
        <w:autoSpaceDN w:val="0"/>
        <w:jc w:val="both"/>
        <w:rPr>
          <w:sz w:val="20"/>
          <w:lang w:eastAsia="ko-KR"/>
        </w:rPr>
      </w:pPr>
    </w:p>
    <w:p w:rsidR="00B45FC3" w:rsidRPr="00526311" w:rsidRDefault="00B45FC3" w:rsidP="00B45FC3">
      <w:pPr>
        <w:pStyle w:val="ListParagraph"/>
        <w:numPr>
          <w:ilvl w:val="0"/>
          <w:numId w:val="21"/>
        </w:numPr>
        <w:tabs>
          <w:tab w:val="left" w:pos="709"/>
        </w:tabs>
        <w:autoSpaceDE w:val="0"/>
        <w:autoSpaceDN w:val="0"/>
        <w:adjustRightInd w:val="0"/>
        <w:ind w:left="0" w:firstLine="0"/>
        <w:jc w:val="both"/>
        <w:rPr>
          <w:rFonts w:cs="Arial"/>
          <w:lang w:val="es-ES" w:eastAsia="ko-KR"/>
        </w:rPr>
      </w:pPr>
      <w:r w:rsidRPr="00526311">
        <w:rPr>
          <w:rFonts w:cs="Arial"/>
          <w:lang w:val="es-ES"/>
        </w:rPr>
        <w:t>La disminución general en el presupuesto tras las transferencias se debe principalmente a</w:t>
      </w:r>
      <w:r w:rsidRPr="00526311">
        <w:rPr>
          <w:rFonts w:cs="Arial"/>
          <w:lang w:val="es-ES" w:eastAsia="ko-KR"/>
        </w:rPr>
        <w:t>:</w:t>
      </w:r>
    </w:p>
    <w:p w:rsidR="00B45FC3" w:rsidRPr="00526311" w:rsidRDefault="00B45FC3" w:rsidP="0063039A">
      <w:pPr>
        <w:autoSpaceDE w:val="0"/>
        <w:autoSpaceDN w:val="0"/>
        <w:jc w:val="both"/>
        <w:rPr>
          <w:sz w:val="20"/>
          <w:lang w:eastAsia="ko-KR"/>
        </w:rPr>
      </w:pPr>
    </w:p>
    <w:p w:rsidR="00B45FC3" w:rsidRPr="00526311" w:rsidRDefault="00B45FC3" w:rsidP="00B45FC3">
      <w:pPr>
        <w:pStyle w:val="ListParagraph"/>
        <w:numPr>
          <w:ilvl w:val="0"/>
          <w:numId w:val="16"/>
        </w:numPr>
        <w:tabs>
          <w:tab w:val="left" w:pos="1134"/>
        </w:tabs>
        <w:autoSpaceDE w:val="0"/>
        <w:autoSpaceDN w:val="0"/>
        <w:spacing w:after="120"/>
        <w:ind w:left="1134" w:hanging="425"/>
        <w:jc w:val="both"/>
        <w:rPr>
          <w:rFonts w:cs="Arial"/>
          <w:lang w:val="es-ES" w:eastAsia="ko-KR"/>
        </w:rPr>
      </w:pPr>
      <w:r w:rsidRPr="00526311">
        <w:rPr>
          <w:lang w:val="es-ES" w:eastAsia="ko-KR"/>
        </w:rPr>
        <w:t>un incremento en la productividad que tuvo como consecuencia la mejora de la eficiencia y la disminución de los costos en general con respecto a la tramitación de las solicitudes internacionales;</w:t>
      </w:r>
    </w:p>
    <w:p w:rsidR="00B45FC3" w:rsidRPr="00526311" w:rsidRDefault="00B45FC3" w:rsidP="00B45FC3">
      <w:pPr>
        <w:pStyle w:val="ListParagraph"/>
        <w:numPr>
          <w:ilvl w:val="0"/>
          <w:numId w:val="16"/>
        </w:numPr>
        <w:tabs>
          <w:tab w:val="left" w:pos="1134"/>
        </w:tabs>
        <w:autoSpaceDE w:val="0"/>
        <w:autoSpaceDN w:val="0"/>
        <w:spacing w:after="120"/>
        <w:ind w:left="1134" w:hanging="425"/>
        <w:jc w:val="both"/>
        <w:rPr>
          <w:lang w:val="es-ES" w:eastAsia="ko-KR"/>
        </w:rPr>
      </w:pPr>
      <w:r w:rsidRPr="00526311">
        <w:rPr>
          <w:lang w:val="es-ES"/>
        </w:rPr>
        <w:t xml:space="preserve">utilización más eficaz de los recursos </w:t>
      </w:r>
      <w:r w:rsidR="003D3ED5" w:rsidRPr="00526311">
        <w:rPr>
          <w:lang w:val="es-ES"/>
        </w:rPr>
        <w:t>no relativos a personal</w:t>
      </w:r>
      <w:r w:rsidRPr="00526311">
        <w:rPr>
          <w:lang w:val="es-ES"/>
        </w:rPr>
        <w:t xml:space="preserve"> gracias a la mejora de la tramitación de los compromisos financieros con respecto a la subcontratación de los servicios de traducción;  y</w:t>
      </w:r>
    </w:p>
    <w:p w:rsidR="00B45FC3" w:rsidRPr="00526311" w:rsidRDefault="00B45FC3" w:rsidP="002B55A2">
      <w:pPr>
        <w:pStyle w:val="ListParagraph"/>
        <w:numPr>
          <w:ilvl w:val="0"/>
          <w:numId w:val="16"/>
        </w:numPr>
        <w:tabs>
          <w:tab w:val="left" w:pos="1134"/>
        </w:tabs>
        <w:autoSpaceDE w:val="0"/>
        <w:autoSpaceDN w:val="0"/>
        <w:ind w:left="1134" w:hanging="425"/>
        <w:jc w:val="both"/>
        <w:rPr>
          <w:lang w:val="es-ES" w:eastAsia="ko-KR"/>
        </w:rPr>
      </w:pPr>
      <w:r w:rsidRPr="00526311">
        <w:rPr>
          <w:lang w:val="es-ES" w:eastAsia="ko-KR"/>
        </w:rPr>
        <w:t xml:space="preserve">la transferencia de los recursos al programa 25 para financiar el desarrollo de la base de datos terminológica </w:t>
      </w:r>
      <w:r w:rsidRPr="00526311">
        <w:rPr>
          <w:i/>
          <w:lang w:val="es-ES" w:eastAsia="ko-KR"/>
        </w:rPr>
        <w:t>WIPO Pearl</w:t>
      </w:r>
      <w:r w:rsidRPr="00526311">
        <w:rPr>
          <w:lang w:val="es-ES" w:eastAsia="ko-KR"/>
        </w:rPr>
        <w:t>.</w:t>
      </w:r>
    </w:p>
    <w:p w:rsidR="00B45FC3" w:rsidRPr="00526311" w:rsidRDefault="00B45FC3" w:rsidP="0063039A">
      <w:pPr>
        <w:autoSpaceDE w:val="0"/>
        <w:autoSpaceDN w:val="0"/>
        <w:jc w:val="both"/>
        <w:rPr>
          <w:sz w:val="20"/>
          <w:lang w:eastAsia="ko-KR"/>
        </w:rPr>
      </w:pPr>
    </w:p>
    <w:p w:rsidR="00B45FC3" w:rsidRPr="00526311" w:rsidRDefault="00B45FC3" w:rsidP="00B45FC3">
      <w:pPr>
        <w:pStyle w:val="ListParagraph"/>
        <w:numPr>
          <w:ilvl w:val="0"/>
          <w:numId w:val="21"/>
        </w:numPr>
        <w:tabs>
          <w:tab w:val="left" w:pos="709"/>
        </w:tabs>
        <w:autoSpaceDE w:val="0"/>
        <w:autoSpaceDN w:val="0"/>
        <w:adjustRightInd w:val="0"/>
        <w:ind w:left="0" w:firstLine="0"/>
        <w:jc w:val="both"/>
        <w:rPr>
          <w:rFonts w:cs="Arial"/>
          <w:lang w:val="es-ES" w:eastAsia="ko-KR"/>
        </w:rPr>
      </w:pPr>
      <w:r w:rsidRPr="00526311">
        <w:rPr>
          <w:rFonts w:cs="Arial"/>
          <w:lang w:val="es-ES" w:eastAsia="ko-KR"/>
        </w:rPr>
        <w:t>Los ajustes efectuados entre los resultados en el presupuesto tras las transferencias se deben principalmente a la reasignación de recursos de personal.</w:t>
      </w:r>
    </w:p>
    <w:p w:rsidR="00B45FC3" w:rsidRPr="00526311" w:rsidRDefault="00B45FC3" w:rsidP="0063039A">
      <w:pPr>
        <w:autoSpaceDE w:val="0"/>
        <w:autoSpaceDN w:val="0"/>
        <w:jc w:val="both"/>
        <w:rPr>
          <w:sz w:val="20"/>
          <w:lang w:eastAsia="ko-KR"/>
        </w:rPr>
      </w:pPr>
    </w:p>
    <w:p w:rsidR="00B45FC3" w:rsidRPr="00526311" w:rsidRDefault="00B45FC3" w:rsidP="0063039A">
      <w:pPr>
        <w:jc w:val="both"/>
        <w:rPr>
          <w:sz w:val="20"/>
          <w:u w:val="single"/>
          <w:lang w:eastAsia="ko-KR"/>
        </w:rPr>
      </w:pPr>
      <w:r w:rsidRPr="00526311">
        <w:rPr>
          <w:sz w:val="20"/>
          <w:lang w:eastAsia="ko-KR"/>
        </w:rPr>
        <w:t>B.</w:t>
      </w:r>
      <w:r w:rsidRPr="00526311">
        <w:rPr>
          <w:color w:val="FF00FF"/>
          <w:sz w:val="20"/>
          <w:lang w:eastAsia="ko-KR"/>
        </w:rPr>
        <w:tab/>
      </w:r>
      <w:r w:rsidRPr="00526311">
        <w:rPr>
          <w:sz w:val="20"/>
          <w:u w:val="single"/>
          <w:lang w:eastAsia="ko-KR"/>
        </w:rPr>
        <w:t>Utilización del presupuesto en 2014</w:t>
      </w:r>
    </w:p>
    <w:p w:rsidR="00B45FC3" w:rsidRPr="00526311" w:rsidRDefault="00B45FC3" w:rsidP="0063039A">
      <w:pPr>
        <w:jc w:val="both"/>
        <w:rPr>
          <w:sz w:val="20"/>
          <w:u w:val="single"/>
          <w:lang w:eastAsia="ko-KR"/>
        </w:rPr>
      </w:pPr>
    </w:p>
    <w:p w:rsidR="00B45FC3" w:rsidRPr="00526311" w:rsidRDefault="00B45FC3" w:rsidP="00B45FC3">
      <w:pPr>
        <w:pStyle w:val="ListParagraph"/>
        <w:numPr>
          <w:ilvl w:val="0"/>
          <w:numId w:val="21"/>
        </w:numPr>
        <w:tabs>
          <w:tab w:val="left" w:pos="709"/>
        </w:tabs>
        <w:autoSpaceDE w:val="0"/>
        <w:autoSpaceDN w:val="0"/>
        <w:adjustRightInd w:val="0"/>
        <w:ind w:left="0" w:firstLine="0"/>
        <w:jc w:val="both"/>
        <w:rPr>
          <w:rFonts w:ascii="Calibri" w:hAnsi="Calibri"/>
          <w:lang w:val="es-ES"/>
        </w:rPr>
      </w:pPr>
      <w:r w:rsidRPr="00526311">
        <w:rPr>
          <w:rFonts w:cs="Arial"/>
          <w:lang w:val="es-ES" w:eastAsia="ko-KR"/>
        </w:rPr>
        <w:t>La utilización del presupuesto se ha mantenido dentro de los límites establecidos (40-60%) durante el primer año del bienio y está bien encaminada.</w:t>
      </w:r>
    </w:p>
    <w:p w:rsidR="00B45FC3" w:rsidRPr="00526311" w:rsidRDefault="00B45FC3" w:rsidP="0063039A">
      <w:pPr>
        <w:autoSpaceDE w:val="0"/>
        <w:autoSpaceDN w:val="0"/>
        <w:jc w:val="both"/>
        <w:rPr>
          <w:sz w:val="20"/>
          <w:lang w:eastAsia="ko-KR"/>
        </w:rPr>
      </w:pPr>
    </w:p>
    <w:p w:rsidR="00B45FC3" w:rsidRPr="00526311" w:rsidRDefault="00B45FC3">
      <w:r w:rsidRPr="00526311">
        <w:br w:type="page"/>
      </w:r>
    </w:p>
    <w:p w:rsidR="00B45FC3" w:rsidRPr="00526311" w:rsidRDefault="00B45FC3" w:rsidP="0063039A">
      <w:pPr>
        <w:pStyle w:val="StyleHeading3BoldNounderline"/>
        <w:rPr>
          <w:b/>
          <w:szCs w:val="22"/>
          <w:lang w:val="es-ES"/>
        </w:rPr>
      </w:pPr>
      <w:bookmarkStart w:id="26" w:name="_Toc422927408"/>
      <w:r w:rsidRPr="00526311">
        <w:rPr>
          <w:b/>
          <w:szCs w:val="22"/>
          <w:lang w:val="es-ES"/>
        </w:rPr>
        <w:lastRenderedPageBreak/>
        <w:t>Programa 5, Anexo:  Indicadores de las operaciones del PCT</w:t>
      </w:r>
      <w:bookmarkEnd w:id="26"/>
    </w:p>
    <w:p w:rsidR="00B45FC3" w:rsidRPr="00526311" w:rsidRDefault="00B45FC3" w:rsidP="0063039A">
      <w:pPr>
        <w:widowControl w:val="0"/>
        <w:rPr>
          <w:sz w:val="20"/>
        </w:rPr>
      </w:pPr>
    </w:p>
    <w:p w:rsidR="00B45FC3" w:rsidRPr="00526311" w:rsidRDefault="00B45FC3" w:rsidP="0063039A">
      <w:pPr>
        <w:widowControl w:val="0"/>
        <w:rPr>
          <w:sz w:val="20"/>
        </w:rPr>
      </w:pPr>
    </w:p>
    <w:p w:rsidR="00B45FC3" w:rsidRPr="00526311" w:rsidRDefault="00B45FC3" w:rsidP="0063039A">
      <w:pPr>
        <w:widowControl w:val="0"/>
        <w:rPr>
          <w:sz w:val="20"/>
        </w:rPr>
      </w:pPr>
      <w:r w:rsidRPr="00526311">
        <w:rPr>
          <w:sz w:val="20"/>
        </w:rPr>
        <w:t>INDICADORES DE RENDIMIENTO CON RESPECTO AL RESULTADO PREVISTO</w:t>
      </w:r>
    </w:p>
    <w:p w:rsidR="00B45FC3" w:rsidRPr="00526311" w:rsidRDefault="00B45FC3" w:rsidP="0063039A">
      <w:pPr>
        <w:widowControl w:val="0"/>
        <w:rPr>
          <w:sz w:val="20"/>
        </w:rPr>
      </w:pPr>
      <w:r w:rsidRPr="00526311">
        <w:rPr>
          <w:sz w:val="20"/>
        </w:rPr>
        <w:t>“MEJORA DE LA PRODUCTIVIDAD Y DE LA CALIDAD DE LOS SERVICIOS EN LAS OPERACIONES DEL SISTEMA DEL PCT”</w:t>
      </w:r>
    </w:p>
    <w:p w:rsidR="00B45FC3" w:rsidRPr="00526311" w:rsidRDefault="00B45FC3" w:rsidP="0063039A">
      <w:pPr>
        <w:widowControl w:val="0"/>
        <w:rPr>
          <w:bCs/>
          <w:sz w:val="20"/>
        </w:rPr>
      </w:pPr>
    </w:p>
    <w:p w:rsidR="00B45FC3" w:rsidRPr="00526311" w:rsidRDefault="00B45FC3" w:rsidP="0063039A">
      <w:pPr>
        <w:widowControl w:val="0"/>
        <w:rPr>
          <w:b/>
          <w:sz w:val="20"/>
        </w:rPr>
      </w:pPr>
      <w:r w:rsidRPr="00526311">
        <w:rPr>
          <w:b/>
          <w:sz w:val="20"/>
        </w:rPr>
        <w:t>Generalidades</w:t>
      </w:r>
    </w:p>
    <w:p w:rsidR="00B45FC3" w:rsidRPr="00526311" w:rsidRDefault="00B45FC3" w:rsidP="0063039A">
      <w:pPr>
        <w:widowControl w:val="0"/>
        <w:rPr>
          <w:b/>
          <w:sz w:val="20"/>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Como referencia de los indicadores de rendimiento en lo que respecta al resultado previsto “Mejora de la productividad y de la calidad de los servicios en las operaciones del Sistema del PCT”, es necesario considerar la evolución de los siguientes factores:</w:t>
      </w:r>
    </w:p>
    <w:p w:rsidR="00B45FC3" w:rsidRPr="00526311" w:rsidRDefault="00B45FC3" w:rsidP="0063039A">
      <w:pPr>
        <w:widowControl w:val="0"/>
        <w:rPr>
          <w:sz w:val="20"/>
        </w:rPr>
      </w:pPr>
    </w:p>
    <w:p w:rsidR="00B45FC3" w:rsidRPr="00526311" w:rsidRDefault="00B45FC3" w:rsidP="00B45FC3">
      <w:pPr>
        <w:widowControl w:val="0"/>
        <w:numPr>
          <w:ilvl w:val="0"/>
          <w:numId w:val="18"/>
        </w:numPr>
        <w:tabs>
          <w:tab w:val="clear" w:pos="720"/>
          <w:tab w:val="num" w:pos="1100"/>
        </w:tabs>
        <w:spacing w:after="60"/>
        <w:ind w:left="1208" w:hanging="658"/>
        <w:rPr>
          <w:sz w:val="20"/>
        </w:rPr>
      </w:pPr>
      <w:r w:rsidRPr="00526311">
        <w:rPr>
          <w:sz w:val="20"/>
        </w:rPr>
        <w:t>volúmenes de trabajo del PCT;</w:t>
      </w:r>
    </w:p>
    <w:p w:rsidR="00B45FC3" w:rsidRPr="00526311" w:rsidRDefault="00B45FC3" w:rsidP="00B45FC3">
      <w:pPr>
        <w:widowControl w:val="0"/>
        <w:numPr>
          <w:ilvl w:val="0"/>
          <w:numId w:val="18"/>
        </w:numPr>
        <w:tabs>
          <w:tab w:val="clear" w:pos="720"/>
          <w:tab w:val="num" w:pos="1100"/>
        </w:tabs>
        <w:spacing w:after="60"/>
        <w:ind w:left="1208" w:hanging="658"/>
        <w:rPr>
          <w:sz w:val="20"/>
        </w:rPr>
      </w:pPr>
      <w:r w:rsidRPr="00526311">
        <w:rPr>
          <w:sz w:val="20"/>
        </w:rPr>
        <w:t>distribución de idiomas con respecto al volumen de trabajo;</w:t>
      </w:r>
    </w:p>
    <w:p w:rsidR="00B45FC3" w:rsidRPr="00526311" w:rsidRDefault="00B45FC3" w:rsidP="00B45FC3">
      <w:pPr>
        <w:widowControl w:val="0"/>
        <w:numPr>
          <w:ilvl w:val="0"/>
          <w:numId w:val="18"/>
        </w:numPr>
        <w:tabs>
          <w:tab w:val="clear" w:pos="720"/>
          <w:tab w:val="num" w:pos="1100"/>
        </w:tabs>
        <w:spacing w:after="60"/>
        <w:ind w:left="1208" w:hanging="658"/>
        <w:rPr>
          <w:sz w:val="20"/>
        </w:rPr>
      </w:pPr>
      <w:r w:rsidRPr="00526311">
        <w:rPr>
          <w:sz w:val="20"/>
        </w:rPr>
        <w:t>personal asignado para gestionar el volumen de trabajo;  y</w:t>
      </w:r>
    </w:p>
    <w:p w:rsidR="00B45FC3" w:rsidRPr="00526311" w:rsidRDefault="00B45FC3" w:rsidP="00B45FC3">
      <w:pPr>
        <w:widowControl w:val="0"/>
        <w:numPr>
          <w:ilvl w:val="0"/>
          <w:numId w:val="18"/>
        </w:numPr>
        <w:tabs>
          <w:tab w:val="clear" w:pos="720"/>
          <w:tab w:val="num" w:pos="1100"/>
        </w:tabs>
        <w:ind w:left="1210" w:hanging="660"/>
        <w:rPr>
          <w:sz w:val="20"/>
        </w:rPr>
      </w:pPr>
      <w:r w:rsidRPr="00526311">
        <w:rPr>
          <w:sz w:val="20"/>
        </w:rPr>
        <w:t>nivel de automatización.</w:t>
      </w:r>
    </w:p>
    <w:p w:rsidR="00B45FC3" w:rsidRPr="00526311" w:rsidRDefault="00B45FC3" w:rsidP="0063039A">
      <w:pPr>
        <w:widowControl w:val="0"/>
        <w:tabs>
          <w:tab w:val="num" w:pos="1100"/>
        </w:tabs>
        <w:rPr>
          <w:sz w:val="20"/>
        </w:rPr>
      </w:pPr>
    </w:p>
    <w:p w:rsidR="00B45FC3" w:rsidRPr="00526311" w:rsidRDefault="00B45FC3" w:rsidP="0063039A">
      <w:pPr>
        <w:widowControl w:val="0"/>
        <w:tabs>
          <w:tab w:val="num" w:pos="1100"/>
        </w:tabs>
        <w:rPr>
          <w:sz w:val="20"/>
        </w:rPr>
      </w:pPr>
    </w:p>
    <w:p w:rsidR="00B45FC3" w:rsidRPr="00526311" w:rsidRDefault="00B45FC3" w:rsidP="0063039A">
      <w:pPr>
        <w:widowControl w:val="0"/>
        <w:rPr>
          <w:i/>
          <w:sz w:val="20"/>
        </w:rPr>
      </w:pPr>
      <w:r w:rsidRPr="00526311">
        <w:rPr>
          <w:i/>
          <w:sz w:val="20"/>
        </w:rPr>
        <w:t>Volúmenes de trabajo</w:t>
      </w:r>
    </w:p>
    <w:p w:rsidR="00B45FC3" w:rsidRPr="00526311" w:rsidRDefault="00B45FC3" w:rsidP="0063039A">
      <w:pPr>
        <w:widowControl w:val="0"/>
        <w:rPr>
          <w:sz w:val="20"/>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La evolución de los volúmenes de trabajo se analiza a partir del número de ejemplares originales que la Oficina Internacional</w:t>
      </w:r>
      <w:r w:rsidRPr="00526311">
        <w:rPr>
          <w:rStyle w:val="FootnoteReference"/>
          <w:sz w:val="20"/>
        </w:rPr>
        <w:footnoteReference w:id="11"/>
      </w:r>
      <w:r w:rsidRPr="00526311">
        <w:rPr>
          <w:sz w:val="20"/>
        </w:rPr>
        <w:t xml:space="preserve"> recibe anualmente.</w:t>
      </w:r>
    </w:p>
    <w:p w:rsidR="00B45FC3" w:rsidRPr="00526311" w:rsidRDefault="00B45FC3" w:rsidP="0063039A">
      <w:pPr>
        <w:widowControl w:val="0"/>
        <w:rPr>
          <w:b/>
          <w:bCs/>
          <w:sz w:val="20"/>
        </w:rPr>
      </w:pPr>
    </w:p>
    <w:p w:rsidR="00B45FC3" w:rsidRPr="00526311" w:rsidRDefault="00B45FC3" w:rsidP="0063039A">
      <w:pPr>
        <w:widowControl w:val="0"/>
        <w:rPr>
          <w:b/>
          <w:bCs/>
          <w:sz w:val="20"/>
        </w:rPr>
      </w:pPr>
    </w:p>
    <w:p w:rsidR="00B45FC3" w:rsidRPr="00526311" w:rsidRDefault="00B45FC3" w:rsidP="0063039A">
      <w:pPr>
        <w:widowControl w:val="0"/>
        <w:jc w:val="center"/>
        <w:rPr>
          <w:b/>
          <w:bCs/>
          <w:sz w:val="18"/>
          <w:szCs w:val="18"/>
        </w:rPr>
      </w:pPr>
      <w:r w:rsidRPr="00526311">
        <w:rPr>
          <w:b/>
          <w:bCs/>
          <w:sz w:val="18"/>
          <w:szCs w:val="18"/>
        </w:rPr>
        <w:t>Evolución del número de ejemplares originales por medio de presentación</w:t>
      </w:r>
    </w:p>
    <w:p w:rsidR="00B45FC3" w:rsidRPr="00526311" w:rsidRDefault="00B45FC3" w:rsidP="0063039A">
      <w:pPr>
        <w:widowControl w:val="0"/>
        <w:jc w:val="center"/>
        <w:rPr>
          <w:b/>
          <w:bCs/>
          <w:sz w:val="18"/>
          <w:szCs w:val="18"/>
        </w:rPr>
      </w:pPr>
      <w:r w:rsidRPr="00526311">
        <w:rPr>
          <w:b/>
          <w:bCs/>
          <w:noProof/>
          <w:sz w:val="18"/>
          <w:szCs w:val="18"/>
          <w:lang w:val="en-US" w:eastAsia="en-US"/>
        </w:rPr>
        <w:drawing>
          <wp:inline distT="0" distB="0" distL="0" distR="0" wp14:anchorId="7F50843B" wp14:editId="4EEDCC16">
            <wp:extent cx="5745480" cy="2398395"/>
            <wp:effectExtent l="0" t="0" r="7620" b="1905"/>
            <wp:docPr id="104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5480" cy="2398395"/>
                    </a:xfrm>
                    <a:prstGeom prst="rect">
                      <a:avLst/>
                    </a:prstGeom>
                    <a:noFill/>
                    <a:ln>
                      <a:noFill/>
                    </a:ln>
                  </pic:spPr>
                </pic:pic>
              </a:graphicData>
            </a:graphic>
          </wp:inline>
        </w:drawing>
      </w:r>
    </w:p>
    <w:p w:rsidR="00B45FC3" w:rsidRPr="00526311" w:rsidRDefault="00B45FC3" w:rsidP="0063039A">
      <w:pPr>
        <w:widowControl w:val="0"/>
        <w:jc w:val="center"/>
        <w:rPr>
          <w:b/>
          <w:bCs/>
          <w:sz w:val="18"/>
          <w:szCs w:val="18"/>
        </w:rPr>
      </w:pPr>
    </w:p>
    <w:p w:rsidR="00B45FC3" w:rsidRPr="00526311" w:rsidRDefault="00B45FC3" w:rsidP="00B45FC3">
      <w:pPr>
        <w:pStyle w:val="BodyText2"/>
        <w:widowControl w:val="0"/>
        <w:numPr>
          <w:ilvl w:val="0"/>
          <w:numId w:val="22"/>
        </w:numPr>
        <w:tabs>
          <w:tab w:val="clear" w:pos="720"/>
          <w:tab w:val="num" w:pos="1134"/>
        </w:tabs>
        <w:spacing w:after="60" w:line="240" w:lineRule="auto"/>
        <w:ind w:left="1134" w:hanging="567"/>
        <w:jc w:val="both"/>
        <w:rPr>
          <w:rFonts w:cs="Arial"/>
          <w:szCs w:val="20"/>
          <w:lang w:val="es-ES"/>
        </w:rPr>
      </w:pPr>
      <w:r w:rsidRPr="00526311">
        <w:rPr>
          <w:rFonts w:cs="Arial"/>
          <w:szCs w:val="20"/>
          <w:highlight w:val="white"/>
          <w:lang w:val="es-ES"/>
        </w:rPr>
        <w:t>La Oficina Internacional recibió aproximadamente</w:t>
      </w:r>
      <w:r w:rsidRPr="00526311">
        <w:rPr>
          <w:rFonts w:cs="Arial"/>
          <w:szCs w:val="20"/>
          <w:lang w:val="es-ES"/>
        </w:rPr>
        <w:t xml:space="preserve"> 217.700 ejemplares originales</w:t>
      </w:r>
      <w:r w:rsidRPr="00526311">
        <w:rPr>
          <w:rFonts w:cs="Arial"/>
          <w:szCs w:val="20"/>
          <w:highlight w:val="white"/>
          <w:lang w:val="es-ES"/>
        </w:rPr>
        <w:t xml:space="preserve"> en</w:t>
      </w:r>
      <w:r w:rsidRPr="00526311">
        <w:rPr>
          <w:rFonts w:cs="Arial"/>
          <w:szCs w:val="20"/>
          <w:lang w:val="es-ES"/>
        </w:rPr>
        <w:t xml:space="preserve"> 2014, </w:t>
      </w:r>
      <w:r w:rsidRPr="00526311">
        <w:rPr>
          <w:rFonts w:cs="Arial"/>
          <w:szCs w:val="20"/>
          <w:highlight w:val="white"/>
          <w:lang w:val="es-ES"/>
        </w:rPr>
        <w:t>lo que representa un aumento del</w:t>
      </w:r>
      <w:r w:rsidRPr="00526311">
        <w:rPr>
          <w:rFonts w:cs="Arial"/>
          <w:szCs w:val="20"/>
          <w:lang w:val="es-ES"/>
        </w:rPr>
        <w:t> </w:t>
      </w:r>
      <w:r w:rsidRPr="00526311">
        <w:rPr>
          <w:rFonts w:cs="Arial"/>
          <w:szCs w:val="20"/>
          <w:highlight w:val="white"/>
          <w:lang w:val="es-ES"/>
        </w:rPr>
        <w:t>7%</w:t>
      </w:r>
      <w:r w:rsidRPr="00526311">
        <w:rPr>
          <w:rFonts w:cs="Arial"/>
          <w:szCs w:val="20"/>
          <w:lang w:val="es-ES"/>
        </w:rPr>
        <w:t xml:space="preserve"> con respecto a 2013.</w:t>
      </w:r>
    </w:p>
    <w:p w:rsidR="00B45FC3" w:rsidRPr="00526311" w:rsidRDefault="00B45FC3" w:rsidP="00B45FC3">
      <w:pPr>
        <w:pStyle w:val="BodyText2"/>
        <w:widowControl w:val="0"/>
        <w:numPr>
          <w:ilvl w:val="0"/>
          <w:numId w:val="22"/>
        </w:numPr>
        <w:tabs>
          <w:tab w:val="clear" w:pos="720"/>
          <w:tab w:val="num" w:pos="1134"/>
        </w:tabs>
        <w:spacing w:after="60" w:line="240" w:lineRule="auto"/>
        <w:ind w:left="1134" w:hanging="567"/>
        <w:jc w:val="both"/>
        <w:rPr>
          <w:rFonts w:cs="Arial"/>
          <w:szCs w:val="20"/>
          <w:lang w:val="es-ES"/>
        </w:rPr>
      </w:pPr>
      <w:r w:rsidRPr="00526311">
        <w:rPr>
          <w:rFonts w:cs="Arial"/>
          <w:szCs w:val="20"/>
          <w:lang w:val="es-ES"/>
        </w:rPr>
        <w:t>En 2014 siguió aumentando el porcentaje de solicitudes presentadas enteramente por medios electrónicos, que actualmente constituye el 91% de todas las solicitudes que se presentan.</w:t>
      </w:r>
    </w:p>
    <w:p w:rsidR="00B45FC3" w:rsidRPr="00526311" w:rsidRDefault="00B45FC3" w:rsidP="0063039A">
      <w:pPr>
        <w:pStyle w:val="BodyText2"/>
        <w:keepNext/>
        <w:keepLines/>
        <w:widowControl w:val="0"/>
        <w:spacing w:after="0" w:line="240" w:lineRule="auto"/>
        <w:rPr>
          <w:rFonts w:cs="Arial"/>
          <w:i/>
          <w:szCs w:val="20"/>
          <w:lang w:val="es-ES"/>
        </w:rPr>
      </w:pPr>
      <w:r w:rsidRPr="00526311">
        <w:rPr>
          <w:rFonts w:cs="Arial"/>
          <w:i/>
          <w:szCs w:val="20"/>
          <w:lang w:val="es-ES"/>
        </w:rPr>
        <w:lastRenderedPageBreak/>
        <w:t>Distribución de idiomas</w:t>
      </w:r>
    </w:p>
    <w:p w:rsidR="00B45FC3" w:rsidRPr="00526311" w:rsidRDefault="00B45FC3" w:rsidP="0063039A">
      <w:pPr>
        <w:pStyle w:val="BodyText2"/>
        <w:keepNext/>
        <w:keepLines/>
        <w:widowControl w:val="0"/>
        <w:spacing w:after="0" w:line="240" w:lineRule="auto"/>
        <w:rPr>
          <w:rFonts w:cs="Arial"/>
          <w:szCs w:val="20"/>
          <w:lang w:val="es-ES"/>
        </w:rPr>
      </w:pPr>
    </w:p>
    <w:p w:rsidR="00B45FC3" w:rsidRPr="00526311" w:rsidRDefault="00B45FC3" w:rsidP="002B55A2">
      <w:pPr>
        <w:keepNext/>
        <w:keepLines/>
        <w:widowControl w:val="0"/>
        <w:numPr>
          <w:ilvl w:val="0"/>
          <w:numId w:val="19"/>
        </w:numPr>
        <w:tabs>
          <w:tab w:val="clear" w:pos="709"/>
          <w:tab w:val="num" w:pos="567"/>
        </w:tabs>
        <w:ind w:left="0"/>
        <w:jc w:val="both"/>
        <w:rPr>
          <w:sz w:val="20"/>
        </w:rPr>
      </w:pPr>
      <w:r w:rsidRPr="00526311">
        <w:rPr>
          <w:sz w:val="20"/>
        </w:rPr>
        <w:t>Uno de los factores fundamentales del cambio en el funcionamiento de la Oficina Internacional es la creciente diversidad lingüística de las solicitudes presentadas, que es consecuencia, principalmente, del aumento continuo en el uso del Sistema del PCT en los países de Asia oriental.</w:t>
      </w:r>
    </w:p>
    <w:p w:rsidR="00B45FC3" w:rsidRPr="00526311" w:rsidRDefault="00B45FC3" w:rsidP="0063039A">
      <w:pPr>
        <w:keepNext/>
        <w:keepLines/>
        <w:widowControl w:val="0"/>
        <w:jc w:val="both"/>
        <w:rPr>
          <w:sz w:val="20"/>
          <w:highlight w:val="yellow"/>
        </w:rPr>
      </w:pPr>
    </w:p>
    <w:p w:rsidR="00B45FC3" w:rsidRPr="00526311" w:rsidRDefault="00B45FC3" w:rsidP="0063039A">
      <w:pPr>
        <w:widowControl w:val="0"/>
        <w:spacing w:after="120"/>
        <w:jc w:val="center"/>
        <w:rPr>
          <w:i/>
          <w:sz w:val="20"/>
        </w:rPr>
      </w:pPr>
      <w:r w:rsidRPr="00526311">
        <w:rPr>
          <w:b/>
          <w:bCs/>
          <w:sz w:val="20"/>
          <w:highlight w:val="white"/>
        </w:rPr>
        <w:t>Idiomas de presentación</w:t>
      </w:r>
      <w:r w:rsidRPr="00526311">
        <w:rPr>
          <w:sz w:val="20"/>
        </w:rPr>
        <w:t xml:space="preserve"> </w:t>
      </w:r>
      <w:r w:rsidRPr="00526311">
        <w:rPr>
          <w:i/>
          <w:sz w:val="20"/>
        </w:rPr>
        <w:t>(todos)</w:t>
      </w:r>
    </w:p>
    <w:p w:rsidR="00B45FC3" w:rsidRPr="00526311" w:rsidRDefault="00B45FC3" w:rsidP="0063039A">
      <w:pPr>
        <w:widowControl w:val="0"/>
        <w:spacing w:after="120"/>
        <w:jc w:val="center"/>
        <w:rPr>
          <w:i/>
          <w:sz w:val="18"/>
          <w:szCs w:val="18"/>
        </w:rPr>
      </w:pPr>
      <w:r w:rsidRPr="00526311">
        <w:rPr>
          <w:i/>
          <w:noProof/>
          <w:sz w:val="18"/>
          <w:szCs w:val="18"/>
          <w:lang w:val="en-US" w:eastAsia="en-US"/>
        </w:rPr>
        <w:drawing>
          <wp:inline distT="0" distB="0" distL="0" distR="0" wp14:anchorId="13BB3D30" wp14:editId="11272212">
            <wp:extent cx="5736590" cy="2777490"/>
            <wp:effectExtent l="0" t="0" r="0" b="3810"/>
            <wp:docPr id="104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6590" cy="2777490"/>
                    </a:xfrm>
                    <a:prstGeom prst="rect">
                      <a:avLst/>
                    </a:prstGeom>
                    <a:noFill/>
                    <a:ln>
                      <a:noFill/>
                    </a:ln>
                  </pic:spPr>
                </pic:pic>
              </a:graphicData>
            </a:graphic>
          </wp:inline>
        </w:drawing>
      </w:r>
    </w:p>
    <w:p w:rsidR="00B45FC3" w:rsidRPr="00526311" w:rsidRDefault="00B45FC3" w:rsidP="0063039A">
      <w:pPr>
        <w:widowControl w:val="0"/>
        <w:spacing w:after="120"/>
        <w:jc w:val="center"/>
        <w:rPr>
          <w:i/>
          <w:sz w:val="18"/>
          <w:szCs w:val="18"/>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Como puede observarse en el gráfico</w:t>
      </w:r>
      <w:r w:rsidRPr="00526311">
        <w:rPr>
          <w:sz w:val="20"/>
          <w:highlight w:val="white"/>
        </w:rPr>
        <w:t>, si bien en</w:t>
      </w:r>
      <w:r w:rsidRPr="00526311">
        <w:rPr>
          <w:sz w:val="20"/>
        </w:rPr>
        <w:t xml:space="preserve"> 2014 </w:t>
      </w:r>
      <w:r w:rsidRPr="00526311">
        <w:rPr>
          <w:sz w:val="20"/>
          <w:highlight w:val="white"/>
        </w:rPr>
        <w:t xml:space="preserve">la mayoría de las solicitudes se presentó en inglés, a saber, el </w:t>
      </w:r>
      <w:r w:rsidRPr="00526311">
        <w:rPr>
          <w:sz w:val="20"/>
        </w:rPr>
        <w:t xml:space="preserve">51,6%, en el último decenio aumentó la proporción de idiomas asiáticos.  El porcentaje combinado de solicitudes PCT presentadas en chino, coreano y japonés ha aumentado, pasando del </w:t>
      </w:r>
      <w:r w:rsidRPr="00526311">
        <w:rPr>
          <w:sz w:val="20"/>
          <w:highlight w:val="white"/>
        </w:rPr>
        <w:t>29,5%</w:t>
      </w:r>
      <w:r w:rsidRPr="00526311">
        <w:rPr>
          <w:sz w:val="20"/>
        </w:rPr>
        <w:t xml:space="preserve"> e</w:t>
      </w:r>
      <w:r w:rsidRPr="00526311">
        <w:rPr>
          <w:sz w:val="20"/>
          <w:highlight w:val="white"/>
        </w:rPr>
        <w:t>n 2009 al</w:t>
      </w:r>
      <w:r w:rsidRPr="00526311">
        <w:rPr>
          <w:sz w:val="20"/>
        </w:rPr>
        <w:t xml:space="preserve"> 34,5%</w:t>
      </w:r>
      <w:r w:rsidRPr="00526311">
        <w:rPr>
          <w:sz w:val="20"/>
          <w:highlight w:val="white"/>
        </w:rPr>
        <w:t xml:space="preserve"> en 2012</w:t>
      </w:r>
      <w:r w:rsidRPr="00526311">
        <w:rPr>
          <w:sz w:val="20"/>
        </w:rPr>
        <w:t xml:space="preserve">.  Ese porcentaje se ha mantenido estable entre </w:t>
      </w:r>
      <w:r w:rsidRPr="00526311">
        <w:rPr>
          <w:sz w:val="20"/>
          <w:highlight w:val="white"/>
        </w:rPr>
        <w:t>2012 y 2014</w:t>
      </w:r>
      <w:r w:rsidRPr="00526311">
        <w:rPr>
          <w:sz w:val="20"/>
        </w:rPr>
        <w:t>.  En el siguiente gráfico se presenta la evolución de idiomas distintos al inglés en la presentación de solicitudes:</w:t>
      </w:r>
    </w:p>
    <w:p w:rsidR="00B45FC3" w:rsidRPr="00526311" w:rsidRDefault="00B45FC3" w:rsidP="0063039A">
      <w:pPr>
        <w:widowControl w:val="0"/>
        <w:spacing w:after="120"/>
        <w:rPr>
          <w:sz w:val="20"/>
        </w:rPr>
      </w:pPr>
    </w:p>
    <w:p w:rsidR="00B45FC3" w:rsidRPr="00526311" w:rsidRDefault="00B45FC3" w:rsidP="0063039A">
      <w:pPr>
        <w:widowControl w:val="0"/>
        <w:spacing w:after="120"/>
        <w:jc w:val="center"/>
        <w:rPr>
          <w:sz w:val="20"/>
        </w:rPr>
      </w:pPr>
      <w:r w:rsidRPr="00526311">
        <w:rPr>
          <w:b/>
          <w:bCs/>
          <w:sz w:val="20"/>
          <w:highlight w:val="white"/>
        </w:rPr>
        <w:t>Idiomas de presentación</w:t>
      </w:r>
      <w:r w:rsidRPr="00526311">
        <w:rPr>
          <w:b/>
          <w:bCs/>
          <w:sz w:val="20"/>
        </w:rPr>
        <w:t xml:space="preserve"> </w:t>
      </w:r>
      <w:r w:rsidRPr="00526311">
        <w:rPr>
          <w:sz w:val="20"/>
        </w:rPr>
        <w:t>(</w:t>
      </w:r>
      <w:r w:rsidRPr="00526311">
        <w:rPr>
          <w:i/>
          <w:sz w:val="20"/>
        </w:rPr>
        <w:t>todos excepto el inglés</w:t>
      </w:r>
      <w:r w:rsidRPr="00526311">
        <w:rPr>
          <w:sz w:val="20"/>
        </w:rPr>
        <w:t>)</w:t>
      </w:r>
    </w:p>
    <w:p w:rsidR="00B45FC3" w:rsidRPr="00526311" w:rsidRDefault="00B45FC3" w:rsidP="0063039A">
      <w:pPr>
        <w:widowControl w:val="0"/>
        <w:spacing w:after="120"/>
        <w:jc w:val="center"/>
        <w:rPr>
          <w:sz w:val="20"/>
        </w:rPr>
      </w:pPr>
      <w:r w:rsidRPr="00526311">
        <w:rPr>
          <w:noProof/>
          <w:sz w:val="20"/>
          <w:lang w:val="en-US" w:eastAsia="en-US"/>
        </w:rPr>
        <w:drawing>
          <wp:inline distT="0" distB="0" distL="0" distR="0" wp14:anchorId="2552D8E5" wp14:editId="76578030">
            <wp:extent cx="5746115" cy="3172823"/>
            <wp:effectExtent l="0" t="0" r="0" b="0"/>
            <wp:docPr id="104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6115" cy="3172823"/>
                    </a:xfrm>
                    <a:prstGeom prst="rect">
                      <a:avLst/>
                    </a:prstGeom>
                    <a:noFill/>
                    <a:ln>
                      <a:noFill/>
                    </a:ln>
                  </pic:spPr>
                </pic:pic>
              </a:graphicData>
            </a:graphic>
          </wp:inline>
        </w:drawing>
      </w:r>
    </w:p>
    <w:p w:rsidR="00B45FC3" w:rsidRPr="00526311" w:rsidRDefault="00B45FC3" w:rsidP="002B55A2">
      <w:pPr>
        <w:keepLines/>
        <w:widowControl w:val="0"/>
        <w:numPr>
          <w:ilvl w:val="0"/>
          <w:numId w:val="19"/>
        </w:numPr>
        <w:tabs>
          <w:tab w:val="clear" w:pos="709"/>
          <w:tab w:val="num" w:pos="567"/>
        </w:tabs>
        <w:ind w:left="0"/>
        <w:jc w:val="both"/>
        <w:rPr>
          <w:sz w:val="20"/>
        </w:rPr>
      </w:pPr>
      <w:r w:rsidRPr="00526311">
        <w:rPr>
          <w:sz w:val="20"/>
          <w:highlight w:val="white"/>
        </w:rPr>
        <w:lastRenderedPageBreak/>
        <w:t xml:space="preserve">El marcado aumento de las solicitudes presentadas en idiomas asiáticos en los últimos cinco años ha supuesto </w:t>
      </w:r>
      <w:r w:rsidRPr="00526311">
        <w:rPr>
          <w:sz w:val="20"/>
        </w:rPr>
        <w:t>una carga de trabajo considerable para la Oficina Internacional</w:t>
      </w:r>
      <w:r w:rsidRPr="00526311">
        <w:rPr>
          <w:sz w:val="20"/>
          <w:highlight w:val="white"/>
        </w:rPr>
        <w:t xml:space="preserve"> debido al número limitado de recursos de personal disponibles para trabajar en esos idiomas</w:t>
      </w:r>
      <w:r w:rsidRPr="00526311">
        <w:rPr>
          <w:sz w:val="20"/>
        </w:rPr>
        <w:t>.  La solución a ese problema está dada por la automatización de determinadas tareas y la contratación de personal que pueda trabajar en dichos idiomas.</w:t>
      </w:r>
    </w:p>
    <w:p w:rsidR="00B45FC3" w:rsidRPr="00526311" w:rsidRDefault="00B45FC3" w:rsidP="0063039A">
      <w:pPr>
        <w:widowControl w:val="0"/>
        <w:spacing w:after="120"/>
        <w:rPr>
          <w:i/>
          <w:sz w:val="20"/>
        </w:rPr>
      </w:pPr>
    </w:p>
    <w:p w:rsidR="00B45FC3" w:rsidRPr="00526311" w:rsidRDefault="00B45FC3" w:rsidP="0063039A">
      <w:pPr>
        <w:widowControl w:val="0"/>
        <w:spacing w:after="120"/>
        <w:rPr>
          <w:i/>
          <w:sz w:val="20"/>
        </w:rPr>
      </w:pPr>
      <w:r w:rsidRPr="00526311">
        <w:rPr>
          <w:i/>
          <w:sz w:val="20"/>
        </w:rPr>
        <w:t>Personal</w:t>
      </w: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El siguiente gráfico muestra el número de miembros del personal encargados de las operaciones del PCT desde 2001, expresado en equivalente de puestos a jornada completa (número de miembros del personal a jornada completa más el equivalente de puestos a jornada completa de miembros del personal a jornada parcial).</w:t>
      </w:r>
    </w:p>
    <w:p w:rsidR="00B45FC3" w:rsidRPr="00526311" w:rsidRDefault="00B45FC3" w:rsidP="0063039A">
      <w:pPr>
        <w:widowControl w:val="0"/>
        <w:rPr>
          <w:sz w:val="20"/>
        </w:rPr>
      </w:pPr>
      <w:r w:rsidRPr="00526311">
        <w:rPr>
          <w:noProof/>
          <w:sz w:val="20"/>
          <w:lang w:val="en-US" w:eastAsia="en-US"/>
        </w:rPr>
        <w:drawing>
          <wp:inline distT="0" distB="0" distL="0" distR="0" wp14:anchorId="15DD97B8" wp14:editId="71121F12">
            <wp:extent cx="5746115" cy="3637232"/>
            <wp:effectExtent l="0" t="0" r="6985" b="0"/>
            <wp:docPr id="104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6115" cy="3637232"/>
                    </a:xfrm>
                    <a:prstGeom prst="rect">
                      <a:avLst/>
                    </a:prstGeom>
                    <a:noFill/>
                    <a:ln>
                      <a:noFill/>
                    </a:ln>
                  </pic:spPr>
                </pic:pic>
              </a:graphicData>
            </a:graphic>
          </wp:inline>
        </w:drawing>
      </w:r>
    </w:p>
    <w:p w:rsidR="00B45FC3" w:rsidRPr="00526311" w:rsidRDefault="00B45FC3" w:rsidP="00B45FC3">
      <w:pPr>
        <w:widowControl w:val="0"/>
        <w:numPr>
          <w:ilvl w:val="0"/>
          <w:numId w:val="17"/>
        </w:numPr>
        <w:tabs>
          <w:tab w:val="clear" w:pos="720"/>
          <w:tab w:val="num" w:pos="1100"/>
        </w:tabs>
        <w:ind w:left="1100" w:hanging="550"/>
        <w:rPr>
          <w:sz w:val="20"/>
        </w:rPr>
      </w:pPr>
      <w:r w:rsidRPr="00526311">
        <w:rPr>
          <w:sz w:val="20"/>
          <w:highlight w:val="white"/>
        </w:rPr>
        <w:t>El número de miembros del personal de la División de Operaciones del PCT siguió disminuyendo en 2014</w:t>
      </w:r>
      <w:r w:rsidRPr="00526311">
        <w:rPr>
          <w:sz w:val="20"/>
        </w:rPr>
        <w:t>.</w:t>
      </w:r>
    </w:p>
    <w:p w:rsidR="00B45FC3" w:rsidRPr="00526311" w:rsidRDefault="00B45FC3" w:rsidP="0063039A">
      <w:pPr>
        <w:widowControl w:val="0"/>
        <w:spacing w:after="120"/>
        <w:rPr>
          <w:sz w:val="20"/>
          <w:u w:val="single"/>
        </w:rPr>
      </w:pPr>
    </w:p>
    <w:p w:rsidR="00B45FC3" w:rsidRPr="00526311" w:rsidRDefault="00B45FC3" w:rsidP="0063039A">
      <w:pPr>
        <w:widowControl w:val="0"/>
        <w:rPr>
          <w:i/>
          <w:sz w:val="20"/>
        </w:rPr>
      </w:pPr>
      <w:r w:rsidRPr="00526311">
        <w:rPr>
          <w:i/>
          <w:sz w:val="20"/>
        </w:rPr>
        <w:t>Costo unitario de tramitación de las solicitudes</w:t>
      </w:r>
    </w:p>
    <w:p w:rsidR="00B45FC3" w:rsidRPr="00526311" w:rsidRDefault="00B45FC3" w:rsidP="0063039A">
      <w:pPr>
        <w:widowControl w:val="0"/>
        <w:rPr>
          <w:sz w:val="20"/>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La productividad de la Oficina Internacional en cuanto a la tramitación de las solicitudes PCT puede medirse por el costo unitario de tramitación, definido como el costo medio total de publicación de una solicitud PCT.  El costo medio total se determina sumando el gasto total directo del Sistema del PCT</w:t>
      </w:r>
      <w:r w:rsidRPr="00526311">
        <w:rPr>
          <w:sz w:val="20"/>
          <w:highlight w:val="white"/>
        </w:rPr>
        <w:t xml:space="preserve"> </w:t>
      </w:r>
      <w:r w:rsidRPr="00526311">
        <w:rPr>
          <w:sz w:val="20"/>
        </w:rPr>
        <w:t xml:space="preserve">(gasto en que ha incurrido la Oficina Internacional por la administración del Sistema PCT y programas conexos) a una proporción de gasto </w:t>
      </w:r>
      <w:r w:rsidRPr="00526311">
        <w:rPr>
          <w:sz w:val="20"/>
          <w:highlight w:val="white"/>
        </w:rPr>
        <w:t>indirecto en concepto de actividades de apoyo y gestión</w:t>
      </w:r>
      <w:r w:rsidRPr="00526311">
        <w:rPr>
          <w:sz w:val="20"/>
        </w:rPr>
        <w:t xml:space="preserve"> (por ejemplo</w:t>
      </w:r>
      <w:r w:rsidRPr="00526311">
        <w:rPr>
          <w:sz w:val="20"/>
          <w:highlight w:val="white"/>
        </w:rPr>
        <w:t xml:space="preserve">, </w:t>
      </w:r>
      <w:r w:rsidRPr="00526311">
        <w:rPr>
          <w:sz w:val="20"/>
        </w:rPr>
        <w:t>edificios y tecnología de la información, entre otros).  Los costos indirectos se ponderan para tener en cuenta únicamente la proporción imputable al Sistema del PCT.  Por lo tanto, el costo unitario abarca el costo de todas las actividades del PCT, incluidas la traducción, la comunicación, la gestión y otras.</w:t>
      </w:r>
    </w:p>
    <w:p w:rsidR="00B45FC3" w:rsidRPr="00526311" w:rsidRDefault="00B45FC3" w:rsidP="0063039A">
      <w:pPr>
        <w:widowControl w:val="0"/>
        <w:jc w:val="both"/>
        <w:rPr>
          <w:sz w:val="20"/>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 xml:space="preserve">El método para calcular el costo unitario fue revisado en 2013 para ponerlo en sintonía con los cálculos de costos relativos a otras unidades/uniones de la OMPI y para tener mejor en cuenta un entorno en rápida evolución.  </w:t>
      </w:r>
      <w:r w:rsidRPr="00526311">
        <w:rPr>
          <w:sz w:val="20"/>
          <w:highlight w:val="white"/>
        </w:rPr>
        <w:t xml:space="preserve">Por ejemplo, </w:t>
      </w:r>
      <w:r w:rsidRPr="00526311">
        <w:rPr>
          <w:sz w:val="20"/>
        </w:rPr>
        <w:t>conforme al método antiguo, concebido en 2007, se tenía en cuenta un costo de almacenamiento (por más de 30 años) en depósitos;  sin embargo, la presentación en papel (incluidas las presentaciones de solicitudes mediante el sistema PCT EASY) representó menos del 10% de las solicitudes presentadas en 2013.  El costo unitario de 2012 fue calculado con arreglo a ambos métodos.  Dicho costo fue de 680 francos suizos conforme al método antiguo y de 712 francos suizos conforme al nuevo método.  La diferencia de 32 francos suizos se debe al nuevo método de atribución de los costos indirectos.</w:t>
      </w:r>
    </w:p>
    <w:p w:rsidR="00B45FC3" w:rsidRPr="00526311" w:rsidRDefault="00B45FC3" w:rsidP="0063039A">
      <w:pPr>
        <w:widowControl w:val="0"/>
        <w:jc w:val="both"/>
        <w:rPr>
          <w:sz w:val="20"/>
        </w:rPr>
      </w:pPr>
    </w:p>
    <w:p w:rsidR="00B45FC3" w:rsidRPr="00526311" w:rsidRDefault="00B45FC3" w:rsidP="00B45FC3">
      <w:pPr>
        <w:widowControl w:val="0"/>
        <w:numPr>
          <w:ilvl w:val="0"/>
          <w:numId w:val="19"/>
        </w:numPr>
        <w:tabs>
          <w:tab w:val="clear" w:pos="709"/>
          <w:tab w:val="num" w:pos="567"/>
        </w:tabs>
        <w:ind w:left="0"/>
        <w:rPr>
          <w:sz w:val="20"/>
        </w:rPr>
      </w:pPr>
      <w:r w:rsidRPr="00526311">
        <w:rPr>
          <w:sz w:val="20"/>
        </w:rPr>
        <w:lastRenderedPageBreak/>
        <w:t>Formalmente, el costo unitario se define de la siguiente manera:</w:t>
      </w:r>
    </w:p>
    <w:p w:rsidR="00B45FC3" w:rsidRPr="00526311" w:rsidRDefault="00B45FC3" w:rsidP="0063039A">
      <w:pPr>
        <w:widowControl w:val="0"/>
      </w:pPr>
    </w:p>
    <w:p w:rsidR="00B45FC3" w:rsidRPr="00526311" w:rsidRDefault="00B45FC3" w:rsidP="0063039A">
      <w:pPr>
        <w:widowControl w:val="0"/>
        <w:jc w:val="center"/>
      </w:pPr>
      <w:r w:rsidRPr="00526311">
        <w:rPr>
          <w:noProof/>
          <w:lang w:val="en-US" w:eastAsia="en-US"/>
        </w:rPr>
        <w:drawing>
          <wp:inline distT="0" distB="0" distL="0" distR="0" wp14:anchorId="5F3EDC57" wp14:editId="0997D78A">
            <wp:extent cx="2484120" cy="344805"/>
            <wp:effectExtent l="0" t="0" r="0" b="0"/>
            <wp:docPr id="104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4120" cy="344805"/>
                    </a:xfrm>
                    <a:prstGeom prst="rect">
                      <a:avLst/>
                    </a:prstGeom>
                    <a:noFill/>
                    <a:ln>
                      <a:noFill/>
                    </a:ln>
                  </pic:spPr>
                </pic:pic>
              </a:graphicData>
            </a:graphic>
          </wp:inline>
        </w:drawing>
      </w:r>
    </w:p>
    <w:p w:rsidR="00B45FC3" w:rsidRPr="00526311" w:rsidRDefault="00B45FC3" w:rsidP="0063039A">
      <w:pPr>
        <w:widowControl w:val="0"/>
        <w:rPr>
          <w:sz w:val="20"/>
          <w:highlight w:val="yellow"/>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En los gráficos que figuran a continuación se ilustra la evolución del costo unitario de tramitación desde 2004 hasta 2012, utilizando el método antiguo, y desde</w:t>
      </w:r>
      <w:r w:rsidRPr="00526311">
        <w:rPr>
          <w:sz w:val="20"/>
          <w:highlight w:val="white"/>
        </w:rPr>
        <w:t xml:space="preserve"> 2012 hasta 2014</w:t>
      </w:r>
      <w:r w:rsidRPr="00526311">
        <w:rPr>
          <w:sz w:val="20"/>
        </w:rPr>
        <w:t xml:space="preserve"> </w:t>
      </w:r>
      <w:r w:rsidRPr="00526311">
        <w:rPr>
          <w:sz w:val="20"/>
          <w:highlight w:val="white"/>
        </w:rPr>
        <w:t>utilizando el nuevo método</w:t>
      </w:r>
      <w:r w:rsidRPr="00526311">
        <w:rPr>
          <w:sz w:val="20"/>
        </w:rPr>
        <w:t>, incluido un desglose de la parte correspondiente a los costos directos e indirectos.</w:t>
      </w:r>
    </w:p>
    <w:p w:rsidR="00B45FC3" w:rsidRPr="00526311" w:rsidRDefault="00B45FC3" w:rsidP="0063039A">
      <w:pPr>
        <w:widowControl w:val="0"/>
        <w:rPr>
          <w:sz w:val="20"/>
        </w:rPr>
      </w:pPr>
    </w:p>
    <w:p w:rsidR="00B45FC3" w:rsidRPr="00526311" w:rsidRDefault="00B45FC3" w:rsidP="0063039A">
      <w:pPr>
        <w:widowControl w:val="0"/>
        <w:jc w:val="center"/>
        <w:rPr>
          <w:b/>
          <w:sz w:val="20"/>
        </w:rPr>
      </w:pPr>
      <w:r w:rsidRPr="00526311">
        <w:rPr>
          <w:b/>
          <w:sz w:val="20"/>
        </w:rPr>
        <w:t>Costo de tramitación de una solicitud PCT publicada</w:t>
      </w:r>
    </w:p>
    <w:p w:rsidR="00B45FC3" w:rsidRPr="00526311" w:rsidRDefault="00B45FC3" w:rsidP="0063039A">
      <w:pPr>
        <w:widowControl w:val="0"/>
        <w:jc w:val="cente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2"/>
        <w:gridCol w:w="4433"/>
      </w:tblGrid>
      <w:tr w:rsidR="00B45FC3" w:rsidRPr="00526311" w:rsidTr="0063039A">
        <w:tc>
          <w:tcPr>
            <w:tcW w:w="4832" w:type="dxa"/>
            <w:shd w:val="clear" w:color="auto" w:fill="auto"/>
          </w:tcPr>
          <w:p w:rsidR="00B45FC3" w:rsidRPr="00526311" w:rsidRDefault="00B45FC3" w:rsidP="0063039A">
            <w:pPr>
              <w:widowControl w:val="0"/>
              <w:jc w:val="center"/>
              <w:rPr>
                <w:sz w:val="20"/>
                <w:highlight w:val="yellow"/>
              </w:rPr>
            </w:pPr>
            <w:r w:rsidRPr="00526311">
              <w:rPr>
                <w:sz w:val="20"/>
              </w:rPr>
              <w:t>Método antiguo</w:t>
            </w:r>
          </w:p>
        </w:tc>
        <w:tc>
          <w:tcPr>
            <w:tcW w:w="4433" w:type="dxa"/>
            <w:shd w:val="clear" w:color="auto" w:fill="auto"/>
          </w:tcPr>
          <w:p w:rsidR="00B45FC3" w:rsidRPr="00526311" w:rsidRDefault="00B45FC3" w:rsidP="0063039A">
            <w:pPr>
              <w:widowControl w:val="0"/>
              <w:jc w:val="center"/>
              <w:rPr>
                <w:sz w:val="20"/>
              </w:rPr>
            </w:pPr>
            <w:r w:rsidRPr="00526311">
              <w:rPr>
                <w:sz w:val="20"/>
              </w:rPr>
              <w:t>Método nuevo</w:t>
            </w:r>
          </w:p>
        </w:tc>
      </w:tr>
      <w:tr w:rsidR="00B45FC3" w:rsidRPr="00526311" w:rsidTr="0063039A">
        <w:tc>
          <w:tcPr>
            <w:tcW w:w="4832" w:type="dxa"/>
            <w:shd w:val="clear" w:color="auto" w:fill="auto"/>
          </w:tcPr>
          <w:p w:rsidR="00B45FC3" w:rsidRPr="00526311" w:rsidRDefault="00B45FC3" w:rsidP="0063039A">
            <w:pPr>
              <w:widowControl w:val="0"/>
            </w:pPr>
            <w:r w:rsidRPr="00526311">
              <w:rPr>
                <w:noProof/>
                <w:lang w:val="en-US" w:eastAsia="en-US"/>
              </w:rPr>
              <w:drawing>
                <wp:inline distT="0" distB="0" distL="0" distR="0" wp14:anchorId="21348C1F" wp14:editId="77F04392">
                  <wp:extent cx="2800350" cy="1773039"/>
                  <wp:effectExtent l="0" t="0" r="0" b="0"/>
                  <wp:docPr id="806" name="Imagen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5052" cy="1776016"/>
                          </a:xfrm>
                          <a:prstGeom prst="rect">
                            <a:avLst/>
                          </a:prstGeom>
                          <a:noFill/>
                          <a:ln>
                            <a:noFill/>
                          </a:ln>
                        </pic:spPr>
                      </pic:pic>
                    </a:graphicData>
                  </a:graphic>
                </wp:inline>
              </w:drawing>
            </w:r>
          </w:p>
        </w:tc>
        <w:tc>
          <w:tcPr>
            <w:tcW w:w="4433" w:type="dxa"/>
            <w:shd w:val="clear" w:color="auto" w:fill="auto"/>
          </w:tcPr>
          <w:p w:rsidR="00B45FC3" w:rsidRPr="00526311" w:rsidRDefault="00B45FC3" w:rsidP="0063039A">
            <w:pPr>
              <w:widowControl w:val="0"/>
            </w:pPr>
            <w:r w:rsidRPr="00526311">
              <w:object w:dxaOrig="11010" w:dyaOrig="6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1pt;height:168.4pt" o:ole="">
                  <v:imagedata r:id="rId42" o:title=""/>
                </v:shape>
                <o:OLEObject Type="Embed" ProgID="PBrush" ShapeID="_x0000_i1025" DrawAspect="Content" ObjectID="_1499859148" r:id="rId43"/>
              </w:object>
            </w:r>
          </w:p>
        </w:tc>
      </w:tr>
    </w:tbl>
    <w:p w:rsidR="00B45FC3" w:rsidRPr="00526311" w:rsidRDefault="00B45FC3" w:rsidP="0063039A">
      <w:pPr>
        <w:widowControl w:val="0"/>
        <w:ind w:left="1134"/>
        <w:jc w:val="both"/>
        <w:rPr>
          <w:sz w:val="20"/>
        </w:rPr>
      </w:pPr>
    </w:p>
    <w:p w:rsidR="00B45FC3" w:rsidRPr="00526311" w:rsidRDefault="00B45FC3" w:rsidP="002B55A2">
      <w:pPr>
        <w:widowControl w:val="0"/>
        <w:numPr>
          <w:ilvl w:val="0"/>
          <w:numId w:val="17"/>
        </w:numPr>
        <w:tabs>
          <w:tab w:val="clear" w:pos="720"/>
          <w:tab w:val="num" w:pos="1134"/>
        </w:tabs>
        <w:ind w:left="1134" w:hanging="567"/>
        <w:jc w:val="both"/>
        <w:rPr>
          <w:sz w:val="20"/>
        </w:rPr>
      </w:pPr>
      <w:r w:rsidRPr="00526311">
        <w:rPr>
          <w:sz w:val="20"/>
          <w:highlight w:val="white"/>
        </w:rPr>
        <w:t xml:space="preserve">El costo medio de tramitación de una solicitud PCT </w:t>
      </w:r>
      <w:r w:rsidRPr="00526311">
        <w:rPr>
          <w:sz w:val="20"/>
        </w:rPr>
        <w:t>publicada fue de 662 francos suizos</w:t>
      </w:r>
      <w:r w:rsidRPr="00526311">
        <w:rPr>
          <w:sz w:val="20"/>
          <w:highlight w:val="white"/>
        </w:rPr>
        <w:t xml:space="preserve"> en 2014</w:t>
      </w:r>
      <w:r w:rsidRPr="00526311">
        <w:rPr>
          <w:sz w:val="20"/>
        </w:rPr>
        <w:t>, lo que representa una disminución del </w:t>
      </w:r>
      <w:r w:rsidRPr="00526311">
        <w:rPr>
          <w:sz w:val="20"/>
          <w:highlight w:val="white"/>
        </w:rPr>
        <w:t>8.3%</w:t>
      </w:r>
      <w:r w:rsidRPr="00526311">
        <w:rPr>
          <w:sz w:val="20"/>
        </w:rPr>
        <w:t xml:space="preserve"> en comparación con 2013.  Esa disminución se debe a varias medidas destinadas a fomentar la eficiencia, entre otras, la automatización.</w:t>
      </w:r>
    </w:p>
    <w:p w:rsidR="00B45FC3" w:rsidRPr="00526311" w:rsidRDefault="00B45FC3" w:rsidP="0063039A">
      <w:pPr>
        <w:pStyle w:val="ListParagraph"/>
        <w:widowControl w:val="0"/>
        <w:tabs>
          <w:tab w:val="num" w:pos="1134"/>
        </w:tabs>
        <w:ind w:left="1134" w:hanging="567"/>
        <w:rPr>
          <w:lang w:val="es-ES"/>
        </w:rPr>
      </w:pPr>
    </w:p>
    <w:p w:rsidR="00B45FC3" w:rsidRPr="00526311" w:rsidRDefault="00B45FC3" w:rsidP="00B45FC3">
      <w:pPr>
        <w:pStyle w:val="ListParagraph"/>
        <w:widowControl w:val="0"/>
        <w:numPr>
          <w:ilvl w:val="0"/>
          <w:numId w:val="17"/>
        </w:numPr>
        <w:tabs>
          <w:tab w:val="clear" w:pos="720"/>
          <w:tab w:val="num" w:pos="1134"/>
        </w:tabs>
        <w:spacing w:after="200"/>
        <w:ind w:left="1134" w:hanging="567"/>
        <w:contextualSpacing/>
        <w:jc w:val="both"/>
        <w:rPr>
          <w:lang w:val="es-ES"/>
        </w:rPr>
      </w:pPr>
      <w:r w:rsidRPr="00526311">
        <w:rPr>
          <w:highlight w:val="white"/>
          <w:lang w:val="es-ES"/>
        </w:rPr>
        <w:t>El costo medio de tramitación de una solicitud PCT publicada, calculado conforme al método antiguo disminuyó del 5</w:t>
      </w:r>
      <w:r w:rsidRPr="00526311">
        <w:rPr>
          <w:lang w:val="es-ES"/>
        </w:rPr>
        <w:t>% anual en promedio, pasando de</w:t>
      </w:r>
      <w:r w:rsidRPr="00526311">
        <w:rPr>
          <w:highlight w:val="white"/>
          <w:lang w:val="es-ES"/>
        </w:rPr>
        <w:t xml:space="preserve"> 1.042 francos suizos en 2004 a 680 francos suizos en 2012</w:t>
      </w:r>
      <w:r w:rsidRPr="00526311">
        <w:rPr>
          <w:lang w:val="es-ES"/>
        </w:rPr>
        <w:t>.</w:t>
      </w:r>
    </w:p>
    <w:p w:rsidR="00B45FC3" w:rsidRPr="00526311" w:rsidRDefault="00B45FC3" w:rsidP="0063039A">
      <w:pPr>
        <w:widowControl w:val="0"/>
        <w:rPr>
          <w:i/>
          <w:sz w:val="20"/>
          <w:highlight w:val="yellow"/>
        </w:rPr>
      </w:pPr>
    </w:p>
    <w:p w:rsidR="00B45FC3" w:rsidRPr="00526311" w:rsidRDefault="00B45FC3" w:rsidP="0063039A">
      <w:pPr>
        <w:widowControl w:val="0"/>
        <w:rPr>
          <w:i/>
          <w:sz w:val="20"/>
        </w:rPr>
      </w:pPr>
      <w:r w:rsidRPr="00526311">
        <w:rPr>
          <w:i/>
          <w:sz w:val="20"/>
        </w:rPr>
        <w:t>Productividad en el examen de forma</w:t>
      </w:r>
    </w:p>
    <w:p w:rsidR="00B45FC3" w:rsidRPr="00526311" w:rsidRDefault="00B45FC3" w:rsidP="0063039A">
      <w:pPr>
        <w:widowControl w:val="0"/>
        <w:rPr>
          <w:sz w:val="20"/>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La definición de productividad del personal consiste en el valor de la producción (esto es, el número de publicaciones del PCT) dividido entre el número de miembros del personal encargados del examen de forma.</w:t>
      </w:r>
    </w:p>
    <w:p w:rsidR="00B45FC3" w:rsidRPr="00526311" w:rsidRDefault="00B45FC3" w:rsidP="0063039A">
      <w:pPr>
        <w:widowControl w:val="0"/>
        <w:rPr>
          <w:sz w:val="20"/>
        </w:rPr>
      </w:pPr>
    </w:p>
    <w:p w:rsidR="00B45FC3" w:rsidRPr="00526311" w:rsidRDefault="00B45FC3" w:rsidP="0063039A">
      <w:pPr>
        <w:keepNext/>
        <w:widowControl w:val="0"/>
        <w:jc w:val="center"/>
        <w:rPr>
          <w:b/>
          <w:sz w:val="20"/>
        </w:rPr>
      </w:pPr>
      <w:r w:rsidRPr="00526311">
        <w:rPr>
          <w:b/>
          <w:sz w:val="20"/>
        </w:rPr>
        <w:lastRenderedPageBreak/>
        <w:t>Productividad en el examen de forma</w:t>
      </w:r>
    </w:p>
    <w:p w:rsidR="00B45FC3" w:rsidRPr="00526311" w:rsidRDefault="00B45FC3" w:rsidP="0063039A">
      <w:pPr>
        <w:widowControl w:val="0"/>
        <w:jc w:val="center"/>
        <w:rPr>
          <w:b/>
          <w:sz w:val="20"/>
        </w:rPr>
      </w:pPr>
      <w:r w:rsidRPr="00526311">
        <w:rPr>
          <w:b/>
          <w:noProof/>
          <w:sz w:val="20"/>
          <w:lang w:val="en-US" w:eastAsia="en-US"/>
        </w:rPr>
        <w:drawing>
          <wp:inline distT="0" distB="0" distL="0" distR="0" wp14:anchorId="575D2EB9" wp14:editId="2CD6649F">
            <wp:extent cx="5745480" cy="3019425"/>
            <wp:effectExtent l="0" t="0" r="7620" b="9525"/>
            <wp:docPr id="104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5480" cy="3019425"/>
                    </a:xfrm>
                    <a:prstGeom prst="rect">
                      <a:avLst/>
                    </a:prstGeom>
                    <a:noFill/>
                    <a:ln>
                      <a:noFill/>
                    </a:ln>
                  </pic:spPr>
                </pic:pic>
              </a:graphicData>
            </a:graphic>
          </wp:inline>
        </w:drawing>
      </w:r>
    </w:p>
    <w:p w:rsidR="00B45FC3" w:rsidRPr="00526311" w:rsidRDefault="00B45FC3" w:rsidP="00B45FC3">
      <w:pPr>
        <w:pStyle w:val="ListParagraph"/>
        <w:keepNext/>
        <w:widowControl w:val="0"/>
        <w:numPr>
          <w:ilvl w:val="0"/>
          <w:numId w:val="17"/>
        </w:numPr>
        <w:tabs>
          <w:tab w:val="clear" w:pos="720"/>
          <w:tab w:val="num" w:pos="1134"/>
        </w:tabs>
        <w:spacing w:after="200"/>
        <w:ind w:left="1134" w:hanging="567"/>
        <w:contextualSpacing/>
        <w:jc w:val="both"/>
        <w:rPr>
          <w:lang w:val="es-ES"/>
        </w:rPr>
      </w:pPr>
      <w:r w:rsidRPr="00526311">
        <w:rPr>
          <w:highlight w:val="white"/>
          <w:lang w:val="es-ES"/>
        </w:rPr>
        <w:t>Históricamente, la productividad del examen de forma ha aumentado a lo largo del tiempo debido, principalmente, a la automatización que ha permitido que un menor o igual número de miembros del personal pueda tramitar un volumen de trabajo mucho mayor</w:t>
      </w:r>
      <w:r w:rsidRPr="00526311">
        <w:rPr>
          <w:lang w:val="es-ES"/>
        </w:rPr>
        <w:t>.</w:t>
      </w:r>
    </w:p>
    <w:p w:rsidR="00B45FC3" w:rsidRPr="00526311" w:rsidRDefault="00B45FC3" w:rsidP="0063039A">
      <w:pPr>
        <w:widowControl w:val="0"/>
        <w:rPr>
          <w:bCs/>
          <w:sz w:val="20"/>
        </w:rPr>
      </w:pPr>
    </w:p>
    <w:p w:rsidR="00B45FC3" w:rsidRPr="00526311" w:rsidRDefault="00B45FC3" w:rsidP="0063039A">
      <w:pPr>
        <w:widowControl w:val="0"/>
        <w:rPr>
          <w:i/>
          <w:sz w:val="20"/>
        </w:rPr>
      </w:pPr>
      <w:r w:rsidRPr="00526311">
        <w:rPr>
          <w:i/>
          <w:sz w:val="20"/>
        </w:rPr>
        <w:t>Calidad global del examen de forma</w:t>
      </w:r>
    </w:p>
    <w:p w:rsidR="00B45FC3" w:rsidRPr="00526311" w:rsidRDefault="00B45FC3" w:rsidP="0063039A">
      <w:pPr>
        <w:widowControl w:val="0"/>
        <w:rPr>
          <w:sz w:val="20"/>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Con el fin de medir la calidad del trabajo realizado por la Oficina Internacional de una manera sencilla e integral, la Oficina Internacional ha elaborado un indicador de calidad global, que es el promedio de cuatro indicadores de calidad principales.   Tres de ellos se basan en el tiempo necesario para efectuar las transacciones fundamentales:  acuse de recibo de la solicitud PCT, publicación y nueva publicación.   El cuarto indicador da cuenta de los errores cometidos en el curso de la tramitación de solicitudes PCT.</w:t>
      </w:r>
    </w:p>
    <w:p w:rsidR="00B45FC3" w:rsidRPr="00526311" w:rsidRDefault="00B45FC3" w:rsidP="0063039A">
      <w:pPr>
        <w:widowControl w:val="0"/>
        <w:rPr>
          <w:sz w:val="20"/>
        </w:rPr>
      </w:pPr>
    </w:p>
    <w:p w:rsidR="00B45FC3" w:rsidRPr="00526311" w:rsidRDefault="00B45FC3" w:rsidP="0063039A">
      <w:pPr>
        <w:pStyle w:val="BodyText2"/>
        <w:widowControl w:val="0"/>
        <w:spacing w:line="240" w:lineRule="auto"/>
        <w:jc w:val="center"/>
        <w:rPr>
          <w:rFonts w:cs="Arial"/>
          <w:b/>
          <w:bCs/>
          <w:szCs w:val="18"/>
          <w:lang w:val="es-ES"/>
        </w:rPr>
      </w:pPr>
      <w:r w:rsidRPr="00526311">
        <w:rPr>
          <w:rFonts w:cs="Arial"/>
          <w:b/>
          <w:bCs/>
          <w:szCs w:val="18"/>
          <w:lang w:val="es-ES"/>
        </w:rPr>
        <w:t>Índice de calidad del examen de forma</w:t>
      </w:r>
    </w:p>
    <w:p w:rsidR="00B45FC3" w:rsidRPr="00526311" w:rsidRDefault="00B45FC3" w:rsidP="0063039A">
      <w:pPr>
        <w:pStyle w:val="BodyText2"/>
        <w:widowControl w:val="0"/>
        <w:spacing w:line="240" w:lineRule="auto"/>
        <w:jc w:val="center"/>
        <w:rPr>
          <w:rFonts w:cs="Arial"/>
          <w:b/>
          <w:bCs/>
          <w:szCs w:val="18"/>
          <w:lang w:val="es-ES"/>
        </w:rPr>
      </w:pPr>
      <w:r w:rsidRPr="00526311">
        <w:rPr>
          <w:noProof/>
        </w:rPr>
        <w:drawing>
          <wp:inline distT="0" distB="0" distL="0" distR="0" wp14:anchorId="37DEF371" wp14:editId="7F2DFB0E">
            <wp:extent cx="5746115" cy="2662721"/>
            <wp:effectExtent l="0" t="0" r="6985" b="444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46115" cy="2662721"/>
                    </a:xfrm>
                    <a:prstGeom prst="rect">
                      <a:avLst/>
                    </a:prstGeom>
                    <a:noFill/>
                    <a:ln>
                      <a:noFill/>
                    </a:ln>
                  </pic:spPr>
                </pic:pic>
              </a:graphicData>
            </a:graphic>
          </wp:inline>
        </w:drawing>
      </w:r>
    </w:p>
    <w:p w:rsidR="00B45FC3" w:rsidRPr="00526311" w:rsidRDefault="00B45FC3" w:rsidP="00B45FC3">
      <w:pPr>
        <w:widowControl w:val="0"/>
        <w:numPr>
          <w:ilvl w:val="0"/>
          <w:numId w:val="23"/>
        </w:numPr>
        <w:ind w:left="1134" w:hanging="584"/>
        <w:jc w:val="both"/>
        <w:rPr>
          <w:sz w:val="20"/>
        </w:rPr>
      </w:pPr>
      <w:r w:rsidRPr="00526311">
        <w:rPr>
          <w:sz w:val="20"/>
        </w:rPr>
        <w:t xml:space="preserve">La calidad general, de acuerdo con el índice global, ha mejorado notablemente, pasando del </w:t>
      </w:r>
      <w:r w:rsidRPr="00526311">
        <w:rPr>
          <w:sz w:val="20"/>
          <w:highlight w:val="white"/>
        </w:rPr>
        <w:t>81%</w:t>
      </w:r>
      <w:r w:rsidRPr="00526311">
        <w:rPr>
          <w:sz w:val="20"/>
        </w:rPr>
        <w:t>, en promedio, en 2007 al 93,1%</w:t>
      </w:r>
      <w:r w:rsidRPr="00526311">
        <w:rPr>
          <w:sz w:val="20"/>
          <w:highlight w:val="white"/>
        </w:rPr>
        <w:t xml:space="preserve"> en 2014</w:t>
      </w:r>
      <w:r w:rsidRPr="00526311">
        <w:rPr>
          <w:sz w:val="20"/>
        </w:rPr>
        <w:t>.</w:t>
      </w:r>
    </w:p>
    <w:p w:rsidR="00B45FC3" w:rsidRPr="00526311" w:rsidRDefault="00B45FC3" w:rsidP="0063039A">
      <w:pPr>
        <w:keepLines/>
        <w:widowControl w:val="0"/>
        <w:ind w:left="1134"/>
        <w:jc w:val="both"/>
        <w:rPr>
          <w:sz w:val="20"/>
        </w:rPr>
      </w:pPr>
    </w:p>
    <w:p w:rsidR="00B45FC3" w:rsidRPr="00526311" w:rsidRDefault="00B45FC3" w:rsidP="002B55A2">
      <w:pPr>
        <w:keepLines/>
        <w:widowControl w:val="0"/>
        <w:numPr>
          <w:ilvl w:val="0"/>
          <w:numId w:val="23"/>
        </w:numPr>
        <w:ind w:left="1134" w:hanging="584"/>
        <w:jc w:val="both"/>
        <w:rPr>
          <w:sz w:val="20"/>
        </w:rPr>
      </w:pPr>
      <w:r w:rsidRPr="00526311">
        <w:rPr>
          <w:sz w:val="20"/>
        </w:rPr>
        <w:lastRenderedPageBreak/>
        <w:t>El notable aumento del índice de calidad en</w:t>
      </w:r>
      <w:r w:rsidRPr="00526311">
        <w:rPr>
          <w:sz w:val="20"/>
          <w:highlight w:val="white"/>
        </w:rPr>
        <w:t xml:space="preserve"> 2014 se debe, principalmente, a la disminución del tiempo necesario para realizar el examen de forma</w:t>
      </w:r>
      <w:r w:rsidRPr="00526311">
        <w:rPr>
          <w:sz w:val="20"/>
        </w:rPr>
        <w:t xml:space="preserve">, </w:t>
      </w:r>
      <w:r w:rsidRPr="00526311">
        <w:rPr>
          <w:sz w:val="20"/>
          <w:highlight w:val="white"/>
        </w:rPr>
        <w:t>así como al menor retraso en la nueva publicación de las solicitudes junto con los informes de búsqueda internacional</w:t>
      </w:r>
      <w:r w:rsidRPr="00526311">
        <w:rPr>
          <w:sz w:val="20"/>
        </w:rPr>
        <w:t>.  La caída en el índice de calidad observada durante el período 2010–2013 se debe,</w:t>
      </w:r>
      <w:r w:rsidR="002B55A2" w:rsidRPr="00526311">
        <w:rPr>
          <w:sz w:val="20"/>
        </w:rPr>
        <w:t xml:space="preserve"> </w:t>
      </w:r>
      <w:r w:rsidRPr="00526311">
        <w:rPr>
          <w:sz w:val="20"/>
        </w:rPr>
        <w:t>principalmente, al retraso en el examen de forma y la nueva publicación.</w:t>
      </w:r>
    </w:p>
    <w:p w:rsidR="00B45FC3" w:rsidRPr="00526311" w:rsidRDefault="00B45FC3" w:rsidP="0063039A">
      <w:pPr>
        <w:widowControl w:val="0"/>
        <w:jc w:val="both"/>
        <w:rPr>
          <w:sz w:val="20"/>
        </w:rPr>
      </w:pPr>
    </w:p>
    <w:p w:rsidR="00B45FC3" w:rsidRPr="00526311" w:rsidRDefault="00B45FC3" w:rsidP="0063039A">
      <w:pPr>
        <w:pStyle w:val="ListParagraph"/>
        <w:widowControl w:val="0"/>
        <w:ind w:left="0"/>
        <w:rPr>
          <w:rFonts w:cs="Arial"/>
          <w:lang w:val="es-ES"/>
        </w:rPr>
      </w:pPr>
    </w:p>
    <w:p w:rsidR="00B45FC3" w:rsidRPr="00526311" w:rsidRDefault="00B45FC3" w:rsidP="0063039A">
      <w:pPr>
        <w:widowControl w:val="0"/>
        <w:rPr>
          <w:i/>
          <w:sz w:val="20"/>
        </w:rPr>
      </w:pPr>
      <w:r w:rsidRPr="00526311">
        <w:rPr>
          <w:i/>
          <w:sz w:val="20"/>
        </w:rPr>
        <w:t>Tiempo necesario para el examen de forma</w:t>
      </w:r>
    </w:p>
    <w:p w:rsidR="00B45FC3" w:rsidRPr="00526311" w:rsidRDefault="00B45FC3" w:rsidP="0063039A">
      <w:pPr>
        <w:widowControl w:val="0"/>
        <w:rPr>
          <w:b/>
          <w:sz w:val="20"/>
        </w:rPr>
      </w:pPr>
    </w:p>
    <w:p w:rsidR="00B45FC3" w:rsidRPr="00526311" w:rsidRDefault="00B45FC3" w:rsidP="002B55A2">
      <w:pPr>
        <w:widowControl w:val="0"/>
        <w:numPr>
          <w:ilvl w:val="0"/>
          <w:numId w:val="19"/>
        </w:numPr>
        <w:tabs>
          <w:tab w:val="clear" w:pos="709"/>
          <w:tab w:val="num" w:pos="567"/>
        </w:tabs>
        <w:ind w:left="0"/>
        <w:jc w:val="both"/>
        <w:rPr>
          <w:b/>
          <w:sz w:val="20"/>
        </w:rPr>
      </w:pPr>
      <w:r w:rsidRPr="00526311">
        <w:rPr>
          <w:sz w:val="20"/>
        </w:rPr>
        <w:t>Este indicador refleja más detalladamente uno de los componentes del indicador global de calidad, esto es el tiempo que necesita la Oficina Internacional para enviar el formulario 301.   Este formulario es expedido una vez completado el examen de forma de la solicitud.  Los solicitantes agradecen que se les envíe ese formulario lo antes posible, puesto que constituye un acuse de recibo de la solicitud en la Oficina Internacional y les permite saber si su solicitud presenta errores formales.</w:t>
      </w:r>
    </w:p>
    <w:p w:rsidR="00B45FC3" w:rsidRPr="00526311" w:rsidRDefault="00B45FC3" w:rsidP="0063039A">
      <w:pPr>
        <w:widowControl w:val="0"/>
        <w:rPr>
          <w:b/>
        </w:rPr>
      </w:pPr>
    </w:p>
    <w:p w:rsidR="00B45FC3" w:rsidRPr="00526311" w:rsidRDefault="00B45FC3" w:rsidP="0063039A">
      <w:pPr>
        <w:widowControl w:val="0"/>
        <w:rPr>
          <w:b/>
        </w:rPr>
      </w:pPr>
      <w:r w:rsidRPr="00526311">
        <w:rPr>
          <w:b/>
          <w:noProof/>
          <w:lang w:val="en-US" w:eastAsia="en-US"/>
        </w:rPr>
        <w:drawing>
          <wp:inline distT="0" distB="0" distL="0" distR="0" wp14:anchorId="22055374" wp14:editId="415F5D49">
            <wp:extent cx="5741670" cy="2434590"/>
            <wp:effectExtent l="0" t="0" r="0" b="3810"/>
            <wp:docPr id="104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1670" cy="2434590"/>
                    </a:xfrm>
                    <a:prstGeom prst="rect">
                      <a:avLst/>
                    </a:prstGeom>
                    <a:noFill/>
                    <a:ln>
                      <a:noFill/>
                    </a:ln>
                  </pic:spPr>
                </pic:pic>
              </a:graphicData>
            </a:graphic>
          </wp:inline>
        </w:drawing>
      </w:r>
    </w:p>
    <w:p w:rsidR="00B45FC3" w:rsidRPr="00526311" w:rsidRDefault="00B45FC3" w:rsidP="0063039A">
      <w:pPr>
        <w:widowControl w:val="0"/>
        <w:rPr>
          <w:b/>
          <w:sz w:val="20"/>
        </w:rPr>
      </w:pPr>
    </w:p>
    <w:p w:rsidR="00B45FC3" w:rsidRPr="00526311" w:rsidRDefault="00B45FC3" w:rsidP="0063039A">
      <w:pPr>
        <w:widowControl w:val="0"/>
        <w:rPr>
          <w:i/>
          <w:sz w:val="20"/>
        </w:rPr>
      </w:pPr>
      <w:r w:rsidRPr="00526311">
        <w:rPr>
          <w:i/>
          <w:sz w:val="20"/>
        </w:rPr>
        <w:t>Tiempo necesario para la publicación</w:t>
      </w:r>
    </w:p>
    <w:p w:rsidR="00B45FC3" w:rsidRPr="00526311" w:rsidRDefault="00B45FC3" w:rsidP="0063039A">
      <w:pPr>
        <w:widowControl w:val="0"/>
        <w:rPr>
          <w:sz w:val="20"/>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Este indicador refleja con más detalle uno de los componentes del indicador global de calidad, esto es, el tiempo que tarda la Oficina Internacional en publicar la solicitud.   El artículo 21.2)a) del PCT establece que  “[…] la publicación internacional de la solicitud internacional se efectuará rápidamente tras el vencimiento de un plazo de 18 meses desde la fecha de prioridad de esa solicitud”.</w:t>
      </w:r>
    </w:p>
    <w:p w:rsidR="00B45FC3" w:rsidRPr="00526311" w:rsidRDefault="00B45FC3" w:rsidP="0063039A">
      <w:pPr>
        <w:pStyle w:val="BodyText2"/>
        <w:widowControl w:val="0"/>
        <w:spacing w:line="240" w:lineRule="auto"/>
        <w:rPr>
          <w:rFonts w:cs="Arial"/>
          <w:szCs w:val="20"/>
          <w:lang w:val="es-ES"/>
        </w:rPr>
      </w:pPr>
      <w:r w:rsidRPr="00526311">
        <w:rPr>
          <w:rFonts w:cs="Arial"/>
          <w:noProof/>
          <w:szCs w:val="20"/>
        </w:rPr>
        <w:drawing>
          <wp:inline distT="0" distB="0" distL="0" distR="0" wp14:anchorId="028A92B0" wp14:editId="192A2343">
            <wp:extent cx="5741670" cy="2711450"/>
            <wp:effectExtent l="0" t="0" r="0" b="0"/>
            <wp:docPr id="100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1670" cy="2711450"/>
                    </a:xfrm>
                    <a:prstGeom prst="rect">
                      <a:avLst/>
                    </a:prstGeom>
                    <a:noFill/>
                    <a:ln>
                      <a:noFill/>
                    </a:ln>
                  </pic:spPr>
                </pic:pic>
              </a:graphicData>
            </a:graphic>
          </wp:inline>
        </w:drawing>
      </w:r>
    </w:p>
    <w:p w:rsidR="00B45FC3" w:rsidRPr="00526311" w:rsidRDefault="00B45FC3" w:rsidP="0063039A">
      <w:pPr>
        <w:keepNext/>
        <w:keepLines/>
        <w:widowControl w:val="0"/>
        <w:rPr>
          <w:i/>
          <w:sz w:val="20"/>
        </w:rPr>
      </w:pPr>
      <w:r w:rsidRPr="00526311">
        <w:rPr>
          <w:i/>
          <w:sz w:val="20"/>
        </w:rPr>
        <w:lastRenderedPageBreak/>
        <w:t>Tiempo necesario para una nueva publicación</w:t>
      </w:r>
    </w:p>
    <w:p w:rsidR="00B45FC3" w:rsidRPr="00526311" w:rsidRDefault="00B45FC3" w:rsidP="0063039A">
      <w:pPr>
        <w:keepNext/>
        <w:keepLines/>
        <w:widowControl w:val="0"/>
        <w:rPr>
          <w:sz w:val="20"/>
        </w:rPr>
      </w:pPr>
    </w:p>
    <w:p w:rsidR="00B45FC3" w:rsidRPr="00526311" w:rsidRDefault="00B45FC3" w:rsidP="002B55A2">
      <w:pPr>
        <w:keepNext/>
        <w:keepLines/>
        <w:widowControl w:val="0"/>
        <w:numPr>
          <w:ilvl w:val="0"/>
          <w:numId w:val="19"/>
        </w:numPr>
        <w:tabs>
          <w:tab w:val="clear" w:pos="709"/>
          <w:tab w:val="num" w:pos="567"/>
        </w:tabs>
        <w:ind w:left="0"/>
        <w:jc w:val="both"/>
        <w:rPr>
          <w:sz w:val="20"/>
        </w:rPr>
      </w:pPr>
      <w:r w:rsidRPr="00526311">
        <w:rPr>
          <w:sz w:val="20"/>
          <w:highlight w:val="white"/>
        </w:rPr>
        <w:t xml:space="preserve">Este indicador refleja con más detalle uno de los componentes del indicador global de calidad, esto es, el tiempo que tarda la Oficina Internacional </w:t>
      </w:r>
      <w:r w:rsidRPr="00526311">
        <w:rPr>
          <w:sz w:val="20"/>
        </w:rPr>
        <w:t>en llevar a cabo la nueva publicación de</w:t>
      </w:r>
      <w:r w:rsidRPr="00526311">
        <w:rPr>
          <w:sz w:val="20"/>
          <w:highlight w:val="white"/>
        </w:rPr>
        <w:t xml:space="preserve"> la solicitud, junto con el informe de búsqueda internacional</w:t>
      </w:r>
      <w:r w:rsidRPr="00526311">
        <w:rPr>
          <w:sz w:val="20"/>
        </w:rPr>
        <w:t>.  Algunas solicitudes internacionales se publican sin su informe de búsqueda internacional, ya que las Administraciones encargadas de la búsqueda internacional los comunican con retraso.</w:t>
      </w:r>
    </w:p>
    <w:p w:rsidR="00B45FC3" w:rsidRPr="00526311" w:rsidRDefault="00B45FC3" w:rsidP="0063039A">
      <w:pPr>
        <w:widowControl w:val="0"/>
        <w:rPr>
          <w:sz w:val="20"/>
        </w:rPr>
      </w:pPr>
    </w:p>
    <w:p w:rsidR="00B45FC3" w:rsidRPr="00526311" w:rsidRDefault="00B45FC3" w:rsidP="0063039A">
      <w:pPr>
        <w:widowControl w:val="0"/>
        <w:rPr>
          <w:sz w:val="20"/>
        </w:rPr>
      </w:pPr>
      <w:r w:rsidRPr="00526311">
        <w:rPr>
          <w:noProof/>
          <w:sz w:val="20"/>
          <w:lang w:val="en-US" w:eastAsia="en-US"/>
        </w:rPr>
        <w:drawing>
          <wp:inline distT="0" distB="0" distL="0" distR="0" wp14:anchorId="00977319" wp14:editId="4D274193">
            <wp:extent cx="5741670" cy="2637155"/>
            <wp:effectExtent l="0" t="0" r="0" b="0"/>
            <wp:docPr id="100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1670" cy="2637155"/>
                    </a:xfrm>
                    <a:prstGeom prst="rect">
                      <a:avLst/>
                    </a:prstGeom>
                    <a:noFill/>
                    <a:ln>
                      <a:noFill/>
                    </a:ln>
                  </pic:spPr>
                </pic:pic>
              </a:graphicData>
            </a:graphic>
          </wp:inline>
        </w:drawing>
      </w:r>
    </w:p>
    <w:p w:rsidR="00B45FC3" w:rsidRPr="00526311" w:rsidRDefault="00B45FC3" w:rsidP="0063039A">
      <w:pPr>
        <w:widowControl w:val="0"/>
        <w:rPr>
          <w:i/>
          <w:sz w:val="20"/>
        </w:rPr>
      </w:pPr>
    </w:p>
    <w:p w:rsidR="00B45FC3" w:rsidRPr="00526311" w:rsidRDefault="00B45FC3" w:rsidP="0063039A">
      <w:pPr>
        <w:widowControl w:val="0"/>
        <w:rPr>
          <w:i/>
          <w:sz w:val="20"/>
        </w:rPr>
      </w:pPr>
      <w:r w:rsidRPr="00526311">
        <w:rPr>
          <w:i/>
          <w:sz w:val="20"/>
        </w:rPr>
        <w:t xml:space="preserve">Calidad de la traducción </w:t>
      </w:r>
    </w:p>
    <w:p w:rsidR="00B45FC3" w:rsidRPr="00526311" w:rsidRDefault="00B45FC3" w:rsidP="0063039A">
      <w:pPr>
        <w:widowControl w:val="0"/>
        <w:rPr>
          <w:sz w:val="20"/>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 xml:space="preserve">Con el fin de evaluar la calidad de la traducción, se extrae una muestra aleatoria de los extractos y de los informes de patentabilidad preparados bajo la responsabilidad de la Oficina;  la muestra está compuesta por un número de documentos calculado estadísticamente.  La evaluación permite determinar si una traducción es "aceptable" o "no aceptable".   El indicador engloba los resultados del control de calidad realizado por la Oficina Internacional respecto de todas las combinaciones lingüísticas y todos los tipos de documentos.   Se interrumpe la colaboración con aquellas agencias cuya tasa de traducciones consideradas "aceptables" sea sistemáticamente inferior al 80%. </w:t>
      </w:r>
    </w:p>
    <w:p w:rsidR="00B45FC3" w:rsidRPr="00526311" w:rsidRDefault="00B45FC3" w:rsidP="0063039A">
      <w:pPr>
        <w:widowControl w:val="0"/>
        <w:jc w:val="center"/>
        <w:rPr>
          <w:sz w:val="20"/>
          <w:highlight w:val="yellow"/>
        </w:rPr>
      </w:pPr>
    </w:p>
    <w:p w:rsidR="00B45FC3" w:rsidRPr="00526311" w:rsidRDefault="00B45FC3" w:rsidP="0063039A">
      <w:pPr>
        <w:widowControl w:val="0"/>
        <w:jc w:val="center"/>
        <w:rPr>
          <w:b/>
          <w:sz w:val="20"/>
        </w:rPr>
      </w:pPr>
      <w:r w:rsidRPr="00526311">
        <w:rPr>
          <w:b/>
          <w:sz w:val="20"/>
          <w:highlight w:val="white"/>
        </w:rPr>
        <w:t>Calidad de la traducción en el PCT</w:t>
      </w:r>
    </w:p>
    <w:p w:rsidR="00B45FC3" w:rsidRPr="00526311" w:rsidRDefault="00B45FC3" w:rsidP="0063039A">
      <w:pPr>
        <w:widowControl w:val="0"/>
        <w:jc w:val="center"/>
        <w:rPr>
          <w:b/>
          <w:sz w:val="20"/>
        </w:rPr>
      </w:pPr>
      <w:r w:rsidRPr="00526311">
        <w:rPr>
          <w:b/>
          <w:noProof/>
          <w:sz w:val="20"/>
          <w:lang w:val="en-US" w:eastAsia="en-US"/>
        </w:rPr>
        <w:drawing>
          <wp:inline distT="0" distB="0" distL="0" distR="0" wp14:anchorId="760B86C8" wp14:editId="333E9EEB">
            <wp:extent cx="5741670" cy="3274695"/>
            <wp:effectExtent l="0" t="0" r="0" b="1905"/>
            <wp:docPr id="100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1670" cy="3274695"/>
                    </a:xfrm>
                    <a:prstGeom prst="rect">
                      <a:avLst/>
                    </a:prstGeom>
                    <a:noFill/>
                    <a:ln>
                      <a:noFill/>
                    </a:ln>
                  </pic:spPr>
                </pic:pic>
              </a:graphicData>
            </a:graphic>
          </wp:inline>
        </w:drawing>
      </w:r>
    </w:p>
    <w:p w:rsidR="00B45FC3" w:rsidRPr="00526311" w:rsidRDefault="00B45FC3" w:rsidP="0063039A">
      <w:pPr>
        <w:widowControl w:val="0"/>
        <w:rPr>
          <w:sz w:val="20"/>
          <w:highlight w:val="yellow"/>
        </w:rPr>
      </w:pPr>
    </w:p>
    <w:p w:rsidR="00B45FC3" w:rsidRPr="00526311" w:rsidRDefault="00B45FC3" w:rsidP="0063039A">
      <w:pPr>
        <w:keepNext/>
        <w:widowControl w:val="0"/>
        <w:rPr>
          <w:i/>
          <w:sz w:val="20"/>
        </w:rPr>
      </w:pPr>
      <w:r w:rsidRPr="00526311">
        <w:rPr>
          <w:i/>
          <w:sz w:val="20"/>
        </w:rPr>
        <w:lastRenderedPageBreak/>
        <w:t>Tiempo necesario para la traducción de informes</w:t>
      </w:r>
    </w:p>
    <w:p w:rsidR="00B45FC3" w:rsidRPr="00526311" w:rsidRDefault="00B45FC3" w:rsidP="0063039A">
      <w:pPr>
        <w:keepNext/>
        <w:widowControl w:val="0"/>
        <w:rPr>
          <w:sz w:val="20"/>
        </w:rPr>
      </w:pPr>
    </w:p>
    <w:p w:rsidR="00B45FC3" w:rsidRPr="00526311" w:rsidRDefault="00B45FC3" w:rsidP="002B55A2">
      <w:pPr>
        <w:keepNext/>
        <w:widowControl w:val="0"/>
        <w:numPr>
          <w:ilvl w:val="0"/>
          <w:numId w:val="19"/>
        </w:numPr>
        <w:tabs>
          <w:tab w:val="clear" w:pos="709"/>
          <w:tab w:val="num" w:pos="567"/>
        </w:tabs>
        <w:ind w:left="0"/>
        <w:jc w:val="both"/>
        <w:rPr>
          <w:sz w:val="20"/>
        </w:rPr>
      </w:pPr>
      <w:r w:rsidRPr="00526311">
        <w:rPr>
          <w:sz w:val="20"/>
        </w:rPr>
        <w:t>Este indicador proporciona información sobre el tiempo necesario para que la Oficina Internacional ponga la traducción del informe sobre la patentabilidad a disposición de los solicitantes y las Oficinas.  Desde 2010, no ha dejado de aumentar la proporción de traducciones de informes sobre la patentabilidad entregados dentro de los 30 meses contados a partir de la fecha de prioridad de la solicitud internacional.  En 2014, el 82,5%</w:t>
      </w:r>
      <w:r w:rsidRPr="00526311">
        <w:rPr>
          <w:sz w:val="20"/>
          <w:highlight w:val="white"/>
        </w:rPr>
        <w:t xml:space="preserve"> de las traducciones de informes sobre la patentabilidad se entregó dentro de los 30 meses contados a partir de la fecha de prioridad</w:t>
      </w:r>
      <w:r w:rsidRPr="00526311">
        <w:rPr>
          <w:sz w:val="20"/>
        </w:rPr>
        <w:t>.</w:t>
      </w:r>
    </w:p>
    <w:p w:rsidR="00B45FC3" w:rsidRPr="00526311" w:rsidRDefault="00B45FC3" w:rsidP="0063039A">
      <w:pPr>
        <w:widowControl w:val="0"/>
        <w:ind w:left="142"/>
        <w:jc w:val="both"/>
        <w:rPr>
          <w:sz w:val="20"/>
        </w:rPr>
      </w:pPr>
    </w:p>
    <w:p w:rsidR="00B45FC3" w:rsidRPr="00526311" w:rsidRDefault="00B45FC3" w:rsidP="0063039A">
      <w:pPr>
        <w:widowControl w:val="0"/>
        <w:ind w:left="142"/>
        <w:jc w:val="center"/>
        <w:rPr>
          <w:b/>
          <w:sz w:val="20"/>
        </w:rPr>
      </w:pPr>
      <w:r w:rsidRPr="00526311">
        <w:rPr>
          <w:b/>
          <w:sz w:val="20"/>
        </w:rPr>
        <w:t>Tiempo necesario para la traducción de informes</w:t>
      </w:r>
    </w:p>
    <w:p w:rsidR="00B45FC3" w:rsidRPr="00526311" w:rsidRDefault="00B45FC3" w:rsidP="0063039A">
      <w:pPr>
        <w:widowControl w:val="0"/>
        <w:ind w:left="142"/>
        <w:jc w:val="center"/>
        <w:rPr>
          <w:b/>
          <w:sz w:val="20"/>
        </w:rPr>
      </w:pPr>
      <w:r w:rsidRPr="00526311">
        <w:rPr>
          <w:b/>
          <w:noProof/>
          <w:sz w:val="20"/>
          <w:lang w:val="en-US" w:eastAsia="en-US"/>
        </w:rPr>
        <w:drawing>
          <wp:inline distT="0" distB="0" distL="0" distR="0" wp14:anchorId="04636562" wp14:editId="74350311">
            <wp:extent cx="5741670" cy="2371090"/>
            <wp:effectExtent l="0" t="0" r="0" b="0"/>
            <wp:docPr id="100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1670" cy="2371090"/>
                    </a:xfrm>
                    <a:prstGeom prst="rect">
                      <a:avLst/>
                    </a:prstGeom>
                    <a:noFill/>
                    <a:ln>
                      <a:noFill/>
                    </a:ln>
                  </pic:spPr>
                </pic:pic>
              </a:graphicData>
            </a:graphic>
          </wp:inline>
        </w:drawing>
      </w:r>
    </w:p>
    <w:p w:rsidR="00B45FC3" w:rsidRPr="00526311" w:rsidRDefault="00B45FC3" w:rsidP="0063039A">
      <w:pPr>
        <w:widowControl w:val="0"/>
        <w:rPr>
          <w:i/>
          <w:sz w:val="20"/>
        </w:rPr>
      </w:pPr>
      <w:r w:rsidRPr="00526311">
        <w:rPr>
          <w:i/>
          <w:sz w:val="20"/>
        </w:rPr>
        <w:t>Calidad del desarrollo de programas informáticos</w:t>
      </w:r>
    </w:p>
    <w:p w:rsidR="00B45FC3" w:rsidRPr="00526311" w:rsidRDefault="00B45FC3" w:rsidP="0063039A">
      <w:pPr>
        <w:widowControl w:val="0"/>
        <w:jc w:val="both"/>
        <w:rPr>
          <w:b/>
          <w:sz w:val="20"/>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highlight w:val="white"/>
        </w:rPr>
        <w:t xml:space="preserve">El indicador de calidad del desarrollo de programas informáticos proporciona una medida de la calidad de las principales versiones de </w:t>
      </w:r>
      <w:r w:rsidRPr="00526311">
        <w:rPr>
          <w:i/>
          <w:sz w:val="20"/>
          <w:highlight w:val="white"/>
        </w:rPr>
        <w:t>software</w:t>
      </w:r>
      <w:r w:rsidRPr="00526311">
        <w:rPr>
          <w:sz w:val="20"/>
          <w:highlight w:val="white"/>
        </w:rPr>
        <w:t xml:space="preserve"> para</w:t>
      </w:r>
      <w:r w:rsidRPr="00526311">
        <w:rPr>
          <w:sz w:val="20"/>
        </w:rPr>
        <w:t xml:space="preserve"> los proyectos </w:t>
      </w:r>
      <w:r w:rsidRPr="00526311">
        <w:rPr>
          <w:i/>
          <w:sz w:val="20"/>
        </w:rPr>
        <w:t>eDossier</w:t>
      </w:r>
      <w:r w:rsidRPr="00526311">
        <w:rPr>
          <w:sz w:val="20"/>
        </w:rPr>
        <w:t xml:space="preserve"> y </w:t>
      </w:r>
      <w:r w:rsidRPr="00526311">
        <w:rPr>
          <w:i/>
          <w:sz w:val="20"/>
        </w:rPr>
        <w:t>ePCT</w:t>
      </w:r>
      <w:r w:rsidRPr="00526311">
        <w:rPr>
          <w:sz w:val="20"/>
        </w:rPr>
        <w:t>.  La calidad del desarrollo de programas informáticos refleja el porcentaje de tiempo dedicado a aportar nuevas funciones a las versiones (es decir, trabajo), sobre el total de tiempo utilizado (es decir, trabajo + modificaciones).  Las modificaciones representan el tiempo dedicado a corregir el trabajo defectuoso detectado en el entorno de producción.</w:t>
      </w:r>
    </w:p>
    <w:p w:rsidR="00B45FC3" w:rsidRPr="00526311" w:rsidRDefault="00B45FC3" w:rsidP="0063039A">
      <w:pPr>
        <w:widowControl w:val="0"/>
        <w:jc w:val="both"/>
        <w:rPr>
          <w:sz w:val="20"/>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En el marco de este enfoque, los productos desarrollados que solo requieran ligeras modificaciones se considerarán de alta calidad, pues reflejan la extensión del valor añadido al producto mediante la incorporación de nuevas funciones.</w:t>
      </w:r>
    </w:p>
    <w:p w:rsidR="00B45FC3" w:rsidRPr="00526311" w:rsidRDefault="00B45FC3" w:rsidP="0063039A">
      <w:pPr>
        <w:widowControl w:val="0"/>
        <w:jc w:val="both"/>
        <w:rPr>
          <w:sz w:val="20"/>
        </w:rPr>
      </w:pPr>
    </w:p>
    <w:p w:rsidR="00B45FC3" w:rsidRPr="00526311" w:rsidRDefault="00B45FC3" w:rsidP="00B45FC3">
      <w:pPr>
        <w:widowControl w:val="0"/>
        <w:numPr>
          <w:ilvl w:val="0"/>
          <w:numId w:val="19"/>
        </w:numPr>
        <w:tabs>
          <w:tab w:val="clear" w:pos="709"/>
          <w:tab w:val="num" w:pos="567"/>
        </w:tabs>
        <w:ind w:left="0"/>
        <w:rPr>
          <w:sz w:val="20"/>
        </w:rPr>
      </w:pPr>
      <w:r w:rsidRPr="00526311">
        <w:rPr>
          <w:sz w:val="20"/>
        </w:rPr>
        <w:t>La calidad del desarrollo de programas informáticos se define de la manera siguiente:</w:t>
      </w:r>
    </w:p>
    <w:p w:rsidR="00B45FC3" w:rsidRPr="00526311" w:rsidRDefault="00B45FC3" w:rsidP="0063039A">
      <w:pPr>
        <w:pStyle w:val="ListParagraph"/>
        <w:widowControl w:val="0"/>
        <w:ind w:left="0"/>
        <w:rPr>
          <w:rFonts w:cs="Arial"/>
          <w:lang w:val="es-ES"/>
        </w:rPr>
      </w:pPr>
    </w:p>
    <w:p w:rsidR="00B45FC3" w:rsidRPr="00526311" w:rsidRDefault="00B45FC3" w:rsidP="0063039A">
      <w:pPr>
        <w:widowControl w:val="0"/>
        <w:jc w:val="center"/>
        <w:rPr>
          <w:sz w:val="20"/>
        </w:rPr>
      </w:pPr>
      <w:r w:rsidRPr="00526311">
        <w:rPr>
          <w:noProof/>
          <w:sz w:val="20"/>
          <w:lang w:val="en-US" w:eastAsia="en-US"/>
        </w:rPr>
        <w:drawing>
          <wp:inline distT="0" distB="0" distL="0" distR="0" wp14:anchorId="30C3924C" wp14:editId="59D02F78">
            <wp:extent cx="4614545" cy="351155"/>
            <wp:effectExtent l="0" t="0" r="0" b="0"/>
            <wp:docPr id="805" name="Imagen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4545" cy="351155"/>
                    </a:xfrm>
                    <a:prstGeom prst="rect">
                      <a:avLst/>
                    </a:prstGeom>
                    <a:noFill/>
                    <a:ln>
                      <a:noFill/>
                    </a:ln>
                  </pic:spPr>
                </pic:pic>
              </a:graphicData>
            </a:graphic>
          </wp:inline>
        </w:drawing>
      </w:r>
    </w:p>
    <w:p w:rsidR="00B45FC3" w:rsidRPr="00526311" w:rsidRDefault="00B45FC3" w:rsidP="0063039A">
      <w:pPr>
        <w:pStyle w:val="BodyText2"/>
        <w:widowControl w:val="0"/>
        <w:spacing w:after="0" w:line="240" w:lineRule="auto"/>
        <w:jc w:val="both"/>
        <w:rPr>
          <w:rFonts w:cs="Arial"/>
          <w:szCs w:val="20"/>
          <w:lang w:val="es-ES"/>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highlight w:val="white"/>
        </w:rPr>
        <w:t>En 2014, la calidad de las principales versiones</w:t>
      </w:r>
      <w:r w:rsidRPr="00526311">
        <w:rPr>
          <w:sz w:val="20"/>
        </w:rPr>
        <w:t>, definida por la calidad del desarrollo de programas informáticos, fue del 94,3%.  Esa proporción equivale a prácticamente cinco puntos porcentuales más que en 2013.</w:t>
      </w:r>
    </w:p>
    <w:p w:rsidR="00B45FC3" w:rsidRPr="00526311" w:rsidRDefault="00B45FC3" w:rsidP="0063039A">
      <w:pPr>
        <w:widowControl w:val="0"/>
        <w:rPr>
          <w:sz w:val="20"/>
        </w:rPr>
      </w:pPr>
    </w:p>
    <w:p w:rsidR="00B45FC3" w:rsidRPr="00526311" w:rsidRDefault="00B45FC3" w:rsidP="0063039A">
      <w:pPr>
        <w:keepNext/>
        <w:widowControl w:val="0"/>
        <w:jc w:val="center"/>
        <w:rPr>
          <w:b/>
          <w:sz w:val="20"/>
        </w:rPr>
      </w:pPr>
      <w:r w:rsidRPr="00526311">
        <w:rPr>
          <w:b/>
          <w:sz w:val="20"/>
        </w:rPr>
        <w:lastRenderedPageBreak/>
        <w:t>Calidad del desarrollo de programas informáticos</w:t>
      </w:r>
    </w:p>
    <w:p w:rsidR="00B45FC3" w:rsidRPr="00526311" w:rsidRDefault="00B45FC3" w:rsidP="0063039A">
      <w:pPr>
        <w:widowControl w:val="0"/>
        <w:jc w:val="center"/>
        <w:rPr>
          <w:b/>
          <w:sz w:val="20"/>
        </w:rPr>
      </w:pPr>
      <w:r w:rsidRPr="00526311">
        <w:rPr>
          <w:b/>
          <w:noProof/>
          <w:sz w:val="20"/>
          <w:lang w:val="en-US" w:eastAsia="en-US"/>
        </w:rPr>
        <w:drawing>
          <wp:inline distT="0" distB="0" distL="0" distR="0" wp14:anchorId="22BA01D6" wp14:editId="54E53027">
            <wp:extent cx="5741670" cy="3413125"/>
            <wp:effectExtent l="0" t="0" r="0" b="0"/>
            <wp:docPr id="801" name="Imagen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1670" cy="3413125"/>
                    </a:xfrm>
                    <a:prstGeom prst="rect">
                      <a:avLst/>
                    </a:prstGeom>
                    <a:noFill/>
                    <a:ln>
                      <a:noFill/>
                    </a:ln>
                  </pic:spPr>
                </pic:pic>
              </a:graphicData>
            </a:graphic>
          </wp:inline>
        </w:drawing>
      </w:r>
    </w:p>
    <w:p w:rsidR="00B45FC3" w:rsidRPr="00526311" w:rsidRDefault="00B45FC3" w:rsidP="0063039A">
      <w:pPr>
        <w:widowControl w:val="0"/>
        <w:rPr>
          <w:i/>
          <w:sz w:val="20"/>
        </w:rPr>
      </w:pPr>
      <w:r w:rsidRPr="00526311">
        <w:rPr>
          <w:i/>
          <w:sz w:val="20"/>
        </w:rPr>
        <w:t>Niveles de los servicios prestados por los sistemas de Información</w:t>
      </w:r>
    </w:p>
    <w:p w:rsidR="00B45FC3" w:rsidRPr="00526311" w:rsidRDefault="00B45FC3" w:rsidP="0063039A">
      <w:pPr>
        <w:pStyle w:val="BodyText2"/>
        <w:widowControl w:val="0"/>
        <w:spacing w:after="0" w:line="240" w:lineRule="auto"/>
        <w:rPr>
          <w:rFonts w:cs="Arial"/>
          <w:szCs w:val="20"/>
          <w:lang w:val="es-ES"/>
        </w:rPr>
      </w:pPr>
    </w:p>
    <w:p w:rsidR="00B45FC3" w:rsidRPr="00526311" w:rsidRDefault="00B45FC3" w:rsidP="002B55A2">
      <w:pPr>
        <w:widowControl w:val="0"/>
        <w:numPr>
          <w:ilvl w:val="0"/>
          <w:numId w:val="19"/>
        </w:numPr>
        <w:tabs>
          <w:tab w:val="clear" w:pos="709"/>
          <w:tab w:val="num" w:pos="567"/>
        </w:tabs>
        <w:ind w:left="0"/>
        <w:jc w:val="both"/>
        <w:rPr>
          <w:sz w:val="20"/>
          <w:lang w:eastAsia="en-GB"/>
        </w:rPr>
      </w:pPr>
      <w:r w:rsidRPr="00526311">
        <w:rPr>
          <w:sz w:val="20"/>
        </w:rPr>
        <w:t xml:space="preserve">El indicador de rendimiento denominado niveles de los servicios prestados por los sistemas de Información </w:t>
      </w:r>
      <w:r w:rsidRPr="00526311">
        <w:rPr>
          <w:sz w:val="20"/>
          <w:lang w:eastAsia="en-GB"/>
        </w:rPr>
        <w:t>refleja el rendimiento del servicio prestado a los usuarios por el Servicio de Sistemas de Información del PCT</w:t>
      </w:r>
      <w:r w:rsidRPr="00526311">
        <w:rPr>
          <w:sz w:val="20"/>
          <w:highlight w:val="white"/>
          <w:lang w:eastAsia="en-GB"/>
        </w:rPr>
        <w:t>, sobre la base de su capacidad de cumplir con los objetivos acordados</w:t>
      </w:r>
      <w:r w:rsidRPr="00526311">
        <w:rPr>
          <w:sz w:val="20"/>
          <w:lang w:eastAsia="en-GB"/>
        </w:rPr>
        <w:t>.</w:t>
      </w:r>
    </w:p>
    <w:p w:rsidR="00B45FC3" w:rsidRPr="00526311" w:rsidRDefault="00B45FC3" w:rsidP="0063039A">
      <w:pPr>
        <w:pStyle w:val="BodyText2"/>
        <w:widowControl w:val="0"/>
        <w:spacing w:after="0" w:line="240" w:lineRule="auto"/>
        <w:rPr>
          <w:rFonts w:cs="Arial"/>
          <w:szCs w:val="20"/>
          <w:lang w:val="es-ES"/>
        </w:rPr>
      </w:pPr>
    </w:p>
    <w:p w:rsidR="00B45FC3" w:rsidRPr="00526311" w:rsidRDefault="00B45FC3" w:rsidP="002B55A2">
      <w:pPr>
        <w:widowControl w:val="0"/>
        <w:numPr>
          <w:ilvl w:val="0"/>
          <w:numId w:val="19"/>
        </w:numPr>
        <w:tabs>
          <w:tab w:val="clear" w:pos="709"/>
          <w:tab w:val="num" w:pos="567"/>
        </w:tabs>
        <w:ind w:left="0"/>
        <w:jc w:val="both"/>
        <w:rPr>
          <w:sz w:val="20"/>
          <w:lang w:eastAsia="en-GB"/>
        </w:rPr>
      </w:pPr>
      <w:r w:rsidRPr="00526311">
        <w:rPr>
          <w:sz w:val="20"/>
          <w:highlight w:val="white"/>
        </w:rPr>
        <w:t xml:space="preserve">Este indicador compuesto se calcula </w:t>
      </w:r>
      <w:r w:rsidRPr="00526311">
        <w:rPr>
          <w:sz w:val="20"/>
        </w:rPr>
        <w:t xml:space="preserve">a partir del promedio ponderado de cinco indicadores de </w:t>
      </w:r>
      <w:r w:rsidRPr="00526311">
        <w:rPr>
          <w:sz w:val="20"/>
          <w:highlight w:val="white"/>
        </w:rPr>
        <w:t>rendimiento basados en objetivos</w:t>
      </w:r>
      <w:r w:rsidRPr="00526311">
        <w:rPr>
          <w:rStyle w:val="FootnoteReference"/>
          <w:sz w:val="20"/>
        </w:rPr>
        <w:footnoteReference w:id="12"/>
      </w:r>
      <w:r w:rsidRPr="00526311">
        <w:rPr>
          <w:sz w:val="20"/>
          <w:lang w:eastAsia="en-GB"/>
        </w:rPr>
        <w:t xml:space="preserve">.  Cada </w:t>
      </w:r>
      <w:r w:rsidRPr="00526311">
        <w:rPr>
          <w:sz w:val="20"/>
          <w:highlight w:val="white"/>
          <w:lang w:eastAsia="en-GB"/>
        </w:rPr>
        <w:t>indicador se expresa como porcentaje del objetivo efectivamente cumplido</w:t>
      </w:r>
      <w:r w:rsidRPr="00526311">
        <w:rPr>
          <w:sz w:val="20"/>
          <w:lang w:eastAsia="en-GB"/>
        </w:rPr>
        <w:t>.</w:t>
      </w:r>
    </w:p>
    <w:p w:rsidR="00B45FC3" w:rsidRPr="00526311" w:rsidRDefault="00B45FC3" w:rsidP="0063039A">
      <w:pPr>
        <w:widowControl w:val="0"/>
        <w:autoSpaceDE w:val="0"/>
        <w:autoSpaceDN w:val="0"/>
        <w:adjustRightInd w:val="0"/>
        <w:jc w:val="both"/>
        <w:rPr>
          <w:sz w:val="20"/>
          <w:lang w:eastAsia="en-GB"/>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 xml:space="preserve">En 2014, el nivel general de servicios fue del </w:t>
      </w:r>
      <w:r w:rsidRPr="00526311">
        <w:rPr>
          <w:sz w:val="20"/>
          <w:highlight w:val="white"/>
        </w:rPr>
        <w:t>95,3%</w:t>
      </w:r>
      <w:r w:rsidRPr="00526311">
        <w:rPr>
          <w:sz w:val="20"/>
        </w:rPr>
        <w:t xml:space="preserve"> en relación con el cumplimiento de los niveles de rendimiento prefijados como objetivo.</w:t>
      </w:r>
    </w:p>
    <w:p w:rsidR="00B45FC3" w:rsidRPr="00526311" w:rsidRDefault="00B45FC3" w:rsidP="0063039A">
      <w:pPr>
        <w:widowControl w:val="0"/>
        <w:autoSpaceDE w:val="0"/>
        <w:autoSpaceDN w:val="0"/>
        <w:adjustRightInd w:val="0"/>
        <w:jc w:val="both"/>
        <w:rPr>
          <w:sz w:val="20"/>
        </w:rPr>
      </w:pPr>
    </w:p>
    <w:p w:rsidR="00B45FC3" w:rsidRPr="00526311" w:rsidRDefault="00B45FC3" w:rsidP="0063039A">
      <w:pPr>
        <w:widowControl w:val="0"/>
        <w:jc w:val="center"/>
        <w:rPr>
          <w:b/>
          <w:sz w:val="20"/>
        </w:rPr>
      </w:pPr>
    </w:p>
    <w:p w:rsidR="00B45FC3" w:rsidRPr="00526311" w:rsidRDefault="00B45FC3" w:rsidP="0063039A">
      <w:pPr>
        <w:widowControl w:val="0"/>
        <w:jc w:val="center"/>
        <w:rPr>
          <w:b/>
          <w:sz w:val="20"/>
        </w:rPr>
      </w:pPr>
      <w:r w:rsidRPr="00526311">
        <w:rPr>
          <w:b/>
          <w:sz w:val="20"/>
        </w:rPr>
        <w:br w:type="page"/>
      </w:r>
      <w:r w:rsidRPr="00526311">
        <w:rPr>
          <w:b/>
          <w:sz w:val="20"/>
        </w:rPr>
        <w:lastRenderedPageBreak/>
        <w:t>Niveles de los servicios prestados por los sistemas de información</w:t>
      </w:r>
    </w:p>
    <w:p w:rsidR="00B45FC3" w:rsidRPr="00526311" w:rsidRDefault="00B45FC3" w:rsidP="0063039A">
      <w:pPr>
        <w:widowControl w:val="0"/>
        <w:autoSpaceDE w:val="0"/>
        <w:autoSpaceDN w:val="0"/>
        <w:adjustRightInd w:val="0"/>
        <w:rPr>
          <w:sz w:val="20"/>
          <w:lang w:eastAsia="en-GB"/>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34"/>
        <w:gridCol w:w="2002"/>
        <w:gridCol w:w="1984"/>
        <w:gridCol w:w="1134"/>
        <w:gridCol w:w="1101"/>
      </w:tblGrid>
      <w:tr w:rsidR="00B45FC3" w:rsidRPr="00526311" w:rsidTr="0063039A">
        <w:trPr>
          <w:jc w:val="center"/>
        </w:trPr>
        <w:tc>
          <w:tcPr>
            <w:tcW w:w="534" w:type="dxa"/>
            <w:shd w:val="clear" w:color="auto" w:fill="auto"/>
            <w:tcMar>
              <w:top w:w="85" w:type="dxa"/>
              <w:bottom w:w="85" w:type="dxa"/>
            </w:tcMar>
          </w:tcPr>
          <w:p w:rsidR="00B45FC3" w:rsidRPr="00526311" w:rsidRDefault="00B45FC3" w:rsidP="0063039A">
            <w:pPr>
              <w:widowControl w:val="0"/>
              <w:autoSpaceDE w:val="0"/>
              <w:autoSpaceDN w:val="0"/>
              <w:adjustRightInd w:val="0"/>
              <w:jc w:val="center"/>
              <w:rPr>
                <w:b/>
                <w:sz w:val="20"/>
                <w:lang w:eastAsia="en-GB"/>
              </w:rPr>
            </w:pPr>
            <w:r w:rsidRPr="00526311">
              <w:rPr>
                <w:b/>
                <w:sz w:val="20"/>
                <w:lang w:eastAsia="en-GB"/>
              </w:rPr>
              <w:t>Id</w:t>
            </w:r>
          </w:p>
        </w:tc>
        <w:tc>
          <w:tcPr>
            <w:tcW w:w="2534" w:type="dxa"/>
            <w:shd w:val="clear" w:color="auto" w:fill="auto"/>
            <w:tcMar>
              <w:top w:w="85" w:type="dxa"/>
              <w:bottom w:w="85" w:type="dxa"/>
            </w:tcMar>
          </w:tcPr>
          <w:p w:rsidR="00B45FC3" w:rsidRPr="00526311" w:rsidRDefault="00B45FC3" w:rsidP="0063039A">
            <w:pPr>
              <w:widowControl w:val="0"/>
              <w:autoSpaceDE w:val="0"/>
              <w:autoSpaceDN w:val="0"/>
              <w:adjustRightInd w:val="0"/>
              <w:jc w:val="center"/>
              <w:rPr>
                <w:b/>
                <w:sz w:val="20"/>
                <w:lang w:eastAsia="en-GB"/>
              </w:rPr>
            </w:pPr>
            <w:r w:rsidRPr="00526311">
              <w:rPr>
                <w:b/>
                <w:sz w:val="20"/>
                <w:lang w:eastAsia="en-GB"/>
              </w:rPr>
              <w:t xml:space="preserve">Indicadores de rendimiento </w:t>
            </w:r>
          </w:p>
          <w:p w:rsidR="00B45FC3" w:rsidRPr="00526311" w:rsidRDefault="00B45FC3" w:rsidP="0063039A">
            <w:pPr>
              <w:widowControl w:val="0"/>
              <w:autoSpaceDE w:val="0"/>
              <w:autoSpaceDN w:val="0"/>
              <w:adjustRightInd w:val="0"/>
              <w:jc w:val="center"/>
              <w:rPr>
                <w:b/>
                <w:i/>
                <w:sz w:val="20"/>
                <w:lang w:eastAsia="en-GB"/>
              </w:rPr>
            </w:pPr>
            <w:r w:rsidRPr="00526311">
              <w:rPr>
                <w:b/>
                <w:i/>
                <w:sz w:val="20"/>
                <w:lang w:eastAsia="en-GB"/>
              </w:rPr>
              <w:t>Breve descripción</w:t>
            </w:r>
          </w:p>
        </w:tc>
        <w:tc>
          <w:tcPr>
            <w:tcW w:w="2002" w:type="dxa"/>
            <w:shd w:val="clear" w:color="auto" w:fill="auto"/>
            <w:tcMar>
              <w:top w:w="85" w:type="dxa"/>
              <w:bottom w:w="85" w:type="dxa"/>
            </w:tcMar>
          </w:tcPr>
          <w:p w:rsidR="00B45FC3" w:rsidRPr="00526311" w:rsidRDefault="00B45FC3" w:rsidP="0063039A">
            <w:pPr>
              <w:widowControl w:val="0"/>
              <w:autoSpaceDE w:val="0"/>
              <w:autoSpaceDN w:val="0"/>
              <w:adjustRightInd w:val="0"/>
              <w:jc w:val="center"/>
              <w:rPr>
                <w:b/>
                <w:sz w:val="20"/>
                <w:lang w:eastAsia="en-GB"/>
              </w:rPr>
            </w:pPr>
            <w:r w:rsidRPr="00526311">
              <w:rPr>
                <w:b/>
                <w:sz w:val="20"/>
                <w:lang w:eastAsia="en-GB"/>
              </w:rPr>
              <w:t>Objetivos</w:t>
            </w:r>
          </w:p>
        </w:tc>
        <w:tc>
          <w:tcPr>
            <w:tcW w:w="1984" w:type="dxa"/>
            <w:shd w:val="clear" w:color="auto" w:fill="auto"/>
            <w:tcMar>
              <w:top w:w="85" w:type="dxa"/>
              <w:bottom w:w="85" w:type="dxa"/>
            </w:tcMar>
          </w:tcPr>
          <w:p w:rsidR="00B45FC3" w:rsidRPr="00526311" w:rsidRDefault="00B45FC3" w:rsidP="0063039A">
            <w:pPr>
              <w:widowControl w:val="0"/>
              <w:autoSpaceDE w:val="0"/>
              <w:autoSpaceDN w:val="0"/>
              <w:adjustRightInd w:val="0"/>
              <w:jc w:val="center"/>
              <w:rPr>
                <w:b/>
                <w:sz w:val="20"/>
                <w:lang w:eastAsia="en-GB"/>
              </w:rPr>
            </w:pPr>
            <w:r w:rsidRPr="00526311">
              <w:rPr>
                <w:b/>
                <w:sz w:val="20"/>
                <w:lang w:eastAsia="en-GB"/>
              </w:rPr>
              <w:t>Condiciones</w:t>
            </w:r>
          </w:p>
        </w:tc>
        <w:tc>
          <w:tcPr>
            <w:tcW w:w="1134" w:type="dxa"/>
            <w:tcMar>
              <w:top w:w="85" w:type="dxa"/>
              <w:bottom w:w="85" w:type="dxa"/>
            </w:tcMar>
          </w:tcPr>
          <w:p w:rsidR="00B45FC3" w:rsidRPr="00526311" w:rsidRDefault="00B45FC3" w:rsidP="0063039A">
            <w:pPr>
              <w:widowControl w:val="0"/>
              <w:autoSpaceDE w:val="0"/>
              <w:autoSpaceDN w:val="0"/>
              <w:adjustRightInd w:val="0"/>
              <w:jc w:val="center"/>
              <w:rPr>
                <w:b/>
                <w:sz w:val="20"/>
                <w:lang w:eastAsia="en-GB"/>
              </w:rPr>
            </w:pPr>
            <w:r w:rsidRPr="00526311">
              <w:rPr>
                <w:b/>
                <w:sz w:val="20"/>
                <w:lang w:eastAsia="en-GB"/>
              </w:rPr>
              <w:t>Resulta-dos de 2013</w:t>
            </w:r>
          </w:p>
        </w:tc>
        <w:tc>
          <w:tcPr>
            <w:tcW w:w="1101" w:type="dxa"/>
            <w:tcMar>
              <w:top w:w="85" w:type="dxa"/>
              <w:bottom w:w="85" w:type="dxa"/>
            </w:tcMar>
          </w:tcPr>
          <w:p w:rsidR="00B45FC3" w:rsidRPr="00526311" w:rsidRDefault="00B45FC3" w:rsidP="0063039A">
            <w:pPr>
              <w:widowControl w:val="0"/>
              <w:autoSpaceDE w:val="0"/>
              <w:autoSpaceDN w:val="0"/>
              <w:adjustRightInd w:val="0"/>
              <w:jc w:val="center"/>
              <w:rPr>
                <w:b/>
                <w:sz w:val="20"/>
                <w:lang w:eastAsia="en-GB"/>
              </w:rPr>
            </w:pPr>
            <w:r w:rsidRPr="00526311">
              <w:rPr>
                <w:b/>
                <w:sz w:val="20"/>
                <w:lang w:eastAsia="en-GB"/>
              </w:rPr>
              <w:t>Resulta-dos de 2014</w:t>
            </w:r>
          </w:p>
        </w:tc>
      </w:tr>
      <w:tr w:rsidR="00B45FC3" w:rsidRPr="00526311" w:rsidTr="0063039A">
        <w:trPr>
          <w:jc w:val="center"/>
        </w:trPr>
        <w:tc>
          <w:tcPr>
            <w:tcW w:w="534" w:type="dxa"/>
            <w:shd w:val="clear" w:color="auto" w:fill="auto"/>
            <w:tcMar>
              <w:top w:w="85" w:type="dxa"/>
              <w:bottom w:w="85" w:type="dxa"/>
            </w:tcMar>
          </w:tcPr>
          <w:p w:rsidR="00B45FC3" w:rsidRPr="00526311" w:rsidRDefault="00B45FC3" w:rsidP="0063039A">
            <w:pPr>
              <w:widowControl w:val="0"/>
              <w:rPr>
                <w:sz w:val="16"/>
                <w:szCs w:val="16"/>
                <w:lang w:eastAsia="en-GB"/>
              </w:rPr>
            </w:pPr>
            <w:r w:rsidRPr="00526311">
              <w:rPr>
                <w:sz w:val="16"/>
                <w:szCs w:val="16"/>
                <w:lang w:eastAsia="en-GB"/>
              </w:rPr>
              <w:t xml:space="preserve">1) </w:t>
            </w:r>
          </w:p>
        </w:tc>
        <w:tc>
          <w:tcPr>
            <w:tcW w:w="2534" w:type="dxa"/>
            <w:shd w:val="clear" w:color="auto" w:fill="auto"/>
            <w:tcMar>
              <w:top w:w="85" w:type="dxa"/>
              <w:bottom w:w="85" w:type="dxa"/>
            </w:tcMar>
          </w:tcPr>
          <w:p w:rsidR="00B45FC3" w:rsidRPr="00526311" w:rsidRDefault="00B45FC3" w:rsidP="0063039A">
            <w:pPr>
              <w:widowControl w:val="0"/>
              <w:rPr>
                <w:sz w:val="16"/>
                <w:szCs w:val="16"/>
                <w:lang w:eastAsia="en-GB"/>
              </w:rPr>
            </w:pPr>
            <w:r w:rsidRPr="00526311">
              <w:rPr>
                <w:sz w:val="16"/>
                <w:szCs w:val="16"/>
                <w:lang w:eastAsia="en-GB"/>
              </w:rPr>
              <w:t>Tiempo de solución de incidentes</w:t>
            </w:r>
          </w:p>
          <w:p w:rsidR="00B45FC3" w:rsidRPr="00526311" w:rsidRDefault="00B45FC3" w:rsidP="0063039A">
            <w:pPr>
              <w:widowControl w:val="0"/>
              <w:rPr>
                <w:i/>
                <w:sz w:val="16"/>
                <w:szCs w:val="16"/>
                <w:lang w:eastAsia="en-GB"/>
              </w:rPr>
            </w:pPr>
            <w:r w:rsidRPr="00526311">
              <w:rPr>
                <w:i/>
                <w:sz w:val="16"/>
                <w:szCs w:val="16"/>
                <w:lang w:eastAsia="en-GB"/>
              </w:rPr>
              <w:t xml:space="preserve">Horas de trabajo (de 7 a 19, en días laborables en la OMPI) entre la creación de un ticket y la solución. </w:t>
            </w:r>
          </w:p>
        </w:tc>
        <w:tc>
          <w:tcPr>
            <w:tcW w:w="2002"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Gravedad 1:  4 horas</w:t>
            </w:r>
          </w:p>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Gravedad 2:  2 días</w:t>
            </w:r>
          </w:p>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 xml:space="preserve">Gravedad </w:t>
            </w:r>
            <w:r w:rsidRPr="00526311">
              <w:rPr>
                <w:sz w:val="16"/>
                <w:szCs w:val="16"/>
                <w:highlight w:val="white"/>
                <w:lang w:eastAsia="en-GB"/>
              </w:rPr>
              <w:t>3:  5 días</w:t>
            </w:r>
          </w:p>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Gravedad 4:  10 días</w:t>
            </w:r>
          </w:p>
        </w:tc>
        <w:tc>
          <w:tcPr>
            <w:tcW w:w="1984"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 xml:space="preserve">Tickets de producción y asistencia </w:t>
            </w:r>
            <w:r w:rsidRPr="00526311">
              <w:rPr>
                <w:sz w:val="16"/>
                <w:szCs w:val="16"/>
                <w:highlight w:val="white"/>
                <w:lang w:eastAsia="en-GB"/>
              </w:rPr>
              <w:t xml:space="preserve">resueltos por el equipo de </w:t>
            </w:r>
            <w:r w:rsidRPr="00526311">
              <w:rPr>
                <w:sz w:val="16"/>
                <w:szCs w:val="16"/>
                <w:lang w:eastAsia="en-GB"/>
              </w:rPr>
              <w:t>asistencia</w:t>
            </w:r>
          </w:p>
        </w:tc>
        <w:tc>
          <w:tcPr>
            <w:tcW w:w="1134" w:type="dxa"/>
            <w:tcMar>
              <w:top w:w="85" w:type="dxa"/>
              <w:bottom w:w="85" w:type="dxa"/>
            </w:tcMar>
          </w:tcPr>
          <w:p w:rsidR="00B45FC3" w:rsidRPr="00526311" w:rsidRDefault="00B45FC3" w:rsidP="0063039A">
            <w:pPr>
              <w:widowControl w:val="0"/>
              <w:autoSpaceDE w:val="0"/>
              <w:autoSpaceDN w:val="0"/>
              <w:adjustRightInd w:val="0"/>
              <w:jc w:val="right"/>
              <w:rPr>
                <w:sz w:val="16"/>
                <w:szCs w:val="16"/>
                <w:lang w:eastAsia="en-GB"/>
              </w:rPr>
            </w:pPr>
            <w:r w:rsidRPr="00526311">
              <w:rPr>
                <w:sz w:val="16"/>
                <w:szCs w:val="16"/>
              </w:rPr>
              <w:t>85,5%</w:t>
            </w:r>
          </w:p>
        </w:tc>
        <w:tc>
          <w:tcPr>
            <w:tcW w:w="1101" w:type="dxa"/>
            <w:tcMar>
              <w:top w:w="85" w:type="dxa"/>
              <w:bottom w:w="85" w:type="dxa"/>
            </w:tcMar>
          </w:tcPr>
          <w:p w:rsidR="00B45FC3" w:rsidRPr="00526311" w:rsidRDefault="00B45FC3" w:rsidP="0063039A">
            <w:pPr>
              <w:widowControl w:val="0"/>
              <w:autoSpaceDE w:val="0"/>
              <w:autoSpaceDN w:val="0"/>
              <w:adjustRightInd w:val="0"/>
              <w:jc w:val="right"/>
              <w:rPr>
                <w:sz w:val="16"/>
                <w:szCs w:val="16"/>
                <w:lang w:eastAsia="en-GB"/>
              </w:rPr>
            </w:pPr>
            <w:r w:rsidRPr="00526311">
              <w:rPr>
                <w:sz w:val="16"/>
                <w:szCs w:val="16"/>
              </w:rPr>
              <w:t>88,8%</w:t>
            </w:r>
          </w:p>
        </w:tc>
      </w:tr>
      <w:tr w:rsidR="00B45FC3" w:rsidRPr="00526311" w:rsidTr="0063039A">
        <w:trPr>
          <w:jc w:val="center"/>
        </w:trPr>
        <w:tc>
          <w:tcPr>
            <w:tcW w:w="534" w:type="dxa"/>
            <w:shd w:val="clear" w:color="auto" w:fill="auto"/>
            <w:tcMar>
              <w:top w:w="85" w:type="dxa"/>
              <w:bottom w:w="85" w:type="dxa"/>
            </w:tcMar>
          </w:tcPr>
          <w:p w:rsidR="00B45FC3" w:rsidRPr="00526311" w:rsidRDefault="00B45FC3" w:rsidP="0063039A">
            <w:pPr>
              <w:widowControl w:val="0"/>
              <w:rPr>
                <w:sz w:val="16"/>
                <w:szCs w:val="16"/>
                <w:lang w:eastAsia="en-GB"/>
              </w:rPr>
            </w:pPr>
            <w:r w:rsidRPr="00526311">
              <w:rPr>
                <w:sz w:val="16"/>
                <w:szCs w:val="16"/>
                <w:lang w:eastAsia="en-GB"/>
              </w:rPr>
              <w:t xml:space="preserve">2) </w:t>
            </w:r>
          </w:p>
        </w:tc>
        <w:tc>
          <w:tcPr>
            <w:tcW w:w="2534" w:type="dxa"/>
            <w:shd w:val="clear" w:color="auto" w:fill="auto"/>
            <w:tcMar>
              <w:top w:w="85" w:type="dxa"/>
              <w:bottom w:w="85" w:type="dxa"/>
            </w:tcMar>
          </w:tcPr>
          <w:p w:rsidR="00B45FC3" w:rsidRPr="00526311" w:rsidRDefault="00B45FC3" w:rsidP="0063039A">
            <w:pPr>
              <w:widowControl w:val="0"/>
              <w:rPr>
                <w:sz w:val="16"/>
                <w:szCs w:val="16"/>
                <w:lang w:eastAsia="en-GB"/>
              </w:rPr>
            </w:pPr>
            <w:r w:rsidRPr="00526311">
              <w:rPr>
                <w:sz w:val="16"/>
                <w:szCs w:val="16"/>
                <w:lang w:eastAsia="en-GB"/>
              </w:rPr>
              <w:t>Tiempo necesario para cargar documentos</w:t>
            </w:r>
          </w:p>
          <w:p w:rsidR="00B45FC3" w:rsidRPr="00526311" w:rsidRDefault="00B45FC3" w:rsidP="0063039A">
            <w:pPr>
              <w:widowControl w:val="0"/>
              <w:rPr>
                <w:sz w:val="16"/>
                <w:szCs w:val="16"/>
                <w:lang w:eastAsia="en-GB"/>
              </w:rPr>
            </w:pPr>
            <w:r w:rsidRPr="00526311">
              <w:rPr>
                <w:i/>
                <w:sz w:val="16"/>
                <w:szCs w:val="16"/>
                <w:lang w:eastAsia="en-GB"/>
              </w:rPr>
              <w:t>Tiempo transcurrido entre la recepción del documento en la Oficina Internacional</w:t>
            </w:r>
            <w:r w:rsidRPr="00526311">
              <w:rPr>
                <w:i/>
                <w:sz w:val="16"/>
                <w:szCs w:val="16"/>
                <w:highlight w:val="white"/>
                <w:lang w:eastAsia="en-GB"/>
              </w:rPr>
              <w:t xml:space="preserve"> y su disponibilidad en </w:t>
            </w:r>
            <w:r w:rsidRPr="00526311">
              <w:rPr>
                <w:sz w:val="16"/>
                <w:szCs w:val="16"/>
                <w:lang w:eastAsia="en-GB"/>
              </w:rPr>
              <w:t>eDossier</w:t>
            </w:r>
          </w:p>
        </w:tc>
        <w:tc>
          <w:tcPr>
            <w:tcW w:w="2002"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8 horas</w:t>
            </w:r>
          </w:p>
        </w:tc>
        <w:tc>
          <w:tcPr>
            <w:tcW w:w="1984"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Documentos cargados mediante un proceso total o parcialmente automatizado</w:t>
            </w:r>
          </w:p>
        </w:tc>
        <w:tc>
          <w:tcPr>
            <w:tcW w:w="1134" w:type="dxa"/>
            <w:tcMar>
              <w:top w:w="85" w:type="dxa"/>
              <w:bottom w:w="85" w:type="dxa"/>
            </w:tcMar>
          </w:tcPr>
          <w:p w:rsidR="00B45FC3" w:rsidRPr="00526311" w:rsidRDefault="00B45FC3" w:rsidP="0063039A">
            <w:pPr>
              <w:widowControl w:val="0"/>
              <w:autoSpaceDE w:val="0"/>
              <w:autoSpaceDN w:val="0"/>
              <w:adjustRightInd w:val="0"/>
              <w:jc w:val="right"/>
              <w:rPr>
                <w:sz w:val="16"/>
                <w:szCs w:val="16"/>
                <w:lang w:eastAsia="en-GB"/>
              </w:rPr>
            </w:pPr>
            <w:r w:rsidRPr="00526311">
              <w:rPr>
                <w:sz w:val="16"/>
                <w:szCs w:val="16"/>
              </w:rPr>
              <w:t>80,0%</w:t>
            </w:r>
          </w:p>
        </w:tc>
        <w:tc>
          <w:tcPr>
            <w:tcW w:w="1101" w:type="dxa"/>
            <w:tcMar>
              <w:top w:w="85" w:type="dxa"/>
              <w:bottom w:w="85" w:type="dxa"/>
            </w:tcMar>
          </w:tcPr>
          <w:p w:rsidR="00B45FC3" w:rsidRPr="00526311" w:rsidRDefault="00B45FC3" w:rsidP="0063039A">
            <w:pPr>
              <w:widowControl w:val="0"/>
              <w:autoSpaceDE w:val="0"/>
              <w:autoSpaceDN w:val="0"/>
              <w:adjustRightInd w:val="0"/>
              <w:jc w:val="right"/>
              <w:rPr>
                <w:sz w:val="16"/>
                <w:szCs w:val="16"/>
                <w:lang w:eastAsia="en-GB"/>
              </w:rPr>
            </w:pPr>
            <w:r w:rsidRPr="00526311">
              <w:rPr>
                <w:sz w:val="16"/>
                <w:szCs w:val="16"/>
              </w:rPr>
              <w:t>88,2%</w:t>
            </w:r>
          </w:p>
        </w:tc>
      </w:tr>
      <w:tr w:rsidR="00B45FC3" w:rsidRPr="00526311" w:rsidTr="0063039A">
        <w:trPr>
          <w:jc w:val="center"/>
        </w:trPr>
        <w:tc>
          <w:tcPr>
            <w:tcW w:w="534"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 xml:space="preserve">3) </w:t>
            </w:r>
          </w:p>
        </w:tc>
        <w:tc>
          <w:tcPr>
            <w:tcW w:w="2534"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Índice de éxito para el tratamiento de trabajos en lote</w:t>
            </w:r>
          </w:p>
        </w:tc>
        <w:tc>
          <w:tcPr>
            <w:tcW w:w="2002"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100%</w:t>
            </w:r>
          </w:p>
        </w:tc>
        <w:tc>
          <w:tcPr>
            <w:tcW w:w="1984"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Los trabajos en lote se completan antes de la hora de cierre en la fecha prevista</w:t>
            </w:r>
          </w:p>
        </w:tc>
        <w:tc>
          <w:tcPr>
            <w:tcW w:w="1134" w:type="dxa"/>
            <w:tcMar>
              <w:top w:w="85" w:type="dxa"/>
              <w:bottom w:w="85" w:type="dxa"/>
            </w:tcMar>
          </w:tcPr>
          <w:p w:rsidR="00B45FC3" w:rsidRPr="00526311" w:rsidRDefault="00B45FC3" w:rsidP="0063039A">
            <w:pPr>
              <w:widowControl w:val="0"/>
              <w:autoSpaceDE w:val="0"/>
              <w:autoSpaceDN w:val="0"/>
              <w:adjustRightInd w:val="0"/>
              <w:jc w:val="right"/>
              <w:rPr>
                <w:sz w:val="16"/>
                <w:szCs w:val="16"/>
                <w:lang w:eastAsia="en-GB"/>
              </w:rPr>
            </w:pPr>
            <w:r w:rsidRPr="00526311">
              <w:rPr>
                <w:sz w:val="16"/>
                <w:szCs w:val="16"/>
              </w:rPr>
              <w:t>99,6%</w:t>
            </w:r>
          </w:p>
        </w:tc>
        <w:tc>
          <w:tcPr>
            <w:tcW w:w="1101" w:type="dxa"/>
            <w:tcMar>
              <w:top w:w="85" w:type="dxa"/>
              <w:bottom w:w="85" w:type="dxa"/>
            </w:tcMar>
          </w:tcPr>
          <w:p w:rsidR="00B45FC3" w:rsidRPr="00526311" w:rsidRDefault="00B45FC3" w:rsidP="0063039A">
            <w:pPr>
              <w:widowControl w:val="0"/>
              <w:autoSpaceDE w:val="0"/>
              <w:autoSpaceDN w:val="0"/>
              <w:adjustRightInd w:val="0"/>
              <w:jc w:val="right"/>
              <w:rPr>
                <w:sz w:val="16"/>
                <w:szCs w:val="16"/>
                <w:lang w:eastAsia="en-GB"/>
              </w:rPr>
            </w:pPr>
            <w:r w:rsidRPr="00526311">
              <w:rPr>
                <w:sz w:val="16"/>
                <w:szCs w:val="16"/>
              </w:rPr>
              <w:t>99,5%</w:t>
            </w:r>
          </w:p>
        </w:tc>
      </w:tr>
      <w:tr w:rsidR="00B45FC3" w:rsidRPr="00526311" w:rsidTr="0063039A">
        <w:trPr>
          <w:jc w:val="center"/>
        </w:trPr>
        <w:tc>
          <w:tcPr>
            <w:tcW w:w="534"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4)</w:t>
            </w:r>
          </w:p>
        </w:tc>
        <w:tc>
          <w:tcPr>
            <w:tcW w:w="2534"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 xml:space="preserve">Disponibilidad del sistema </w:t>
            </w:r>
            <w:r w:rsidRPr="00526311">
              <w:rPr>
                <w:i/>
                <w:sz w:val="16"/>
                <w:szCs w:val="16"/>
                <w:lang w:eastAsia="en-GB"/>
              </w:rPr>
              <w:t>eDossier</w:t>
            </w:r>
            <w:r w:rsidRPr="00526311">
              <w:rPr>
                <w:sz w:val="16"/>
                <w:szCs w:val="16"/>
                <w:lang w:eastAsia="en-GB"/>
              </w:rPr>
              <w:t xml:space="preserve"> </w:t>
            </w:r>
          </w:p>
        </w:tc>
        <w:tc>
          <w:tcPr>
            <w:tcW w:w="2002"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99%</w:t>
            </w:r>
          </w:p>
        </w:tc>
        <w:tc>
          <w:tcPr>
            <w:tcW w:w="1984"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De 7 a 19, en días laborables</w:t>
            </w:r>
          </w:p>
        </w:tc>
        <w:tc>
          <w:tcPr>
            <w:tcW w:w="1134" w:type="dxa"/>
            <w:tcMar>
              <w:top w:w="85" w:type="dxa"/>
              <w:bottom w:w="85" w:type="dxa"/>
            </w:tcMar>
          </w:tcPr>
          <w:p w:rsidR="00B45FC3" w:rsidRPr="00526311" w:rsidRDefault="00B45FC3" w:rsidP="0063039A">
            <w:pPr>
              <w:widowControl w:val="0"/>
              <w:autoSpaceDE w:val="0"/>
              <w:autoSpaceDN w:val="0"/>
              <w:adjustRightInd w:val="0"/>
              <w:jc w:val="right"/>
              <w:rPr>
                <w:sz w:val="16"/>
                <w:szCs w:val="16"/>
                <w:lang w:eastAsia="en-GB"/>
              </w:rPr>
            </w:pPr>
            <w:r w:rsidRPr="00526311">
              <w:rPr>
                <w:sz w:val="16"/>
                <w:szCs w:val="16"/>
              </w:rPr>
              <w:t>100,0%</w:t>
            </w:r>
          </w:p>
        </w:tc>
        <w:tc>
          <w:tcPr>
            <w:tcW w:w="1101" w:type="dxa"/>
            <w:tcMar>
              <w:top w:w="85" w:type="dxa"/>
              <w:bottom w:w="85" w:type="dxa"/>
            </w:tcMar>
          </w:tcPr>
          <w:p w:rsidR="00B45FC3" w:rsidRPr="00526311" w:rsidRDefault="00B45FC3" w:rsidP="0063039A">
            <w:pPr>
              <w:widowControl w:val="0"/>
              <w:autoSpaceDE w:val="0"/>
              <w:autoSpaceDN w:val="0"/>
              <w:adjustRightInd w:val="0"/>
              <w:jc w:val="right"/>
              <w:rPr>
                <w:sz w:val="16"/>
                <w:szCs w:val="16"/>
                <w:lang w:eastAsia="en-GB"/>
              </w:rPr>
            </w:pPr>
            <w:r w:rsidRPr="00526311">
              <w:rPr>
                <w:sz w:val="16"/>
                <w:szCs w:val="16"/>
              </w:rPr>
              <w:t>100,0%</w:t>
            </w:r>
          </w:p>
        </w:tc>
      </w:tr>
      <w:tr w:rsidR="00B45FC3" w:rsidRPr="00526311" w:rsidTr="0063039A">
        <w:trPr>
          <w:jc w:val="center"/>
        </w:trPr>
        <w:tc>
          <w:tcPr>
            <w:tcW w:w="534"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 xml:space="preserve">5) </w:t>
            </w:r>
          </w:p>
        </w:tc>
        <w:tc>
          <w:tcPr>
            <w:tcW w:w="2534"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 xml:space="preserve">Disponibilidad del sistema </w:t>
            </w:r>
            <w:r w:rsidRPr="00526311">
              <w:rPr>
                <w:i/>
                <w:sz w:val="16"/>
                <w:szCs w:val="16"/>
                <w:lang w:eastAsia="en-GB"/>
              </w:rPr>
              <w:t>ePCT</w:t>
            </w:r>
          </w:p>
        </w:tc>
        <w:tc>
          <w:tcPr>
            <w:tcW w:w="2002"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99%</w:t>
            </w:r>
          </w:p>
        </w:tc>
        <w:tc>
          <w:tcPr>
            <w:tcW w:w="1984"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24 horas</w:t>
            </w:r>
          </w:p>
        </w:tc>
        <w:tc>
          <w:tcPr>
            <w:tcW w:w="1134" w:type="dxa"/>
            <w:tcMar>
              <w:top w:w="85" w:type="dxa"/>
              <w:bottom w:w="85" w:type="dxa"/>
            </w:tcMar>
          </w:tcPr>
          <w:p w:rsidR="00B45FC3" w:rsidRPr="00526311" w:rsidRDefault="00B45FC3" w:rsidP="0063039A">
            <w:pPr>
              <w:widowControl w:val="0"/>
              <w:autoSpaceDE w:val="0"/>
              <w:autoSpaceDN w:val="0"/>
              <w:adjustRightInd w:val="0"/>
              <w:jc w:val="right"/>
              <w:rPr>
                <w:sz w:val="16"/>
                <w:szCs w:val="16"/>
                <w:lang w:eastAsia="en-GB"/>
              </w:rPr>
            </w:pPr>
            <w:r w:rsidRPr="00526311">
              <w:rPr>
                <w:sz w:val="16"/>
                <w:szCs w:val="16"/>
              </w:rPr>
              <w:t>100,0%</w:t>
            </w:r>
          </w:p>
        </w:tc>
        <w:tc>
          <w:tcPr>
            <w:tcW w:w="1101" w:type="dxa"/>
            <w:tcMar>
              <w:top w:w="85" w:type="dxa"/>
              <w:bottom w:w="85" w:type="dxa"/>
            </w:tcMar>
          </w:tcPr>
          <w:p w:rsidR="00B45FC3" w:rsidRPr="00526311" w:rsidRDefault="00B45FC3" w:rsidP="0063039A">
            <w:pPr>
              <w:widowControl w:val="0"/>
              <w:autoSpaceDE w:val="0"/>
              <w:autoSpaceDN w:val="0"/>
              <w:adjustRightInd w:val="0"/>
              <w:jc w:val="right"/>
              <w:rPr>
                <w:sz w:val="16"/>
                <w:szCs w:val="16"/>
                <w:lang w:eastAsia="en-GB"/>
              </w:rPr>
            </w:pPr>
            <w:r w:rsidRPr="00526311">
              <w:rPr>
                <w:sz w:val="16"/>
                <w:szCs w:val="16"/>
              </w:rPr>
              <w:t>100,0%</w:t>
            </w:r>
          </w:p>
        </w:tc>
      </w:tr>
      <w:tr w:rsidR="00B45FC3" w:rsidRPr="00526311" w:rsidTr="0063039A">
        <w:trPr>
          <w:jc w:val="center"/>
        </w:trPr>
        <w:tc>
          <w:tcPr>
            <w:tcW w:w="534" w:type="dxa"/>
            <w:shd w:val="clear" w:color="auto" w:fill="auto"/>
            <w:tcMar>
              <w:top w:w="85" w:type="dxa"/>
              <w:bottom w:w="85" w:type="dxa"/>
            </w:tcMar>
          </w:tcPr>
          <w:p w:rsidR="00B45FC3" w:rsidRPr="00526311" w:rsidRDefault="00B45FC3" w:rsidP="0063039A">
            <w:pPr>
              <w:widowControl w:val="0"/>
              <w:autoSpaceDE w:val="0"/>
              <w:autoSpaceDN w:val="0"/>
              <w:adjustRightInd w:val="0"/>
              <w:rPr>
                <w:b/>
                <w:sz w:val="16"/>
                <w:szCs w:val="16"/>
                <w:lang w:eastAsia="en-GB"/>
              </w:rPr>
            </w:pPr>
          </w:p>
        </w:tc>
        <w:tc>
          <w:tcPr>
            <w:tcW w:w="2534" w:type="dxa"/>
            <w:shd w:val="clear" w:color="auto" w:fill="auto"/>
            <w:tcMar>
              <w:top w:w="85" w:type="dxa"/>
              <w:bottom w:w="85" w:type="dxa"/>
            </w:tcMar>
          </w:tcPr>
          <w:p w:rsidR="00B45FC3" w:rsidRPr="00526311" w:rsidRDefault="00B45FC3" w:rsidP="0063039A">
            <w:pPr>
              <w:widowControl w:val="0"/>
              <w:autoSpaceDE w:val="0"/>
              <w:autoSpaceDN w:val="0"/>
              <w:adjustRightInd w:val="0"/>
              <w:rPr>
                <w:b/>
                <w:sz w:val="16"/>
                <w:szCs w:val="16"/>
                <w:lang w:eastAsia="en-GB"/>
              </w:rPr>
            </w:pPr>
            <w:r w:rsidRPr="00526311">
              <w:rPr>
                <w:b/>
                <w:sz w:val="16"/>
                <w:szCs w:val="16"/>
                <w:highlight w:val="white"/>
                <w:lang w:eastAsia="en-GB"/>
              </w:rPr>
              <w:t>Niveles de los servicios prestados por los sistemas de Información</w:t>
            </w:r>
          </w:p>
          <w:p w:rsidR="00B45FC3" w:rsidRPr="00526311" w:rsidRDefault="00B45FC3" w:rsidP="0063039A">
            <w:pPr>
              <w:widowControl w:val="0"/>
              <w:autoSpaceDE w:val="0"/>
              <w:autoSpaceDN w:val="0"/>
              <w:adjustRightInd w:val="0"/>
              <w:rPr>
                <w:b/>
                <w:i/>
                <w:sz w:val="16"/>
                <w:szCs w:val="16"/>
                <w:lang w:eastAsia="en-GB"/>
              </w:rPr>
            </w:pPr>
            <w:r w:rsidRPr="00526311">
              <w:rPr>
                <w:b/>
                <w:i/>
                <w:sz w:val="16"/>
                <w:szCs w:val="16"/>
                <w:highlight w:val="white"/>
                <w:lang w:eastAsia="en-GB"/>
              </w:rPr>
              <w:t xml:space="preserve">Promedio ponderado de los indicadores que figuran </w:t>
            </w:r>
            <w:r w:rsidRPr="00526311">
              <w:rPr>
                <w:b/>
                <w:sz w:val="16"/>
                <w:szCs w:val="16"/>
                <w:highlight w:val="white"/>
                <w:lang w:eastAsia="en-GB"/>
              </w:rPr>
              <w:t>supra</w:t>
            </w:r>
            <w:r w:rsidRPr="00526311">
              <w:rPr>
                <w:b/>
                <w:i/>
                <w:sz w:val="16"/>
                <w:szCs w:val="16"/>
                <w:lang w:eastAsia="en-GB"/>
              </w:rPr>
              <w:t>:  1):  20%, 2):  20%, 3):  20%, 4):  20%, 5):  20%.</w:t>
            </w:r>
          </w:p>
        </w:tc>
        <w:tc>
          <w:tcPr>
            <w:tcW w:w="2002" w:type="dxa"/>
            <w:shd w:val="clear" w:color="auto" w:fill="auto"/>
            <w:tcMar>
              <w:top w:w="85" w:type="dxa"/>
              <w:bottom w:w="85" w:type="dxa"/>
            </w:tcMar>
          </w:tcPr>
          <w:p w:rsidR="00B45FC3" w:rsidRPr="00526311" w:rsidRDefault="00B45FC3" w:rsidP="0063039A">
            <w:pPr>
              <w:widowControl w:val="0"/>
              <w:autoSpaceDE w:val="0"/>
              <w:autoSpaceDN w:val="0"/>
              <w:adjustRightInd w:val="0"/>
              <w:rPr>
                <w:b/>
                <w:sz w:val="16"/>
                <w:szCs w:val="16"/>
                <w:lang w:eastAsia="en-GB"/>
              </w:rPr>
            </w:pPr>
          </w:p>
        </w:tc>
        <w:tc>
          <w:tcPr>
            <w:tcW w:w="1984" w:type="dxa"/>
            <w:shd w:val="clear" w:color="auto" w:fill="auto"/>
            <w:tcMar>
              <w:top w:w="85" w:type="dxa"/>
              <w:bottom w:w="85" w:type="dxa"/>
            </w:tcMar>
          </w:tcPr>
          <w:p w:rsidR="00B45FC3" w:rsidRPr="00526311" w:rsidRDefault="00B45FC3" w:rsidP="0063039A">
            <w:pPr>
              <w:widowControl w:val="0"/>
              <w:autoSpaceDE w:val="0"/>
              <w:autoSpaceDN w:val="0"/>
              <w:adjustRightInd w:val="0"/>
              <w:rPr>
                <w:b/>
                <w:sz w:val="16"/>
                <w:szCs w:val="16"/>
                <w:lang w:eastAsia="en-GB"/>
              </w:rPr>
            </w:pPr>
          </w:p>
        </w:tc>
        <w:tc>
          <w:tcPr>
            <w:tcW w:w="1134" w:type="dxa"/>
            <w:tcMar>
              <w:top w:w="85" w:type="dxa"/>
              <w:bottom w:w="85" w:type="dxa"/>
            </w:tcMar>
          </w:tcPr>
          <w:p w:rsidR="00B45FC3" w:rsidRPr="00526311" w:rsidRDefault="00B45FC3" w:rsidP="0063039A">
            <w:pPr>
              <w:widowControl w:val="0"/>
              <w:autoSpaceDE w:val="0"/>
              <w:autoSpaceDN w:val="0"/>
              <w:adjustRightInd w:val="0"/>
              <w:jc w:val="right"/>
              <w:rPr>
                <w:b/>
                <w:sz w:val="16"/>
                <w:szCs w:val="16"/>
              </w:rPr>
            </w:pPr>
            <w:r w:rsidRPr="00526311">
              <w:rPr>
                <w:b/>
                <w:sz w:val="16"/>
                <w:szCs w:val="16"/>
              </w:rPr>
              <w:t>93,0%</w:t>
            </w:r>
          </w:p>
        </w:tc>
        <w:tc>
          <w:tcPr>
            <w:tcW w:w="1101" w:type="dxa"/>
            <w:tcMar>
              <w:top w:w="85" w:type="dxa"/>
              <w:bottom w:w="85" w:type="dxa"/>
            </w:tcMar>
          </w:tcPr>
          <w:p w:rsidR="00B45FC3" w:rsidRPr="00526311" w:rsidRDefault="00B45FC3" w:rsidP="0063039A">
            <w:pPr>
              <w:widowControl w:val="0"/>
              <w:autoSpaceDE w:val="0"/>
              <w:autoSpaceDN w:val="0"/>
              <w:adjustRightInd w:val="0"/>
              <w:jc w:val="right"/>
              <w:rPr>
                <w:b/>
                <w:sz w:val="16"/>
                <w:szCs w:val="16"/>
              </w:rPr>
            </w:pPr>
            <w:r w:rsidRPr="00526311">
              <w:rPr>
                <w:b/>
                <w:sz w:val="16"/>
                <w:szCs w:val="16"/>
              </w:rPr>
              <w:t>95,3%</w:t>
            </w:r>
          </w:p>
        </w:tc>
      </w:tr>
    </w:tbl>
    <w:p w:rsidR="00B45FC3" w:rsidRPr="00526311" w:rsidRDefault="00B45FC3" w:rsidP="0063039A">
      <w:pPr>
        <w:widowControl w:val="0"/>
        <w:autoSpaceDE w:val="0"/>
        <w:autoSpaceDN w:val="0"/>
        <w:adjustRightInd w:val="0"/>
        <w:rPr>
          <w:sz w:val="20"/>
          <w:lang w:eastAsia="en-GB"/>
        </w:rPr>
      </w:pPr>
    </w:p>
    <w:p w:rsidR="00B45FC3" w:rsidRPr="00526311" w:rsidRDefault="00B45FC3" w:rsidP="0063039A">
      <w:pPr>
        <w:widowControl w:val="0"/>
        <w:rPr>
          <w:b/>
          <w:sz w:val="20"/>
          <w:highlight w:val="yellow"/>
        </w:rPr>
      </w:pPr>
    </w:p>
    <w:p w:rsidR="00B45FC3" w:rsidRPr="00526311" w:rsidRDefault="00B45FC3" w:rsidP="0063039A">
      <w:pPr>
        <w:widowControl w:val="0"/>
        <w:rPr>
          <w:b/>
          <w:sz w:val="20"/>
        </w:rPr>
      </w:pPr>
      <w:r w:rsidRPr="00526311">
        <w:rPr>
          <w:b/>
          <w:sz w:val="20"/>
          <w:highlight w:val="white"/>
        </w:rPr>
        <w:t>Oficina Internacional</w:t>
      </w:r>
      <w:r w:rsidRPr="00526311">
        <w:rPr>
          <w:b/>
          <w:sz w:val="20"/>
        </w:rPr>
        <w:t xml:space="preserve"> actuando en calidad de Oficina receptora (RO/IB)</w:t>
      </w:r>
    </w:p>
    <w:p w:rsidR="00B45FC3" w:rsidRPr="00526311" w:rsidRDefault="00B45FC3" w:rsidP="0063039A">
      <w:pPr>
        <w:widowControl w:val="0"/>
        <w:rPr>
          <w:b/>
          <w:sz w:val="20"/>
        </w:rPr>
      </w:pPr>
    </w:p>
    <w:p w:rsidR="00B45FC3" w:rsidRPr="00526311" w:rsidRDefault="00B45FC3" w:rsidP="0063039A">
      <w:pPr>
        <w:widowControl w:val="0"/>
        <w:rPr>
          <w:i/>
          <w:sz w:val="20"/>
        </w:rPr>
      </w:pPr>
      <w:r w:rsidRPr="00526311">
        <w:rPr>
          <w:i/>
          <w:sz w:val="20"/>
        </w:rPr>
        <w:t xml:space="preserve">Presentación de solicitudes </w:t>
      </w:r>
    </w:p>
    <w:p w:rsidR="00B45FC3" w:rsidRPr="00526311" w:rsidRDefault="00B45FC3" w:rsidP="0063039A">
      <w:pPr>
        <w:widowControl w:val="0"/>
        <w:rPr>
          <w:b/>
          <w:sz w:val="20"/>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 xml:space="preserve">En este cuadro se muestra la actividad de presentación de solicitudes PCT con respecto a las diez principales oficinas receptoras desde los últimos cinco años hasta 2014.   En principio, las solicitudes PCT se presentan en la oficina de patentes del país de residencia del solicitante o en una oficina regional de patentes con jurisdicción sobre el lugar de residencia del solicitante.  </w:t>
      </w:r>
      <w:r w:rsidRPr="00526311">
        <w:rPr>
          <w:sz w:val="20"/>
          <w:highlight w:val="white"/>
        </w:rPr>
        <w:t>La Oficina Internacional es la Oficina receptora competente</w:t>
      </w:r>
      <w:r w:rsidRPr="00526311">
        <w:rPr>
          <w:sz w:val="20"/>
        </w:rPr>
        <w:t xml:space="preserve"> (RO/IB) para los solicitantes de todos los Estados contratantes del </w:t>
      </w:r>
      <w:r w:rsidRPr="00526311">
        <w:rPr>
          <w:sz w:val="20"/>
          <w:highlight w:val="white"/>
        </w:rPr>
        <w:t xml:space="preserve"> PCT</w:t>
      </w:r>
      <w:r w:rsidRPr="00526311">
        <w:rPr>
          <w:sz w:val="20"/>
        </w:rPr>
        <w:t xml:space="preserve">.  En el cuadro se muestra la evolución en la presentación de solicitudes ante la RO/IB, el </w:t>
      </w:r>
      <w:r w:rsidRPr="00526311">
        <w:rPr>
          <w:i/>
          <w:sz w:val="20"/>
        </w:rPr>
        <w:t>ranking</w:t>
      </w:r>
      <w:r w:rsidRPr="00526311">
        <w:rPr>
          <w:sz w:val="20"/>
        </w:rPr>
        <w:t xml:space="preserve"> que le corresponde en lo relativo al número de solicitudes recibidas por otras oficinas receptoras, así como su cuota de mercado.</w:t>
      </w:r>
    </w:p>
    <w:p w:rsidR="00B45FC3" w:rsidRPr="00526311" w:rsidRDefault="00B45FC3" w:rsidP="0063039A">
      <w:pPr>
        <w:widowControl w:val="0"/>
        <w:jc w:val="both"/>
        <w:rPr>
          <w:sz w:val="20"/>
          <w:highlight w:val="yellow"/>
        </w:rPr>
      </w:pPr>
    </w:p>
    <w:p w:rsidR="00B45FC3" w:rsidRPr="00526311" w:rsidRDefault="00B45FC3" w:rsidP="0063039A">
      <w:pPr>
        <w:widowControl w:val="0"/>
        <w:jc w:val="both"/>
        <w:rPr>
          <w:sz w:val="20"/>
          <w:highlight w:val="yellow"/>
        </w:rPr>
      </w:pPr>
      <w:r w:rsidRPr="00526311">
        <w:rPr>
          <w:noProof/>
          <w:sz w:val="20"/>
          <w:lang w:val="en-US" w:eastAsia="en-US"/>
        </w:rPr>
        <w:lastRenderedPageBreak/>
        <w:drawing>
          <wp:inline distT="0" distB="0" distL="0" distR="0" wp14:anchorId="777537F5" wp14:editId="66F0B281">
            <wp:extent cx="5741670" cy="2615565"/>
            <wp:effectExtent l="0" t="0" r="0" b="0"/>
            <wp:docPr id="802" name="Imagen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1670" cy="2615565"/>
                    </a:xfrm>
                    <a:prstGeom prst="rect">
                      <a:avLst/>
                    </a:prstGeom>
                    <a:noFill/>
                    <a:ln>
                      <a:noFill/>
                    </a:ln>
                  </pic:spPr>
                </pic:pic>
              </a:graphicData>
            </a:graphic>
          </wp:inline>
        </w:drawing>
      </w:r>
    </w:p>
    <w:p w:rsidR="00B45FC3" w:rsidRPr="00526311" w:rsidRDefault="00B45FC3" w:rsidP="0063039A">
      <w:pPr>
        <w:widowControl w:val="0"/>
        <w:rPr>
          <w:sz w:val="20"/>
          <w:highlight w:val="yellow"/>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highlight w:val="white"/>
        </w:rPr>
        <w:t>En el presupuesto por programas de 2014/15</w:t>
      </w:r>
      <w:r w:rsidRPr="00526311">
        <w:rPr>
          <w:sz w:val="20"/>
        </w:rPr>
        <w:t xml:space="preserve">, se añadieron los dos indicadores de rendimiento siguientes para la </w:t>
      </w:r>
      <w:r w:rsidRPr="00526311">
        <w:rPr>
          <w:sz w:val="20"/>
          <w:highlight w:val="white"/>
        </w:rPr>
        <w:t>RO/IB</w:t>
      </w:r>
      <w:r w:rsidRPr="00526311">
        <w:rPr>
          <w:sz w:val="20"/>
        </w:rPr>
        <w:t>:</w:t>
      </w:r>
    </w:p>
    <w:p w:rsidR="00B45FC3" w:rsidRPr="00526311" w:rsidRDefault="00B45FC3" w:rsidP="0063039A">
      <w:pPr>
        <w:pStyle w:val="PlainText"/>
        <w:widowControl w:val="0"/>
        <w:rPr>
          <w:rFonts w:ascii="Arial" w:hAnsi="Arial" w:cs="Arial"/>
          <w:color w:val="auto"/>
        </w:rPr>
      </w:pPr>
    </w:p>
    <w:p w:rsidR="00B45FC3" w:rsidRPr="00526311" w:rsidRDefault="00B45FC3" w:rsidP="0063039A">
      <w:pPr>
        <w:pStyle w:val="PlainText"/>
        <w:widowControl w:val="0"/>
        <w:rPr>
          <w:rFonts w:ascii="Arial" w:hAnsi="Arial" w:cs="Arial"/>
          <w:color w:val="auto"/>
        </w:rPr>
      </w:pPr>
      <w:r w:rsidRPr="00526311">
        <w:rPr>
          <w:rFonts w:ascii="Arial" w:hAnsi="Arial" w:cs="Arial"/>
          <w:i/>
          <w:color w:val="auto"/>
        </w:rPr>
        <w:t>Tiempo necesario para la notificación de la fecha de presentación de la solicitud internacional</w:t>
      </w:r>
    </w:p>
    <w:p w:rsidR="00B45FC3" w:rsidRPr="00526311" w:rsidRDefault="00B45FC3" w:rsidP="0063039A">
      <w:pPr>
        <w:pStyle w:val="PlainText"/>
        <w:widowControl w:val="0"/>
        <w:rPr>
          <w:rFonts w:ascii="Arial" w:hAnsi="Arial" w:cs="Arial"/>
          <w:color w:val="auto"/>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Este indicador refleja el tiempo que tarda la RO/IB en expedir el formulario 105.   Se expide este formulario una vez otorgada la fecha de presentación internacional.   Los solicitantes agradecen que se les envíe lo antes posible, puesto que la solicitud internacional surtirá el mismo efecto que una solicitud nacional común que haya sido presentada en cada uno de los Estados designados en la fecha de presentación internacional, que será considerada como la fecha de presentación efectiva en cada Estado designado.</w:t>
      </w:r>
    </w:p>
    <w:p w:rsidR="00B45FC3" w:rsidRPr="00526311" w:rsidRDefault="00B45FC3" w:rsidP="0063039A">
      <w:pPr>
        <w:pStyle w:val="BodyText2"/>
        <w:widowControl w:val="0"/>
        <w:spacing w:after="0" w:line="240" w:lineRule="auto"/>
        <w:jc w:val="both"/>
        <w:rPr>
          <w:rFonts w:cs="Arial"/>
          <w:szCs w:val="20"/>
          <w:lang w:val="es-ES"/>
        </w:rPr>
      </w:pPr>
    </w:p>
    <w:p w:rsidR="00B45FC3" w:rsidRPr="00526311" w:rsidRDefault="00B45FC3" w:rsidP="0063039A">
      <w:pPr>
        <w:pStyle w:val="PlainText"/>
        <w:widowControl w:val="0"/>
        <w:jc w:val="center"/>
        <w:rPr>
          <w:rFonts w:ascii="Arial" w:hAnsi="Arial" w:cs="Arial"/>
          <w:b/>
          <w:color w:val="auto"/>
        </w:rPr>
      </w:pPr>
      <w:r w:rsidRPr="00526311">
        <w:rPr>
          <w:rFonts w:ascii="Arial" w:hAnsi="Arial" w:cs="Arial"/>
          <w:b/>
          <w:color w:val="auto"/>
        </w:rPr>
        <w:t>Tiempo necesario para la notificación de la fecha de presentación de la solicitud internacional</w:t>
      </w:r>
    </w:p>
    <w:p w:rsidR="00B45FC3" w:rsidRPr="00526311" w:rsidRDefault="00B45FC3" w:rsidP="0063039A">
      <w:pPr>
        <w:pStyle w:val="PlainText"/>
        <w:widowControl w:val="0"/>
        <w:jc w:val="center"/>
        <w:rPr>
          <w:rFonts w:ascii="Arial" w:hAnsi="Arial" w:cs="Arial"/>
          <w:b/>
          <w:color w:val="auto"/>
        </w:rPr>
      </w:pPr>
      <w:r w:rsidRPr="00526311">
        <w:rPr>
          <w:rFonts w:ascii="Arial" w:hAnsi="Arial" w:cs="Arial"/>
          <w:b/>
          <w:noProof/>
          <w:color w:val="auto"/>
          <w:lang w:val="en-US" w:eastAsia="en-US"/>
        </w:rPr>
        <w:drawing>
          <wp:inline distT="0" distB="0" distL="0" distR="0" wp14:anchorId="3AFCEC7C" wp14:editId="140920EC">
            <wp:extent cx="5741670" cy="2434590"/>
            <wp:effectExtent l="0" t="0" r="0" b="3810"/>
            <wp:docPr id="803" name="Imagen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41670" cy="2434590"/>
                    </a:xfrm>
                    <a:prstGeom prst="rect">
                      <a:avLst/>
                    </a:prstGeom>
                    <a:noFill/>
                    <a:ln>
                      <a:noFill/>
                    </a:ln>
                  </pic:spPr>
                </pic:pic>
              </a:graphicData>
            </a:graphic>
          </wp:inline>
        </w:drawing>
      </w:r>
    </w:p>
    <w:p w:rsidR="00B45FC3" w:rsidRPr="00526311" w:rsidRDefault="00B45FC3" w:rsidP="0063039A">
      <w:pPr>
        <w:pStyle w:val="PlainText"/>
        <w:widowControl w:val="0"/>
        <w:rPr>
          <w:rFonts w:ascii="Arial" w:hAnsi="Arial" w:cs="Arial"/>
          <w:color w:val="auto"/>
        </w:rPr>
      </w:pPr>
    </w:p>
    <w:p w:rsidR="00B45FC3" w:rsidRPr="00526311" w:rsidRDefault="00B45FC3" w:rsidP="0063039A">
      <w:pPr>
        <w:pStyle w:val="PlainText"/>
        <w:widowControl w:val="0"/>
        <w:rPr>
          <w:rFonts w:ascii="Arial" w:hAnsi="Arial" w:cs="Arial"/>
          <w:i/>
          <w:color w:val="auto"/>
        </w:rPr>
      </w:pPr>
      <w:r w:rsidRPr="00526311">
        <w:rPr>
          <w:rFonts w:ascii="Arial" w:hAnsi="Arial" w:cs="Arial"/>
          <w:i/>
          <w:color w:val="auto"/>
        </w:rPr>
        <w:t>Tiempo necesario para la transmisión de la copia para la búsqueda</w:t>
      </w:r>
    </w:p>
    <w:p w:rsidR="00B45FC3" w:rsidRPr="00526311" w:rsidRDefault="00B45FC3" w:rsidP="0063039A">
      <w:pPr>
        <w:pStyle w:val="PlainText"/>
        <w:widowControl w:val="0"/>
        <w:rPr>
          <w:rFonts w:ascii="Arial" w:hAnsi="Arial" w:cs="Arial"/>
          <w:color w:val="auto"/>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Este indicador refleja el tiempo que tarda la RO/IB en transmitir las copias para la búsqueda a las Administraciones encargadas de la búsqueda internacional.  La copia para la búsqueda debe ser transmitida lo antes posible tras el pago de la tasa, para que la Administración encargada de la búsqueda internacional pueda elaborar el informe sobre la búsqueda internacional dentro de los plazos dispuestos en el marco regulador del PCT.  La demora en el pago de la tasa demorará la transmisión de las copias para la búsqueda a las Administraciones encargadas de la búsqueda internacional y, por lo tanto, incidirá negativamente en la capacidad de dichas Administraciones de cumplir con esos plazos.</w:t>
      </w:r>
    </w:p>
    <w:p w:rsidR="00B45FC3" w:rsidRPr="00526311" w:rsidRDefault="00B45FC3" w:rsidP="0063039A">
      <w:pPr>
        <w:widowControl w:val="0"/>
        <w:rPr>
          <w:sz w:val="20"/>
        </w:rPr>
      </w:pPr>
    </w:p>
    <w:p w:rsidR="00B45FC3" w:rsidRPr="00526311" w:rsidRDefault="00B45FC3" w:rsidP="0063039A">
      <w:pPr>
        <w:pStyle w:val="PlainText"/>
        <w:keepNext/>
        <w:widowControl w:val="0"/>
        <w:jc w:val="center"/>
        <w:rPr>
          <w:rFonts w:ascii="Arial" w:hAnsi="Arial" w:cs="Arial"/>
          <w:b/>
          <w:color w:val="auto"/>
        </w:rPr>
      </w:pPr>
      <w:r w:rsidRPr="00526311">
        <w:rPr>
          <w:rFonts w:ascii="Arial" w:hAnsi="Arial" w:cs="Arial"/>
          <w:b/>
          <w:color w:val="auto"/>
        </w:rPr>
        <w:lastRenderedPageBreak/>
        <w:t>Tiempo necesario para la transmisión de la copia para la búsqueda</w:t>
      </w:r>
    </w:p>
    <w:p w:rsidR="00B45FC3" w:rsidRPr="00526311" w:rsidRDefault="00B45FC3" w:rsidP="0063039A">
      <w:pPr>
        <w:pStyle w:val="PlainText"/>
        <w:widowControl w:val="0"/>
        <w:jc w:val="center"/>
        <w:rPr>
          <w:rFonts w:ascii="Arial" w:hAnsi="Arial" w:cs="Arial"/>
          <w:b/>
          <w:color w:val="auto"/>
        </w:rPr>
      </w:pPr>
      <w:r w:rsidRPr="00526311">
        <w:rPr>
          <w:rFonts w:ascii="Arial" w:hAnsi="Arial" w:cs="Arial"/>
          <w:b/>
          <w:noProof/>
          <w:color w:val="auto"/>
          <w:lang w:val="en-US" w:eastAsia="en-US"/>
        </w:rPr>
        <w:drawing>
          <wp:inline distT="0" distB="0" distL="0" distR="0" wp14:anchorId="3D40C956" wp14:editId="7978CCA5">
            <wp:extent cx="5741670" cy="2615565"/>
            <wp:effectExtent l="0" t="0" r="0" b="0"/>
            <wp:docPr id="804" name="Imagen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1670" cy="2615565"/>
                    </a:xfrm>
                    <a:prstGeom prst="rect">
                      <a:avLst/>
                    </a:prstGeom>
                    <a:noFill/>
                    <a:ln>
                      <a:noFill/>
                    </a:ln>
                  </pic:spPr>
                </pic:pic>
              </a:graphicData>
            </a:graphic>
          </wp:inline>
        </w:drawing>
      </w:r>
    </w:p>
    <w:p w:rsidR="00B45FC3" w:rsidRPr="00526311" w:rsidRDefault="00B45FC3" w:rsidP="0063039A">
      <w:pPr>
        <w:pStyle w:val="PlainText"/>
        <w:widowControl w:val="0"/>
        <w:rPr>
          <w:rFonts w:ascii="Arial" w:hAnsi="Arial" w:cs="Arial"/>
          <w:b/>
          <w:color w:val="auto"/>
        </w:rPr>
      </w:pPr>
    </w:p>
    <w:p w:rsidR="00B45FC3" w:rsidRPr="00526311" w:rsidRDefault="00B45FC3" w:rsidP="0063039A">
      <w:pPr>
        <w:pStyle w:val="PlainText"/>
        <w:widowControl w:val="0"/>
        <w:rPr>
          <w:rFonts w:ascii="Arial" w:hAnsi="Arial" w:cs="Arial"/>
          <w:b/>
          <w:color w:val="auto"/>
        </w:rPr>
      </w:pPr>
    </w:p>
    <w:p w:rsidR="00B45FC3" w:rsidRPr="00526311" w:rsidRDefault="00B45FC3" w:rsidP="0063039A">
      <w:pPr>
        <w:rPr>
          <w:sz w:val="20"/>
        </w:rPr>
      </w:pPr>
    </w:p>
    <w:p w:rsidR="00B45FC3" w:rsidRPr="00526311" w:rsidRDefault="00B45FC3">
      <w:pPr>
        <w:rPr>
          <w:bCs/>
          <w:iCs/>
          <w:caps/>
          <w:sz w:val="20"/>
        </w:rPr>
      </w:pPr>
      <w:r w:rsidRPr="00526311">
        <w:rPr>
          <w:sz w:val="20"/>
        </w:rPr>
        <w:br w:type="page"/>
      </w:r>
    </w:p>
    <w:p w:rsidR="00B45FC3" w:rsidRPr="00526311" w:rsidRDefault="00B45FC3" w:rsidP="0063039A">
      <w:pPr>
        <w:pStyle w:val="Heading2"/>
        <w:tabs>
          <w:tab w:val="left" w:pos="2552"/>
        </w:tabs>
        <w:rPr>
          <w:b/>
        </w:rPr>
      </w:pPr>
      <w:bookmarkStart w:id="27" w:name="_Toc422927409"/>
      <w:r w:rsidRPr="00526311">
        <w:rPr>
          <w:b/>
        </w:rPr>
        <w:lastRenderedPageBreak/>
        <w:t>PROGRAMA 6</w:t>
      </w:r>
      <w:r w:rsidRPr="00526311">
        <w:rPr>
          <w:b/>
        </w:rPr>
        <w:tab/>
        <w:t>SISTEMAS DE MADRID Y DE LISBOA</w:t>
      </w:r>
      <w:bookmarkEnd w:id="27"/>
    </w:p>
    <w:p w:rsidR="00B45FC3" w:rsidRPr="00526311" w:rsidRDefault="00B45FC3" w:rsidP="0063039A"/>
    <w:p w:rsidR="00B45FC3" w:rsidRPr="00526311" w:rsidRDefault="00B45FC3" w:rsidP="0063039A">
      <w:pPr>
        <w:tabs>
          <w:tab w:val="left" w:pos="-1560"/>
          <w:tab w:val="left" w:pos="2552"/>
        </w:tabs>
        <w:rPr>
          <w:b/>
          <w:sz w:val="20"/>
        </w:rPr>
      </w:pPr>
      <w:r w:rsidRPr="00526311">
        <w:rPr>
          <w:b/>
          <w:sz w:val="20"/>
        </w:rPr>
        <w:t>Directora de programa</w:t>
      </w:r>
      <w:r w:rsidRPr="00526311">
        <w:rPr>
          <w:b/>
          <w:sz w:val="20"/>
        </w:rPr>
        <w:tab/>
        <w:t>Sra. B. Wang</w:t>
      </w:r>
    </w:p>
    <w:p w:rsidR="00B45FC3" w:rsidRPr="00526311" w:rsidRDefault="00B45FC3" w:rsidP="0063039A">
      <w:pPr>
        <w:rPr>
          <w:sz w:val="18"/>
        </w:rPr>
      </w:pPr>
    </w:p>
    <w:p w:rsidR="00B45FC3" w:rsidRPr="00526311" w:rsidRDefault="00B45FC3" w:rsidP="0063039A"/>
    <w:p w:rsidR="00B45FC3" w:rsidRPr="00526311" w:rsidRDefault="00B45FC3" w:rsidP="0063039A">
      <w:pPr>
        <w:rPr>
          <w:bCs/>
          <w:szCs w:val="22"/>
        </w:rPr>
      </w:pPr>
      <w:r w:rsidRPr="00526311">
        <w:rPr>
          <w:bCs/>
          <w:szCs w:val="22"/>
        </w:rPr>
        <w:t>RESEÑA DE LOS AVANCES LOGRADOS EN 2014</w:t>
      </w:r>
    </w:p>
    <w:p w:rsidR="00B45FC3" w:rsidRPr="00526311" w:rsidRDefault="00B45FC3" w:rsidP="0063039A"/>
    <w:p w:rsidR="00B45FC3" w:rsidRPr="00526311" w:rsidRDefault="00B45FC3" w:rsidP="00B45FC3">
      <w:pPr>
        <w:pStyle w:val="ListParagraph"/>
        <w:numPr>
          <w:ilvl w:val="0"/>
          <w:numId w:val="24"/>
        </w:numPr>
        <w:ind w:left="567" w:hanging="567"/>
        <w:jc w:val="both"/>
        <w:rPr>
          <w:rFonts w:cs="Arial"/>
          <w:lang w:val="es-ES"/>
        </w:rPr>
      </w:pPr>
      <w:r w:rsidRPr="00526311">
        <w:rPr>
          <w:rFonts w:cs="Arial"/>
          <w:lang w:val="es-ES"/>
        </w:rPr>
        <w:t>SISTEMA DE MADRID</w:t>
      </w:r>
    </w:p>
    <w:p w:rsidR="00B45FC3" w:rsidRPr="00526311" w:rsidRDefault="00B45FC3" w:rsidP="0063039A">
      <w:pPr>
        <w:tabs>
          <w:tab w:val="left" w:pos="709"/>
        </w:tabs>
        <w:jc w:val="both"/>
      </w:pPr>
    </w:p>
    <w:p w:rsidR="00B45FC3" w:rsidRPr="00526311" w:rsidRDefault="00B45FC3" w:rsidP="00B45FC3">
      <w:pPr>
        <w:pStyle w:val="ListParagraph"/>
        <w:numPr>
          <w:ilvl w:val="0"/>
          <w:numId w:val="27"/>
        </w:numPr>
        <w:tabs>
          <w:tab w:val="left" w:pos="567"/>
        </w:tabs>
        <w:ind w:left="0" w:firstLine="0"/>
        <w:jc w:val="both"/>
        <w:rPr>
          <w:rFonts w:cs="Arial"/>
          <w:lang w:val="es-ES"/>
        </w:rPr>
      </w:pPr>
      <w:r w:rsidRPr="00526311">
        <w:rPr>
          <w:rFonts w:cs="Arial"/>
          <w:color w:val="000000"/>
          <w:lang w:val="es-ES"/>
        </w:rPr>
        <w:t xml:space="preserve">La ampliación de la cobertura geográfica del Sistema estuvo marcada por hechos importantes y positivos en 2014.  En diciembre, </w:t>
      </w:r>
      <w:r w:rsidRPr="00526311">
        <w:rPr>
          <w:rFonts w:cs="Arial"/>
          <w:lang w:val="es-ES"/>
        </w:rPr>
        <w:t xml:space="preserve">Zimbabwe y la Organización Africana de la Propiedad Intelectual </w:t>
      </w:r>
      <w:r w:rsidRPr="00526311">
        <w:rPr>
          <w:rFonts w:cs="Arial"/>
          <w:color w:val="000000"/>
          <w:lang w:val="es-ES"/>
        </w:rPr>
        <w:t xml:space="preserve">(OAPI) se adhirieron al Protocolo de Madrid.  Puesto que la OAPI es una organización intergubernamental que cuenta con 17 Estados miembros, solamente estas dos adhesiones aumentaron de 94 a 110 el número de países en que los usuarios pueden proteger y gestionar sus marcas de forma centralizada a través del </w:t>
      </w:r>
      <w:r w:rsidRPr="00526311">
        <w:rPr>
          <w:rFonts w:cs="Arial"/>
          <w:lang w:val="es-ES"/>
        </w:rPr>
        <w:t>Sistema de Madrid</w:t>
      </w:r>
      <w:r w:rsidRPr="00526311">
        <w:rPr>
          <w:rFonts w:cs="Arial"/>
          <w:color w:val="000000"/>
          <w:lang w:val="es-ES"/>
        </w:rPr>
        <w:t xml:space="preserve">, y esto contribuyó enormemente a transformar dicho Sistema en un sistema realmente mundial. </w:t>
      </w:r>
    </w:p>
    <w:p w:rsidR="00B45FC3" w:rsidRPr="00526311" w:rsidRDefault="00B45FC3" w:rsidP="0063039A">
      <w:pPr>
        <w:tabs>
          <w:tab w:val="left" w:pos="709"/>
        </w:tabs>
        <w:jc w:val="both"/>
      </w:pPr>
    </w:p>
    <w:p w:rsidR="00B45FC3" w:rsidRPr="00526311" w:rsidRDefault="00B45FC3" w:rsidP="00B45FC3">
      <w:pPr>
        <w:pStyle w:val="ListParagraph"/>
        <w:numPr>
          <w:ilvl w:val="0"/>
          <w:numId w:val="27"/>
        </w:numPr>
        <w:tabs>
          <w:tab w:val="left" w:pos="567"/>
        </w:tabs>
        <w:ind w:left="0" w:firstLine="0"/>
        <w:jc w:val="both"/>
        <w:rPr>
          <w:rFonts w:cs="Arial"/>
          <w:lang w:val="es-ES"/>
        </w:rPr>
      </w:pPr>
      <w:r w:rsidRPr="00526311">
        <w:rPr>
          <w:rFonts w:cs="Arial"/>
          <w:color w:val="000000"/>
          <w:lang w:val="es-ES"/>
        </w:rPr>
        <w:t xml:space="preserve">El uso del </w:t>
      </w:r>
      <w:r w:rsidRPr="00526311">
        <w:rPr>
          <w:rFonts w:cs="Arial"/>
          <w:lang w:val="es-ES"/>
        </w:rPr>
        <w:t>Sistema de Madrid también aumentó en 2014, aunque a un ritmo menor al que se anticipaba originalmente.  En 2014, se recibió el número récord de 47.885 solicitudes, lo que supuso un aumento del 2,3% respecto de 2013.  En 2014, los Estados Unidos de América superaron a Alemania convirtiéndose en el principal usuario</w:t>
      </w:r>
      <w:r w:rsidRPr="00526311">
        <w:rPr>
          <w:rFonts w:cs="Arial"/>
          <w:color w:val="000000"/>
          <w:lang w:val="es-ES"/>
        </w:rPr>
        <w:t>, lo que ilustra mejor aún la transformación del Sistema de Madrid.</w:t>
      </w:r>
    </w:p>
    <w:p w:rsidR="00B45FC3" w:rsidRPr="00526311" w:rsidRDefault="00B45FC3" w:rsidP="0063039A">
      <w:pPr>
        <w:tabs>
          <w:tab w:val="left" w:pos="709"/>
        </w:tabs>
        <w:jc w:val="both"/>
      </w:pPr>
    </w:p>
    <w:p w:rsidR="00B45FC3" w:rsidRPr="00526311" w:rsidRDefault="00B45FC3" w:rsidP="00B45FC3">
      <w:pPr>
        <w:pStyle w:val="ListParagraph"/>
        <w:numPr>
          <w:ilvl w:val="0"/>
          <w:numId w:val="27"/>
        </w:numPr>
        <w:tabs>
          <w:tab w:val="left" w:pos="567"/>
        </w:tabs>
        <w:ind w:left="0" w:firstLine="0"/>
        <w:jc w:val="both"/>
        <w:rPr>
          <w:lang w:val="es-ES"/>
        </w:rPr>
      </w:pPr>
      <w:r w:rsidRPr="00526311">
        <w:rPr>
          <w:color w:val="000000"/>
          <w:lang w:val="es-ES"/>
        </w:rPr>
        <w:t xml:space="preserve">A raíz de los debates en el Grupo de Trabajo sobre el Desarrollo Jurídico del Sistema de Madrid, se introdujeron importantes modificaciones en el Reglamento Común, que entró en vigor en enero de 2015. </w:t>
      </w:r>
      <w:r w:rsidRPr="00526311">
        <w:rPr>
          <w:lang w:val="es-ES"/>
        </w:rPr>
        <w:t xml:space="preserve"> </w:t>
      </w:r>
      <w:r w:rsidRPr="00526311">
        <w:rPr>
          <w:color w:val="000000"/>
          <w:lang w:val="es-ES"/>
        </w:rPr>
        <w:t xml:space="preserve">Como resultado de dichos cambios, ahora los solicitantes o titulares pueden aprovechar la nueva medida de subsanación denominada “continuación de la tramitación” cuando no cumplan ciertos plazos en los procedimientos específicos que se llevan a cabo en la Oficina Internacional.  Además, se ha simplificado el procedimiento de renovación con la introducción de la posibilidad de renovar un registro internacional únicamente con respecto a una lista reducida de productos y servicios, en lugar de tener que presentar una petición de inscripción de una limitación antes de la fecha de renovación, como ocurría anteriormente. </w:t>
      </w:r>
    </w:p>
    <w:p w:rsidR="00B45FC3" w:rsidRPr="00526311" w:rsidRDefault="00B45FC3" w:rsidP="0063039A">
      <w:pPr>
        <w:tabs>
          <w:tab w:val="left" w:pos="709"/>
        </w:tabs>
        <w:jc w:val="both"/>
      </w:pPr>
    </w:p>
    <w:p w:rsidR="00B45FC3" w:rsidRPr="00526311" w:rsidRDefault="00B45FC3" w:rsidP="00B45FC3">
      <w:pPr>
        <w:pStyle w:val="ListParagraph"/>
        <w:numPr>
          <w:ilvl w:val="0"/>
          <w:numId w:val="27"/>
        </w:numPr>
        <w:tabs>
          <w:tab w:val="left" w:pos="567"/>
        </w:tabs>
        <w:ind w:left="0" w:firstLine="0"/>
        <w:jc w:val="both"/>
        <w:rPr>
          <w:rFonts w:cs="Arial"/>
          <w:lang w:val="es-ES"/>
        </w:rPr>
      </w:pPr>
      <w:r w:rsidRPr="00526311">
        <w:rPr>
          <w:rFonts w:cs="Arial"/>
          <w:color w:val="000000"/>
          <w:lang w:val="es-ES"/>
        </w:rPr>
        <w:t xml:space="preserve">Los </w:t>
      </w:r>
      <w:r w:rsidRPr="00526311">
        <w:rPr>
          <w:color w:val="000000"/>
          <w:lang w:val="es-ES"/>
        </w:rPr>
        <w:t>aspectos</w:t>
      </w:r>
      <w:r w:rsidRPr="00526311">
        <w:rPr>
          <w:rFonts w:cs="Arial"/>
          <w:color w:val="000000"/>
          <w:lang w:val="es-ES"/>
        </w:rPr>
        <w:t xml:space="preserve"> más difíciles de 2014 estuvieron relacionados con las actividades del Sistema de Madrid que efectúa la </w:t>
      </w:r>
      <w:r w:rsidRPr="00526311">
        <w:rPr>
          <w:rFonts w:cs="Arial"/>
          <w:lang w:val="es-ES"/>
        </w:rPr>
        <w:t>Oficina Internacional</w:t>
      </w:r>
      <w:r w:rsidRPr="00526311">
        <w:rPr>
          <w:rFonts w:cs="Arial"/>
          <w:color w:val="000000"/>
          <w:lang w:val="es-ES"/>
        </w:rPr>
        <w:t xml:space="preserve">.  El índice de satisfacción relativo a la </w:t>
      </w:r>
      <w:r w:rsidRPr="00526311">
        <w:rPr>
          <w:rFonts w:cs="Arial"/>
          <w:lang w:val="es-ES"/>
        </w:rPr>
        <w:t xml:space="preserve">prestación óptima de servicios </w:t>
      </w:r>
      <w:r w:rsidRPr="00526311">
        <w:rPr>
          <w:rFonts w:cs="Arial"/>
          <w:color w:val="000000"/>
          <w:lang w:val="es-ES"/>
        </w:rPr>
        <w:t xml:space="preserve">en el marco de este Sistema (encuesta de prestación óptima de servicios en el marco del Sistema de Madrid, 2014) mejoró ligeramente, de 38 a 39.  Sin embargo, a principios de 2014, se puso en aplicación una importante iniciativa de reforma a largo plazo destinada a mejorar el entorno de funcionamiento que requirió la ejecución de nuevas actividades y proyectos, así como el desvío de recursos asignados previamente al examen.  Como consecuencia, se acumularon </w:t>
      </w:r>
      <w:r w:rsidRPr="00526311">
        <w:rPr>
          <w:rFonts w:cs="Arial"/>
          <w:lang w:val="es-ES"/>
        </w:rPr>
        <w:t xml:space="preserve">retrasos en la tramitación de solicitudes </w:t>
      </w:r>
      <w:r w:rsidRPr="00526311">
        <w:rPr>
          <w:rFonts w:cs="Arial"/>
          <w:color w:val="000000"/>
          <w:lang w:val="es-ES"/>
        </w:rPr>
        <w:t xml:space="preserve">en varias categorías de examen (algunos anteriores a 2014), y se registraron otras demoras por motivos de funcionamiento, lo que dio lugar a que un número de indicadores apareciera sin avances significativos.  Se introdujeron medidas paliativas, entre otras, la retención de un número de recursos flexibles adicionales para que la </w:t>
      </w:r>
      <w:r w:rsidRPr="00526311">
        <w:rPr>
          <w:rFonts w:cs="Arial"/>
          <w:lang w:val="es-ES"/>
        </w:rPr>
        <w:t xml:space="preserve">Oficina Internacional </w:t>
      </w:r>
      <w:r w:rsidRPr="00526311">
        <w:rPr>
          <w:rFonts w:cs="Arial"/>
          <w:color w:val="000000"/>
          <w:lang w:val="es-ES"/>
        </w:rPr>
        <w:t xml:space="preserve">pudiera mejorar la situación y seguir avanzando, aunque fuese preciso seguir impulsando medidas de mejora. </w:t>
      </w:r>
    </w:p>
    <w:p w:rsidR="00B45FC3" w:rsidRPr="00526311" w:rsidRDefault="00B45FC3" w:rsidP="0063039A">
      <w:pPr>
        <w:tabs>
          <w:tab w:val="left" w:pos="709"/>
        </w:tabs>
        <w:jc w:val="both"/>
      </w:pPr>
    </w:p>
    <w:p w:rsidR="00B45FC3" w:rsidRPr="00526311" w:rsidRDefault="00B45FC3" w:rsidP="00B45FC3">
      <w:pPr>
        <w:pStyle w:val="ListParagraph"/>
        <w:numPr>
          <w:ilvl w:val="0"/>
          <w:numId w:val="27"/>
        </w:numPr>
        <w:tabs>
          <w:tab w:val="left" w:pos="567"/>
        </w:tabs>
        <w:ind w:left="0" w:firstLine="0"/>
        <w:jc w:val="both"/>
        <w:rPr>
          <w:rFonts w:cs="Arial"/>
          <w:lang w:val="es-ES"/>
        </w:rPr>
      </w:pPr>
      <w:r w:rsidRPr="00526311">
        <w:rPr>
          <w:color w:val="000000"/>
          <w:lang w:val="es-ES"/>
        </w:rPr>
        <w:t>Durante</w:t>
      </w:r>
      <w:r w:rsidRPr="00526311">
        <w:rPr>
          <w:rFonts w:cs="Arial"/>
          <w:color w:val="000000"/>
          <w:lang w:val="es-ES"/>
        </w:rPr>
        <w:t xml:space="preserve"> el tercer y cuarto trimestres de 2014 se llevó a cabo una revisión independiente de los preparativos necesarios para instalar sistemas informáticos de apoyo administrativo más modernos en el </w:t>
      </w:r>
      <w:r w:rsidRPr="00526311">
        <w:rPr>
          <w:rFonts w:cs="Arial"/>
          <w:lang w:val="es-ES"/>
        </w:rPr>
        <w:t>Registro de Madrid</w:t>
      </w:r>
      <w:r w:rsidRPr="00526311">
        <w:rPr>
          <w:rFonts w:cs="Arial"/>
          <w:color w:val="000000"/>
          <w:lang w:val="es-ES"/>
        </w:rPr>
        <w:t xml:space="preserve">. </w:t>
      </w:r>
      <w:r w:rsidRPr="00526311">
        <w:rPr>
          <w:rFonts w:cs="Arial"/>
          <w:lang w:val="es-ES"/>
        </w:rPr>
        <w:t xml:space="preserve"> </w:t>
      </w:r>
      <w:r w:rsidRPr="00526311">
        <w:rPr>
          <w:rFonts w:cs="Arial"/>
          <w:color w:val="000000"/>
          <w:lang w:val="es-ES"/>
        </w:rPr>
        <w:t xml:space="preserve">La recomendación principal de la revisión fue contratar a un especialista para supervisar la instalación en lo que se refiere a las operaciones en sí y desde el punto de vista de las TIC.  En cuanto a los sistemas informáticos que utilizan los usuarios externos, la labor continuó según lo previsto, con la introducción de la herramienta de presentación electrónica de solicitudes del Sistema de Madrid (Madrid </w:t>
      </w:r>
      <w:r w:rsidRPr="00526311">
        <w:rPr>
          <w:rFonts w:cs="Arial"/>
          <w:i/>
          <w:color w:val="000000"/>
          <w:lang w:val="es-ES"/>
        </w:rPr>
        <w:t>eFiling</w:t>
      </w:r>
      <w:r w:rsidRPr="00526311">
        <w:rPr>
          <w:rFonts w:cs="Arial"/>
          <w:color w:val="000000"/>
          <w:lang w:val="es-ES"/>
        </w:rPr>
        <w:t xml:space="preserve">) en la </w:t>
      </w:r>
      <w:r w:rsidRPr="00526311">
        <w:rPr>
          <w:rFonts w:cs="Arial"/>
          <w:lang w:val="es-ES"/>
        </w:rPr>
        <w:t xml:space="preserve">Oficina de Propiedad Intelectual del Benelux (BOIP), </w:t>
      </w:r>
      <w:r w:rsidRPr="00526311">
        <w:rPr>
          <w:rFonts w:cs="Arial"/>
          <w:color w:val="000000"/>
          <w:lang w:val="es-ES"/>
        </w:rPr>
        <w:t xml:space="preserve">la evolución de nuevos formularios web del Sistema de Madrid y un mayor número de funcionalidades en el sistema de búsqueda ROMARIN. </w:t>
      </w:r>
    </w:p>
    <w:p w:rsidR="00B45FC3" w:rsidRPr="00526311" w:rsidRDefault="00B45FC3" w:rsidP="0063039A">
      <w:pPr>
        <w:rPr>
          <w:b/>
        </w:rPr>
      </w:pPr>
    </w:p>
    <w:p w:rsidR="00B45FC3" w:rsidRPr="00526311" w:rsidRDefault="00B45FC3" w:rsidP="00B45FC3">
      <w:pPr>
        <w:pStyle w:val="ListParagraph"/>
        <w:numPr>
          <w:ilvl w:val="0"/>
          <w:numId w:val="24"/>
        </w:numPr>
        <w:ind w:left="567" w:hanging="567"/>
        <w:rPr>
          <w:rFonts w:cs="Arial"/>
          <w:lang w:val="es-ES"/>
        </w:rPr>
      </w:pPr>
      <w:r w:rsidRPr="00526311">
        <w:rPr>
          <w:rFonts w:cs="Arial"/>
          <w:lang w:val="es-ES"/>
        </w:rPr>
        <w:t>SISTEMA DE LISBOA</w:t>
      </w:r>
    </w:p>
    <w:p w:rsidR="00B45FC3" w:rsidRPr="00526311" w:rsidRDefault="00B45FC3" w:rsidP="0063039A"/>
    <w:p w:rsidR="00B45FC3" w:rsidRPr="00526311" w:rsidRDefault="00B45FC3" w:rsidP="00B45FC3">
      <w:pPr>
        <w:pStyle w:val="ListParagraph"/>
        <w:numPr>
          <w:ilvl w:val="0"/>
          <w:numId w:val="27"/>
        </w:numPr>
        <w:tabs>
          <w:tab w:val="left" w:pos="567"/>
        </w:tabs>
        <w:ind w:left="0" w:firstLine="0"/>
        <w:jc w:val="both"/>
        <w:rPr>
          <w:rFonts w:cs="Arial"/>
          <w:bCs/>
          <w:lang w:val="es-ES"/>
        </w:rPr>
      </w:pPr>
      <w:r w:rsidRPr="00526311">
        <w:rPr>
          <w:rFonts w:cs="Arial"/>
          <w:bCs/>
          <w:lang w:val="es-ES"/>
        </w:rPr>
        <w:t>La Asamblea de la Unión de Lisboa encargó en 2009 al Grupo de Trabajo sobre el Desarrollo del Sistema de Lisboa que realizara una revisión completa del Sistema de Lisboa para hacerlo más atractivo para los usuarios y posibles nuevos miembros, manteniendo sus principios y objetivos.  Ante los avances realizados por el Grupo de Trabajo, la Asamblea de la Unión de Lisboa aprobó,</w:t>
      </w:r>
      <w:r w:rsidRPr="00526311">
        <w:rPr>
          <w:rFonts w:cs="Arial"/>
          <w:bCs/>
          <w:color w:val="000000"/>
          <w:lang w:val="es-ES"/>
        </w:rPr>
        <w:t xml:space="preserve"> en 2013, la convocación </w:t>
      </w:r>
      <w:r w:rsidRPr="00526311">
        <w:rPr>
          <w:rFonts w:cs="Arial"/>
          <w:bCs/>
          <w:color w:val="000000"/>
          <w:lang w:val="es-ES"/>
        </w:rPr>
        <w:lastRenderedPageBreak/>
        <w:t>de una conferencia diplomática para la adopción en 2015 de un Arreglo de Lisboa revisado sobre las denominaciones de origen y las indicaciones geográficas.</w:t>
      </w:r>
      <w:r w:rsidRPr="00526311">
        <w:rPr>
          <w:rFonts w:cs="Arial"/>
          <w:bCs/>
          <w:lang w:val="es-ES"/>
        </w:rPr>
        <w:t xml:space="preserve">  </w:t>
      </w:r>
      <w:r w:rsidRPr="00526311">
        <w:rPr>
          <w:rFonts w:cs="Arial"/>
          <w:bCs/>
          <w:color w:val="000000"/>
          <w:lang w:val="es-ES"/>
        </w:rPr>
        <w:t xml:space="preserve">En octubre de 2014, el Grupo de Trabajo concluyó su labor preparatoria para una nueva Acta del Arreglo de Lisboa  relativa a la Protección de las Denominaciones de Origen y las Indicaciones Geográficas, y el Comité Preparatorio convino en  celebrar la conferencia diplomática en Ginebra, del 11 al 21 de mayo de 2015. </w:t>
      </w:r>
    </w:p>
    <w:p w:rsidR="00B45FC3" w:rsidRPr="00526311" w:rsidRDefault="00B45FC3" w:rsidP="0063039A">
      <w:pPr>
        <w:pStyle w:val="ListParagraph"/>
        <w:tabs>
          <w:tab w:val="left" w:pos="709"/>
        </w:tabs>
        <w:ind w:left="0"/>
        <w:jc w:val="both"/>
        <w:rPr>
          <w:rFonts w:cs="Arial"/>
          <w:bCs/>
          <w:lang w:val="es-ES"/>
        </w:rPr>
      </w:pPr>
    </w:p>
    <w:p w:rsidR="00B45FC3" w:rsidRPr="00526311" w:rsidRDefault="00B45FC3" w:rsidP="00B45FC3">
      <w:pPr>
        <w:pStyle w:val="ListParagraph"/>
        <w:numPr>
          <w:ilvl w:val="0"/>
          <w:numId w:val="27"/>
        </w:numPr>
        <w:tabs>
          <w:tab w:val="left" w:pos="567"/>
        </w:tabs>
        <w:ind w:left="0" w:firstLine="0"/>
        <w:jc w:val="both"/>
        <w:rPr>
          <w:rFonts w:cs="Arial"/>
          <w:lang w:val="es-ES"/>
        </w:rPr>
      </w:pPr>
      <w:r w:rsidRPr="00526311">
        <w:rPr>
          <w:rFonts w:cs="Arial"/>
          <w:color w:val="000000"/>
          <w:lang w:val="es-ES"/>
        </w:rPr>
        <w:t xml:space="preserve">El </w:t>
      </w:r>
      <w:r w:rsidRPr="00526311">
        <w:rPr>
          <w:rFonts w:cs="Arial"/>
          <w:bCs/>
          <w:lang w:val="es-ES"/>
        </w:rPr>
        <w:t>Registro</w:t>
      </w:r>
      <w:r w:rsidRPr="00526311">
        <w:rPr>
          <w:rFonts w:cs="Arial"/>
          <w:lang w:val="es-ES"/>
        </w:rPr>
        <w:t xml:space="preserve"> de Lisboa </w:t>
      </w:r>
      <w:r w:rsidRPr="00526311">
        <w:rPr>
          <w:rFonts w:cs="Arial"/>
          <w:color w:val="000000"/>
          <w:lang w:val="es-ES"/>
        </w:rPr>
        <w:t xml:space="preserve">recibió 80 nuevas solicitudes para el registro de denominaciones de origen, 26 declaraciones de concesión de protección y 15  declaraciones de denegación, lo que representa un total de 121 transacciones.  El número total de registros en vigor aumentó de 809 en 2013 a 896 en 2014.  De ese total, 78 procedieron </w:t>
      </w:r>
      <w:r w:rsidRPr="00526311">
        <w:rPr>
          <w:rFonts w:cs="Arial"/>
          <w:lang w:val="es-ES"/>
        </w:rPr>
        <w:t>de países en desarrollo o países menos adelantados (PMA</w:t>
      </w:r>
      <w:r w:rsidR="00853E22" w:rsidRPr="00526311">
        <w:rPr>
          <w:rFonts w:cs="Arial"/>
          <w:color w:val="000000"/>
          <w:lang w:val="es-ES"/>
        </w:rPr>
        <w:t>) (14 de la r</w:t>
      </w:r>
      <w:r w:rsidRPr="00526311">
        <w:rPr>
          <w:rFonts w:cs="Arial"/>
          <w:color w:val="000000"/>
          <w:lang w:val="es-ES"/>
        </w:rPr>
        <w:t>egión de los Países Árabes</w:t>
      </w:r>
      <w:r w:rsidR="00853E22" w:rsidRPr="00526311">
        <w:rPr>
          <w:rFonts w:cs="Arial"/>
          <w:color w:val="000000"/>
          <w:lang w:val="es-ES"/>
        </w:rPr>
        <w:t>,</w:t>
      </w:r>
      <w:r w:rsidRPr="00526311">
        <w:rPr>
          <w:rFonts w:cs="Arial"/>
          <w:color w:val="000000"/>
          <w:lang w:val="es-ES"/>
        </w:rPr>
        <w:t xml:space="preserve"> 22 de Asia y el </w:t>
      </w:r>
      <w:r w:rsidRPr="00526311">
        <w:rPr>
          <w:rFonts w:cs="Arial"/>
          <w:lang w:val="es-ES"/>
        </w:rPr>
        <w:t>Pacífico</w:t>
      </w:r>
      <w:r w:rsidR="00853E22" w:rsidRPr="00526311">
        <w:rPr>
          <w:rFonts w:cs="Arial"/>
          <w:lang w:val="es-ES"/>
        </w:rPr>
        <w:t>,</w:t>
      </w:r>
      <w:r w:rsidRPr="00526311">
        <w:rPr>
          <w:rFonts w:cs="Arial"/>
          <w:lang w:val="es-ES"/>
        </w:rPr>
        <w:t xml:space="preserve"> y 42 de América Latina y el Caribe). </w:t>
      </w:r>
    </w:p>
    <w:p w:rsidR="00B45FC3" w:rsidRPr="00526311" w:rsidRDefault="00B45FC3" w:rsidP="0063039A">
      <w:pPr>
        <w:jc w:val="both"/>
      </w:pPr>
    </w:p>
    <w:p w:rsidR="00B45FC3" w:rsidRPr="00526311" w:rsidRDefault="00B45FC3" w:rsidP="00B45FC3">
      <w:pPr>
        <w:pStyle w:val="ListParagraph"/>
        <w:numPr>
          <w:ilvl w:val="0"/>
          <w:numId w:val="27"/>
        </w:numPr>
        <w:tabs>
          <w:tab w:val="left" w:pos="567"/>
        </w:tabs>
        <w:ind w:left="0" w:firstLine="0"/>
        <w:jc w:val="both"/>
        <w:rPr>
          <w:rFonts w:cs="Arial"/>
          <w:lang w:val="es-ES"/>
        </w:rPr>
      </w:pPr>
      <w:r w:rsidRPr="00526311">
        <w:rPr>
          <w:rFonts w:cs="Arial"/>
          <w:color w:val="000000"/>
          <w:lang w:val="es-ES"/>
        </w:rPr>
        <w:t xml:space="preserve">El número de administraciones competentes que habían aprobado el uso de medios electrónicos para las comunicaciones en virtud de los procedimientos del </w:t>
      </w:r>
      <w:r w:rsidR="00DF7826" w:rsidRPr="00526311">
        <w:rPr>
          <w:rFonts w:cs="Arial"/>
          <w:color w:val="000000"/>
          <w:lang w:val="es-ES"/>
        </w:rPr>
        <w:t>Sistema de Lisboa</w:t>
      </w:r>
      <w:r w:rsidRPr="00526311">
        <w:rPr>
          <w:rFonts w:cs="Arial"/>
          <w:color w:val="000000"/>
          <w:lang w:val="es-ES"/>
        </w:rPr>
        <w:t xml:space="preserve"> aumentó a 24, respecto de 23 en 2013. </w:t>
      </w:r>
      <w:r w:rsidRPr="00526311">
        <w:rPr>
          <w:rFonts w:cs="Arial"/>
          <w:lang w:val="es-ES"/>
        </w:rPr>
        <w:t xml:space="preserve"> </w:t>
      </w:r>
      <w:r w:rsidRPr="00526311">
        <w:rPr>
          <w:rFonts w:cs="Arial"/>
          <w:color w:val="000000"/>
          <w:lang w:val="es-ES"/>
        </w:rPr>
        <w:t xml:space="preserve">En 2014, se completó y puso en marcha la interfaz electrónica </w:t>
      </w:r>
      <w:r w:rsidR="00853E22" w:rsidRPr="00526311">
        <w:rPr>
          <w:rFonts w:cs="Arial"/>
          <w:color w:val="000000"/>
          <w:lang w:val="es-ES"/>
        </w:rPr>
        <w:t>entre</w:t>
      </w:r>
      <w:r w:rsidRPr="00526311">
        <w:rPr>
          <w:rFonts w:cs="Arial"/>
          <w:color w:val="000000"/>
          <w:lang w:val="es-ES"/>
        </w:rPr>
        <w:t xml:space="preserve"> </w:t>
      </w:r>
      <w:r w:rsidRPr="00526311">
        <w:rPr>
          <w:rFonts w:cs="Arial"/>
          <w:lang w:val="es-ES"/>
        </w:rPr>
        <w:t xml:space="preserve">el Registro Internacional </w:t>
      </w:r>
      <w:r w:rsidRPr="00526311">
        <w:rPr>
          <w:rFonts w:cs="Arial"/>
          <w:color w:val="000000"/>
          <w:lang w:val="es-ES"/>
        </w:rPr>
        <w:t xml:space="preserve">y la base de datos </w:t>
      </w:r>
      <w:r w:rsidRPr="00526311">
        <w:rPr>
          <w:rFonts w:cs="Arial"/>
          <w:i/>
          <w:color w:val="000000"/>
          <w:lang w:val="es-ES"/>
        </w:rPr>
        <w:t>Lisbon Express</w:t>
      </w:r>
      <w:r w:rsidRPr="00526311">
        <w:rPr>
          <w:rFonts w:cs="Arial"/>
          <w:color w:val="000000"/>
          <w:lang w:val="es-ES"/>
        </w:rPr>
        <w:t xml:space="preserve"> en el sitio web de la OMPI.  </w:t>
      </w:r>
      <w:r w:rsidRPr="00526311">
        <w:rPr>
          <w:rFonts w:cs="Arial"/>
          <w:bCs/>
          <w:color w:val="000000"/>
          <w:lang w:val="es-ES"/>
        </w:rPr>
        <w:t xml:space="preserve">Se siguió integrando el procedimiento de notificación a través del uso </w:t>
      </w:r>
      <w:r w:rsidRPr="00526311">
        <w:rPr>
          <w:rFonts w:cs="Arial"/>
          <w:bCs/>
          <w:lang w:val="es-ES"/>
        </w:rPr>
        <w:t xml:space="preserve">del sistema de control de solicitudes </w:t>
      </w:r>
      <w:r w:rsidRPr="00526311">
        <w:rPr>
          <w:rFonts w:cs="Arial"/>
          <w:bCs/>
          <w:color w:val="000000"/>
          <w:lang w:val="es-ES"/>
        </w:rPr>
        <w:t xml:space="preserve">(WINS) de la OMPI. </w:t>
      </w:r>
      <w:r w:rsidRPr="00526311">
        <w:rPr>
          <w:rFonts w:cs="Arial"/>
          <w:lang w:val="es-ES"/>
        </w:rPr>
        <w:t xml:space="preserve"> </w:t>
      </w:r>
      <w:r w:rsidRPr="00526311">
        <w:rPr>
          <w:rFonts w:cs="Arial"/>
          <w:color w:val="000000"/>
          <w:lang w:val="es-ES"/>
        </w:rPr>
        <w:t xml:space="preserve">Para 2015 se prevé seguir avanzando en la creación de un sistema electrónico de generación de cartas de notificación. </w:t>
      </w:r>
    </w:p>
    <w:p w:rsidR="00B45FC3" w:rsidRPr="00526311" w:rsidRDefault="00B45FC3" w:rsidP="0063039A">
      <w:pPr>
        <w:jc w:val="both"/>
      </w:pPr>
    </w:p>
    <w:p w:rsidR="00B45FC3" w:rsidRPr="00526311" w:rsidRDefault="00B45FC3" w:rsidP="00B45FC3">
      <w:pPr>
        <w:pStyle w:val="ListParagraph"/>
        <w:numPr>
          <w:ilvl w:val="0"/>
          <w:numId w:val="27"/>
        </w:numPr>
        <w:tabs>
          <w:tab w:val="left" w:pos="567"/>
        </w:tabs>
        <w:ind w:left="0" w:firstLine="0"/>
        <w:jc w:val="both"/>
        <w:rPr>
          <w:rFonts w:cs="Arial"/>
          <w:lang w:val="es-ES"/>
        </w:rPr>
      </w:pPr>
      <w:r w:rsidRPr="00526311">
        <w:rPr>
          <w:rFonts w:cs="Arial"/>
          <w:color w:val="000000"/>
          <w:lang w:val="es-ES"/>
        </w:rPr>
        <w:t xml:space="preserve">Con respecto al fomento de la sensibilización acerca del </w:t>
      </w:r>
      <w:r w:rsidRPr="00526311">
        <w:rPr>
          <w:rFonts w:cs="Arial"/>
          <w:lang w:val="es-ES"/>
        </w:rPr>
        <w:t>Sistema de Lisboa, la Oficina Internacional org</w:t>
      </w:r>
      <w:r w:rsidRPr="00526311">
        <w:rPr>
          <w:rFonts w:cs="Arial"/>
          <w:color w:val="000000"/>
          <w:lang w:val="es-ES"/>
        </w:rPr>
        <w:t xml:space="preserve">anizó y participó en cinco eventos, en todas las regiones, de información y promoción especialmente dedicados </w:t>
      </w:r>
      <w:r w:rsidRPr="00526311">
        <w:rPr>
          <w:rFonts w:cs="Arial"/>
          <w:lang w:val="es-ES"/>
        </w:rPr>
        <w:t xml:space="preserve">al Sistema de Lisboa, incluida </w:t>
      </w:r>
      <w:r w:rsidRPr="00526311">
        <w:rPr>
          <w:rFonts w:cs="Arial"/>
          <w:color w:val="000000"/>
          <w:lang w:val="es-ES"/>
        </w:rPr>
        <w:t xml:space="preserve">su revisión prevista.  </w:t>
      </w:r>
    </w:p>
    <w:p w:rsidR="00B45FC3" w:rsidRPr="00526311" w:rsidRDefault="00B45FC3" w:rsidP="0063039A">
      <w:pPr>
        <w:jc w:val="both"/>
      </w:pPr>
    </w:p>
    <w:p w:rsidR="00B45FC3" w:rsidRPr="00526311" w:rsidRDefault="00B45FC3" w:rsidP="00B45FC3">
      <w:pPr>
        <w:pStyle w:val="ListParagraph"/>
        <w:numPr>
          <w:ilvl w:val="0"/>
          <w:numId w:val="27"/>
        </w:numPr>
        <w:tabs>
          <w:tab w:val="left" w:pos="567"/>
        </w:tabs>
        <w:ind w:left="0" w:firstLine="0"/>
        <w:jc w:val="both"/>
        <w:rPr>
          <w:rFonts w:cs="Arial"/>
          <w:lang w:val="es-ES"/>
        </w:rPr>
      </w:pPr>
      <w:r w:rsidRPr="00526311">
        <w:rPr>
          <w:rFonts w:cs="Arial"/>
          <w:lang w:val="es-ES"/>
        </w:rPr>
        <w:t xml:space="preserve">El </w:t>
      </w:r>
      <w:r w:rsidRPr="00526311">
        <w:rPr>
          <w:rFonts w:cs="Arial"/>
          <w:color w:val="000000"/>
          <w:lang w:val="es-ES"/>
        </w:rPr>
        <w:t>diseño</w:t>
      </w:r>
      <w:r w:rsidRPr="00526311">
        <w:rPr>
          <w:rFonts w:cs="Arial"/>
          <w:lang w:val="es-ES"/>
        </w:rPr>
        <w:t>, la planificación y la ejecución de las actividades del programa 6 se basaron en las recomendaciones pertinentes de la A.D. y se guiaron por ellas, en particular por las recomendaciones 1 y 6.  Además, la asistencia legislativa ofrecida a los Estados miembros estuvo orientada al desarrollo, fue ponderada y adaptada a las solicitudes específicas de cada Estado miembro, de conformidad con los principios de la A.D. (recomendación 13), y tuvo en cuenta las flexibilidades aplicables a los países según sus distintos niveles de desarrollo (recomendaciones 14 y 17).</w:t>
      </w:r>
    </w:p>
    <w:p w:rsidR="00B45FC3" w:rsidRPr="00526311" w:rsidRDefault="00B45FC3" w:rsidP="0063039A">
      <w:pPr>
        <w:pStyle w:val="ListParagraph"/>
        <w:tabs>
          <w:tab w:val="left" w:pos="709"/>
        </w:tabs>
        <w:ind w:left="0"/>
        <w:jc w:val="both"/>
        <w:rPr>
          <w:rFonts w:cs="Arial"/>
          <w:lang w:val="es-ES" w:eastAsia="ja-JP"/>
        </w:rPr>
      </w:pPr>
    </w:p>
    <w:p w:rsidR="00B45FC3" w:rsidRPr="00526311" w:rsidRDefault="00B45FC3" w:rsidP="0063039A">
      <w:pPr>
        <w:pStyle w:val="ListParagraph"/>
        <w:tabs>
          <w:tab w:val="left" w:pos="709"/>
        </w:tabs>
        <w:ind w:left="0"/>
        <w:jc w:val="both"/>
        <w:rPr>
          <w:rFonts w:cs="Arial"/>
          <w:sz w:val="12"/>
          <w:szCs w:val="12"/>
          <w:lang w:val="es-ES"/>
        </w:rPr>
      </w:pPr>
    </w:p>
    <w:p w:rsidR="00B45FC3" w:rsidRPr="00526311" w:rsidRDefault="00B45FC3" w:rsidP="0063039A">
      <w:pPr>
        <w:rPr>
          <w:szCs w:val="22"/>
        </w:rPr>
      </w:pPr>
      <w:r w:rsidRPr="00526311">
        <w:rPr>
          <w:szCs w:val="22"/>
        </w:rPr>
        <w:t>DATOS SOBRE EL RENDIMIENTO</w:t>
      </w:r>
    </w:p>
    <w:p w:rsidR="00B45FC3" w:rsidRPr="00526311" w:rsidRDefault="00B45FC3" w:rsidP="0063039A">
      <w:pPr>
        <w:rPr>
          <w:sz w:val="18"/>
          <w:szCs w:val="18"/>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4"/>
        <w:gridCol w:w="2554"/>
        <w:gridCol w:w="1564"/>
        <w:gridCol w:w="1971"/>
        <w:gridCol w:w="1134"/>
      </w:tblGrid>
      <w:tr w:rsidR="00B45FC3" w:rsidRPr="00526311" w:rsidTr="0063039A">
        <w:trPr>
          <w:cantSplit/>
          <w:trHeight w:val="502"/>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45FC3" w:rsidRPr="00526311" w:rsidRDefault="00B45FC3" w:rsidP="0063039A">
            <w:pPr>
              <w:widowControl w:val="0"/>
              <w:tabs>
                <w:tab w:val="left" w:pos="1452"/>
              </w:tabs>
              <w:ind w:left="1701" w:hanging="1701"/>
              <w:rPr>
                <w:b/>
                <w:bCs/>
                <w:sz w:val="16"/>
                <w:szCs w:val="16"/>
              </w:rPr>
            </w:pPr>
            <w:r w:rsidRPr="00526311">
              <w:rPr>
                <w:b/>
                <w:bCs/>
                <w:sz w:val="16"/>
                <w:szCs w:val="16"/>
              </w:rPr>
              <w:t>Resultado previsto:</w:t>
            </w:r>
            <w:r w:rsidRPr="00526311">
              <w:rPr>
                <w:bCs/>
                <w:sz w:val="16"/>
                <w:szCs w:val="16"/>
              </w:rPr>
              <w:tab/>
              <w:t>II. 6 Mayor y más eficaz utilización de los Sistemas de Madrid y de Lisboa por los países en desarrollo y los PMA, entre otros</w:t>
            </w:r>
          </w:p>
        </w:tc>
      </w:tr>
      <w:tr w:rsidR="00B45FC3" w:rsidRPr="00526311" w:rsidTr="0063039A">
        <w:trPr>
          <w:cantSplit/>
        </w:trPr>
        <w:tc>
          <w:tcPr>
            <w:tcW w:w="1140" w:type="pct"/>
            <w:tcBorders>
              <w:top w:val="single" w:sz="4" w:space="0" w:color="auto"/>
              <w:left w:val="single" w:sz="4" w:space="0" w:color="auto"/>
              <w:bottom w:val="nil"/>
            </w:tcBorders>
            <w:shd w:val="clear" w:color="auto" w:fill="auto"/>
            <w:vAlign w:val="center"/>
          </w:tcPr>
          <w:p w:rsidR="00B45FC3" w:rsidRPr="00526311" w:rsidRDefault="00B45FC3" w:rsidP="0063039A">
            <w:pPr>
              <w:widowControl w:val="0"/>
              <w:rPr>
                <w:sz w:val="16"/>
                <w:szCs w:val="16"/>
              </w:rPr>
            </w:pPr>
            <w:r w:rsidRPr="00526311">
              <w:rPr>
                <w:b/>
                <w:sz w:val="16"/>
                <w:szCs w:val="16"/>
              </w:rPr>
              <w:t>Indicadores de rendimiento</w:t>
            </w:r>
          </w:p>
        </w:tc>
        <w:tc>
          <w:tcPr>
            <w:tcW w:w="1365" w:type="pct"/>
            <w:tcBorders>
              <w:top w:val="single" w:sz="4" w:space="0" w:color="auto"/>
              <w:bottom w:val="nil"/>
            </w:tcBorders>
            <w:shd w:val="clear" w:color="auto" w:fill="auto"/>
            <w:vAlign w:val="center"/>
          </w:tcPr>
          <w:p w:rsidR="00B45FC3" w:rsidRPr="00526311" w:rsidRDefault="00B45FC3" w:rsidP="0063039A">
            <w:pPr>
              <w:widowControl w:val="0"/>
              <w:rPr>
                <w:b/>
                <w:bCs/>
                <w:sz w:val="16"/>
                <w:szCs w:val="16"/>
              </w:rPr>
            </w:pPr>
            <w:r w:rsidRPr="00526311">
              <w:rPr>
                <w:b/>
                <w:bCs/>
                <w:sz w:val="16"/>
                <w:szCs w:val="16"/>
              </w:rPr>
              <w:t>Referencia</w:t>
            </w:r>
          </w:p>
        </w:tc>
        <w:tc>
          <w:tcPr>
            <w:tcW w:w="836" w:type="pct"/>
            <w:tcBorders>
              <w:top w:val="single" w:sz="4" w:space="0" w:color="auto"/>
              <w:bottom w:val="nil"/>
            </w:tcBorders>
            <w:shd w:val="clear" w:color="auto" w:fill="auto"/>
            <w:tcMar>
              <w:top w:w="110" w:type="dxa"/>
            </w:tcMar>
            <w:vAlign w:val="center"/>
          </w:tcPr>
          <w:p w:rsidR="00B45FC3" w:rsidRPr="00526311" w:rsidRDefault="00B45FC3" w:rsidP="0063039A">
            <w:pPr>
              <w:widowControl w:val="0"/>
              <w:rPr>
                <w:b/>
                <w:sz w:val="16"/>
                <w:szCs w:val="16"/>
              </w:rPr>
            </w:pPr>
            <w:r w:rsidRPr="00526311">
              <w:rPr>
                <w:b/>
                <w:sz w:val="16"/>
                <w:szCs w:val="16"/>
              </w:rPr>
              <w:t>Objetivos</w:t>
            </w:r>
          </w:p>
        </w:tc>
        <w:tc>
          <w:tcPr>
            <w:tcW w:w="1053" w:type="pct"/>
            <w:tcBorders>
              <w:top w:val="single" w:sz="4" w:space="0" w:color="auto"/>
              <w:bottom w:val="nil"/>
            </w:tcBorders>
            <w:shd w:val="clear" w:color="auto" w:fill="FFFFFF"/>
            <w:tcMar>
              <w:top w:w="110" w:type="dxa"/>
            </w:tcMar>
            <w:vAlign w:val="center"/>
          </w:tcPr>
          <w:p w:rsidR="00B45FC3" w:rsidRPr="00526311" w:rsidRDefault="00B45FC3" w:rsidP="0063039A">
            <w:pPr>
              <w:widowControl w:val="0"/>
              <w:rPr>
                <w:sz w:val="16"/>
                <w:szCs w:val="16"/>
              </w:rPr>
            </w:pPr>
            <w:r w:rsidRPr="00526311">
              <w:rPr>
                <w:b/>
                <w:sz w:val="16"/>
                <w:szCs w:val="16"/>
              </w:rPr>
              <w:t>Datos sobre el rendimiento</w:t>
            </w:r>
          </w:p>
        </w:tc>
        <w:tc>
          <w:tcPr>
            <w:tcW w:w="606" w:type="pct"/>
            <w:tcBorders>
              <w:top w:val="single" w:sz="4" w:space="0" w:color="auto"/>
              <w:bottom w:val="nil"/>
              <w:right w:val="single" w:sz="4" w:space="0" w:color="auto"/>
            </w:tcBorders>
            <w:shd w:val="clear" w:color="auto" w:fill="auto"/>
            <w:tcMar>
              <w:top w:w="110" w:type="dxa"/>
            </w:tcMar>
            <w:vAlign w:val="center"/>
          </w:tcPr>
          <w:p w:rsidR="00B45FC3" w:rsidRPr="00526311" w:rsidRDefault="00B45FC3" w:rsidP="0063039A">
            <w:pPr>
              <w:widowControl w:val="0"/>
              <w:jc w:val="center"/>
              <w:rPr>
                <w:b/>
                <w:bCs/>
                <w:sz w:val="16"/>
                <w:szCs w:val="16"/>
              </w:rPr>
            </w:pPr>
            <w:r w:rsidRPr="00526311">
              <w:rPr>
                <w:b/>
                <w:bCs/>
                <w:sz w:val="16"/>
                <w:szCs w:val="16"/>
              </w:rPr>
              <w:t>Clave de colores</w:t>
            </w:r>
          </w:p>
        </w:tc>
      </w:tr>
      <w:tr w:rsidR="00B45FC3" w:rsidRPr="00526311" w:rsidTr="00AF7CAD">
        <w:trPr>
          <w:cantSplit/>
        </w:trPr>
        <w:tc>
          <w:tcPr>
            <w:tcW w:w="1140" w:type="pct"/>
            <w:tcBorders>
              <w:top w:val="nil"/>
              <w:left w:val="single" w:sz="4" w:space="0" w:color="auto"/>
              <w:bottom w:val="nil"/>
            </w:tcBorders>
            <w:shd w:val="clear" w:color="auto" w:fill="auto"/>
          </w:tcPr>
          <w:p w:rsidR="00B45FC3" w:rsidRPr="00526311" w:rsidRDefault="00CE0A16" w:rsidP="00CE0A16">
            <w:pPr>
              <w:widowControl w:val="0"/>
              <w:rPr>
                <w:sz w:val="16"/>
                <w:szCs w:val="16"/>
              </w:rPr>
            </w:pPr>
            <w:r w:rsidRPr="00526311">
              <w:rPr>
                <w:sz w:val="16"/>
                <w:szCs w:val="16"/>
              </w:rPr>
              <w:t>Ampliación de</w:t>
            </w:r>
            <w:r w:rsidR="00B45FC3" w:rsidRPr="00526311">
              <w:rPr>
                <w:sz w:val="16"/>
                <w:szCs w:val="16"/>
              </w:rPr>
              <w:t>l</w:t>
            </w:r>
            <w:r w:rsidRPr="00526311">
              <w:rPr>
                <w:sz w:val="16"/>
                <w:szCs w:val="16"/>
              </w:rPr>
              <w:t xml:space="preserve"> </w:t>
            </w:r>
            <w:r w:rsidR="00B45FC3" w:rsidRPr="00526311">
              <w:rPr>
                <w:sz w:val="16"/>
                <w:szCs w:val="16"/>
              </w:rPr>
              <w:t>a</w:t>
            </w:r>
            <w:r w:rsidRPr="00526311">
              <w:rPr>
                <w:sz w:val="16"/>
                <w:szCs w:val="16"/>
              </w:rPr>
              <w:t>lcance</w:t>
            </w:r>
            <w:r w:rsidR="00B45FC3" w:rsidRPr="00526311">
              <w:rPr>
                <w:sz w:val="16"/>
                <w:szCs w:val="16"/>
              </w:rPr>
              <w:t xml:space="preserve"> geográfic</w:t>
            </w:r>
            <w:r w:rsidRPr="00526311">
              <w:rPr>
                <w:sz w:val="16"/>
                <w:szCs w:val="16"/>
              </w:rPr>
              <w:t>o</w:t>
            </w:r>
            <w:r w:rsidR="00B45FC3" w:rsidRPr="00526311">
              <w:rPr>
                <w:sz w:val="16"/>
                <w:szCs w:val="16"/>
              </w:rPr>
              <w:t xml:space="preserve"> (Madrid)</w:t>
            </w:r>
          </w:p>
        </w:tc>
        <w:tc>
          <w:tcPr>
            <w:tcW w:w="1365" w:type="pct"/>
            <w:tcBorders>
              <w:top w:val="nil"/>
              <w:bottom w:val="nil"/>
            </w:tcBorders>
            <w:shd w:val="clear" w:color="auto" w:fill="auto"/>
          </w:tcPr>
          <w:p w:rsidR="00B45FC3" w:rsidRPr="00526311" w:rsidRDefault="00B45FC3" w:rsidP="0063039A">
            <w:pPr>
              <w:widowControl w:val="0"/>
              <w:rPr>
                <w:color w:val="002060"/>
                <w:sz w:val="16"/>
                <w:szCs w:val="16"/>
              </w:rPr>
            </w:pPr>
            <w:r w:rsidRPr="00526311">
              <w:rPr>
                <w:i/>
                <w:color w:val="002060"/>
                <w:sz w:val="16"/>
                <w:szCs w:val="16"/>
              </w:rPr>
              <w:t xml:space="preserve">Referencia actualizada a fines de 2013:  </w:t>
            </w:r>
            <w:r w:rsidRPr="00526311">
              <w:rPr>
                <w:color w:val="002060"/>
                <w:sz w:val="16"/>
                <w:szCs w:val="16"/>
              </w:rPr>
              <w:t>92 Partes Contratantes en el Sistema de Madrid (fin de 2013)</w:t>
            </w:r>
          </w:p>
          <w:p w:rsidR="00B45FC3" w:rsidRPr="00526311" w:rsidRDefault="00B45FC3" w:rsidP="0063039A">
            <w:pPr>
              <w:widowControl w:val="0"/>
              <w:rPr>
                <w:sz w:val="8"/>
                <w:szCs w:val="8"/>
              </w:rPr>
            </w:pPr>
          </w:p>
          <w:p w:rsidR="00B45FC3" w:rsidRPr="00526311" w:rsidRDefault="007B705E" w:rsidP="0063039A">
            <w:pPr>
              <w:widowControl w:val="0"/>
              <w:rPr>
                <w:sz w:val="16"/>
                <w:szCs w:val="16"/>
              </w:rPr>
            </w:pPr>
            <w:r w:rsidRPr="00526311">
              <w:rPr>
                <w:i/>
                <w:sz w:val="16"/>
                <w:szCs w:val="16"/>
              </w:rPr>
              <w:t>Referencia original en el presupuesto de 2014/15</w:t>
            </w:r>
            <w:r w:rsidR="00B45FC3" w:rsidRPr="00526311">
              <w:rPr>
                <w:i/>
                <w:sz w:val="16"/>
                <w:szCs w:val="16"/>
              </w:rPr>
              <w:t xml:space="preserve">: </w:t>
            </w:r>
            <w:r w:rsidR="00B45FC3" w:rsidRPr="00526311">
              <w:rPr>
                <w:sz w:val="16"/>
                <w:szCs w:val="16"/>
              </w:rPr>
              <w:t>El nº de Partes Contratantes a fines de 2013</w:t>
            </w:r>
          </w:p>
        </w:tc>
        <w:tc>
          <w:tcPr>
            <w:tcW w:w="836" w:type="pct"/>
            <w:tcBorders>
              <w:top w:val="nil"/>
              <w:bottom w:val="nil"/>
            </w:tcBorders>
            <w:shd w:val="clear" w:color="auto" w:fill="auto"/>
            <w:tcMar>
              <w:top w:w="110" w:type="dxa"/>
            </w:tcMar>
          </w:tcPr>
          <w:p w:rsidR="00B45FC3" w:rsidRPr="00526311" w:rsidRDefault="00B45FC3" w:rsidP="0063039A">
            <w:pPr>
              <w:widowControl w:val="0"/>
              <w:rPr>
                <w:sz w:val="16"/>
                <w:szCs w:val="16"/>
              </w:rPr>
            </w:pPr>
            <w:r w:rsidRPr="00526311">
              <w:rPr>
                <w:sz w:val="16"/>
                <w:szCs w:val="16"/>
              </w:rPr>
              <w:t>Un total de 100 Partes Contratantes a fines de 2015</w:t>
            </w:r>
          </w:p>
        </w:tc>
        <w:tc>
          <w:tcPr>
            <w:tcW w:w="1053" w:type="pct"/>
            <w:tcBorders>
              <w:top w:val="nil"/>
              <w:bottom w:val="nil"/>
            </w:tcBorders>
            <w:shd w:val="clear" w:color="auto" w:fill="FFFFFF"/>
            <w:tcMar>
              <w:top w:w="110" w:type="dxa"/>
            </w:tcMar>
          </w:tcPr>
          <w:p w:rsidR="00B45FC3" w:rsidRPr="00526311" w:rsidRDefault="00B45FC3" w:rsidP="0063039A">
            <w:pPr>
              <w:widowControl w:val="0"/>
              <w:rPr>
                <w:sz w:val="16"/>
                <w:szCs w:val="16"/>
              </w:rPr>
            </w:pPr>
            <w:r w:rsidRPr="00526311">
              <w:rPr>
                <w:sz w:val="16"/>
                <w:szCs w:val="16"/>
                <w:lang w:bidi="th-TH"/>
              </w:rPr>
              <w:t>94 partes contratantes en el Sistema de Madrid (2 partes contratante adicionales en 2014: la OAPI y Zimbabwe)</w:t>
            </w:r>
          </w:p>
        </w:tc>
        <w:tc>
          <w:tcPr>
            <w:tcW w:w="606" w:type="pct"/>
            <w:tcBorders>
              <w:top w:val="nil"/>
              <w:bottom w:val="nil"/>
              <w:right w:val="single" w:sz="4" w:space="0" w:color="auto"/>
            </w:tcBorders>
            <w:shd w:val="clear" w:color="auto" w:fill="auto"/>
            <w:tcMar>
              <w:top w:w="110" w:type="dxa"/>
            </w:tcMar>
          </w:tcPr>
          <w:p w:rsidR="00B45FC3" w:rsidRPr="00526311" w:rsidRDefault="00B45FC3" w:rsidP="0063039A">
            <w:pPr>
              <w:widowControl w:val="0"/>
              <w:jc w:val="center"/>
              <w:rPr>
                <w:b/>
                <w:bCs/>
                <w:color w:val="00B050"/>
                <w:sz w:val="16"/>
                <w:szCs w:val="16"/>
              </w:rPr>
            </w:pPr>
            <w:r w:rsidRPr="00526311">
              <w:rPr>
                <w:b/>
                <w:bCs/>
                <w:color w:val="00B050"/>
                <w:sz w:val="16"/>
                <w:szCs w:val="16"/>
              </w:rPr>
              <w:t>Avanza</w:t>
            </w:r>
          </w:p>
        </w:tc>
      </w:tr>
      <w:tr w:rsidR="00AF7CAD" w:rsidRPr="00526311" w:rsidTr="00AF7CAD">
        <w:trPr>
          <w:cantSplit/>
        </w:trPr>
        <w:tc>
          <w:tcPr>
            <w:tcW w:w="1140" w:type="pct"/>
            <w:tcBorders>
              <w:top w:val="nil"/>
              <w:left w:val="single" w:sz="4" w:space="0" w:color="auto"/>
              <w:bottom w:val="nil"/>
            </w:tcBorders>
            <w:shd w:val="clear" w:color="auto" w:fill="auto"/>
          </w:tcPr>
          <w:p w:rsidR="00AF7CAD" w:rsidRPr="00526311" w:rsidRDefault="00AF7CAD" w:rsidP="00AF7CAD">
            <w:pPr>
              <w:widowControl w:val="0"/>
              <w:rPr>
                <w:sz w:val="16"/>
                <w:szCs w:val="16"/>
              </w:rPr>
            </w:pPr>
            <w:r w:rsidRPr="00526311">
              <w:rPr>
                <w:sz w:val="16"/>
                <w:szCs w:val="16"/>
              </w:rPr>
              <w:t>Ampliación del alcance geográfico (Lisboa)</w:t>
            </w:r>
          </w:p>
        </w:tc>
        <w:tc>
          <w:tcPr>
            <w:tcW w:w="1365" w:type="pct"/>
            <w:tcBorders>
              <w:top w:val="nil"/>
              <w:bottom w:val="nil"/>
            </w:tcBorders>
            <w:shd w:val="clear" w:color="auto" w:fill="auto"/>
          </w:tcPr>
          <w:p w:rsidR="00AF7CAD" w:rsidRPr="00526311" w:rsidRDefault="00AF7CAD" w:rsidP="00853E22">
            <w:pPr>
              <w:widowControl w:val="0"/>
              <w:rPr>
                <w:i/>
                <w:color w:val="002060"/>
                <w:sz w:val="16"/>
                <w:szCs w:val="16"/>
              </w:rPr>
            </w:pPr>
            <w:r w:rsidRPr="00526311">
              <w:rPr>
                <w:i/>
                <w:color w:val="002060"/>
                <w:sz w:val="16"/>
                <w:szCs w:val="16"/>
              </w:rPr>
              <w:t>Referencia actualizada a fines de 2013: 28</w:t>
            </w:r>
            <w:r w:rsidRPr="00526311">
              <w:rPr>
                <w:color w:val="002060"/>
                <w:sz w:val="16"/>
                <w:szCs w:val="16"/>
              </w:rPr>
              <w:t xml:space="preserve"> Partes (</w:t>
            </w:r>
            <w:r w:rsidR="00853E22" w:rsidRPr="00526311">
              <w:rPr>
                <w:color w:val="002060"/>
                <w:sz w:val="16"/>
                <w:szCs w:val="16"/>
              </w:rPr>
              <w:t>fin de</w:t>
            </w:r>
            <w:r w:rsidRPr="00526311">
              <w:rPr>
                <w:color w:val="002060"/>
                <w:sz w:val="16"/>
                <w:szCs w:val="16"/>
              </w:rPr>
              <w:t xml:space="preserve"> 2013)</w:t>
            </w:r>
            <w:r w:rsidR="00853E22" w:rsidRPr="00526311">
              <w:rPr>
                <w:color w:val="002060"/>
                <w:sz w:val="16"/>
                <w:szCs w:val="16"/>
              </w:rPr>
              <w:br/>
            </w:r>
            <w:r w:rsidR="00853E22" w:rsidRPr="00526311">
              <w:rPr>
                <w:color w:val="002060"/>
                <w:sz w:val="16"/>
                <w:szCs w:val="16"/>
              </w:rPr>
              <w:br/>
            </w:r>
            <w:r w:rsidR="00853E22" w:rsidRPr="00526311">
              <w:rPr>
                <w:i/>
                <w:sz w:val="16"/>
                <w:szCs w:val="16"/>
              </w:rPr>
              <w:t>Referencia original en el presupuesto de 2013/14:</w:t>
            </w:r>
            <w:r w:rsidR="00853E22" w:rsidRPr="00526311">
              <w:rPr>
                <w:sz w:val="16"/>
                <w:szCs w:val="16"/>
              </w:rPr>
              <w:t>28 (abril de 2013)</w:t>
            </w:r>
          </w:p>
        </w:tc>
        <w:tc>
          <w:tcPr>
            <w:tcW w:w="836" w:type="pct"/>
            <w:tcBorders>
              <w:top w:val="nil"/>
              <w:bottom w:val="nil"/>
            </w:tcBorders>
            <w:shd w:val="clear" w:color="auto" w:fill="auto"/>
            <w:tcMar>
              <w:top w:w="110" w:type="dxa"/>
            </w:tcMar>
          </w:tcPr>
          <w:p w:rsidR="00AF7CAD" w:rsidRPr="00526311" w:rsidRDefault="00AF7CAD" w:rsidP="0063039A">
            <w:pPr>
              <w:widowControl w:val="0"/>
              <w:rPr>
                <w:sz w:val="16"/>
                <w:szCs w:val="16"/>
              </w:rPr>
            </w:pPr>
            <w:r w:rsidRPr="00526311">
              <w:rPr>
                <w:sz w:val="16"/>
                <w:szCs w:val="16"/>
              </w:rPr>
              <w:t>32</w:t>
            </w:r>
          </w:p>
        </w:tc>
        <w:tc>
          <w:tcPr>
            <w:tcW w:w="1053" w:type="pct"/>
            <w:tcBorders>
              <w:top w:val="nil"/>
              <w:bottom w:val="nil"/>
            </w:tcBorders>
            <w:shd w:val="clear" w:color="auto" w:fill="FFFFFF"/>
            <w:tcMar>
              <w:top w:w="110" w:type="dxa"/>
            </w:tcMar>
          </w:tcPr>
          <w:p w:rsidR="00AF7CAD" w:rsidRPr="00526311" w:rsidRDefault="00AF7CAD" w:rsidP="00AF7CAD">
            <w:pPr>
              <w:widowControl w:val="0"/>
              <w:rPr>
                <w:sz w:val="16"/>
                <w:szCs w:val="16"/>
                <w:lang w:bidi="th-TH"/>
              </w:rPr>
            </w:pPr>
            <w:r w:rsidRPr="00526311">
              <w:rPr>
                <w:sz w:val="16"/>
                <w:szCs w:val="16"/>
                <w:lang w:bidi="th-TH"/>
              </w:rPr>
              <w:t>No hubo nuevas Partes Contratantes</w:t>
            </w:r>
          </w:p>
        </w:tc>
        <w:tc>
          <w:tcPr>
            <w:tcW w:w="606" w:type="pct"/>
            <w:tcBorders>
              <w:top w:val="nil"/>
              <w:bottom w:val="nil"/>
              <w:right w:val="single" w:sz="4" w:space="0" w:color="auto"/>
            </w:tcBorders>
            <w:shd w:val="clear" w:color="auto" w:fill="auto"/>
            <w:tcMar>
              <w:top w:w="110" w:type="dxa"/>
            </w:tcMar>
          </w:tcPr>
          <w:p w:rsidR="00AF7CAD" w:rsidRPr="00526311" w:rsidRDefault="00AF7CAD" w:rsidP="0063039A">
            <w:pPr>
              <w:widowControl w:val="0"/>
              <w:ind w:left="-108"/>
              <w:jc w:val="center"/>
              <w:rPr>
                <w:b/>
                <w:bCs/>
                <w:color w:val="FF0000"/>
                <w:sz w:val="16"/>
                <w:szCs w:val="16"/>
              </w:rPr>
            </w:pPr>
            <w:r w:rsidRPr="00526311">
              <w:rPr>
                <w:b/>
                <w:bCs/>
                <w:color w:val="FF0000"/>
                <w:sz w:val="16"/>
                <w:szCs w:val="16"/>
              </w:rPr>
              <w:t>No avanza</w:t>
            </w:r>
          </w:p>
        </w:tc>
      </w:tr>
      <w:tr w:rsidR="00B45FC3" w:rsidRPr="00526311" w:rsidTr="00AF7CAD">
        <w:trPr>
          <w:cantSplit/>
        </w:trPr>
        <w:tc>
          <w:tcPr>
            <w:tcW w:w="1140" w:type="pct"/>
            <w:tcBorders>
              <w:top w:val="nil"/>
              <w:left w:val="single" w:sz="4" w:space="0" w:color="auto"/>
              <w:bottom w:val="single" w:sz="4" w:space="0" w:color="auto"/>
            </w:tcBorders>
            <w:shd w:val="clear" w:color="auto" w:fill="auto"/>
          </w:tcPr>
          <w:p w:rsidR="00B45FC3" w:rsidRPr="00526311" w:rsidRDefault="00AF7CAD" w:rsidP="0063039A">
            <w:pPr>
              <w:widowControl w:val="0"/>
              <w:rPr>
                <w:sz w:val="16"/>
                <w:szCs w:val="16"/>
              </w:rPr>
            </w:pPr>
            <w:r w:rsidRPr="00526311">
              <w:rPr>
                <w:sz w:val="16"/>
                <w:szCs w:val="16"/>
              </w:rPr>
              <w:t xml:space="preserve">Adopción de disposiciones que agilicen o modernicen el marco jurídico del </w:t>
            </w:r>
            <w:r w:rsidR="00DF7826" w:rsidRPr="00526311">
              <w:rPr>
                <w:sz w:val="16"/>
                <w:szCs w:val="16"/>
              </w:rPr>
              <w:t>Sistema de Lisboa</w:t>
            </w:r>
          </w:p>
          <w:p w:rsidR="00B45FC3" w:rsidRPr="00526311" w:rsidRDefault="00B45FC3" w:rsidP="0063039A">
            <w:pPr>
              <w:widowControl w:val="0"/>
              <w:rPr>
                <w:sz w:val="16"/>
                <w:szCs w:val="16"/>
              </w:rPr>
            </w:pPr>
          </w:p>
          <w:p w:rsidR="00B45FC3" w:rsidRPr="00526311" w:rsidRDefault="00B45FC3" w:rsidP="0063039A">
            <w:pPr>
              <w:widowControl w:val="0"/>
              <w:rPr>
                <w:sz w:val="16"/>
                <w:szCs w:val="16"/>
              </w:rPr>
            </w:pPr>
          </w:p>
        </w:tc>
        <w:tc>
          <w:tcPr>
            <w:tcW w:w="1365" w:type="pct"/>
            <w:tcBorders>
              <w:top w:val="nil"/>
              <w:bottom w:val="single" w:sz="4" w:space="0" w:color="auto"/>
            </w:tcBorders>
            <w:shd w:val="clear" w:color="auto" w:fill="auto"/>
          </w:tcPr>
          <w:p w:rsidR="00B45FC3" w:rsidRPr="00526311" w:rsidRDefault="00B45FC3" w:rsidP="0063039A">
            <w:pPr>
              <w:widowControl w:val="0"/>
              <w:rPr>
                <w:color w:val="002060"/>
                <w:sz w:val="16"/>
                <w:szCs w:val="16"/>
              </w:rPr>
            </w:pPr>
            <w:r w:rsidRPr="00526311">
              <w:rPr>
                <w:i/>
                <w:color w:val="002060"/>
                <w:sz w:val="16"/>
                <w:szCs w:val="16"/>
              </w:rPr>
              <w:t xml:space="preserve">Referencia actualizada a fines de 2013:  </w:t>
            </w:r>
            <w:r w:rsidR="00AF7CAD" w:rsidRPr="00526311">
              <w:rPr>
                <w:color w:val="002060"/>
                <w:sz w:val="16"/>
                <w:szCs w:val="16"/>
              </w:rPr>
              <w:t>El Grupo de Trabajo sobre el Desarrollo del Arreglo de Lisboa está preparando una revisión del Arreglo de Lisboa así como modificaciones de</w:t>
            </w:r>
            <w:r w:rsidR="00853E22" w:rsidRPr="00526311">
              <w:rPr>
                <w:color w:val="002060"/>
                <w:sz w:val="16"/>
                <w:szCs w:val="16"/>
              </w:rPr>
              <w:t>l</w:t>
            </w:r>
            <w:r w:rsidR="00AF7CAD" w:rsidRPr="00526311">
              <w:rPr>
                <w:color w:val="002060"/>
                <w:sz w:val="16"/>
                <w:szCs w:val="16"/>
              </w:rPr>
              <w:t xml:space="preserve"> Reglamento</w:t>
            </w:r>
            <w:r w:rsidR="00853E22" w:rsidRPr="00526311">
              <w:rPr>
                <w:color w:val="002060"/>
                <w:sz w:val="16"/>
                <w:szCs w:val="16"/>
              </w:rPr>
              <w:t xml:space="preserve"> de dicho Arreglo</w:t>
            </w:r>
            <w:r w:rsidR="00AF7CAD" w:rsidRPr="00526311">
              <w:rPr>
                <w:color w:val="002060"/>
                <w:sz w:val="16"/>
                <w:szCs w:val="16"/>
              </w:rPr>
              <w:t>.</w:t>
            </w:r>
          </w:p>
          <w:p w:rsidR="00B45FC3" w:rsidRPr="00526311" w:rsidRDefault="00B45FC3" w:rsidP="0063039A">
            <w:pPr>
              <w:widowControl w:val="0"/>
              <w:rPr>
                <w:i/>
                <w:sz w:val="8"/>
                <w:szCs w:val="8"/>
              </w:rPr>
            </w:pPr>
          </w:p>
          <w:p w:rsidR="00B45FC3" w:rsidRPr="00526311" w:rsidRDefault="00B45FC3" w:rsidP="00D94D73">
            <w:pPr>
              <w:widowControl w:val="0"/>
              <w:rPr>
                <w:sz w:val="16"/>
                <w:szCs w:val="16"/>
              </w:rPr>
            </w:pPr>
            <w:r w:rsidRPr="00526311">
              <w:rPr>
                <w:i/>
                <w:sz w:val="16"/>
                <w:szCs w:val="16"/>
              </w:rPr>
              <w:t>Referencia original en el presupuesto de 201</w:t>
            </w:r>
            <w:r w:rsidR="00853E22" w:rsidRPr="00526311">
              <w:rPr>
                <w:i/>
                <w:sz w:val="16"/>
                <w:szCs w:val="16"/>
              </w:rPr>
              <w:t>3</w:t>
            </w:r>
            <w:r w:rsidRPr="00526311">
              <w:rPr>
                <w:i/>
                <w:sz w:val="16"/>
                <w:szCs w:val="16"/>
              </w:rPr>
              <w:t>/1</w:t>
            </w:r>
            <w:r w:rsidR="00853E22" w:rsidRPr="00526311">
              <w:rPr>
                <w:i/>
                <w:sz w:val="16"/>
                <w:szCs w:val="16"/>
              </w:rPr>
              <w:t>4</w:t>
            </w:r>
            <w:r w:rsidRPr="00526311">
              <w:rPr>
                <w:i/>
                <w:sz w:val="16"/>
                <w:szCs w:val="16"/>
              </w:rPr>
              <w:t>:</w:t>
            </w:r>
            <w:r w:rsidRPr="00526311">
              <w:rPr>
                <w:sz w:val="16"/>
                <w:szCs w:val="16"/>
              </w:rPr>
              <w:t xml:space="preserve">  </w:t>
            </w:r>
            <w:r w:rsidR="00853E22" w:rsidRPr="00526311">
              <w:rPr>
                <w:sz w:val="16"/>
                <w:szCs w:val="16"/>
              </w:rPr>
              <w:t>El Arreglo, su Reglamento y las Instrucciones Administrativas</w:t>
            </w:r>
            <w:r w:rsidR="00D94D73" w:rsidRPr="00526311">
              <w:rPr>
                <w:sz w:val="16"/>
                <w:szCs w:val="16"/>
              </w:rPr>
              <w:t xml:space="preserve"> vigentes a fines de 2013.</w:t>
            </w:r>
          </w:p>
        </w:tc>
        <w:tc>
          <w:tcPr>
            <w:tcW w:w="836" w:type="pct"/>
            <w:tcBorders>
              <w:top w:val="nil"/>
              <w:bottom w:val="single" w:sz="4" w:space="0" w:color="auto"/>
            </w:tcBorders>
            <w:shd w:val="clear" w:color="auto" w:fill="auto"/>
            <w:tcMar>
              <w:top w:w="110" w:type="dxa"/>
            </w:tcMar>
          </w:tcPr>
          <w:p w:rsidR="00B45FC3" w:rsidRPr="00526311" w:rsidRDefault="00AF7CAD" w:rsidP="0063039A">
            <w:pPr>
              <w:widowControl w:val="0"/>
              <w:rPr>
                <w:sz w:val="16"/>
                <w:szCs w:val="16"/>
              </w:rPr>
            </w:pPr>
            <w:r w:rsidRPr="00526311">
              <w:rPr>
                <w:sz w:val="16"/>
                <w:szCs w:val="16"/>
              </w:rPr>
              <w:t xml:space="preserve">Revisión del Arreglo de Lisboa y </w:t>
            </w:r>
            <w:r w:rsidR="00853E22" w:rsidRPr="00526311">
              <w:rPr>
                <w:sz w:val="16"/>
                <w:szCs w:val="16"/>
              </w:rPr>
              <w:t>modificación de su Reglamento y de las Instrucciones Administrativas</w:t>
            </w:r>
          </w:p>
          <w:p w:rsidR="00B45FC3" w:rsidRPr="00526311" w:rsidRDefault="00B45FC3" w:rsidP="0063039A">
            <w:pPr>
              <w:widowControl w:val="0"/>
              <w:rPr>
                <w:sz w:val="16"/>
                <w:szCs w:val="16"/>
              </w:rPr>
            </w:pPr>
          </w:p>
          <w:p w:rsidR="00B45FC3" w:rsidRPr="00526311" w:rsidRDefault="00B45FC3" w:rsidP="0063039A">
            <w:pPr>
              <w:widowControl w:val="0"/>
              <w:rPr>
                <w:sz w:val="16"/>
                <w:szCs w:val="16"/>
              </w:rPr>
            </w:pPr>
          </w:p>
        </w:tc>
        <w:tc>
          <w:tcPr>
            <w:tcW w:w="1053" w:type="pct"/>
            <w:tcBorders>
              <w:top w:val="nil"/>
              <w:bottom w:val="single" w:sz="4" w:space="0" w:color="auto"/>
            </w:tcBorders>
            <w:shd w:val="clear" w:color="auto" w:fill="FFFFFF"/>
            <w:tcMar>
              <w:top w:w="110" w:type="dxa"/>
            </w:tcMar>
          </w:tcPr>
          <w:p w:rsidR="00B45FC3" w:rsidRPr="00526311" w:rsidRDefault="00853E22" w:rsidP="0063039A">
            <w:pPr>
              <w:widowControl w:val="0"/>
              <w:rPr>
                <w:sz w:val="16"/>
                <w:szCs w:val="16"/>
                <w:lang w:bidi="th-TH"/>
              </w:rPr>
            </w:pPr>
            <w:r w:rsidRPr="00526311">
              <w:rPr>
                <w:sz w:val="16"/>
                <w:szCs w:val="16"/>
                <w:lang w:bidi="th-TH"/>
              </w:rPr>
              <w:t>El Grupo de Trabajo finalizó la labor preparatoria de una nueva Acta del Arreglo de Lisboa sobre Denominaciones de Origen e Indicaciones Geográficas, y el Comité Preparatorio decidió convocar una conferencia diplomática en Ginebra, del 11 al 21 de mayo de 2015.</w:t>
            </w:r>
          </w:p>
          <w:p w:rsidR="00B45FC3" w:rsidRPr="00526311" w:rsidRDefault="00B45FC3" w:rsidP="0063039A">
            <w:pPr>
              <w:widowControl w:val="0"/>
              <w:rPr>
                <w:sz w:val="16"/>
                <w:szCs w:val="16"/>
              </w:rPr>
            </w:pPr>
          </w:p>
        </w:tc>
        <w:tc>
          <w:tcPr>
            <w:tcW w:w="606" w:type="pct"/>
            <w:tcBorders>
              <w:top w:val="nil"/>
              <w:bottom w:val="single" w:sz="4" w:space="0" w:color="auto"/>
              <w:right w:val="single" w:sz="4" w:space="0" w:color="auto"/>
            </w:tcBorders>
            <w:shd w:val="clear" w:color="auto" w:fill="auto"/>
            <w:tcMar>
              <w:top w:w="110" w:type="dxa"/>
            </w:tcMar>
          </w:tcPr>
          <w:p w:rsidR="00B45FC3" w:rsidRPr="00526311" w:rsidRDefault="00853E22" w:rsidP="0063039A">
            <w:pPr>
              <w:widowControl w:val="0"/>
              <w:ind w:left="-108"/>
              <w:jc w:val="center"/>
              <w:rPr>
                <w:b/>
                <w:bCs/>
                <w:color w:val="FF0000"/>
                <w:sz w:val="16"/>
                <w:szCs w:val="16"/>
              </w:rPr>
            </w:pPr>
            <w:r w:rsidRPr="00526311">
              <w:rPr>
                <w:b/>
                <w:bCs/>
                <w:color w:val="00B050"/>
                <w:sz w:val="16"/>
                <w:szCs w:val="16"/>
              </w:rPr>
              <w:t>Avanza</w:t>
            </w:r>
          </w:p>
          <w:p w:rsidR="00B45FC3" w:rsidRPr="00526311" w:rsidRDefault="00B45FC3" w:rsidP="0063039A">
            <w:pPr>
              <w:widowControl w:val="0"/>
              <w:jc w:val="center"/>
              <w:rPr>
                <w:b/>
                <w:bCs/>
                <w:sz w:val="16"/>
                <w:szCs w:val="16"/>
              </w:rPr>
            </w:pPr>
          </w:p>
          <w:p w:rsidR="00B45FC3" w:rsidRPr="00526311" w:rsidRDefault="00B45FC3" w:rsidP="0063039A">
            <w:pPr>
              <w:widowControl w:val="0"/>
              <w:jc w:val="center"/>
              <w:rPr>
                <w:b/>
                <w:bCs/>
                <w:sz w:val="16"/>
                <w:szCs w:val="16"/>
              </w:rPr>
            </w:pPr>
          </w:p>
          <w:p w:rsidR="00B45FC3" w:rsidRPr="00526311" w:rsidRDefault="00B45FC3" w:rsidP="0063039A">
            <w:pPr>
              <w:widowControl w:val="0"/>
              <w:jc w:val="center"/>
              <w:rPr>
                <w:b/>
                <w:bCs/>
                <w:color w:val="FF0000"/>
                <w:sz w:val="16"/>
                <w:szCs w:val="16"/>
              </w:rPr>
            </w:pPr>
          </w:p>
        </w:tc>
      </w:tr>
    </w:tbl>
    <w:p w:rsidR="00B45FC3" w:rsidRPr="00526311" w:rsidRDefault="00B45FC3"/>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4"/>
        <w:gridCol w:w="2555"/>
        <w:gridCol w:w="1553"/>
        <w:gridCol w:w="11"/>
        <w:gridCol w:w="1826"/>
        <w:gridCol w:w="144"/>
        <w:gridCol w:w="1134"/>
      </w:tblGrid>
      <w:tr w:rsidR="00B45FC3" w:rsidRPr="00526311" w:rsidTr="0063039A">
        <w:trPr>
          <w:cantSplit/>
          <w:trHeight w:val="502"/>
        </w:trPr>
        <w:tc>
          <w:tcPr>
            <w:tcW w:w="5000" w:type="pct"/>
            <w:gridSpan w:val="7"/>
            <w:tcBorders>
              <w:top w:val="single" w:sz="4" w:space="0" w:color="auto"/>
              <w:left w:val="single" w:sz="4" w:space="0" w:color="auto"/>
              <w:bottom w:val="single" w:sz="4" w:space="0" w:color="auto"/>
              <w:right w:val="single" w:sz="4" w:space="0" w:color="auto"/>
            </w:tcBorders>
            <w:shd w:val="clear" w:color="auto" w:fill="CCFFFF"/>
            <w:vAlign w:val="center"/>
          </w:tcPr>
          <w:p w:rsidR="00B45FC3" w:rsidRPr="00526311" w:rsidRDefault="00B45FC3" w:rsidP="0063039A">
            <w:pPr>
              <w:keepNext/>
              <w:widowControl w:val="0"/>
              <w:tabs>
                <w:tab w:val="left" w:pos="1452"/>
              </w:tabs>
              <w:ind w:left="1701" w:hanging="1701"/>
              <w:rPr>
                <w:b/>
                <w:bCs/>
                <w:sz w:val="16"/>
                <w:szCs w:val="16"/>
              </w:rPr>
            </w:pPr>
            <w:r w:rsidRPr="00526311">
              <w:rPr>
                <w:b/>
                <w:bCs/>
                <w:sz w:val="16"/>
                <w:szCs w:val="16"/>
              </w:rPr>
              <w:t>Resultado previsto:</w:t>
            </w:r>
            <w:r w:rsidRPr="00526311">
              <w:rPr>
                <w:bCs/>
                <w:sz w:val="16"/>
                <w:szCs w:val="16"/>
              </w:rPr>
              <w:tab/>
              <w:t>II. 6 Mayor y más eficaz utilización de los Sistemas de Madrid y de Lisboa por los países en desarrollo y los PMA, entre otros</w:t>
            </w:r>
          </w:p>
        </w:tc>
      </w:tr>
      <w:tr w:rsidR="00B45FC3" w:rsidRPr="00526311" w:rsidTr="0063039A">
        <w:trPr>
          <w:cantSplit/>
        </w:trPr>
        <w:tc>
          <w:tcPr>
            <w:tcW w:w="1140" w:type="pct"/>
            <w:tcBorders>
              <w:top w:val="single" w:sz="4" w:space="0" w:color="auto"/>
              <w:left w:val="single" w:sz="4" w:space="0" w:color="auto"/>
              <w:bottom w:val="nil"/>
            </w:tcBorders>
            <w:shd w:val="clear" w:color="auto" w:fill="auto"/>
          </w:tcPr>
          <w:p w:rsidR="00B45FC3" w:rsidRPr="00526311" w:rsidRDefault="00B45FC3" w:rsidP="0063039A">
            <w:pPr>
              <w:widowControl w:val="0"/>
              <w:rPr>
                <w:sz w:val="16"/>
                <w:szCs w:val="16"/>
              </w:rPr>
            </w:pPr>
            <w:r w:rsidRPr="00526311">
              <w:rPr>
                <w:sz w:val="16"/>
                <w:szCs w:val="16"/>
              </w:rPr>
              <w:t>Número de solicitudes internacionales (Madrid)</w:t>
            </w:r>
          </w:p>
        </w:tc>
        <w:tc>
          <w:tcPr>
            <w:tcW w:w="1365" w:type="pct"/>
            <w:tcBorders>
              <w:top w:val="single" w:sz="4" w:space="0" w:color="auto"/>
              <w:bottom w:val="nil"/>
            </w:tcBorders>
            <w:shd w:val="clear" w:color="auto" w:fill="auto"/>
          </w:tcPr>
          <w:p w:rsidR="00B45FC3" w:rsidRPr="00526311" w:rsidRDefault="00B45FC3" w:rsidP="0063039A">
            <w:pPr>
              <w:widowControl w:val="0"/>
              <w:rPr>
                <w:color w:val="002060"/>
                <w:sz w:val="16"/>
                <w:szCs w:val="16"/>
              </w:rPr>
            </w:pPr>
            <w:r w:rsidRPr="00526311">
              <w:rPr>
                <w:i/>
                <w:color w:val="002060"/>
                <w:sz w:val="16"/>
                <w:szCs w:val="16"/>
              </w:rPr>
              <w:t>Referencia actualizada a fines de 2013:</w:t>
            </w:r>
            <w:r w:rsidRPr="00526311">
              <w:rPr>
                <w:color w:val="002060"/>
                <w:sz w:val="16"/>
                <w:szCs w:val="16"/>
              </w:rPr>
              <w:t xml:space="preserve">  </w:t>
            </w:r>
          </w:p>
          <w:p w:rsidR="00B45FC3" w:rsidRPr="00526311" w:rsidRDefault="00B45FC3" w:rsidP="0063039A">
            <w:pPr>
              <w:widowControl w:val="0"/>
              <w:rPr>
                <w:color w:val="002060"/>
                <w:sz w:val="16"/>
                <w:szCs w:val="16"/>
              </w:rPr>
            </w:pPr>
            <w:r w:rsidRPr="00526311">
              <w:rPr>
                <w:color w:val="002060"/>
                <w:sz w:val="16"/>
                <w:szCs w:val="16"/>
              </w:rPr>
              <w:t>44.018 (2012)</w:t>
            </w:r>
          </w:p>
          <w:p w:rsidR="00B45FC3" w:rsidRPr="00526311" w:rsidRDefault="00B45FC3" w:rsidP="0063039A">
            <w:pPr>
              <w:widowControl w:val="0"/>
              <w:rPr>
                <w:color w:val="002060"/>
                <w:sz w:val="16"/>
                <w:szCs w:val="16"/>
              </w:rPr>
            </w:pPr>
            <w:r w:rsidRPr="00526311">
              <w:rPr>
                <w:color w:val="002060"/>
                <w:sz w:val="16"/>
                <w:szCs w:val="16"/>
              </w:rPr>
              <w:t>46.829 (2013)</w:t>
            </w:r>
          </w:p>
          <w:p w:rsidR="00B45FC3" w:rsidRPr="00526311" w:rsidRDefault="00B45FC3" w:rsidP="0063039A">
            <w:pPr>
              <w:widowControl w:val="0"/>
              <w:rPr>
                <w:sz w:val="16"/>
                <w:szCs w:val="16"/>
              </w:rPr>
            </w:pPr>
          </w:p>
          <w:p w:rsidR="00B45FC3" w:rsidRPr="00526311" w:rsidRDefault="00B45FC3" w:rsidP="0063039A">
            <w:pPr>
              <w:widowControl w:val="0"/>
              <w:rPr>
                <w:sz w:val="16"/>
                <w:szCs w:val="16"/>
              </w:rPr>
            </w:pPr>
            <w:r w:rsidRPr="00526311">
              <w:rPr>
                <w:i/>
                <w:sz w:val="16"/>
                <w:szCs w:val="16"/>
              </w:rPr>
              <w:t xml:space="preserve">Referencia original en el presupuesto de 2014/15: </w:t>
            </w:r>
            <w:r w:rsidRPr="00526311">
              <w:rPr>
                <w:sz w:val="16"/>
                <w:szCs w:val="16"/>
              </w:rPr>
              <w:t xml:space="preserve"> El nº de solicitudes internacionales a fines de 2013.</w:t>
            </w:r>
          </w:p>
        </w:tc>
        <w:tc>
          <w:tcPr>
            <w:tcW w:w="836" w:type="pct"/>
            <w:gridSpan w:val="2"/>
            <w:tcBorders>
              <w:top w:val="single" w:sz="4" w:space="0" w:color="auto"/>
              <w:bottom w:val="nil"/>
            </w:tcBorders>
            <w:shd w:val="clear" w:color="auto" w:fill="auto"/>
            <w:tcMar>
              <w:top w:w="110" w:type="dxa"/>
            </w:tcMar>
          </w:tcPr>
          <w:p w:rsidR="00B45FC3" w:rsidRPr="00526311" w:rsidRDefault="00B45FC3" w:rsidP="0063039A">
            <w:pPr>
              <w:widowControl w:val="0"/>
              <w:rPr>
                <w:sz w:val="16"/>
                <w:szCs w:val="16"/>
              </w:rPr>
            </w:pPr>
            <w:r w:rsidRPr="00526311">
              <w:rPr>
                <w:sz w:val="16"/>
                <w:szCs w:val="16"/>
              </w:rPr>
              <w:t>Aumento del 8,1% a fines de 2015.</w:t>
            </w:r>
          </w:p>
        </w:tc>
        <w:tc>
          <w:tcPr>
            <w:tcW w:w="1053" w:type="pct"/>
            <w:gridSpan w:val="2"/>
            <w:tcBorders>
              <w:top w:val="single" w:sz="4" w:space="0" w:color="auto"/>
              <w:bottom w:val="nil"/>
            </w:tcBorders>
            <w:shd w:val="clear" w:color="auto" w:fill="FFFFFF"/>
            <w:tcMar>
              <w:top w:w="110" w:type="dxa"/>
            </w:tcMar>
          </w:tcPr>
          <w:p w:rsidR="00B45FC3" w:rsidRPr="00526311" w:rsidRDefault="00B45FC3" w:rsidP="0063039A">
            <w:pPr>
              <w:widowControl w:val="0"/>
              <w:rPr>
                <w:sz w:val="16"/>
                <w:szCs w:val="16"/>
              </w:rPr>
            </w:pPr>
            <w:r w:rsidRPr="00526311">
              <w:rPr>
                <w:sz w:val="16"/>
                <w:szCs w:val="16"/>
                <w:lang w:bidi="th-TH"/>
              </w:rPr>
              <w:t>En 2014, se recibió un número récord de 47.885 solicitudes internacionales, lo que supone un aumento del 2,3% en relación con 2013.</w:t>
            </w:r>
          </w:p>
        </w:tc>
        <w:tc>
          <w:tcPr>
            <w:tcW w:w="606" w:type="pct"/>
            <w:tcBorders>
              <w:top w:val="single" w:sz="4" w:space="0" w:color="auto"/>
              <w:bottom w:val="nil"/>
              <w:right w:val="single" w:sz="4" w:space="0" w:color="auto"/>
            </w:tcBorders>
            <w:shd w:val="clear" w:color="auto" w:fill="auto"/>
            <w:tcMar>
              <w:top w:w="110" w:type="dxa"/>
            </w:tcMar>
          </w:tcPr>
          <w:p w:rsidR="00B45FC3" w:rsidRPr="00526311" w:rsidRDefault="00B45FC3" w:rsidP="0063039A">
            <w:pPr>
              <w:widowControl w:val="0"/>
              <w:ind w:left="-108"/>
              <w:jc w:val="center"/>
              <w:rPr>
                <w:bCs/>
                <w:color w:val="808080"/>
                <w:sz w:val="16"/>
                <w:szCs w:val="16"/>
              </w:rPr>
            </w:pPr>
            <w:r w:rsidRPr="00526311">
              <w:rPr>
                <w:b/>
                <w:bCs/>
                <w:color w:val="FF0000"/>
                <w:sz w:val="16"/>
                <w:szCs w:val="16"/>
              </w:rPr>
              <w:t>No avanza</w:t>
            </w:r>
          </w:p>
        </w:tc>
      </w:tr>
      <w:tr w:rsidR="00B45FC3" w:rsidRPr="00526311" w:rsidTr="0063039A">
        <w:trPr>
          <w:cantSplit/>
        </w:trPr>
        <w:tc>
          <w:tcPr>
            <w:tcW w:w="1140" w:type="pct"/>
            <w:tcBorders>
              <w:top w:val="nil"/>
              <w:left w:val="single" w:sz="4" w:space="0" w:color="auto"/>
              <w:bottom w:val="nil"/>
            </w:tcBorders>
            <w:shd w:val="clear" w:color="auto" w:fill="auto"/>
          </w:tcPr>
          <w:p w:rsidR="00B45FC3" w:rsidRPr="00526311" w:rsidRDefault="00B45FC3" w:rsidP="0063039A">
            <w:pPr>
              <w:widowControl w:val="0"/>
              <w:rPr>
                <w:sz w:val="16"/>
                <w:szCs w:val="16"/>
              </w:rPr>
            </w:pPr>
            <w:r w:rsidRPr="00526311">
              <w:rPr>
                <w:sz w:val="16"/>
                <w:szCs w:val="16"/>
              </w:rPr>
              <w:t>Porcentaje de oficinas que proporcionan información actualizada sobre el Sistema de Madrid</w:t>
            </w:r>
          </w:p>
          <w:p w:rsidR="00B45FC3" w:rsidRPr="00526311" w:rsidRDefault="00B45FC3" w:rsidP="0063039A">
            <w:pPr>
              <w:widowControl w:val="0"/>
              <w:rPr>
                <w:sz w:val="16"/>
                <w:szCs w:val="16"/>
              </w:rPr>
            </w:pPr>
          </w:p>
        </w:tc>
        <w:tc>
          <w:tcPr>
            <w:tcW w:w="1365" w:type="pct"/>
            <w:tcBorders>
              <w:top w:val="nil"/>
              <w:bottom w:val="nil"/>
            </w:tcBorders>
            <w:shd w:val="clear" w:color="auto" w:fill="auto"/>
          </w:tcPr>
          <w:p w:rsidR="00B45FC3" w:rsidRPr="00526311" w:rsidRDefault="00B45FC3" w:rsidP="0063039A">
            <w:pPr>
              <w:widowControl w:val="0"/>
              <w:rPr>
                <w:sz w:val="16"/>
                <w:szCs w:val="16"/>
              </w:rPr>
            </w:pPr>
            <w:r w:rsidRPr="00526311">
              <w:rPr>
                <w:sz w:val="16"/>
                <w:szCs w:val="16"/>
              </w:rPr>
              <w:t>Porcentaje de oficinas que proporcionan dicha información.</w:t>
            </w:r>
          </w:p>
          <w:p w:rsidR="00B45FC3" w:rsidRPr="00526311" w:rsidRDefault="00B45FC3" w:rsidP="0063039A">
            <w:pPr>
              <w:widowControl w:val="0"/>
              <w:rPr>
                <w:sz w:val="16"/>
                <w:szCs w:val="16"/>
              </w:rPr>
            </w:pPr>
          </w:p>
        </w:tc>
        <w:tc>
          <w:tcPr>
            <w:tcW w:w="836" w:type="pct"/>
            <w:gridSpan w:val="2"/>
            <w:tcBorders>
              <w:top w:val="nil"/>
              <w:bottom w:val="nil"/>
            </w:tcBorders>
            <w:shd w:val="clear" w:color="auto" w:fill="auto"/>
            <w:tcMar>
              <w:top w:w="110" w:type="dxa"/>
            </w:tcMar>
          </w:tcPr>
          <w:p w:rsidR="00B45FC3" w:rsidRPr="00526311" w:rsidRDefault="00B45FC3" w:rsidP="0063039A">
            <w:pPr>
              <w:widowControl w:val="0"/>
              <w:rPr>
                <w:sz w:val="16"/>
                <w:szCs w:val="16"/>
              </w:rPr>
            </w:pPr>
            <w:r w:rsidRPr="00526311">
              <w:rPr>
                <w:sz w:val="16"/>
                <w:szCs w:val="16"/>
              </w:rPr>
              <w:t>Mayor porcentaje.</w:t>
            </w:r>
          </w:p>
        </w:tc>
        <w:tc>
          <w:tcPr>
            <w:tcW w:w="1053" w:type="pct"/>
            <w:gridSpan w:val="2"/>
            <w:tcBorders>
              <w:top w:val="nil"/>
              <w:bottom w:val="nil"/>
            </w:tcBorders>
            <w:shd w:val="clear" w:color="auto" w:fill="FFFFFF"/>
            <w:tcMar>
              <w:top w:w="110" w:type="dxa"/>
            </w:tcMar>
          </w:tcPr>
          <w:p w:rsidR="00B45FC3" w:rsidRPr="00526311" w:rsidRDefault="00B45FC3" w:rsidP="0063039A">
            <w:pPr>
              <w:widowControl w:val="0"/>
              <w:rPr>
                <w:sz w:val="16"/>
                <w:szCs w:val="16"/>
              </w:rPr>
            </w:pPr>
          </w:p>
        </w:tc>
        <w:tc>
          <w:tcPr>
            <w:tcW w:w="606" w:type="pct"/>
            <w:tcBorders>
              <w:top w:val="nil"/>
              <w:bottom w:val="nil"/>
              <w:right w:val="single" w:sz="4" w:space="0" w:color="auto"/>
            </w:tcBorders>
            <w:shd w:val="clear" w:color="auto" w:fill="auto"/>
            <w:tcMar>
              <w:top w:w="110" w:type="dxa"/>
            </w:tcMar>
          </w:tcPr>
          <w:p w:rsidR="00B45FC3" w:rsidRPr="00526311" w:rsidRDefault="00B45FC3" w:rsidP="0063039A">
            <w:pPr>
              <w:widowControl w:val="0"/>
              <w:ind w:left="-108"/>
              <w:jc w:val="center"/>
              <w:rPr>
                <w:b/>
                <w:bCs/>
                <w:sz w:val="16"/>
                <w:szCs w:val="16"/>
              </w:rPr>
            </w:pPr>
            <w:r w:rsidRPr="00526311">
              <w:rPr>
                <w:rStyle w:val="Style5"/>
                <w:b/>
                <w:sz w:val="16"/>
                <w:szCs w:val="16"/>
              </w:rPr>
              <w:t>Discontinuado</w:t>
            </w:r>
          </w:p>
        </w:tc>
      </w:tr>
      <w:tr w:rsidR="00B45FC3" w:rsidRPr="00526311" w:rsidTr="0063039A">
        <w:trPr>
          <w:cantSplit/>
        </w:trPr>
        <w:tc>
          <w:tcPr>
            <w:tcW w:w="1140" w:type="pct"/>
            <w:tcBorders>
              <w:top w:val="nil"/>
              <w:left w:val="single" w:sz="4" w:space="0" w:color="auto"/>
              <w:bottom w:val="nil"/>
            </w:tcBorders>
            <w:shd w:val="clear" w:color="auto" w:fill="auto"/>
          </w:tcPr>
          <w:p w:rsidR="00B45FC3" w:rsidRPr="00526311" w:rsidRDefault="00B45FC3" w:rsidP="0063039A">
            <w:pPr>
              <w:widowControl w:val="0"/>
              <w:rPr>
                <w:sz w:val="16"/>
                <w:szCs w:val="16"/>
              </w:rPr>
            </w:pPr>
            <w:r w:rsidRPr="00526311">
              <w:rPr>
                <w:sz w:val="16"/>
                <w:szCs w:val="16"/>
              </w:rPr>
              <w:t>Porcentaje de participantes en las actividades del Sistema de Lisboa que están satisfechos y manifiestan haber mejorado sus conocimientos tras haber participado en las actividades</w:t>
            </w:r>
          </w:p>
        </w:tc>
        <w:tc>
          <w:tcPr>
            <w:tcW w:w="1365" w:type="pct"/>
            <w:tcBorders>
              <w:top w:val="nil"/>
              <w:bottom w:val="nil"/>
            </w:tcBorders>
            <w:shd w:val="clear" w:color="auto" w:fill="auto"/>
          </w:tcPr>
          <w:p w:rsidR="00B45FC3" w:rsidRPr="00526311" w:rsidRDefault="00B45FC3" w:rsidP="0063039A">
            <w:pPr>
              <w:widowControl w:val="0"/>
              <w:rPr>
                <w:color w:val="002060"/>
                <w:sz w:val="16"/>
                <w:szCs w:val="16"/>
              </w:rPr>
            </w:pPr>
            <w:r w:rsidRPr="00526311">
              <w:rPr>
                <w:i/>
                <w:color w:val="002060"/>
                <w:sz w:val="16"/>
                <w:szCs w:val="16"/>
              </w:rPr>
              <w:t xml:space="preserve">Referencia actualizada a fines de </w:t>
            </w:r>
            <w:r w:rsidRPr="00526311">
              <w:rPr>
                <w:color w:val="002060"/>
                <w:sz w:val="16"/>
                <w:szCs w:val="16"/>
              </w:rPr>
              <w:t>2013: Los cuestionarios de evaluación utilizados revelan un índice de satisfacción de más del 90%</w:t>
            </w:r>
          </w:p>
          <w:p w:rsidR="00B45FC3" w:rsidRPr="00526311" w:rsidRDefault="00B45FC3" w:rsidP="0063039A">
            <w:pPr>
              <w:widowControl w:val="0"/>
              <w:rPr>
                <w:color w:val="002060"/>
                <w:sz w:val="16"/>
                <w:szCs w:val="16"/>
              </w:rPr>
            </w:pPr>
          </w:p>
          <w:p w:rsidR="00B45FC3" w:rsidRPr="00526311" w:rsidRDefault="00B45FC3" w:rsidP="0063039A">
            <w:pPr>
              <w:widowControl w:val="0"/>
              <w:rPr>
                <w:i/>
                <w:color w:val="002060"/>
                <w:sz w:val="16"/>
                <w:szCs w:val="16"/>
              </w:rPr>
            </w:pPr>
            <w:r w:rsidRPr="00526311">
              <w:rPr>
                <w:i/>
                <w:sz w:val="16"/>
                <w:szCs w:val="16"/>
              </w:rPr>
              <w:t>Referencia original en el presupuesto de 2013/14:  Número de actividades y porcentaje de participantes satisfechos en 2013</w:t>
            </w:r>
          </w:p>
        </w:tc>
        <w:tc>
          <w:tcPr>
            <w:tcW w:w="836" w:type="pct"/>
            <w:gridSpan w:val="2"/>
            <w:tcBorders>
              <w:top w:val="nil"/>
              <w:bottom w:val="nil"/>
            </w:tcBorders>
            <w:shd w:val="clear" w:color="auto" w:fill="auto"/>
            <w:tcMar>
              <w:top w:w="110" w:type="dxa"/>
            </w:tcMar>
          </w:tcPr>
          <w:p w:rsidR="00B45FC3" w:rsidRPr="00526311" w:rsidRDefault="00B45FC3" w:rsidP="0063039A">
            <w:pPr>
              <w:widowControl w:val="0"/>
              <w:rPr>
                <w:sz w:val="16"/>
                <w:szCs w:val="16"/>
              </w:rPr>
            </w:pPr>
            <w:r w:rsidRPr="00526311">
              <w:rPr>
                <w:sz w:val="16"/>
                <w:szCs w:val="16"/>
              </w:rPr>
              <w:t>Al menos ocho actividades y un 85% de participantes satisfechos</w:t>
            </w:r>
          </w:p>
        </w:tc>
        <w:tc>
          <w:tcPr>
            <w:tcW w:w="1053" w:type="pct"/>
            <w:gridSpan w:val="2"/>
            <w:tcBorders>
              <w:top w:val="nil"/>
              <w:bottom w:val="nil"/>
            </w:tcBorders>
            <w:shd w:val="clear" w:color="auto" w:fill="FFFFFF"/>
            <w:tcMar>
              <w:top w:w="110" w:type="dxa"/>
            </w:tcMar>
          </w:tcPr>
          <w:p w:rsidR="00B45FC3" w:rsidRPr="00526311" w:rsidRDefault="00B45FC3" w:rsidP="0063039A">
            <w:pPr>
              <w:widowControl w:val="0"/>
              <w:rPr>
                <w:sz w:val="16"/>
                <w:szCs w:val="16"/>
              </w:rPr>
            </w:pPr>
            <w:r w:rsidRPr="00526311">
              <w:rPr>
                <w:sz w:val="16"/>
                <w:szCs w:val="16"/>
              </w:rPr>
              <w:t>Cinco eventos de información y promoción especialmente dedicados al Sistema de Lisboa, incluida su revisión prevista en todas las regiones, con un 84% de participantes satisfechos</w:t>
            </w:r>
          </w:p>
        </w:tc>
        <w:tc>
          <w:tcPr>
            <w:tcW w:w="606" w:type="pct"/>
            <w:tcBorders>
              <w:top w:val="nil"/>
              <w:bottom w:val="nil"/>
              <w:right w:val="single" w:sz="4" w:space="0" w:color="auto"/>
            </w:tcBorders>
            <w:shd w:val="clear" w:color="auto" w:fill="auto"/>
            <w:tcMar>
              <w:top w:w="110" w:type="dxa"/>
            </w:tcMar>
          </w:tcPr>
          <w:p w:rsidR="00B45FC3" w:rsidRPr="00526311" w:rsidRDefault="00B45FC3" w:rsidP="0063039A">
            <w:pPr>
              <w:widowControl w:val="0"/>
              <w:ind w:left="-107"/>
              <w:jc w:val="center"/>
              <w:rPr>
                <w:rStyle w:val="Style5"/>
                <w:color w:val="00B050"/>
                <w:sz w:val="16"/>
                <w:szCs w:val="16"/>
              </w:rPr>
            </w:pPr>
            <w:r w:rsidRPr="00526311">
              <w:rPr>
                <w:b/>
                <w:bCs/>
                <w:color w:val="00B050"/>
                <w:sz w:val="16"/>
                <w:szCs w:val="16"/>
              </w:rPr>
              <w:t>Avanza</w:t>
            </w:r>
          </w:p>
        </w:tc>
      </w:tr>
      <w:tr w:rsidR="00B45FC3" w:rsidRPr="00526311" w:rsidTr="00D94D73">
        <w:trPr>
          <w:cantSplit/>
          <w:trHeight w:val="1279"/>
        </w:trPr>
        <w:tc>
          <w:tcPr>
            <w:tcW w:w="1140" w:type="pct"/>
            <w:tcBorders>
              <w:top w:val="nil"/>
              <w:left w:val="single" w:sz="4" w:space="0" w:color="auto"/>
              <w:bottom w:val="nil"/>
            </w:tcBorders>
            <w:shd w:val="clear" w:color="auto" w:fill="auto"/>
          </w:tcPr>
          <w:p w:rsidR="00B45FC3" w:rsidRPr="00526311" w:rsidRDefault="00B45FC3" w:rsidP="0063039A">
            <w:pPr>
              <w:widowControl w:val="0"/>
              <w:rPr>
                <w:sz w:val="16"/>
                <w:szCs w:val="16"/>
              </w:rPr>
            </w:pPr>
            <w:r w:rsidRPr="00526311">
              <w:rPr>
                <w:sz w:val="16"/>
                <w:szCs w:val="16"/>
              </w:rPr>
              <w:t>Número y proporción de registros en vigor del Sistema de Lisboa procedentes de países en desarrollo y PMA</w:t>
            </w:r>
          </w:p>
        </w:tc>
        <w:tc>
          <w:tcPr>
            <w:tcW w:w="1365" w:type="pct"/>
            <w:tcBorders>
              <w:top w:val="nil"/>
              <w:bottom w:val="nil"/>
            </w:tcBorders>
            <w:shd w:val="clear" w:color="auto" w:fill="auto"/>
          </w:tcPr>
          <w:p w:rsidR="00B45FC3" w:rsidRPr="00526311" w:rsidRDefault="00B45FC3" w:rsidP="0063039A">
            <w:pPr>
              <w:widowControl w:val="0"/>
              <w:rPr>
                <w:color w:val="002060"/>
                <w:sz w:val="16"/>
                <w:szCs w:val="16"/>
              </w:rPr>
            </w:pPr>
            <w:r w:rsidRPr="00526311">
              <w:rPr>
                <w:i/>
                <w:color w:val="002060"/>
                <w:sz w:val="16"/>
                <w:szCs w:val="16"/>
              </w:rPr>
              <w:t>Referencia actualizada a fines de 2013:</w:t>
            </w:r>
            <w:r w:rsidRPr="00526311">
              <w:rPr>
                <w:color w:val="002060"/>
                <w:sz w:val="16"/>
                <w:szCs w:val="16"/>
              </w:rPr>
              <w:t xml:space="preserve"> 67 (de 816)</w:t>
            </w:r>
          </w:p>
          <w:p w:rsidR="00B45FC3" w:rsidRPr="00526311" w:rsidRDefault="00B45FC3" w:rsidP="0063039A">
            <w:pPr>
              <w:widowControl w:val="0"/>
              <w:rPr>
                <w:color w:val="002060"/>
                <w:sz w:val="16"/>
                <w:szCs w:val="16"/>
              </w:rPr>
            </w:pPr>
          </w:p>
          <w:p w:rsidR="00B45FC3" w:rsidRPr="00526311" w:rsidRDefault="00B45FC3" w:rsidP="0063039A">
            <w:pPr>
              <w:widowControl w:val="0"/>
              <w:rPr>
                <w:i/>
                <w:color w:val="002060"/>
                <w:sz w:val="16"/>
                <w:szCs w:val="16"/>
              </w:rPr>
            </w:pPr>
            <w:r w:rsidRPr="00526311">
              <w:rPr>
                <w:i/>
                <w:sz w:val="16"/>
                <w:szCs w:val="16"/>
              </w:rPr>
              <w:t xml:space="preserve">Referencia original en el presupuesto de 2013/14:  </w:t>
            </w:r>
            <w:r w:rsidR="00D94D73" w:rsidRPr="00526311">
              <w:rPr>
                <w:sz w:val="16"/>
                <w:szCs w:val="16"/>
              </w:rPr>
              <w:t>67 (de 809</w:t>
            </w:r>
            <w:r w:rsidRPr="00526311">
              <w:rPr>
                <w:sz w:val="16"/>
                <w:szCs w:val="16"/>
              </w:rPr>
              <w:t>) (abril de 2013)</w:t>
            </w:r>
          </w:p>
        </w:tc>
        <w:tc>
          <w:tcPr>
            <w:tcW w:w="836" w:type="pct"/>
            <w:gridSpan w:val="2"/>
            <w:tcBorders>
              <w:top w:val="nil"/>
              <w:bottom w:val="nil"/>
            </w:tcBorders>
            <w:shd w:val="clear" w:color="auto" w:fill="auto"/>
            <w:tcMar>
              <w:top w:w="110" w:type="dxa"/>
            </w:tcMar>
          </w:tcPr>
          <w:p w:rsidR="00B45FC3" w:rsidRPr="00526311" w:rsidRDefault="00B45FC3" w:rsidP="0063039A">
            <w:pPr>
              <w:widowControl w:val="0"/>
              <w:rPr>
                <w:sz w:val="16"/>
                <w:szCs w:val="16"/>
              </w:rPr>
            </w:pPr>
            <w:r w:rsidRPr="00526311">
              <w:rPr>
                <w:sz w:val="16"/>
                <w:szCs w:val="16"/>
              </w:rPr>
              <w:t>80 (de 825)</w:t>
            </w:r>
          </w:p>
        </w:tc>
        <w:tc>
          <w:tcPr>
            <w:tcW w:w="1053" w:type="pct"/>
            <w:gridSpan w:val="2"/>
            <w:tcBorders>
              <w:top w:val="nil"/>
              <w:bottom w:val="nil"/>
            </w:tcBorders>
            <w:shd w:val="clear" w:color="auto" w:fill="FFFFFF"/>
            <w:tcMar>
              <w:top w:w="110" w:type="dxa"/>
            </w:tcMar>
          </w:tcPr>
          <w:p w:rsidR="00B45FC3" w:rsidRPr="00526311" w:rsidRDefault="00B45FC3" w:rsidP="0063039A">
            <w:pPr>
              <w:widowControl w:val="0"/>
              <w:rPr>
                <w:sz w:val="16"/>
                <w:szCs w:val="16"/>
              </w:rPr>
            </w:pPr>
            <w:r w:rsidRPr="00526311">
              <w:rPr>
                <w:sz w:val="16"/>
                <w:szCs w:val="16"/>
              </w:rPr>
              <w:t>78 (de 896):</w:t>
            </w:r>
          </w:p>
          <w:p w:rsidR="00B45FC3" w:rsidRPr="00526311" w:rsidRDefault="00B45FC3" w:rsidP="00B45FC3">
            <w:pPr>
              <w:pStyle w:val="ListParagraph"/>
              <w:widowControl w:val="0"/>
              <w:numPr>
                <w:ilvl w:val="0"/>
                <w:numId w:val="26"/>
              </w:numPr>
              <w:rPr>
                <w:rFonts w:cs="Arial"/>
                <w:sz w:val="16"/>
                <w:szCs w:val="16"/>
                <w:lang w:val="es-ES"/>
              </w:rPr>
            </w:pPr>
            <w:r w:rsidRPr="00526311">
              <w:rPr>
                <w:rFonts w:cs="Arial"/>
                <w:sz w:val="16"/>
                <w:szCs w:val="16"/>
                <w:lang w:val="es-ES"/>
              </w:rPr>
              <w:t>Región árabe (14)</w:t>
            </w:r>
          </w:p>
          <w:p w:rsidR="00B45FC3" w:rsidRPr="00526311" w:rsidRDefault="00B45FC3" w:rsidP="00B45FC3">
            <w:pPr>
              <w:pStyle w:val="ListParagraph"/>
              <w:widowControl w:val="0"/>
              <w:numPr>
                <w:ilvl w:val="0"/>
                <w:numId w:val="26"/>
              </w:numPr>
              <w:rPr>
                <w:rFonts w:cs="Arial"/>
                <w:sz w:val="16"/>
                <w:szCs w:val="16"/>
                <w:lang w:val="es-ES"/>
              </w:rPr>
            </w:pPr>
            <w:r w:rsidRPr="00526311">
              <w:rPr>
                <w:rFonts w:cs="Arial"/>
                <w:sz w:val="16"/>
                <w:szCs w:val="16"/>
                <w:lang w:val="es-ES"/>
              </w:rPr>
              <w:t>Asia y el Pacífico (22)</w:t>
            </w:r>
          </w:p>
          <w:p w:rsidR="00B45FC3" w:rsidRPr="00526311" w:rsidRDefault="00B45FC3" w:rsidP="00B45FC3">
            <w:pPr>
              <w:pStyle w:val="ListParagraph"/>
              <w:widowControl w:val="0"/>
              <w:numPr>
                <w:ilvl w:val="0"/>
                <w:numId w:val="26"/>
              </w:numPr>
              <w:rPr>
                <w:rFonts w:cs="Arial"/>
                <w:sz w:val="16"/>
                <w:szCs w:val="16"/>
                <w:lang w:val="es-ES"/>
              </w:rPr>
            </w:pPr>
            <w:r w:rsidRPr="00526311">
              <w:rPr>
                <w:rFonts w:cs="Arial"/>
                <w:sz w:val="16"/>
                <w:szCs w:val="16"/>
                <w:lang w:val="es-ES"/>
              </w:rPr>
              <w:t>América Latina y el Caribe (42)</w:t>
            </w:r>
          </w:p>
        </w:tc>
        <w:tc>
          <w:tcPr>
            <w:tcW w:w="606" w:type="pct"/>
            <w:tcBorders>
              <w:top w:val="nil"/>
              <w:bottom w:val="nil"/>
              <w:right w:val="single" w:sz="4" w:space="0" w:color="auto"/>
            </w:tcBorders>
            <w:shd w:val="clear" w:color="auto" w:fill="auto"/>
            <w:tcMar>
              <w:top w:w="110" w:type="dxa"/>
            </w:tcMar>
          </w:tcPr>
          <w:p w:rsidR="00B45FC3" w:rsidRPr="00526311" w:rsidRDefault="00B45FC3" w:rsidP="0063039A">
            <w:pPr>
              <w:widowControl w:val="0"/>
              <w:ind w:left="-107"/>
              <w:jc w:val="center"/>
              <w:rPr>
                <w:rStyle w:val="Style5"/>
                <w:b/>
                <w:color w:val="00B050"/>
                <w:sz w:val="16"/>
                <w:szCs w:val="16"/>
              </w:rPr>
            </w:pPr>
            <w:r w:rsidRPr="00526311">
              <w:rPr>
                <w:b/>
                <w:bCs/>
                <w:color w:val="00B050"/>
                <w:sz w:val="16"/>
                <w:szCs w:val="16"/>
              </w:rPr>
              <w:t>Avanza</w:t>
            </w:r>
          </w:p>
        </w:tc>
      </w:tr>
      <w:tr w:rsidR="00D94D73" w:rsidRPr="00526311" w:rsidTr="0063039A">
        <w:trPr>
          <w:cantSplit/>
          <w:trHeight w:val="1279"/>
        </w:trPr>
        <w:tc>
          <w:tcPr>
            <w:tcW w:w="1140" w:type="pct"/>
            <w:tcBorders>
              <w:top w:val="nil"/>
              <w:left w:val="single" w:sz="4" w:space="0" w:color="auto"/>
              <w:bottom w:val="single" w:sz="4" w:space="0" w:color="auto"/>
            </w:tcBorders>
            <w:shd w:val="clear" w:color="auto" w:fill="auto"/>
          </w:tcPr>
          <w:p w:rsidR="00D94D73" w:rsidRPr="00526311" w:rsidRDefault="00D94D73" w:rsidP="0063039A">
            <w:pPr>
              <w:widowControl w:val="0"/>
              <w:rPr>
                <w:sz w:val="16"/>
                <w:szCs w:val="16"/>
              </w:rPr>
            </w:pPr>
            <w:r w:rsidRPr="00526311">
              <w:rPr>
                <w:sz w:val="16"/>
                <w:szCs w:val="16"/>
              </w:rPr>
              <w:t>Disminución del número de irregularidades (Madrid)</w:t>
            </w:r>
          </w:p>
        </w:tc>
        <w:tc>
          <w:tcPr>
            <w:tcW w:w="1365" w:type="pct"/>
            <w:tcBorders>
              <w:top w:val="nil"/>
              <w:bottom w:val="single" w:sz="4" w:space="0" w:color="auto"/>
            </w:tcBorders>
            <w:shd w:val="clear" w:color="auto" w:fill="auto"/>
          </w:tcPr>
          <w:p w:rsidR="00D94D73" w:rsidRPr="00526311" w:rsidRDefault="00D94D73" w:rsidP="00D94D73">
            <w:pPr>
              <w:widowControl w:val="0"/>
              <w:rPr>
                <w:color w:val="002060"/>
                <w:sz w:val="16"/>
                <w:szCs w:val="16"/>
              </w:rPr>
            </w:pPr>
            <w:r w:rsidRPr="00526311">
              <w:rPr>
                <w:i/>
                <w:color w:val="002060"/>
                <w:sz w:val="16"/>
                <w:szCs w:val="16"/>
              </w:rPr>
              <w:t xml:space="preserve">Referencia actualizada a fines de 2013:  </w:t>
            </w:r>
            <w:r w:rsidRPr="00526311">
              <w:rPr>
                <w:color w:val="002060"/>
                <w:sz w:val="16"/>
                <w:szCs w:val="16"/>
              </w:rPr>
              <w:t>2013:  36%</w:t>
            </w:r>
          </w:p>
          <w:p w:rsidR="00D94D73" w:rsidRPr="00526311" w:rsidRDefault="00D94D73" w:rsidP="00D94D73">
            <w:pPr>
              <w:widowControl w:val="0"/>
              <w:rPr>
                <w:i/>
                <w:sz w:val="8"/>
                <w:szCs w:val="8"/>
              </w:rPr>
            </w:pPr>
          </w:p>
          <w:p w:rsidR="00D94D73" w:rsidRPr="00526311" w:rsidRDefault="00D94D73" w:rsidP="00D94D73">
            <w:pPr>
              <w:widowControl w:val="0"/>
              <w:rPr>
                <w:i/>
                <w:color w:val="002060"/>
                <w:sz w:val="16"/>
                <w:szCs w:val="16"/>
              </w:rPr>
            </w:pPr>
            <w:r w:rsidRPr="00526311">
              <w:rPr>
                <w:i/>
                <w:sz w:val="16"/>
                <w:szCs w:val="16"/>
              </w:rPr>
              <w:t xml:space="preserve">Referencia original en el presupuesto de 2014/15:  </w:t>
            </w:r>
            <w:r w:rsidRPr="00526311">
              <w:rPr>
                <w:sz w:val="16"/>
                <w:szCs w:val="16"/>
              </w:rPr>
              <w:t>34% de solicitudes irregulares (en 2012)</w:t>
            </w:r>
            <w:r w:rsidRPr="00526311">
              <w:rPr>
                <w:sz w:val="16"/>
                <w:szCs w:val="16"/>
              </w:rPr>
              <w:br/>
            </w:r>
          </w:p>
        </w:tc>
        <w:tc>
          <w:tcPr>
            <w:tcW w:w="836" w:type="pct"/>
            <w:gridSpan w:val="2"/>
            <w:tcBorders>
              <w:top w:val="nil"/>
              <w:bottom w:val="single" w:sz="4" w:space="0" w:color="auto"/>
            </w:tcBorders>
            <w:shd w:val="clear" w:color="auto" w:fill="auto"/>
            <w:tcMar>
              <w:top w:w="110" w:type="dxa"/>
            </w:tcMar>
          </w:tcPr>
          <w:p w:rsidR="00D94D73" w:rsidRPr="00526311" w:rsidRDefault="00D94D73" w:rsidP="00D94D73">
            <w:pPr>
              <w:widowControl w:val="0"/>
              <w:rPr>
                <w:sz w:val="16"/>
                <w:szCs w:val="16"/>
              </w:rPr>
            </w:pPr>
            <w:r w:rsidRPr="00526311">
              <w:rPr>
                <w:sz w:val="16"/>
                <w:szCs w:val="16"/>
              </w:rPr>
              <w:t>Disminución en un 10% del número de irregularidades</w:t>
            </w:r>
          </w:p>
          <w:p w:rsidR="00D94D73" w:rsidRPr="00526311" w:rsidRDefault="00D94D73" w:rsidP="0063039A">
            <w:pPr>
              <w:widowControl w:val="0"/>
              <w:rPr>
                <w:sz w:val="16"/>
                <w:szCs w:val="16"/>
              </w:rPr>
            </w:pPr>
          </w:p>
        </w:tc>
        <w:tc>
          <w:tcPr>
            <w:tcW w:w="1053" w:type="pct"/>
            <w:gridSpan w:val="2"/>
            <w:tcBorders>
              <w:top w:val="nil"/>
              <w:bottom w:val="single" w:sz="4" w:space="0" w:color="auto"/>
            </w:tcBorders>
            <w:shd w:val="clear" w:color="auto" w:fill="FFFFFF"/>
            <w:tcMar>
              <w:top w:w="110" w:type="dxa"/>
            </w:tcMar>
          </w:tcPr>
          <w:p w:rsidR="00D94D73" w:rsidRPr="00526311" w:rsidRDefault="00D94D73" w:rsidP="00D94D73">
            <w:pPr>
              <w:widowControl w:val="0"/>
              <w:rPr>
                <w:sz w:val="16"/>
                <w:szCs w:val="16"/>
                <w:lang w:bidi="th-TH"/>
              </w:rPr>
            </w:pPr>
            <w:r w:rsidRPr="00526311">
              <w:rPr>
                <w:sz w:val="16"/>
                <w:szCs w:val="16"/>
                <w:lang w:bidi="th-TH"/>
              </w:rPr>
              <w:t>2014:  36%</w:t>
            </w:r>
          </w:p>
          <w:p w:rsidR="00D94D73" w:rsidRPr="00526311" w:rsidRDefault="00D94D73" w:rsidP="0063039A">
            <w:pPr>
              <w:widowControl w:val="0"/>
              <w:rPr>
                <w:sz w:val="16"/>
                <w:szCs w:val="16"/>
              </w:rPr>
            </w:pPr>
          </w:p>
        </w:tc>
        <w:tc>
          <w:tcPr>
            <w:tcW w:w="606" w:type="pct"/>
            <w:tcBorders>
              <w:top w:val="nil"/>
              <w:bottom w:val="single" w:sz="4" w:space="0" w:color="auto"/>
              <w:right w:val="single" w:sz="4" w:space="0" w:color="auto"/>
            </w:tcBorders>
            <w:shd w:val="clear" w:color="auto" w:fill="auto"/>
            <w:tcMar>
              <w:top w:w="110" w:type="dxa"/>
            </w:tcMar>
          </w:tcPr>
          <w:p w:rsidR="00D94D73" w:rsidRPr="00526311" w:rsidRDefault="00D94D73" w:rsidP="0063039A">
            <w:pPr>
              <w:widowControl w:val="0"/>
              <w:ind w:left="-107"/>
              <w:jc w:val="center"/>
              <w:rPr>
                <w:b/>
                <w:bCs/>
                <w:color w:val="00B050"/>
                <w:sz w:val="16"/>
                <w:szCs w:val="16"/>
              </w:rPr>
            </w:pPr>
            <w:r w:rsidRPr="00526311">
              <w:rPr>
                <w:b/>
                <w:bCs/>
                <w:color w:val="FF0000"/>
                <w:sz w:val="16"/>
                <w:szCs w:val="16"/>
              </w:rPr>
              <w:t>No avanza</w:t>
            </w:r>
          </w:p>
        </w:tc>
      </w:tr>
      <w:tr w:rsidR="00B45FC3" w:rsidRPr="00526311" w:rsidTr="0063039A">
        <w:trPr>
          <w:cantSplit/>
          <w:trHeight w:val="505"/>
        </w:trPr>
        <w:tc>
          <w:tcPr>
            <w:tcW w:w="5000" w:type="pct"/>
            <w:gridSpan w:val="7"/>
            <w:tcBorders>
              <w:top w:val="single" w:sz="4" w:space="0" w:color="auto"/>
              <w:left w:val="single" w:sz="4" w:space="0" w:color="auto"/>
              <w:bottom w:val="single" w:sz="4" w:space="0" w:color="auto"/>
              <w:right w:val="single" w:sz="4" w:space="0" w:color="auto"/>
            </w:tcBorders>
            <w:shd w:val="clear" w:color="auto" w:fill="CCFFFF"/>
            <w:vAlign w:val="center"/>
          </w:tcPr>
          <w:p w:rsidR="00B45FC3" w:rsidRPr="00526311" w:rsidRDefault="00B45FC3" w:rsidP="0063039A">
            <w:pPr>
              <w:widowControl w:val="0"/>
              <w:tabs>
                <w:tab w:val="left" w:pos="1452"/>
              </w:tabs>
              <w:ind w:left="1701" w:hanging="1701"/>
              <w:rPr>
                <w:b/>
                <w:bCs/>
                <w:sz w:val="16"/>
                <w:szCs w:val="16"/>
              </w:rPr>
            </w:pPr>
            <w:r w:rsidRPr="00526311">
              <w:rPr>
                <w:b/>
                <w:bCs/>
                <w:sz w:val="16"/>
                <w:szCs w:val="16"/>
              </w:rPr>
              <w:t>Resultado previsto:</w:t>
            </w:r>
            <w:r w:rsidRPr="00526311">
              <w:rPr>
                <w:bCs/>
                <w:sz w:val="16"/>
                <w:szCs w:val="16"/>
              </w:rPr>
              <w:tab/>
              <w:t>II.7 Mejora de la productividad y de la calidad de los servicios en las operaciones de los Sistemas de Madrid y de Lisboa</w:t>
            </w:r>
          </w:p>
        </w:tc>
      </w:tr>
      <w:tr w:rsidR="00B45FC3" w:rsidRPr="00526311" w:rsidTr="00CE0A16">
        <w:trPr>
          <w:cantSplit/>
        </w:trPr>
        <w:tc>
          <w:tcPr>
            <w:tcW w:w="1140" w:type="pct"/>
            <w:tcBorders>
              <w:top w:val="single" w:sz="4" w:space="0" w:color="auto"/>
              <w:left w:val="single" w:sz="4" w:space="0" w:color="auto"/>
              <w:bottom w:val="nil"/>
            </w:tcBorders>
            <w:shd w:val="clear" w:color="auto" w:fill="auto"/>
            <w:vAlign w:val="center"/>
          </w:tcPr>
          <w:p w:rsidR="00B45FC3" w:rsidRPr="00526311" w:rsidRDefault="00B45FC3" w:rsidP="0063039A">
            <w:pPr>
              <w:widowControl w:val="0"/>
              <w:rPr>
                <w:sz w:val="16"/>
                <w:szCs w:val="16"/>
              </w:rPr>
            </w:pPr>
            <w:r w:rsidRPr="00526311">
              <w:rPr>
                <w:b/>
                <w:sz w:val="16"/>
                <w:szCs w:val="16"/>
              </w:rPr>
              <w:t>Indicadores de rendimiento</w:t>
            </w:r>
          </w:p>
        </w:tc>
        <w:tc>
          <w:tcPr>
            <w:tcW w:w="1365" w:type="pct"/>
            <w:tcBorders>
              <w:top w:val="single" w:sz="4" w:space="0" w:color="auto"/>
              <w:bottom w:val="nil"/>
            </w:tcBorders>
            <w:shd w:val="clear" w:color="auto" w:fill="auto"/>
            <w:vAlign w:val="center"/>
          </w:tcPr>
          <w:p w:rsidR="00B45FC3" w:rsidRPr="00526311" w:rsidRDefault="00B45FC3" w:rsidP="0063039A">
            <w:pPr>
              <w:widowControl w:val="0"/>
              <w:rPr>
                <w:b/>
                <w:bCs/>
                <w:sz w:val="16"/>
                <w:szCs w:val="16"/>
              </w:rPr>
            </w:pPr>
            <w:r w:rsidRPr="00526311">
              <w:rPr>
                <w:b/>
                <w:bCs/>
                <w:sz w:val="16"/>
                <w:szCs w:val="16"/>
              </w:rPr>
              <w:t>Referencia</w:t>
            </w:r>
          </w:p>
        </w:tc>
        <w:tc>
          <w:tcPr>
            <w:tcW w:w="830" w:type="pct"/>
            <w:tcBorders>
              <w:top w:val="single" w:sz="4" w:space="0" w:color="auto"/>
              <w:bottom w:val="nil"/>
            </w:tcBorders>
            <w:shd w:val="clear" w:color="auto" w:fill="auto"/>
            <w:tcMar>
              <w:top w:w="110" w:type="dxa"/>
            </w:tcMar>
            <w:vAlign w:val="center"/>
          </w:tcPr>
          <w:p w:rsidR="00B45FC3" w:rsidRPr="00526311" w:rsidRDefault="00B45FC3" w:rsidP="0063039A">
            <w:pPr>
              <w:widowControl w:val="0"/>
              <w:rPr>
                <w:b/>
                <w:sz w:val="16"/>
                <w:szCs w:val="16"/>
              </w:rPr>
            </w:pPr>
            <w:r w:rsidRPr="00526311">
              <w:rPr>
                <w:b/>
                <w:sz w:val="16"/>
                <w:szCs w:val="16"/>
              </w:rPr>
              <w:t>Objetivos</w:t>
            </w:r>
          </w:p>
        </w:tc>
        <w:tc>
          <w:tcPr>
            <w:tcW w:w="1059" w:type="pct"/>
            <w:gridSpan w:val="3"/>
            <w:tcBorders>
              <w:top w:val="single" w:sz="4" w:space="0" w:color="auto"/>
              <w:bottom w:val="nil"/>
            </w:tcBorders>
            <w:shd w:val="clear" w:color="auto" w:fill="FFFFFF"/>
            <w:tcMar>
              <w:top w:w="110" w:type="dxa"/>
            </w:tcMar>
            <w:vAlign w:val="center"/>
          </w:tcPr>
          <w:p w:rsidR="00B45FC3" w:rsidRPr="00526311" w:rsidRDefault="00B45FC3" w:rsidP="0063039A">
            <w:pPr>
              <w:widowControl w:val="0"/>
              <w:rPr>
                <w:sz w:val="16"/>
                <w:szCs w:val="16"/>
              </w:rPr>
            </w:pPr>
            <w:r w:rsidRPr="00526311">
              <w:rPr>
                <w:b/>
                <w:sz w:val="16"/>
                <w:szCs w:val="16"/>
              </w:rPr>
              <w:t>Datos sobre el rendimiento</w:t>
            </w:r>
          </w:p>
        </w:tc>
        <w:tc>
          <w:tcPr>
            <w:tcW w:w="606" w:type="pct"/>
            <w:tcBorders>
              <w:top w:val="single" w:sz="4" w:space="0" w:color="auto"/>
              <w:bottom w:val="nil"/>
              <w:right w:val="single" w:sz="4" w:space="0" w:color="auto"/>
            </w:tcBorders>
            <w:shd w:val="clear" w:color="auto" w:fill="auto"/>
            <w:tcMar>
              <w:top w:w="110" w:type="dxa"/>
            </w:tcMar>
            <w:vAlign w:val="center"/>
          </w:tcPr>
          <w:p w:rsidR="00B45FC3" w:rsidRPr="00526311" w:rsidRDefault="00B45FC3" w:rsidP="0063039A">
            <w:pPr>
              <w:widowControl w:val="0"/>
              <w:jc w:val="center"/>
              <w:rPr>
                <w:b/>
                <w:bCs/>
                <w:sz w:val="16"/>
                <w:szCs w:val="16"/>
              </w:rPr>
            </w:pPr>
            <w:r w:rsidRPr="00526311">
              <w:rPr>
                <w:b/>
                <w:bCs/>
                <w:sz w:val="16"/>
                <w:szCs w:val="16"/>
              </w:rPr>
              <w:t>Clave de colores</w:t>
            </w:r>
          </w:p>
        </w:tc>
      </w:tr>
      <w:tr w:rsidR="00B45FC3" w:rsidRPr="00526311" w:rsidTr="00425743">
        <w:trPr>
          <w:cantSplit/>
        </w:trPr>
        <w:tc>
          <w:tcPr>
            <w:tcW w:w="1140" w:type="pct"/>
            <w:tcBorders>
              <w:top w:val="nil"/>
              <w:left w:val="single" w:sz="4" w:space="0" w:color="auto"/>
              <w:bottom w:val="single" w:sz="4" w:space="0" w:color="auto"/>
            </w:tcBorders>
            <w:shd w:val="clear" w:color="auto" w:fill="FFFFFF"/>
          </w:tcPr>
          <w:p w:rsidR="00B45FC3" w:rsidRPr="00526311" w:rsidRDefault="00B45FC3" w:rsidP="0063039A">
            <w:pPr>
              <w:widowControl w:val="0"/>
              <w:rPr>
                <w:sz w:val="16"/>
                <w:szCs w:val="16"/>
              </w:rPr>
            </w:pPr>
            <w:r w:rsidRPr="00526311">
              <w:rPr>
                <w:sz w:val="16"/>
                <w:szCs w:val="16"/>
              </w:rPr>
              <w:t>Avances en la agilización y simplificación del marco jurídico del Sistema de Madrid</w:t>
            </w:r>
          </w:p>
        </w:tc>
        <w:tc>
          <w:tcPr>
            <w:tcW w:w="1365" w:type="pct"/>
            <w:tcBorders>
              <w:top w:val="nil"/>
              <w:bottom w:val="single" w:sz="4" w:space="0" w:color="auto"/>
            </w:tcBorders>
            <w:shd w:val="clear" w:color="auto" w:fill="auto"/>
          </w:tcPr>
          <w:p w:rsidR="00B45FC3" w:rsidRPr="00526311" w:rsidRDefault="00B45FC3" w:rsidP="0063039A">
            <w:pPr>
              <w:widowControl w:val="0"/>
              <w:rPr>
                <w:sz w:val="16"/>
                <w:szCs w:val="16"/>
              </w:rPr>
            </w:pPr>
            <w:r w:rsidRPr="00526311">
              <w:rPr>
                <w:sz w:val="16"/>
                <w:szCs w:val="16"/>
              </w:rPr>
              <w:t>Reglamento Común e Instrucciones Administrativas del Sistema de Madrid en vigor a fines de 2013</w:t>
            </w:r>
          </w:p>
        </w:tc>
        <w:tc>
          <w:tcPr>
            <w:tcW w:w="830" w:type="pct"/>
            <w:tcBorders>
              <w:top w:val="nil"/>
              <w:bottom w:val="single" w:sz="4" w:space="0" w:color="auto"/>
            </w:tcBorders>
            <w:shd w:val="clear" w:color="auto" w:fill="auto"/>
            <w:tcMar>
              <w:top w:w="110" w:type="dxa"/>
            </w:tcMar>
          </w:tcPr>
          <w:p w:rsidR="00B45FC3" w:rsidRPr="00526311" w:rsidRDefault="00B45FC3" w:rsidP="0063039A">
            <w:pPr>
              <w:widowControl w:val="0"/>
              <w:rPr>
                <w:sz w:val="16"/>
                <w:szCs w:val="16"/>
              </w:rPr>
            </w:pPr>
            <w:r w:rsidRPr="00526311">
              <w:rPr>
                <w:sz w:val="16"/>
                <w:szCs w:val="16"/>
              </w:rPr>
              <w:t>Modificaciones del Reglamento Común y las Instrucciones Administrativas del Sistema de Madrid</w:t>
            </w:r>
          </w:p>
        </w:tc>
        <w:tc>
          <w:tcPr>
            <w:tcW w:w="1059" w:type="pct"/>
            <w:gridSpan w:val="3"/>
            <w:tcBorders>
              <w:top w:val="nil"/>
              <w:bottom w:val="single" w:sz="4" w:space="0" w:color="auto"/>
            </w:tcBorders>
            <w:shd w:val="clear" w:color="auto" w:fill="FFFFFF"/>
            <w:tcMar>
              <w:top w:w="110" w:type="dxa"/>
            </w:tcMar>
          </w:tcPr>
          <w:p w:rsidR="00B45FC3" w:rsidRPr="00526311" w:rsidRDefault="00B45FC3" w:rsidP="0063039A">
            <w:pPr>
              <w:widowControl w:val="0"/>
              <w:rPr>
                <w:sz w:val="16"/>
                <w:szCs w:val="16"/>
                <w:lang w:bidi="th-TH"/>
              </w:rPr>
            </w:pPr>
            <w:r w:rsidRPr="00526311">
              <w:rPr>
                <w:sz w:val="16"/>
                <w:szCs w:val="16"/>
              </w:rPr>
              <w:t>Modificaciones del Reglamento Común</w:t>
            </w:r>
            <w:r w:rsidRPr="00526311">
              <w:rPr>
                <w:sz w:val="16"/>
                <w:szCs w:val="16"/>
                <w:lang w:bidi="th-TH"/>
              </w:rPr>
              <w:t xml:space="preserve"> aprobadas por la Asamblea de la Unión de Madrid en 2014 y que han de entrar en vigor, a más tardar, el 1 de enero de 2015</w:t>
            </w:r>
            <w:r w:rsidRPr="00526311">
              <w:rPr>
                <w:sz w:val="16"/>
                <w:szCs w:val="16"/>
                <w:lang w:bidi="th-TH"/>
              </w:rPr>
              <w:br/>
            </w:r>
          </w:p>
        </w:tc>
        <w:tc>
          <w:tcPr>
            <w:tcW w:w="606" w:type="pct"/>
            <w:tcBorders>
              <w:top w:val="nil"/>
              <w:bottom w:val="single" w:sz="4" w:space="0" w:color="auto"/>
              <w:right w:val="single" w:sz="4" w:space="0" w:color="auto"/>
            </w:tcBorders>
            <w:shd w:val="clear" w:color="auto" w:fill="auto"/>
            <w:tcMar>
              <w:top w:w="110" w:type="dxa"/>
            </w:tcMar>
          </w:tcPr>
          <w:p w:rsidR="00B45FC3" w:rsidRPr="00526311" w:rsidRDefault="00B45FC3" w:rsidP="0063039A">
            <w:pPr>
              <w:widowControl w:val="0"/>
              <w:ind w:left="-107"/>
              <w:jc w:val="center"/>
              <w:rPr>
                <w:b/>
                <w:bCs/>
                <w:color w:val="00B050"/>
                <w:sz w:val="16"/>
                <w:szCs w:val="16"/>
              </w:rPr>
            </w:pPr>
            <w:r w:rsidRPr="00526311">
              <w:rPr>
                <w:b/>
                <w:bCs/>
                <w:color w:val="00B050"/>
                <w:sz w:val="16"/>
                <w:szCs w:val="16"/>
              </w:rPr>
              <w:t>Avanza</w:t>
            </w:r>
          </w:p>
          <w:p w:rsidR="00CE0A16" w:rsidRPr="00526311" w:rsidRDefault="00CE0A16" w:rsidP="0063039A">
            <w:pPr>
              <w:widowControl w:val="0"/>
              <w:ind w:left="-107"/>
              <w:jc w:val="center"/>
              <w:rPr>
                <w:rStyle w:val="Style5"/>
                <w:b/>
                <w:color w:val="00B050"/>
                <w:sz w:val="16"/>
                <w:szCs w:val="16"/>
              </w:rPr>
            </w:pPr>
          </w:p>
        </w:tc>
      </w:tr>
      <w:tr w:rsidR="00CE0A16" w:rsidRPr="00526311" w:rsidTr="00425743">
        <w:trPr>
          <w:cantSplit/>
        </w:trPr>
        <w:tc>
          <w:tcPr>
            <w:tcW w:w="1140" w:type="pct"/>
            <w:tcBorders>
              <w:top w:val="single" w:sz="4" w:space="0" w:color="auto"/>
              <w:left w:val="single" w:sz="4" w:space="0" w:color="auto"/>
              <w:bottom w:val="nil"/>
            </w:tcBorders>
            <w:shd w:val="clear" w:color="auto" w:fill="auto"/>
            <w:vAlign w:val="center"/>
          </w:tcPr>
          <w:p w:rsidR="00CE0A16" w:rsidRPr="00526311" w:rsidRDefault="00CE0A16" w:rsidP="00CE0A16">
            <w:pPr>
              <w:keepNext/>
              <w:keepLines/>
              <w:widowControl w:val="0"/>
              <w:rPr>
                <w:sz w:val="16"/>
                <w:szCs w:val="16"/>
              </w:rPr>
            </w:pPr>
            <w:r w:rsidRPr="00526311">
              <w:rPr>
                <w:b/>
                <w:sz w:val="16"/>
                <w:szCs w:val="16"/>
              </w:rPr>
              <w:lastRenderedPageBreak/>
              <w:t>Indicadores de rendimiento</w:t>
            </w:r>
          </w:p>
        </w:tc>
        <w:tc>
          <w:tcPr>
            <w:tcW w:w="1365" w:type="pct"/>
            <w:tcBorders>
              <w:top w:val="single" w:sz="4" w:space="0" w:color="auto"/>
              <w:bottom w:val="nil"/>
            </w:tcBorders>
            <w:shd w:val="clear" w:color="auto" w:fill="auto"/>
            <w:vAlign w:val="center"/>
          </w:tcPr>
          <w:p w:rsidR="00CE0A16" w:rsidRPr="00526311" w:rsidRDefault="00CE0A16" w:rsidP="0066395C">
            <w:pPr>
              <w:widowControl w:val="0"/>
              <w:rPr>
                <w:b/>
                <w:bCs/>
                <w:sz w:val="16"/>
                <w:szCs w:val="16"/>
              </w:rPr>
            </w:pPr>
            <w:r w:rsidRPr="00526311">
              <w:rPr>
                <w:b/>
                <w:bCs/>
                <w:sz w:val="16"/>
                <w:szCs w:val="16"/>
              </w:rPr>
              <w:t>Referencia</w:t>
            </w:r>
          </w:p>
        </w:tc>
        <w:tc>
          <w:tcPr>
            <w:tcW w:w="830" w:type="pct"/>
            <w:tcBorders>
              <w:top w:val="single" w:sz="4" w:space="0" w:color="auto"/>
              <w:bottom w:val="nil"/>
            </w:tcBorders>
            <w:shd w:val="clear" w:color="auto" w:fill="auto"/>
            <w:tcMar>
              <w:top w:w="110" w:type="dxa"/>
            </w:tcMar>
            <w:vAlign w:val="center"/>
          </w:tcPr>
          <w:p w:rsidR="00CE0A16" w:rsidRPr="00526311" w:rsidRDefault="00CE0A16" w:rsidP="0066395C">
            <w:pPr>
              <w:widowControl w:val="0"/>
              <w:rPr>
                <w:b/>
                <w:sz w:val="16"/>
                <w:szCs w:val="16"/>
              </w:rPr>
            </w:pPr>
            <w:r w:rsidRPr="00526311">
              <w:rPr>
                <w:b/>
                <w:sz w:val="16"/>
                <w:szCs w:val="16"/>
              </w:rPr>
              <w:t>Objetivos</w:t>
            </w:r>
          </w:p>
        </w:tc>
        <w:tc>
          <w:tcPr>
            <w:tcW w:w="1059" w:type="pct"/>
            <w:gridSpan w:val="3"/>
            <w:tcBorders>
              <w:top w:val="single" w:sz="4" w:space="0" w:color="auto"/>
              <w:bottom w:val="nil"/>
            </w:tcBorders>
            <w:shd w:val="clear" w:color="auto" w:fill="FFFFFF"/>
            <w:tcMar>
              <w:top w:w="110" w:type="dxa"/>
            </w:tcMar>
            <w:vAlign w:val="center"/>
          </w:tcPr>
          <w:p w:rsidR="00CE0A16" w:rsidRPr="00526311" w:rsidRDefault="00CE0A16" w:rsidP="0066395C">
            <w:pPr>
              <w:widowControl w:val="0"/>
              <w:rPr>
                <w:sz w:val="16"/>
                <w:szCs w:val="16"/>
              </w:rPr>
            </w:pPr>
            <w:r w:rsidRPr="00526311">
              <w:rPr>
                <w:b/>
                <w:sz w:val="16"/>
                <w:szCs w:val="16"/>
              </w:rPr>
              <w:t>Datos sobre el rendimiento</w:t>
            </w:r>
          </w:p>
        </w:tc>
        <w:tc>
          <w:tcPr>
            <w:tcW w:w="606" w:type="pct"/>
            <w:tcBorders>
              <w:top w:val="single" w:sz="4" w:space="0" w:color="auto"/>
              <w:bottom w:val="nil"/>
              <w:right w:val="single" w:sz="4" w:space="0" w:color="auto"/>
            </w:tcBorders>
            <w:shd w:val="clear" w:color="auto" w:fill="auto"/>
            <w:tcMar>
              <w:top w:w="110" w:type="dxa"/>
            </w:tcMar>
            <w:vAlign w:val="center"/>
          </w:tcPr>
          <w:p w:rsidR="00CE0A16" w:rsidRPr="00526311" w:rsidRDefault="00CE0A16" w:rsidP="0066395C">
            <w:pPr>
              <w:widowControl w:val="0"/>
              <w:jc w:val="center"/>
              <w:rPr>
                <w:b/>
                <w:bCs/>
                <w:sz w:val="16"/>
                <w:szCs w:val="16"/>
              </w:rPr>
            </w:pPr>
            <w:r w:rsidRPr="00526311">
              <w:rPr>
                <w:b/>
                <w:bCs/>
                <w:sz w:val="16"/>
                <w:szCs w:val="16"/>
              </w:rPr>
              <w:t>Clave de colores</w:t>
            </w:r>
          </w:p>
        </w:tc>
      </w:tr>
      <w:tr w:rsidR="00425743" w:rsidRPr="00526311" w:rsidTr="00425743">
        <w:trPr>
          <w:cantSplit/>
        </w:trPr>
        <w:tc>
          <w:tcPr>
            <w:tcW w:w="1140" w:type="pct"/>
            <w:tcBorders>
              <w:top w:val="nil"/>
              <w:left w:val="single" w:sz="4" w:space="0" w:color="auto"/>
              <w:bottom w:val="nil"/>
            </w:tcBorders>
            <w:shd w:val="clear" w:color="auto" w:fill="FFFFFF"/>
          </w:tcPr>
          <w:p w:rsidR="00CE0A16" w:rsidRPr="00526311" w:rsidRDefault="00CE0A16" w:rsidP="00CE0A16">
            <w:pPr>
              <w:keepNext/>
              <w:keepLines/>
              <w:widowControl w:val="0"/>
              <w:rPr>
                <w:sz w:val="16"/>
                <w:szCs w:val="16"/>
              </w:rPr>
            </w:pPr>
            <w:r w:rsidRPr="00526311">
              <w:rPr>
                <w:sz w:val="16"/>
                <w:szCs w:val="16"/>
              </w:rPr>
              <w:t>Número de registros.</w:t>
            </w:r>
          </w:p>
          <w:p w:rsidR="00CE0A16" w:rsidRPr="00526311" w:rsidRDefault="00CE0A16" w:rsidP="00CE0A16">
            <w:pPr>
              <w:keepNext/>
              <w:keepLines/>
              <w:widowControl w:val="0"/>
              <w:rPr>
                <w:sz w:val="16"/>
                <w:szCs w:val="16"/>
              </w:rPr>
            </w:pPr>
            <w:r w:rsidRPr="00526311">
              <w:rPr>
                <w:sz w:val="16"/>
                <w:szCs w:val="16"/>
              </w:rPr>
              <w:t>Número de renovaciones tramitadas.</w:t>
            </w:r>
          </w:p>
          <w:p w:rsidR="00CE0A16" w:rsidRPr="00526311" w:rsidRDefault="00CE0A16" w:rsidP="00CE0A16">
            <w:pPr>
              <w:keepNext/>
              <w:keepLines/>
              <w:widowControl w:val="0"/>
              <w:rPr>
                <w:sz w:val="16"/>
                <w:szCs w:val="16"/>
              </w:rPr>
            </w:pPr>
            <w:r w:rsidRPr="00526311">
              <w:rPr>
                <w:sz w:val="16"/>
                <w:szCs w:val="16"/>
              </w:rPr>
              <w:t>Número de modificaciones, incluidas las designaciones posteriores (Madrid)</w:t>
            </w:r>
          </w:p>
        </w:tc>
        <w:tc>
          <w:tcPr>
            <w:tcW w:w="1365" w:type="pct"/>
            <w:tcBorders>
              <w:top w:val="nil"/>
              <w:bottom w:val="nil"/>
            </w:tcBorders>
            <w:shd w:val="clear" w:color="auto" w:fill="auto"/>
          </w:tcPr>
          <w:p w:rsidR="00CE0A16" w:rsidRPr="00526311" w:rsidRDefault="00CE0A16" w:rsidP="00CE0A16">
            <w:pPr>
              <w:widowControl w:val="0"/>
              <w:rPr>
                <w:sz w:val="16"/>
                <w:szCs w:val="16"/>
              </w:rPr>
            </w:pPr>
            <w:r w:rsidRPr="00526311">
              <w:rPr>
                <w:sz w:val="16"/>
                <w:szCs w:val="16"/>
              </w:rPr>
              <w:t xml:space="preserve">Referencia actualizada a fines de 2013: </w:t>
            </w:r>
          </w:p>
          <w:p w:rsidR="00CE0A16" w:rsidRPr="00526311" w:rsidRDefault="00CE0A16" w:rsidP="00CE0A16">
            <w:pPr>
              <w:widowControl w:val="0"/>
              <w:rPr>
                <w:sz w:val="16"/>
                <w:szCs w:val="16"/>
              </w:rPr>
            </w:pPr>
          </w:p>
          <w:p w:rsidR="00CE0A16" w:rsidRPr="00526311" w:rsidRDefault="00CE0A16" w:rsidP="00CE0A16">
            <w:pPr>
              <w:widowControl w:val="0"/>
              <w:rPr>
                <w:sz w:val="16"/>
                <w:szCs w:val="16"/>
              </w:rPr>
            </w:pPr>
            <w:r w:rsidRPr="00526311">
              <w:rPr>
                <w:sz w:val="16"/>
                <w:szCs w:val="16"/>
              </w:rPr>
              <w:t>2013:  44.414 registros;</w:t>
            </w:r>
          </w:p>
          <w:p w:rsidR="00CE0A16" w:rsidRPr="00526311" w:rsidRDefault="00CE0A16" w:rsidP="00CE0A16">
            <w:pPr>
              <w:widowControl w:val="0"/>
              <w:rPr>
                <w:sz w:val="16"/>
                <w:szCs w:val="16"/>
              </w:rPr>
            </w:pPr>
            <w:r w:rsidRPr="00526311">
              <w:rPr>
                <w:sz w:val="16"/>
                <w:szCs w:val="16"/>
              </w:rPr>
              <w:t>23.014 renovaciones;</w:t>
            </w:r>
          </w:p>
          <w:p w:rsidR="00CE0A16" w:rsidRPr="00526311" w:rsidRDefault="00CE0A16" w:rsidP="00CE0A16">
            <w:pPr>
              <w:widowControl w:val="0"/>
              <w:rPr>
                <w:sz w:val="16"/>
                <w:szCs w:val="16"/>
              </w:rPr>
            </w:pPr>
            <w:r w:rsidRPr="00526311">
              <w:rPr>
                <w:sz w:val="16"/>
                <w:szCs w:val="16"/>
              </w:rPr>
              <w:t>117.673 modificaciones, incluyendo 14.373 designaciones posteriores</w:t>
            </w:r>
          </w:p>
          <w:p w:rsidR="00CE0A16" w:rsidRPr="00526311" w:rsidRDefault="00CE0A16" w:rsidP="00CE0A16">
            <w:pPr>
              <w:widowControl w:val="0"/>
              <w:rPr>
                <w:sz w:val="16"/>
                <w:szCs w:val="16"/>
              </w:rPr>
            </w:pPr>
          </w:p>
          <w:p w:rsidR="00CE0A16" w:rsidRPr="00526311" w:rsidRDefault="00CE0A16" w:rsidP="00CE0A16">
            <w:pPr>
              <w:widowControl w:val="0"/>
              <w:rPr>
                <w:sz w:val="16"/>
                <w:szCs w:val="16"/>
              </w:rPr>
            </w:pPr>
            <w:r w:rsidRPr="00526311">
              <w:rPr>
                <w:sz w:val="16"/>
                <w:szCs w:val="16"/>
              </w:rPr>
              <w:t>Referencia original en el presupuesto de 2013/14:  Registros, renovaciones (véase el Anexo VII).  Se inscribieron 97.500 modificaciones en el Registro (2012)</w:t>
            </w:r>
          </w:p>
        </w:tc>
        <w:tc>
          <w:tcPr>
            <w:tcW w:w="830" w:type="pct"/>
            <w:tcBorders>
              <w:top w:val="nil"/>
              <w:bottom w:val="nil"/>
            </w:tcBorders>
            <w:shd w:val="clear" w:color="auto" w:fill="auto"/>
            <w:tcMar>
              <w:top w:w="110" w:type="dxa"/>
            </w:tcMar>
          </w:tcPr>
          <w:p w:rsidR="00CE0A16" w:rsidRPr="00526311" w:rsidRDefault="00CE0A16" w:rsidP="00425743">
            <w:pPr>
              <w:ind w:left="-116" w:right="-77"/>
              <w:rPr>
                <w:sz w:val="16"/>
                <w:szCs w:val="16"/>
              </w:rPr>
            </w:pPr>
            <w:r w:rsidRPr="00526311">
              <w:rPr>
                <w:sz w:val="16"/>
                <w:szCs w:val="16"/>
              </w:rPr>
              <w:t>2014: Aumento del 6,3% en los registros y renovaciones.</w:t>
            </w:r>
          </w:p>
          <w:p w:rsidR="00CE0A16" w:rsidRPr="00526311" w:rsidRDefault="00CE0A16" w:rsidP="00425743">
            <w:pPr>
              <w:ind w:left="-116" w:right="-77"/>
              <w:rPr>
                <w:sz w:val="16"/>
                <w:szCs w:val="16"/>
              </w:rPr>
            </w:pPr>
            <w:r w:rsidRPr="00526311">
              <w:rPr>
                <w:sz w:val="16"/>
                <w:szCs w:val="16"/>
              </w:rPr>
              <w:t>2015:  Aumento del 3,3% en los registros y renovaciones.</w:t>
            </w:r>
          </w:p>
          <w:p w:rsidR="00CE0A16" w:rsidRPr="00526311" w:rsidRDefault="00CE0A16" w:rsidP="00425743">
            <w:pPr>
              <w:ind w:left="-116" w:right="-77"/>
              <w:rPr>
                <w:sz w:val="16"/>
                <w:szCs w:val="16"/>
              </w:rPr>
            </w:pPr>
            <w:r w:rsidRPr="00526311">
              <w:rPr>
                <w:sz w:val="16"/>
                <w:szCs w:val="16"/>
              </w:rPr>
              <w:t>Total de registros: 92.500.</w:t>
            </w:r>
          </w:p>
          <w:p w:rsidR="00CE0A16" w:rsidRPr="00526311" w:rsidRDefault="00CE0A16" w:rsidP="00425743">
            <w:pPr>
              <w:ind w:left="-116" w:right="-77"/>
              <w:rPr>
                <w:sz w:val="16"/>
                <w:szCs w:val="16"/>
              </w:rPr>
            </w:pPr>
            <w:r w:rsidRPr="00526311">
              <w:rPr>
                <w:sz w:val="16"/>
                <w:szCs w:val="16"/>
              </w:rPr>
              <w:t>Total de renovaciones: 49.000.</w:t>
            </w:r>
          </w:p>
          <w:p w:rsidR="00CE0A16" w:rsidRPr="00526311" w:rsidRDefault="00CE0A16" w:rsidP="00425743">
            <w:pPr>
              <w:ind w:left="-116" w:right="-77"/>
              <w:rPr>
                <w:sz w:val="16"/>
                <w:szCs w:val="16"/>
              </w:rPr>
            </w:pPr>
            <w:r w:rsidRPr="00526311">
              <w:rPr>
                <w:sz w:val="16"/>
                <w:szCs w:val="16"/>
              </w:rPr>
              <w:t>Total de modificaciones: 200.000, incluyendo 35.000 designaciones posteriores</w:t>
            </w:r>
          </w:p>
        </w:tc>
        <w:tc>
          <w:tcPr>
            <w:tcW w:w="1059" w:type="pct"/>
            <w:gridSpan w:val="3"/>
            <w:tcBorders>
              <w:top w:val="nil"/>
              <w:bottom w:val="nil"/>
            </w:tcBorders>
            <w:shd w:val="clear" w:color="auto" w:fill="FFFFFF"/>
            <w:tcMar>
              <w:top w:w="110" w:type="dxa"/>
            </w:tcMar>
          </w:tcPr>
          <w:p w:rsidR="00CE0A16" w:rsidRPr="00526311" w:rsidRDefault="00CE0A16" w:rsidP="00CE0A16">
            <w:pPr>
              <w:widowControl w:val="0"/>
              <w:rPr>
                <w:sz w:val="16"/>
                <w:szCs w:val="16"/>
              </w:rPr>
            </w:pPr>
            <w:r w:rsidRPr="00526311">
              <w:rPr>
                <w:sz w:val="16"/>
                <w:szCs w:val="16"/>
              </w:rPr>
              <w:t>Aumento del 1,1% en los registros y renovaciones.</w:t>
            </w:r>
          </w:p>
          <w:p w:rsidR="00CE0A16" w:rsidRPr="00526311" w:rsidRDefault="00CE0A16" w:rsidP="0066395C">
            <w:pPr>
              <w:pStyle w:val="ListParagraph"/>
              <w:numPr>
                <w:ilvl w:val="0"/>
                <w:numId w:val="25"/>
              </w:numPr>
              <w:ind w:left="170" w:hanging="170"/>
              <w:rPr>
                <w:rFonts w:eastAsia="SimSun" w:cs="Arial"/>
                <w:sz w:val="16"/>
                <w:szCs w:val="16"/>
                <w:lang w:val="es-ES" w:eastAsia="zh-CN"/>
              </w:rPr>
            </w:pPr>
            <w:r w:rsidRPr="00526311">
              <w:rPr>
                <w:rFonts w:eastAsia="SimSun" w:cs="Arial"/>
                <w:sz w:val="16"/>
                <w:szCs w:val="16"/>
                <w:lang w:val="es-ES" w:eastAsia="zh-CN"/>
              </w:rPr>
              <w:t>42.430 registros</w:t>
            </w:r>
          </w:p>
          <w:p w:rsidR="00CE0A16" w:rsidRPr="00526311" w:rsidRDefault="00CE0A16" w:rsidP="0066395C">
            <w:pPr>
              <w:pStyle w:val="ListParagraph"/>
              <w:numPr>
                <w:ilvl w:val="0"/>
                <w:numId w:val="25"/>
              </w:numPr>
              <w:ind w:left="170" w:hanging="170"/>
              <w:rPr>
                <w:rFonts w:eastAsia="SimSun" w:cs="Arial"/>
                <w:sz w:val="16"/>
                <w:szCs w:val="16"/>
                <w:lang w:val="es-ES" w:eastAsia="zh-CN"/>
              </w:rPr>
            </w:pPr>
            <w:r w:rsidRPr="00526311">
              <w:rPr>
                <w:rFonts w:eastAsia="SimSun" w:cs="Arial"/>
                <w:sz w:val="16"/>
                <w:szCs w:val="16"/>
                <w:lang w:val="es-ES" w:eastAsia="zh-CN"/>
              </w:rPr>
              <w:t>25.729 renovac.</w:t>
            </w:r>
          </w:p>
          <w:p w:rsidR="00CE0A16" w:rsidRPr="00526311" w:rsidRDefault="00CE0A16" w:rsidP="00CE0A16">
            <w:pPr>
              <w:widowControl w:val="0"/>
              <w:rPr>
                <w:sz w:val="16"/>
                <w:szCs w:val="16"/>
              </w:rPr>
            </w:pPr>
          </w:p>
          <w:p w:rsidR="00CE0A16" w:rsidRPr="00526311" w:rsidRDefault="00CE0A16" w:rsidP="00CE0A16">
            <w:pPr>
              <w:widowControl w:val="0"/>
              <w:rPr>
                <w:sz w:val="16"/>
                <w:szCs w:val="16"/>
              </w:rPr>
            </w:pPr>
            <w:r w:rsidRPr="00526311">
              <w:rPr>
                <w:sz w:val="16"/>
                <w:szCs w:val="16"/>
              </w:rPr>
              <w:t>99.558 modificaciones, incluyendo 15.824 designaciones posteriores</w:t>
            </w:r>
          </w:p>
        </w:tc>
        <w:tc>
          <w:tcPr>
            <w:tcW w:w="606" w:type="pct"/>
            <w:tcBorders>
              <w:top w:val="nil"/>
              <w:bottom w:val="nil"/>
              <w:right w:val="single" w:sz="4" w:space="0" w:color="auto"/>
            </w:tcBorders>
            <w:shd w:val="clear" w:color="auto" w:fill="auto"/>
            <w:tcMar>
              <w:top w:w="110" w:type="dxa"/>
            </w:tcMar>
          </w:tcPr>
          <w:p w:rsidR="00CE0A16" w:rsidRPr="00526311" w:rsidRDefault="00CE0A16" w:rsidP="00CE0A16">
            <w:pPr>
              <w:widowControl w:val="0"/>
              <w:ind w:left="-107"/>
              <w:jc w:val="center"/>
              <w:rPr>
                <w:rStyle w:val="Style5"/>
                <w:rFonts w:ascii="Arial" w:hAnsi="Arial"/>
                <w:b/>
                <w:bCs/>
                <w:color w:val="00B050"/>
                <w:sz w:val="16"/>
                <w:szCs w:val="16"/>
              </w:rPr>
            </w:pPr>
            <w:r w:rsidRPr="00526311">
              <w:rPr>
                <w:b/>
                <w:bCs/>
                <w:color w:val="FF0000"/>
                <w:sz w:val="16"/>
                <w:szCs w:val="16"/>
              </w:rPr>
              <w:t>No avanza</w:t>
            </w:r>
          </w:p>
          <w:p w:rsidR="00CE0A16" w:rsidRPr="00526311" w:rsidRDefault="00CE0A16" w:rsidP="00CE0A16">
            <w:pPr>
              <w:widowControl w:val="0"/>
              <w:ind w:left="-107"/>
              <w:jc w:val="center"/>
              <w:rPr>
                <w:rStyle w:val="Style5"/>
                <w:rFonts w:ascii="Arial" w:hAnsi="Arial"/>
                <w:b/>
                <w:bCs/>
                <w:color w:val="00B050"/>
                <w:sz w:val="16"/>
                <w:szCs w:val="16"/>
              </w:rPr>
            </w:pPr>
          </w:p>
          <w:p w:rsidR="00CE0A16" w:rsidRPr="00526311" w:rsidRDefault="00CE0A16" w:rsidP="00CE0A16">
            <w:pPr>
              <w:widowControl w:val="0"/>
              <w:ind w:left="-107"/>
              <w:jc w:val="center"/>
              <w:rPr>
                <w:rStyle w:val="Style5"/>
                <w:rFonts w:ascii="Arial" w:hAnsi="Arial"/>
                <w:b/>
                <w:bCs/>
                <w:color w:val="00B050"/>
                <w:sz w:val="16"/>
                <w:szCs w:val="16"/>
              </w:rPr>
            </w:pPr>
          </w:p>
          <w:p w:rsidR="00CE0A16" w:rsidRPr="00526311" w:rsidRDefault="00CE0A16" w:rsidP="00CE0A16">
            <w:pPr>
              <w:widowControl w:val="0"/>
              <w:ind w:left="-107"/>
              <w:jc w:val="center"/>
              <w:rPr>
                <w:rStyle w:val="Style5"/>
                <w:rFonts w:ascii="Arial" w:hAnsi="Arial"/>
                <w:b/>
                <w:bCs/>
                <w:color w:val="00B050"/>
                <w:sz w:val="16"/>
                <w:szCs w:val="16"/>
              </w:rPr>
            </w:pPr>
            <w:r w:rsidRPr="00526311">
              <w:rPr>
                <w:b/>
                <w:bCs/>
                <w:color w:val="FF0000"/>
                <w:sz w:val="16"/>
                <w:szCs w:val="16"/>
              </w:rPr>
              <w:t>No avanza</w:t>
            </w:r>
          </w:p>
          <w:p w:rsidR="00CE0A16" w:rsidRPr="00526311" w:rsidRDefault="00CE0A16" w:rsidP="00CE0A16">
            <w:pPr>
              <w:widowControl w:val="0"/>
              <w:ind w:left="-107"/>
              <w:jc w:val="center"/>
              <w:rPr>
                <w:rStyle w:val="Style5"/>
                <w:rFonts w:ascii="Arial" w:hAnsi="Arial"/>
                <w:b/>
                <w:bCs/>
                <w:color w:val="00B050"/>
                <w:sz w:val="16"/>
                <w:szCs w:val="16"/>
              </w:rPr>
            </w:pPr>
          </w:p>
          <w:p w:rsidR="00CE0A16" w:rsidRPr="00526311" w:rsidRDefault="00CE0A16" w:rsidP="00CE0A16">
            <w:pPr>
              <w:widowControl w:val="0"/>
              <w:ind w:left="-107"/>
              <w:jc w:val="center"/>
              <w:rPr>
                <w:rStyle w:val="Style5"/>
                <w:rFonts w:ascii="Arial" w:hAnsi="Arial"/>
                <w:b/>
                <w:bCs/>
                <w:color w:val="00B050"/>
                <w:sz w:val="16"/>
                <w:szCs w:val="16"/>
              </w:rPr>
            </w:pPr>
          </w:p>
          <w:p w:rsidR="00CE0A16" w:rsidRPr="00526311" w:rsidRDefault="00CE0A16" w:rsidP="00CE0A16">
            <w:pPr>
              <w:widowControl w:val="0"/>
              <w:ind w:left="-107"/>
              <w:jc w:val="center"/>
              <w:rPr>
                <w:rStyle w:val="Style5"/>
                <w:rFonts w:ascii="Arial" w:hAnsi="Arial"/>
                <w:b/>
                <w:bCs/>
                <w:color w:val="00B050"/>
                <w:sz w:val="16"/>
                <w:szCs w:val="16"/>
              </w:rPr>
            </w:pPr>
            <w:r w:rsidRPr="00526311">
              <w:rPr>
                <w:b/>
                <w:bCs/>
                <w:color w:val="00B050"/>
                <w:sz w:val="16"/>
                <w:szCs w:val="16"/>
              </w:rPr>
              <w:t>Avanza</w:t>
            </w:r>
          </w:p>
          <w:p w:rsidR="00CE0A16" w:rsidRPr="00526311" w:rsidRDefault="00CE0A16" w:rsidP="00CE0A16">
            <w:pPr>
              <w:widowControl w:val="0"/>
              <w:ind w:left="-107"/>
              <w:jc w:val="center"/>
              <w:rPr>
                <w:rStyle w:val="Style5"/>
                <w:rFonts w:ascii="Arial" w:hAnsi="Arial"/>
                <w:b/>
                <w:bCs/>
                <w:color w:val="00B050"/>
                <w:sz w:val="16"/>
                <w:szCs w:val="16"/>
              </w:rPr>
            </w:pPr>
          </w:p>
        </w:tc>
      </w:tr>
      <w:tr w:rsidR="00CE0A16" w:rsidRPr="00526311" w:rsidTr="00CE0A16">
        <w:trPr>
          <w:cantSplit/>
        </w:trPr>
        <w:tc>
          <w:tcPr>
            <w:tcW w:w="1140" w:type="pct"/>
            <w:tcBorders>
              <w:top w:val="nil"/>
              <w:left w:val="single" w:sz="4" w:space="0" w:color="auto"/>
              <w:bottom w:val="nil"/>
            </w:tcBorders>
            <w:shd w:val="clear" w:color="auto" w:fill="FFFFFF"/>
          </w:tcPr>
          <w:p w:rsidR="00CE0A16" w:rsidRPr="00526311" w:rsidRDefault="00CE0A16" w:rsidP="0066395C">
            <w:pPr>
              <w:widowControl w:val="0"/>
              <w:rPr>
                <w:sz w:val="16"/>
                <w:szCs w:val="16"/>
              </w:rPr>
            </w:pPr>
            <w:r w:rsidRPr="00526311">
              <w:rPr>
                <w:sz w:val="16"/>
                <w:szCs w:val="16"/>
              </w:rPr>
              <w:t>Traducción de las solicitudes de manera puntual (Madrid)</w:t>
            </w:r>
          </w:p>
        </w:tc>
        <w:tc>
          <w:tcPr>
            <w:tcW w:w="1365" w:type="pct"/>
            <w:tcBorders>
              <w:top w:val="nil"/>
              <w:bottom w:val="nil"/>
            </w:tcBorders>
            <w:shd w:val="clear" w:color="auto" w:fill="auto"/>
          </w:tcPr>
          <w:p w:rsidR="00CE0A16" w:rsidRPr="00526311" w:rsidRDefault="00CE0A16" w:rsidP="0066395C">
            <w:pPr>
              <w:widowControl w:val="0"/>
              <w:rPr>
                <w:sz w:val="16"/>
                <w:szCs w:val="16"/>
              </w:rPr>
            </w:pPr>
            <w:r w:rsidRPr="00526311">
              <w:rPr>
                <w:sz w:val="16"/>
                <w:szCs w:val="16"/>
              </w:rPr>
              <w:t>Datos no disponibles</w:t>
            </w:r>
          </w:p>
        </w:tc>
        <w:tc>
          <w:tcPr>
            <w:tcW w:w="830" w:type="pct"/>
            <w:tcBorders>
              <w:top w:val="nil"/>
              <w:bottom w:val="nil"/>
            </w:tcBorders>
            <w:shd w:val="clear" w:color="auto" w:fill="auto"/>
            <w:tcMar>
              <w:top w:w="110" w:type="dxa"/>
            </w:tcMar>
          </w:tcPr>
          <w:p w:rsidR="00CE0A16" w:rsidRPr="00526311" w:rsidRDefault="00CE0A16" w:rsidP="00425743">
            <w:pPr>
              <w:ind w:left="-116" w:right="-77"/>
              <w:rPr>
                <w:sz w:val="16"/>
                <w:szCs w:val="16"/>
              </w:rPr>
            </w:pPr>
            <w:r w:rsidRPr="00526311">
              <w:rPr>
                <w:sz w:val="16"/>
                <w:szCs w:val="16"/>
              </w:rPr>
              <w:t>Cuatro semanas</w:t>
            </w:r>
          </w:p>
        </w:tc>
        <w:tc>
          <w:tcPr>
            <w:tcW w:w="1059" w:type="pct"/>
            <w:gridSpan w:val="3"/>
            <w:tcBorders>
              <w:top w:val="nil"/>
              <w:bottom w:val="nil"/>
            </w:tcBorders>
            <w:shd w:val="clear" w:color="auto" w:fill="FFFFFF"/>
            <w:tcMar>
              <w:top w:w="110" w:type="dxa"/>
            </w:tcMar>
          </w:tcPr>
          <w:p w:rsidR="00CE0A16" w:rsidRPr="00526311" w:rsidRDefault="00CE0A16" w:rsidP="0066395C">
            <w:pPr>
              <w:widowControl w:val="0"/>
              <w:rPr>
                <w:sz w:val="16"/>
                <w:szCs w:val="16"/>
              </w:rPr>
            </w:pPr>
            <w:r w:rsidRPr="00526311">
              <w:rPr>
                <w:sz w:val="16"/>
                <w:szCs w:val="16"/>
              </w:rPr>
              <w:t>El tiempo medio de tramitación es de 3 semanas.</w:t>
            </w:r>
            <w:r w:rsidRPr="00526311">
              <w:rPr>
                <w:sz w:val="16"/>
                <w:szCs w:val="16"/>
              </w:rPr>
              <w:br/>
            </w:r>
          </w:p>
        </w:tc>
        <w:tc>
          <w:tcPr>
            <w:tcW w:w="606" w:type="pct"/>
            <w:tcBorders>
              <w:top w:val="nil"/>
              <w:bottom w:val="nil"/>
              <w:right w:val="single" w:sz="4" w:space="0" w:color="auto"/>
            </w:tcBorders>
            <w:shd w:val="clear" w:color="auto" w:fill="auto"/>
            <w:tcMar>
              <w:top w:w="110" w:type="dxa"/>
            </w:tcMar>
          </w:tcPr>
          <w:p w:rsidR="00CE0A16" w:rsidRPr="00526311" w:rsidRDefault="00CE0A16" w:rsidP="0066395C">
            <w:pPr>
              <w:widowControl w:val="0"/>
              <w:ind w:left="-107"/>
              <w:jc w:val="center"/>
              <w:rPr>
                <w:b/>
                <w:bCs/>
                <w:color w:val="00B050"/>
                <w:sz w:val="16"/>
                <w:szCs w:val="16"/>
              </w:rPr>
            </w:pPr>
            <w:r w:rsidRPr="00526311">
              <w:rPr>
                <w:b/>
                <w:bCs/>
                <w:color w:val="00B050"/>
                <w:sz w:val="16"/>
                <w:szCs w:val="16"/>
              </w:rPr>
              <w:t>Avanza</w:t>
            </w:r>
          </w:p>
        </w:tc>
      </w:tr>
      <w:tr w:rsidR="00EE14A2" w:rsidRPr="00526311" w:rsidTr="00425743">
        <w:trPr>
          <w:cantSplit/>
        </w:trPr>
        <w:tc>
          <w:tcPr>
            <w:tcW w:w="1140" w:type="pct"/>
            <w:tcBorders>
              <w:top w:val="nil"/>
              <w:left w:val="single" w:sz="4" w:space="0" w:color="auto"/>
              <w:bottom w:val="nil"/>
            </w:tcBorders>
            <w:shd w:val="clear" w:color="auto" w:fill="FFFFFF"/>
          </w:tcPr>
          <w:p w:rsidR="00EE14A2" w:rsidRPr="00526311" w:rsidRDefault="00EE14A2" w:rsidP="0063039A">
            <w:pPr>
              <w:widowControl w:val="0"/>
              <w:rPr>
                <w:sz w:val="16"/>
                <w:szCs w:val="16"/>
              </w:rPr>
            </w:pPr>
            <w:r w:rsidRPr="00526311">
              <w:rPr>
                <w:sz w:val="16"/>
                <w:szCs w:val="16"/>
              </w:rPr>
              <w:t>Disminución del número de correcciones (Madrid)</w:t>
            </w:r>
          </w:p>
        </w:tc>
        <w:tc>
          <w:tcPr>
            <w:tcW w:w="1365" w:type="pct"/>
            <w:tcBorders>
              <w:top w:val="nil"/>
              <w:bottom w:val="nil"/>
            </w:tcBorders>
            <w:shd w:val="clear" w:color="auto" w:fill="auto"/>
          </w:tcPr>
          <w:p w:rsidR="00EE14A2" w:rsidRPr="00526311" w:rsidRDefault="00EE14A2" w:rsidP="00EE14A2">
            <w:pPr>
              <w:widowControl w:val="0"/>
              <w:rPr>
                <w:color w:val="002060"/>
                <w:sz w:val="16"/>
                <w:szCs w:val="16"/>
              </w:rPr>
            </w:pPr>
            <w:r w:rsidRPr="00526311">
              <w:rPr>
                <w:i/>
                <w:color w:val="002060"/>
                <w:sz w:val="16"/>
                <w:szCs w:val="16"/>
              </w:rPr>
              <w:t xml:space="preserve">Referencia actualizada a fines de 2013:  </w:t>
            </w:r>
            <w:r w:rsidRPr="00526311">
              <w:rPr>
                <w:color w:val="002060"/>
                <w:sz w:val="16"/>
                <w:szCs w:val="16"/>
              </w:rPr>
              <w:t>5.197 correcciones recibidas y 4.499 tramitadas</w:t>
            </w:r>
          </w:p>
          <w:p w:rsidR="00EE14A2" w:rsidRPr="00526311" w:rsidRDefault="00EE14A2" w:rsidP="00EE14A2">
            <w:pPr>
              <w:widowControl w:val="0"/>
              <w:rPr>
                <w:i/>
                <w:sz w:val="14"/>
                <w:szCs w:val="14"/>
              </w:rPr>
            </w:pPr>
          </w:p>
          <w:p w:rsidR="00EE14A2" w:rsidRPr="00526311" w:rsidRDefault="00EE14A2" w:rsidP="00EE14A2">
            <w:pPr>
              <w:widowControl w:val="0"/>
              <w:rPr>
                <w:sz w:val="16"/>
                <w:szCs w:val="16"/>
              </w:rPr>
            </w:pPr>
            <w:r w:rsidRPr="00526311">
              <w:rPr>
                <w:i/>
                <w:sz w:val="16"/>
                <w:szCs w:val="16"/>
              </w:rPr>
              <w:t xml:space="preserve">Referencia original en el presupuesto de 2013/14:  </w:t>
            </w:r>
            <w:r w:rsidRPr="00526311">
              <w:rPr>
                <w:sz w:val="16"/>
                <w:szCs w:val="16"/>
              </w:rPr>
              <w:t>Cifras sobre correcciones en 2012 (5.000 peticiones)</w:t>
            </w:r>
            <w:r w:rsidRPr="00526311">
              <w:rPr>
                <w:sz w:val="16"/>
                <w:szCs w:val="16"/>
              </w:rPr>
              <w:br/>
            </w:r>
          </w:p>
        </w:tc>
        <w:tc>
          <w:tcPr>
            <w:tcW w:w="830" w:type="pct"/>
            <w:tcBorders>
              <w:top w:val="nil"/>
              <w:bottom w:val="nil"/>
            </w:tcBorders>
            <w:shd w:val="clear" w:color="auto" w:fill="auto"/>
            <w:tcMar>
              <w:top w:w="110" w:type="dxa"/>
            </w:tcMar>
          </w:tcPr>
          <w:p w:rsidR="00EE14A2" w:rsidRPr="00526311" w:rsidRDefault="00EE14A2" w:rsidP="00425743">
            <w:pPr>
              <w:ind w:left="-116" w:right="-77"/>
              <w:rPr>
                <w:sz w:val="16"/>
                <w:szCs w:val="16"/>
              </w:rPr>
            </w:pPr>
            <w:r w:rsidRPr="00526311">
              <w:rPr>
                <w:sz w:val="16"/>
                <w:szCs w:val="16"/>
              </w:rPr>
              <w:t>Disminuir las correcciones en un 10%</w:t>
            </w:r>
          </w:p>
        </w:tc>
        <w:tc>
          <w:tcPr>
            <w:tcW w:w="1059" w:type="pct"/>
            <w:gridSpan w:val="3"/>
            <w:tcBorders>
              <w:top w:val="nil"/>
              <w:bottom w:val="nil"/>
            </w:tcBorders>
            <w:shd w:val="clear" w:color="auto" w:fill="FFFFFF"/>
            <w:tcMar>
              <w:top w:w="110" w:type="dxa"/>
            </w:tcMar>
          </w:tcPr>
          <w:p w:rsidR="00EE14A2" w:rsidRPr="00526311" w:rsidRDefault="00EE14A2" w:rsidP="0063039A">
            <w:pPr>
              <w:widowControl w:val="0"/>
              <w:rPr>
                <w:sz w:val="16"/>
                <w:szCs w:val="16"/>
              </w:rPr>
            </w:pPr>
            <w:r w:rsidRPr="00526311">
              <w:rPr>
                <w:sz w:val="16"/>
                <w:szCs w:val="16"/>
              </w:rPr>
              <w:t>2014: 6.073 correcciones recibidas y 5.737 tramitadas</w:t>
            </w:r>
          </w:p>
        </w:tc>
        <w:tc>
          <w:tcPr>
            <w:tcW w:w="606" w:type="pct"/>
            <w:tcBorders>
              <w:top w:val="nil"/>
              <w:bottom w:val="nil"/>
              <w:right w:val="single" w:sz="4" w:space="0" w:color="auto"/>
            </w:tcBorders>
            <w:shd w:val="clear" w:color="auto" w:fill="auto"/>
            <w:tcMar>
              <w:top w:w="110" w:type="dxa"/>
            </w:tcMar>
          </w:tcPr>
          <w:p w:rsidR="00EE14A2" w:rsidRPr="00526311" w:rsidRDefault="00EE14A2" w:rsidP="0063039A">
            <w:pPr>
              <w:widowControl w:val="0"/>
              <w:ind w:left="-107"/>
              <w:jc w:val="center"/>
              <w:rPr>
                <w:b/>
                <w:bCs/>
                <w:color w:val="00B050"/>
                <w:sz w:val="16"/>
                <w:szCs w:val="16"/>
              </w:rPr>
            </w:pPr>
            <w:r w:rsidRPr="00526311">
              <w:rPr>
                <w:b/>
                <w:bCs/>
                <w:color w:val="FF0000"/>
                <w:sz w:val="16"/>
                <w:szCs w:val="16"/>
              </w:rPr>
              <w:t>No avanza</w:t>
            </w:r>
          </w:p>
        </w:tc>
      </w:tr>
      <w:tr w:rsidR="00EE14A2" w:rsidRPr="00526311" w:rsidTr="00425743">
        <w:trPr>
          <w:cantSplit/>
        </w:trPr>
        <w:tc>
          <w:tcPr>
            <w:tcW w:w="1140" w:type="pct"/>
            <w:tcBorders>
              <w:top w:val="nil"/>
              <w:left w:val="single" w:sz="4" w:space="0" w:color="auto"/>
              <w:bottom w:val="nil"/>
            </w:tcBorders>
            <w:shd w:val="clear" w:color="auto" w:fill="FFFFFF"/>
          </w:tcPr>
          <w:p w:rsidR="00EE14A2" w:rsidRPr="00526311" w:rsidRDefault="00EE14A2" w:rsidP="0063039A">
            <w:pPr>
              <w:rPr>
                <w:sz w:val="16"/>
                <w:szCs w:val="16"/>
              </w:rPr>
            </w:pPr>
            <w:r w:rsidRPr="00526311">
              <w:rPr>
                <w:sz w:val="16"/>
                <w:szCs w:val="16"/>
              </w:rPr>
              <w:t>Aumento de la satisfacción de los clientes (Madrid)</w:t>
            </w:r>
          </w:p>
        </w:tc>
        <w:tc>
          <w:tcPr>
            <w:tcW w:w="1365" w:type="pct"/>
            <w:tcBorders>
              <w:top w:val="nil"/>
              <w:bottom w:val="nil"/>
            </w:tcBorders>
            <w:shd w:val="clear" w:color="auto" w:fill="auto"/>
          </w:tcPr>
          <w:p w:rsidR="00EE14A2" w:rsidRPr="00526311" w:rsidRDefault="00EE14A2" w:rsidP="00EE14A2">
            <w:pPr>
              <w:widowControl w:val="0"/>
              <w:rPr>
                <w:color w:val="002060"/>
                <w:sz w:val="16"/>
                <w:szCs w:val="16"/>
              </w:rPr>
            </w:pPr>
            <w:r w:rsidRPr="00526311">
              <w:rPr>
                <w:i/>
                <w:color w:val="002060"/>
                <w:sz w:val="16"/>
                <w:szCs w:val="16"/>
              </w:rPr>
              <w:t xml:space="preserve">Referencia actualizada a fines de 2013:  </w:t>
            </w:r>
            <w:r w:rsidR="009140D7" w:rsidRPr="00526311">
              <w:rPr>
                <w:color w:val="002060"/>
                <w:sz w:val="16"/>
                <w:szCs w:val="16"/>
              </w:rPr>
              <w:t>Índice de prestación de servicios:  38</w:t>
            </w:r>
          </w:p>
          <w:p w:rsidR="00EE14A2" w:rsidRPr="00526311" w:rsidRDefault="00EE14A2" w:rsidP="00EE14A2">
            <w:pPr>
              <w:widowControl w:val="0"/>
              <w:rPr>
                <w:i/>
                <w:sz w:val="16"/>
                <w:szCs w:val="16"/>
              </w:rPr>
            </w:pPr>
          </w:p>
          <w:p w:rsidR="00EE14A2" w:rsidRPr="00526311" w:rsidRDefault="00EE14A2" w:rsidP="009140D7">
            <w:pPr>
              <w:rPr>
                <w:i/>
                <w:color w:val="002060"/>
                <w:sz w:val="16"/>
                <w:szCs w:val="16"/>
              </w:rPr>
            </w:pPr>
            <w:r w:rsidRPr="00526311">
              <w:rPr>
                <w:i/>
                <w:sz w:val="16"/>
                <w:szCs w:val="16"/>
              </w:rPr>
              <w:t xml:space="preserve">Referencia original en el presupuesto de 2013/14:  </w:t>
            </w:r>
            <w:r w:rsidR="009140D7" w:rsidRPr="00526311">
              <w:rPr>
                <w:sz w:val="16"/>
                <w:szCs w:val="16"/>
              </w:rPr>
              <w:t>Encuesta de prestación de servicios al cliente en 2012.  Índice de prestación de servicios:  79</w:t>
            </w:r>
            <w:r w:rsidR="009140D7" w:rsidRPr="00526311">
              <w:rPr>
                <w:rStyle w:val="FootnoteReference"/>
                <w:sz w:val="16"/>
                <w:szCs w:val="16"/>
              </w:rPr>
              <w:footnoteReference w:id="13"/>
            </w:r>
          </w:p>
        </w:tc>
        <w:tc>
          <w:tcPr>
            <w:tcW w:w="830" w:type="pct"/>
            <w:tcBorders>
              <w:top w:val="nil"/>
              <w:bottom w:val="nil"/>
            </w:tcBorders>
            <w:shd w:val="clear" w:color="auto" w:fill="auto"/>
            <w:tcMar>
              <w:top w:w="110" w:type="dxa"/>
            </w:tcMar>
          </w:tcPr>
          <w:p w:rsidR="00EE14A2" w:rsidRPr="00526311" w:rsidRDefault="009140D7" w:rsidP="009140D7">
            <w:pPr>
              <w:ind w:left="-116" w:right="-77"/>
              <w:rPr>
                <w:sz w:val="16"/>
                <w:szCs w:val="16"/>
                <w:lang w:bidi="th-TH"/>
              </w:rPr>
            </w:pPr>
            <w:r w:rsidRPr="00526311">
              <w:rPr>
                <w:sz w:val="16"/>
                <w:szCs w:val="16"/>
                <w:lang w:bidi="th-TH"/>
              </w:rPr>
              <w:t xml:space="preserve">Índice </w:t>
            </w:r>
            <w:r w:rsidRPr="00526311">
              <w:rPr>
                <w:sz w:val="16"/>
                <w:szCs w:val="16"/>
              </w:rPr>
              <w:t>de</w:t>
            </w:r>
            <w:r w:rsidRPr="00526311">
              <w:rPr>
                <w:sz w:val="16"/>
                <w:szCs w:val="16"/>
                <w:lang w:bidi="th-TH"/>
              </w:rPr>
              <w:t xml:space="preserve"> satisfacción más elevado en la siguiente encuesta, centrado en la puntualidad y la capacidad de respuesta</w:t>
            </w:r>
          </w:p>
        </w:tc>
        <w:tc>
          <w:tcPr>
            <w:tcW w:w="982" w:type="pct"/>
            <w:gridSpan w:val="2"/>
            <w:tcBorders>
              <w:top w:val="nil"/>
              <w:bottom w:val="nil"/>
            </w:tcBorders>
            <w:shd w:val="clear" w:color="auto" w:fill="FFFFFF"/>
            <w:tcMar>
              <w:top w:w="110" w:type="dxa"/>
            </w:tcMar>
          </w:tcPr>
          <w:p w:rsidR="00EE14A2" w:rsidRPr="00526311" w:rsidRDefault="00425743" w:rsidP="0063039A">
            <w:pPr>
              <w:rPr>
                <w:sz w:val="16"/>
                <w:szCs w:val="16"/>
                <w:lang w:bidi="th-TH"/>
              </w:rPr>
            </w:pPr>
            <w:r w:rsidRPr="00526311">
              <w:rPr>
                <w:sz w:val="16"/>
                <w:szCs w:val="16"/>
                <w:lang w:bidi="th-TH"/>
              </w:rPr>
              <w:t>2014: Índice de prestación de servicios:  39</w:t>
            </w:r>
          </w:p>
        </w:tc>
        <w:tc>
          <w:tcPr>
            <w:tcW w:w="683" w:type="pct"/>
            <w:gridSpan w:val="2"/>
            <w:tcBorders>
              <w:top w:val="nil"/>
              <w:bottom w:val="nil"/>
              <w:right w:val="single" w:sz="4" w:space="0" w:color="auto"/>
            </w:tcBorders>
            <w:shd w:val="clear" w:color="auto" w:fill="auto"/>
            <w:tcMar>
              <w:top w:w="110" w:type="dxa"/>
            </w:tcMar>
          </w:tcPr>
          <w:p w:rsidR="00EE14A2" w:rsidRPr="00526311" w:rsidRDefault="009140D7" w:rsidP="0063039A">
            <w:pPr>
              <w:keepNext/>
              <w:keepLines/>
              <w:ind w:left="-108"/>
              <w:jc w:val="center"/>
              <w:rPr>
                <w:rStyle w:val="Style5"/>
                <w:rFonts w:ascii="Arial" w:hAnsi="Arial"/>
                <w:b/>
                <w:color w:val="FF0000"/>
                <w:sz w:val="16"/>
                <w:szCs w:val="16"/>
              </w:rPr>
            </w:pPr>
            <w:r w:rsidRPr="00526311">
              <w:rPr>
                <w:b/>
                <w:bCs/>
                <w:color w:val="00B050"/>
                <w:sz w:val="16"/>
                <w:szCs w:val="16"/>
              </w:rPr>
              <w:t>Avanza</w:t>
            </w:r>
          </w:p>
        </w:tc>
      </w:tr>
      <w:tr w:rsidR="00B45FC3" w:rsidRPr="00526311" w:rsidTr="00425743">
        <w:trPr>
          <w:cantSplit/>
        </w:trPr>
        <w:tc>
          <w:tcPr>
            <w:tcW w:w="1140" w:type="pct"/>
            <w:tcBorders>
              <w:top w:val="nil"/>
              <w:left w:val="single" w:sz="4" w:space="0" w:color="auto"/>
              <w:bottom w:val="single" w:sz="4" w:space="0" w:color="auto"/>
              <w:right w:val="nil"/>
            </w:tcBorders>
            <w:shd w:val="clear" w:color="auto" w:fill="auto"/>
          </w:tcPr>
          <w:p w:rsidR="00B45FC3" w:rsidRPr="00526311" w:rsidRDefault="00B45FC3" w:rsidP="0063039A">
            <w:pPr>
              <w:rPr>
                <w:sz w:val="16"/>
                <w:szCs w:val="16"/>
              </w:rPr>
            </w:pPr>
            <w:r w:rsidRPr="00526311">
              <w:rPr>
                <w:sz w:val="16"/>
                <w:szCs w:val="16"/>
              </w:rPr>
              <w:t>Aumento del uso del intercambio electrónico (Madrid)</w:t>
            </w:r>
          </w:p>
        </w:tc>
        <w:tc>
          <w:tcPr>
            <w:tcW w:w="1365" w:type="pct"/>
            <w:tcBorders>
              <w:top w:val="nil"/>
              <w:left w:val="nil"/>
              <w:bottom w:val="single" w:sz="4" w:space="0" w:color="auto"/>
              <w:right w:val="nil"/>
            </w:tcBorders>
            <w:shd w:val="clear" w:color="auto" w:fill="auto"/>
          </w:tcPr>
          <w:p w:rsidR="00B45FC3" w:rsidRPr="00526311" w:rsidRDefault="00B45FC3" w:rsidP="0063039A">
            <w:pPr>
              <w:rPr>
                <w:color w:val="002060"/>
                <w:sz w:val="16"/>
                <w:szCs w:val="16"/>
              </w:rPr>
            </w:pPr>
            <w:r w:rsidRPr="00526311">
              <w:rPr>
                <w:i/>
                <w:color w:val="002060"/>
                <w:sz w:val="16"/>
                <w:szCs w:val="16"/>
              </w:rPr>
              <w:t>Referencia actualizada a fines de 2013:</w:t>
            </w:r>
            <w:r w:rsidRPr="00526311">
              <w:rPr>
                <w:color w:val="002060"/>
                <w:sz w:val="16"/>
                <w:szCs w:val="16"/>
              </w:rPr>
              <w:t xml:space="preserve"> </w:t>
            </w:r>
          </w:p>
          <w:p w:rsidR="00B45FC3" w:rsidRPr="00526311" w:rsidRDefault="00B45FC3" w:rsidP="0063039A">
            <w:pPr>
              <w:rPr>
                <w:color w:val="002060"/>
                <w:sz w:val="16"/>
                <w:szCs w:val="16"/>
              </w:rPr>
            </w:pPr>
            <w:r w:rsidRPr="00526311">
              <w:rPr>
                <w:color w:val="002060"/>
                <w:sz w:val="16"/>
                <w:szCs w:val="16"/>
              </w:rPr>
              <w:t>67% de documentos recibidos electrónicamente</w:t>
            </w:r>
          </w:p>
          <w:p w:rsidR="00B45FC3" w:rsidRPr="00526311" w:rsidRDefault="00B45FC3" w:rsidP="0063039A">
            <w:pPr>
              <w:rPr>
                <w:color w:val="002060"/>
                <w:sz w:val="16"/>
                <w:szCs w:val="16"/>
              </w:rPr>
            </w:pPr>
          </w:p>
          <w:p w:rsidR="00B45FC3" w:rsidRPr="00526311" w:rsidRDefault="00B45FC3" w:rsidP="0063039A">
            <w:pPr>
              <w:rPr>
                <w:color w:val="002060"/>
                <w:sz w:val="16"/>
                <w:szCs w:val="16"/>
              </w:rPr>
            </w:pPr>
            <w:r w:rsidRPr="00526311">
              <w:rPr>
                <w:color w:val="002060"/>
                <w:sz w:val="16"/>
                <w:szCs w:val="16"/>
              </w:rPr>
              <w:t>158.717 notificaciones recibidas por correo-e</w:t>
            </w:r>
          </w:p>
          <w:p w:rsidR="00B45FC3" w:rsidRPr="00526311" w:rsidRDefault="00B45FC3" w:rsidP="0063039A">
            <w:pPr>
              <w:rPr>
                <w:color w:val="002060"/>
                <w:sz w:val="16"/>
                <w:szCs w:val="16"/>
              </w:rPr>
            </w:pPr>
          </w:p>
          <w:p w:rsidR="00B45FC3" w:rsidRPr="00526311" w:rsidRDefault="00B45FC3" w:rsidP="0063039A">
            <w:pPr>
              <w:rPr>
                <w:color w:val="002060"/>
                <w:sz w:val="16"/>
                <w:szCs w:val="16"/>
              </w:rPr>
            </w:pPr>
            <w:r w:rsidRPr="00526311">
              <w:rPr>
                <w:color w:val="002060"/>
                <w:sz w:val="16"/>
                <w:szCs w:val="16"/>
              </w:rPr>
              <w:t xml:space="preserve">714 Clientes del Gestor de carteras del Sistema de Madrid  </w:t>
            </w:r>
          </w:p>
          <w:p w:rsidR="00B45FC3" w:rsidRPr="00526311" w:rsidRDefault="00B45FC3" w:rsidP="0063039A">
            <w:pPr>
              <w:rPr>
                <w:color w:val="002060"/>
                <w:sz w:val="16"/>
                <w:szCs w:val="16"/>
              </w:rPr>
            </w:pPr>
          </w:p>
          <w:p w:rsidR="00B45FC3" w:rsidRPr="00526311" w:rsidRDefault="00B45FC3" w:rsidP="0063039A">
            <w:pPr>
              <w:rPr>
                <w:i/>
                <w:color w:val="002060"/>
                <w:sz w:val="16"/>
                <w:szCs w:val="16"/>
              </w:rPr>
            </w:pPr>
            <w:r w:rsidRPr="00526311">
              <w:rPr>
                <w:color w:val="002060"/>
                <w:sz w:val="16"/>
                <w:szCs w:val="16"/>
              </w:rPr>
              <w:t>16 oficinas que envían solicitudes en XML</w:t>
            </w:r>
          </w:p>
          <w:p w:rsidR="00B45FC3" w:rsidRPr="00526311" w:rsidRDefault="00B45FC3" w:rsidP="0063039A">
            <w:pPr>
              <w:rPr>
                <w:color w:val="002060"/>
                <w:sz w:val="16"/>
                <w:szCs w:val="16"/>
              </w:rPr>
            </w:pPr>
          </w:p>
          <w:p w:rsidR="00B45FC3" w:rsidRPr="00526311" w:rsidRDefault="00B45FC3" w:rsidP="0063039A">
            <w:pPr>
              <w:rPr>
                <w:sz w:val="16"/>
                <w:szCs w:val="16"/>
              </w:rPr>
            </w:pPr>
            <w:r w:rsidRPr="00526311">
              <w:rPr>
                <w:i/>
                <w:sz w:val="16"/>
                <w:szCs w:val="16"/>
              </w:rPr>
              <w:t>Referencia original en el presupuesto de 2013/14</w:t>
            </w:r>
            <w:r w:rsidRPr="00526311">
              <w:rPr>
                <w:i/>
                <w:color w:val="808080"/>
                <w:sz w:val="16"/>
                <w:szCs w:val="16"/>
              </w:rPr>
              <w:t xml:space="preserve">:  </w:t>
            </w:r>
            <w:r w:rsidRPr="00526311">
              <w:rPr>
                <w:sz w:val="16"/>
                <w:szCs w:val="16"/>
              </w:rPr>
              <w:t>60% de documentos recibidos electrónicamente;  85.000 marcas notificadas por correo electrónico;</w:t>
            </w:r>
            <w:r w:rsidRPr="00526311">
              <w:rPr>
                <w:color w:val="FF00FF"/>
                <w:sz w:val="16"/>
                <w:szCs w:val="16"/>
              </w:rPr>
              <w:t xml:space="preserve">  </w:t>
            </w:r>
            <w:r w:rsidRPr="00526311">
              <w:rPr>
                <w:sz w:val="16"/>
                <w:szCs w:val="16"/>
              </w:rPr>
              <w:t xml:space="preserve">200 usuarios que utilizan el Gestor de carteras del </w:t>
            </w:r>
            <w:r w:rsidR="00DF7826" w:rsidRPr="00526311">
              <w:rPr>
                <w:sz w:val="16"/>
                <w:szCs w:val="16"/>
              </w:rPr>
              <w:t>Sistema de Madrid</w:t>
            </w:r>
            <w:r w:rsidRPr="00526311">
              <w:rPr>
                <w:sz w:val="16"/>
                <w:szCs w:val="16"/>
              </w:rPr>
              <w:t>;  17 oficinas que envían solicitudes en XML</w:t>
            </w:r>
            <w:r w:rsidR="00425743" w:rsidRPr="00526311">
              <w:rPr>
                <w:sz w:val="16"/>
                <w:szCs w:val="16"/>
              </w:rPr>
              <w:br/>
            </w:r>
          </w:p>
        </w:tc>
        <w:tc>
          <w:tcPr>
            <w:tcW w:w="830" w:type="pct"/>
            <w:tcBorders>
              <w:top w:val="nil"/>
              <w:left w:val="nil"/>
              <w:bottom w:val="single" w:sz="4" w:space="0" w:color="auto"/>
              <w:right w:val="nil"/>
            </w:tcBorders>
            <w:shd w:val="clear" w:color="auto" w:fill="auto"/>
            <w:tcMar>
              <w:top w:w="110" w:type="dxa"/>
            </w:tcMar>
          </w:tcPr>
          <w:p w:rsidR="00B45FC3" w:rsidRPr="00526311" w:rsidRDefault="00B45FC3" w:rsidP="009140D7">
            <w:pPr>
              <w:ind w:left="-116" w:right="-77"/>
              <w:rPr>
                <w:sz w:val="16"/>
                <w:szCs w:val="16"/>
              </w:rPr>
            </w:pPr>
            <w:r w:rsidRPr="00526311">
              <w:rPr>
                <w:sz w:val="16"/>
                <w:szCs w:val="16"/>
              </w:rPr>
              <w:t xml:space="preserve">70% de </w:t>
            </w:r>
            <w:r w:rsidRPr="00526311">
              <w:rPr>
                <w:sz w:val="16"/>
                <w:szCs w:val="16"/>
                <w:lang w:bidi="th-TH"/>
              </w:rPr>
              <w:t>documentos</w:t>
            </w:r>
            <w:r w:rsidRPr="00526311">
              <w:rPr>
                <w:sz w:val="16"/>
                <w:szCs w:val="16"/>
              </w:rPr>
              <w:t xml:space="preserve"> recibidos electrónicamente;  110.000 marcas notificadas por correo electrónico;  1.000 usuarios que utilizan el Gestor de carteras del Sistema de Madrid;  </w:t>
            </w:r>
            <w:r w:rsidR="00CE0A16" w:rsidRPr="00526311">
              <w:rPr>
                <w:sz w:val="16"/>
                <w:szCs w:val="16"/>
              </w:rPr>
              <w:br/>
            </w:r>
            <w:r w:rsidRPr="00526311">
              <w:rPr>
                <w:sz w:val="16"/>
                <w:szCs w:val="16"/>
              </w:rPr>
              <w:t>23 oficinas que envían solicitudes en XML</w:t>
            </w:r>
          </w:p>
        </w:tc>
        <w:tc>
          <w:tcPr>
            <w:tcW w:w="982" w:type="pct"/>
            <w:gridSpan w:val="2"/>
            <w:tcBorders>
              <w:top w:val="nil"/>
              <w:left w:val="nil"/>
              <w:bottom w:val="single" w:sz="4" w:space="0" w:color="auto"/>
              <w:right w:val="nil"/>
            </w:tcBorders>
            <w:shd w:val="clear" w:color="auto" w:fill="FFFFFF"/>
            <w:tcMar>
              <w:top w:w="110" w:type="dxa"/>
            </w:tcMar>
          </w:tcPr>
          <w:p w:rsidR="00B45FC3" w:rsidRPr="00526311" w:rsidRDefault="00B45FC3" w:rsidP="0063039A">
            <w:pPr>
              <w:rPr>
                <w:sz w:val="16"/>
                <w:szCs w:val="16"/>
              </w:rPr>
            </w:pPr>
            <w:r w:rsidRPr="00526311">
              <w:rPr>
                <w:sz w:val="16"/>
                <w:szCs w:val="16"/>
              </w:rPr>
              <w:t xml:space="preserve">70% de documentos recibidos electrónicamente;  </w:t>
            </w:r>
            <w:r w:rsidRPr="00526311">
              <w:rPr>
                <w:color w:val="000000"/>
                <w:sz w:val="16"/>
                <w:szCs w:val="16"/>
              </w:rPr>
              <w:br/>
              <w:t xml:space="preserve">220.000 </w:t>
            </w:r>
            <w:r w:rsidRPr="00526311">
              <w:rPr>
                <w:sz w:val="16"/>
                <w:szCs w:val="16"/>
              </w:rPr>
              <w:t>notificaciones recibidas por correo electrónico</w:t>
            </w:r>
          </w:p>
          <w:p w:rsidR="00B45FC3" w:rsidRPr="00526311" w:rsidRDefault="00B45FC3" w:rsidP="0063039A">
            <w:pPr>
              <w:rPr>
                <w:color w:val="000000"/>
                <w:sz w:val="16"/>
                <w:szCs w:val="16"/>
              </w:rPr>
            </w:pPr>
            <w:r w:rsidRPr="00526311">
              <w:rPr>
                <w:color w:val="000000"/>
                <w:sz w:val="16"/>
                <w:szCs w:val="16"/>
              </w:rPr>
              <w:t xml:space="preserve">1.800 </w:t>
            </w:r>
            <w:r w:rsidRPr="00526311">
              <w:rPr>
                <w:sz w:val="16"/>
                <w:szCs w:val="16"/>
              </w:rPr>
              <w:t>Clientes del Gestor de carteras del Sistema de Madrid</w:t>
            </w:r>
            <w:r w:rsidR="00CE0A16" w:rsidRPr="00526311">
              <w:rPr>
                <w:sz w:val="16"/>
                <w:szCs w:val="16"/>
              </w:rPr>
              <w:br/>
            </w:r>
          </w:p>
          <w:p w:rsidR="00B45FC3" w:rsidRPr="00526311" w:rsidRDefault="00B45FC3" w:rsidP="0063039A">
            <w:pPr>
              <w:rPr>
                <w:i/>
                <w:color w:val="002060"/>
                <w:sz w:val="16"/>
                <w:szCs w:val="16"/>
              </w:rPr>
            </w:pPr>
            <w:r w:rsidRPr="00526311">
              <w:rPr>
                <w:color w:val="000000"/>
                <w:sz w:val="16"/>
                <w:szCs w:val="16"/>
              </w:rPr>
              <w:t xml:space="preserve">17 </w:t>
            </w:r>
            <w:r w:rsidRPr="00526311">
              <w:rPr>
                <w:sz w:val="16"/>
                <w:szCs w:val="16"/>
              </w:rPr>
              <w:t>oficinas que envían solicitudes en XML</w:t>
            </w:r>
          </w:p>
          <w:p w:rsidR="00B45FC3" w:rsidRPr="00526311" w:rsidRDefault="00B45FC3" w:rsidP="0063039A">
            <w:pPr>
              <w:rPr>
                <w:sz w:val="16"/>
                <w:szCs w:val="16"/>
                <w:lang w:bidi="th-TH"/>
              </w:rPr>
            </w:pPr>
          </w:p>
        </w:tc>
        <w:tc>
          <w:tcPr>
            <w:tcW w:w="683" w:type="pct"/>
            <w:gridSpan w:val="2"/>
            <w:tcBorders>
              <w:top w:val="nil"/>
              <w:left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p w:rsidR="00B45FC3" w:rsidRPr="00526311" w:rsidRDefault="00B45FC3" w:rsidP="0063039A">
            <w:pPr>
              <w:keepNext/>
              <w:keepLines/>
              <w:jc w:val="center"/>
              <w:rPr>
                <w:rStyle w:val="Style5"/>
                <w:b/>
                <w:color w:val="00B050"/>
                <w:sz w:val="16"/>
              </w:rPr>
            </w:pPr>
          </w:p>
          <w:p w:rsidR="00B45FC3" w:rsidRPr="00526311" w:rsidRDefault="00B45FC3" w:rsidP="0063039A">
            <w:pPr>
              <w:keepNext/>
              <w:keepLines/>
              <w:rPr>
                <w:rStyle w:val="Style5"/>
                <w:b/>
                <w:color w:val="00B050"/>
                <w:sz w:val="16"/>
              </w:rPr>
            </w:pPr>
          </w:p>
          <w:p w:rsidR="00B45FC3" w:rsidRPr="00526311" w:rsidRDefault="00B45FC3" w:rsidP="0063039A">
            <w:pPr>
              <w:keepNext/>
              <w:keepLines/>
              <w:jc w:val="center"/>
              <w:rPr>
                <w:rStyle w:val="Style5"/>
                <w:b/>
                <w:color w:val="00B050"/>
                <w:sz w:val="16"/>
              </w:rPr>
            </w:pPr>
            <w:r w:rsidRPr="00526311">
              <w:rPr>
                <w:b/>
                <w:bCs/>
                <w:color w:val="00B050"/>
                <w:sz w:val="16"/>
                <w:szCs w:val="16"/>
              </w:rPr>
              <w:t>Avanza</w:t>
            </w:r>
          </w:p>
          <w:p w:rsidR="00B45FC3" w:rsidRPr="00526311" w:rsidRDefault="00B45FC3" w:rsidP="0063039A">
            <w:pPr>
              <w:keepNext/>
              <w:keepLines/>
              <w:jc w:val="center"/>
              <w:rPr>
                <w:rStyle w:val="Style5"/>
                <w:b/>
                <w:color w:val="00B050"/>
                <w:sz w:val="16"/>
              </w:rPr>
            </w:pPr>
          </w:p>
          <w:p w:rsidR="00B45FC3" w:rsidRPr="00526311" w:rsidRDefault="00B45FC3" w:rsidP="0063039A">
            <w:pPr>
              <w:keepNext/>
              <w:keepLines/>
              <w:jc w:val="center"/>
              <w:rPr>
                <w:rStyle w:val="Style5"/>
                <w:b/>
                <w:color w:val="00B050"/>
                <w:sz w:val="16"/>
              </w:rPr>
            </w:pPr>
          </w:p>
          <w:p w:rsidR="00B45FC3" w:rsidRPr="00526311" w:rsidRDefault="00B45FC3" w:rsidP="0063039A">
            <w:pPr>
              <w:keepNext/>
              <w:keepLines/>
              <w:jc w:val="center"/>
              <w:rPr>
                <w:rStyle w:val="Style5"/>
                <w:b/>
                <w:color w:val="00B050"/>
                <w:sz w:val="16"/>
              </w:rPr>
            </w:pPr>
            <w:r w:rsidRPr="00526311">
              <w:rPr>
                <w:b/>
                <w:bCs/>
                <w:color w:val="00B050"/>
                <w:sz w:val="16"/>
                <w:szCs w:val="16"/>
              </w:rPr>
              <w:t>Avanza</w:t>
            </w:r>
          </w:p>
          <w:p w:rsidR="00B45FC3" w:rsidRPr="00526311" w:rsidRDefault="00B45FC3" w:rsidP="0063039A">
            <w:pPr>
              <w:keepNext/>
              <w:keepLines/>
              <w:jc w:val="center"/>
              <w:rPr>
                <w:rStyle w:val="Style5"/>
                <w:b/>
                <w:color w:val="00B050"/>
                <w:sz w:val="16"/>
              </w:rPr>
            </w:pPr>
          </w:p>
          <w:p w:rsidR="00B45FC3" w:rsidRPr="00526311" w:rsidRDefault="00B45FC3" w:rsidP="0063039A">
            <w:pPr>
              <w:keepNext/>
              <w:keepLines/>
              <w:jc w:val="center"/>
              <w:rPr>
                <w:rStyle w:val="Style5"/>
                <w:b/>
                <w:color w:val="00B050"/>
                <w:sz w:val="16"/>
              </w:rPr>
            </w:pPr>
          </w:p>
          <w:p w:rsidR="00CE0A16" w:rsidRPr="00526311" w:rsidRDefault="00CE0A16" w:rsidP="0063039A">
            <w:pPr>
              <w:keepNext/>
              <w:keepLines/>
              <w:jc w:val="center"/>
              <w:rPr>
                <w:rStyle w:val="Style5"/>
                <w:b/>
                <w:color w:val="00B050"/>
                <w:sz w:val="16"/>
              </w:rPr>
            </w:pPr>
          </w:p>
          <w:p w:rsidR="00B45FC3" w:rsidRPr="00526311" w:rsidRDefault="00B45FC3" w:rsidP="009140D7">
            <w:pPr>
              <w:keepNext/>
              <w:keepLines/>
              <w:ind w:left="-108"/>
              <w:jc w:val="center"/>
              <w:rPr>
                <w:rStyle w:val="Style5"/>
                <w:rFonts w:ascii="Arial" w:hAnsi="Arial"/>
                <w:b/>
                <w:color w:val="00B050"/>
                <w:sz w:val="16"/>
              </w:rPr>
            </w:pPr>
            <w:r w:rsidRPr="00526311">
              <w:rPr>
                <w:rStyle w:val="Style5"/>
                <w:rFonts w:ascii="Arial" w:hAnsi="Arial"/>
                <w:b/>
                <w:color w:val="FF0000"/>
                <w:sz w:val="16"/>
                <w:szCs w:val="16"/>
              </w:rPr>
              <w:t>No avanza</w:t>
            </w:r>
          </w:p>
        </w:tc>
      </w:tr>
      <w:tr w:rsidR="00425743" w:rsidRPr="00526311" w:rsidTr="00425743">
        <w:trPr>
          <w:cantSplit/>
        </w:trPr>
        <w:tc>
          <w:tcPr>
            <w:tcW w:w="1140" w:type="pct"/>
            <w:tcBorders>
              <w:top w:val="single" w:sz="4" w:space="0" w:color="auto"/>
              <w:left w:val="single" w:sz="4" w:space="0" w:color="auto"/>
              <w:bottom w:val="nil"/>
            </w:tcBorders>
            <w:shd w:val="clear" w:color="auto" w:fill="auto"/>
            <w:vAlign w:val="center"/>
          </w:tcPr>
          <w:p w:rsidR="00425743" w:rsidRPr="00526311" w:rsidRDefault="00425743" w:rsidP="0066395C">
            <w:pPr>
              <w:keepNext/>
              <w:keepLines/>
              <w:widowControl w:val="0"/>
              <w:rPr>
                <w:sz w:val="16"/>
                <w:szCs w:val="16"/>
              </w:rPr>
            </w:pPr>
            <w:r w:rsidRPr="00526311">
              <w:rPr>
                <w:b/>
                <w:sz w:val="16"/>
                <w:szCs w:val="16"/>
              </w:rPr>
              <w:lastRenderedPageBreak/>
              <w:t>Indicadores de rendimiento</w:t>
            </w:r>
          </w:p>
        </w:tc>
        <w:tc>
          <w:tcPr>
            <w:tcW w:w="1365" w:type="pct"/>
            <w:tcBorders>
              <w:top w:val="single" w:sz="4" w:space="0" w:color="auto"/>
              <w:bottom w:val="nil"/>
            </w:tcBorders>
            <w:shd w:val="clear" w:color="auto" w:fill="auto"/>
            <w:vAlign w:val="center"/>
          </w:tcPr>
          <w:p w:rsidR="00425743" w:rsidRPr="00526311" w:rsidRDefault="00425743" w:rsidP="0066395C">
            <w:pPr>
              <w:widowControl w:val="0"/>
              <w:rPr>
                <w:b/>
                <w:bCs/>
                <w:sz w:val="16"/>
                <w:szCs w:val="16"/>
              </w:rPr>
            </w:pPr>
            <w:r w:rsidRPr="00526311">
              <w:rPr>
                <w:b/>
                <w:bCs/>
                <w:sz w:val="16"/>
                <w:szCs w:val="16"/>
              </w:rPr>
              <w:t>Referencia</w:t>
            </w:r>
          </w:p>
        </w:tc>
        <w:tc>
          <w:tcPr>
            <w:tcW w:w="830" w:type="pct"/>
            <w:tcBorders>
              <w:top w:val="single" w:sz="4" w:space="0" w:color="auto"/>
              <w:bottom w:val="nil"/>
            </w:tcBorders>
            <w:shd w:val="clear" w:color="auto" w:fill="auto"/>
            <w:tcMar>
              <w:top w:w="110" w:type="dxa"/>
            </w:tcMar>
            <w:vAlign w:val="center"/>
          </w:tcPr>
          <w:p w:rsidR="00425743" w:rsidRPr="00526311" w:rsidRDefault="00425743" w:rsidP="0066395C">
            <w:pPr>
              <w:widowControl w:val="0"/>
              <w:rPr>
                <w:b/>
                <w:sz w:val="16"/>
                <w:szCs w:val="16"/>
              </w:rPr>
            </w:pPr>
            <w:r w:rsidRPr="00526311">
              <w:rPr>
                <w:b/>
                <w:sz w:val="16"/>
                <w:szCs w:val="16"/>
              </w:rPr>
              <w:t>Objetivos</w:t>
            </w:r>
          </w:p>
        </w:tc>
        <w:tc>
          <w:tcPr>
            <w:tcW w:w="1059" w:type="pct"/>
            <w:gridSpan w:val="3"/>
            <w:tcBorders>
              <w:top w:val="single" w:sz="4" w:space="0" w:color="auto"/>
              <w:bottom w:val="nil"/>
            </w:tcBorders>
            <w:shd w:val="clear" w:color="auto" w:fill="FFFFFF"/>
            <w:tcMar>
              <w:top w:w="110" w:type="dxa"/>
            </w:tcMar>
            <w:vAlign w:val="center"/>
          </w:tcPr>
          <w:p w:rsidR="00425743" w:rsidRPr="00526311" w:rsidRDefault="00425743" w:rsidP="0066395C">
            <w:pPr>
              <w:widowControl w:val="0"/>
              <w:rPr>
                <w:sz w:val="16"/>
                <w:szCs w:val="16"/>
              </w:rPr>
            </w:pPr>
            <w:r w:rsidRPr="00526311">
              <w:rPr>
                <w:b/>
                <w:sz w:val="16"/>
                <w:szCs w:val="16"/>
              </w:rPr>
              <w:t>Datos sobre el rendimiento</w:t>
            </w:r>
          </w:p>
        </w:tc>
        <w:tc>
          <w:tcPr>
            <w:tcW w:w="606" w:type="pct"/>
            <w:tcBorders>
              <w:top w:val="single" w:sz="4" w:space="0" w:color="auto"/>
              <w:bottom w:val="nil"/>
              <w:right w:val="single" w:sz="4" w:space="0" w:color="auto"/>
            </w:tcBorders>
            <w:shd w:val="clear" w:color="auto" w:fill="auto"/>
            <w:tcMar>
              <w:top w:w="110" w:type="dxa"/>
            </w:tcMar>
            <w:vAlign w:val="center"/>
          </w:tcPr>
          <w:p w:rsidR="00425743" w:rsidRPr="00526311" w:rsidRDefault="00425743" w:rsidP="0066395C">
            <w:pPr>
              <w:widowControl w:val="0"/>
              <w:jc w:val="center"/>
              <w:rPr>
                <w:b/>
                <w:bCs/>
                <w:sz w:val="16"/>
                <w:szCs w:val="16"/>
              </w:rPr>
            </w:pPr>
            <w:r w:rsidRPr="00526311">
              <w:rPr>
                <w:b/>
                <w:bCs/>
                <w:sz w:val="16"/>
                <w:szCs w:val="16"/>
              </w:rPr>
              <w:t>Clave de colores</w:t>
            </w:r>
          </w:p>
        </w:tc>
      </w:tr>
      <w:tr w:rsidR="00B45FC3" w:rsidRPr="00526311" w:rsidTr="00425743">
        <w:trPr>
          <w:cantSplit/>
        </w:trPr>
        <w:tc>
          <w:tcPr>
            <w:tcW w:w="1140" w:type="pct"/>
            <w:tcBorders>
              <w:top w:val="nil"/>
              <w:left w:val="single" w:sz="4" w:space="0" w:color="auto"/>
              <w:bottom w:val="nil"/>
            </w:tcBorders>
            <w:shd w:val="clear" w:color="auto" w:fill="auto"/>
          </w:tcPr>
          <w:p w:rsidR="00B45FC3" w:rsidRPr="00526311" w:rsidRDefault="00B45FC3" w:rsidP="0063039A">
            <w:pPr>
              <w:rPr>
                <w:sz w:val="16"/>
                <w:szCs w:val="16"/>
              </w:rPr>
            </w:pPr>
            <w:r w:rsidRPr="00526311">
              <w:rPr>
                <w:sz w:val="16"/>
                <w:szCs w:val="16"/>
              </w:rPr>
              <w:t>Perfeccionamiento de los medios de comunicación y publicación electrónicos en el marco de los procedimientos del Arreglo de Lisboa</w:t>
            </w:r>
          </w:p>
        </w:tc>
        <w:tc>
          <w:tcPr>
            <w:tcW w:w="1365" w:type="pct"/>
            <w:tcBorders>
              <w:top w:val="nil"/>
              <w:bottom w:val="nil"/>
            </w:tcBorders>
            <w:shd w:val="clear" w:color="auto" w:fill="auto"/>
          </w:tcPr>
          <w:p w:rsidR="00B45FC3" w:rsidRPr="00526311" w:rsidRDefault="00B45FC3" w:rsidP="0063039A">
            <w:pPr>
              <w:rPr>
                <w:sz w:val="16"/>
                <w:szCs w:val="16"/>
              </w:rPr>
            </w:pPr>
            <w:r w:rsidRPr="00526311">
              <w:rPr>
                <w:sz w:val="16"/>
                <w:szCs w:val="16"/>
              </w:rPr>
              <w:t>Medios electrónicos en funcionamiento a fines de 2013</w:t>
            </w:r>
          </w:p>
        </w:tc>
        <w:tc>
          <w:tcPr>
            <w:tcW w:w="830" w:type="pct"/>
            <w:tcBorders>
              <w:top w:val="nil"/>
              <w:bottom w:val="nil"/>
            </w:tcBorders>
            <w:shd w:val="clear" w:color="auto" w:fill="auto"/>
            <w:tcMar>
              <w:top w:w="110" w:type="dxa"/>
            </w:tcMar>
          </w:tcPr>
          <w:p w:rsidR="00B45FC3" w:rsidRPr="00526311" w:rsidRDefault="00B45FC3" w:rsidP="0063039A">
            <w:pPr>
              <w:rPr>
                <w:sz w:val="16"/>
                <w:szCs w:val="16"/>
              </w:rPr>
            </w:pPr>
            <w:r w:rsidRPr="00526311">
              <w:rPr>
                <w:sz w:val="16"/>
                <w:szCs w:val="16"/>
              </w:rPr>
              <w:t xml:space="preserve">Sistema de presentación electrónica e incorporación del boletín del </w:t>
            </w:r>
            <w:r w:rsidR="00DF7826" w:rsidRPr="00526311">
              <w:rPr>
                <w:sz w:val="16"/>
                <w:szCs w:val="16"/>
              </w:rPr>
              <w:t>Sistema de Lisboa</w:t>
            </w:r>
            <w:r w:rsidRPr="00526311">
              <w:rPr>
                <w:sz w:val="16"/>
                <w:szCs w:val="16"/>
              </w:rPr>
              <w:t xml:space="preserve"> a la base de datos </w:t>
            </w:r>
            <w:r w:rsidRPr="00526311">
              <w:rPr>
                <w:i/>
                <w:sz w:val="16"/>
                <w:szCs w:val="16"/>
              </w:rPr>
              <w:t>Lisbon Express</w:t>
            </w:r>
          </w:p>
        </w:tc>
        <w:tc>
          <w:tcPr>
            <w:tcW w:w="982" w:type="pct"/>
            <w:gridSpan w:val="2"/>
            <w:tcBorders>
              <w:top w:val="nil"/>
              <w:bottom w:val="nil"/>
            </w:tcBorders>
            <w:shd w:val="clear" w:color="auto" w:fill="FFFFFF"/>
            <w:tcMar>
              <w:top w:w="110" w:type="dxa"/>
            </w:tcMar>
          </w:tcPr>
          <w:p w:rsidR="00B45FC3" w:rsidRPr="00526311" w:rsidRDefault="00B45FC3" w:rsidP="0063039A">
            <w:pPr>
              <w:rPr>
                <w:sz w:val="16"/>
                <w:szCs w:val="16"/>
              </w:rPr>
            </w:pPr>
            <w:r w:rsidRPr="00526311">
              <w:rPr>
                <w:color w:val="000000"/>
                <w:sz w:val="16"/>
                <w:szCs w:val="16"/>
              </w:rPr>
              <w:t xml:space="preserve">Se introdujo un procedimiento simplificado para notificaciones por conducto del sistema de control de solicitudes (WINS) de la OMPI </w:t>
            </w:r>
          </w:p>
          <w:p w:rsidR="00B45FC3" w:rsidRPr="00526311" w:rsidRDefault="00B45FC3" w:rsidP="0063039A">
            <w:pPr>
              <w:rPr>
                <w:sz w:val="16"/>
                <w:szCs w:val="16"/>
              </w:rPr>
            </w:pPr>
          </w:p>
        </w:tc>
        <w:tc>
          <w:tcPr>
            <w:tcW w:w="683" w:type="pct"/>
            <w:gridSpan w:val="2"/>
            <w:tcBorders>
              <w:top w:val="nil"/>
              <w:bottom w:val="nil"/>
              <w:right w:val="single" w:sz="4" w:space="0" w:color="auto"/>
            </w:tcBorders>
            <w:shd w:val="clear" w:color="auto" w:fill="auto"/>
          </w:tcPr>
          <w:p w:rsidR="00B45FC3" w:rsidRPr="00526311" w:rsidRDefault="00B45FC3" w:rsidP="0063039A">
            <w:pPr>
              <w:jc w:val="center"/>
              <w:rPr>
                <w:rStyle w:val="Style5"/>
                <w:b/>
                <w:color w:val="00B050"/>
                <w:sz w:val="16"/>
              </w:rPr>
            </w:pPr>
            <w:r w:rsidRPr="00526311">
              <w:rPr>
                <w:b/>
                <w:bCs/>
                <w:color w:val="00B050"/>
                <w:sz w:val="16"/>
                <w:szCs w:val="16"/>
              </w:rPr>
              <w:t>Avanza</w:t>
            </w:r>
          </w:p>
        </w:tc>
      </w:tr>
      <w:tr w:rsidR="00B45FC3" w:rsidRPr="00526311" w:rsidTr="0063039A">
        <w:trPr>
          <w:cantSplit/>
        </w:trPr>
        <w:tc>
          <w:tcPr>
            <w:tcW w:w="1140" w:type="pct"/>
            <w:tcBorders>
              <w:top w:val="nil"/>
              <w:left w:val="single" w:sz="4" w:space="0" w:color="auto"/>
              <w:bottom w:val="single" w:sz="4" w:space="0" w:color="auto"/>
            </w:tcBorders>
            <w:shd w:val="clear" w:color="auto" w:fill="auto"/>
          </w:tcPr>
          <w:p w:rsidR="00B45FC3" w:rsidRPr="00526311" w:rsidRDefault="00B45FC3" w:rsidP="0063039A">
            <w:pPr>
              <w:rPr>
                <w:sz w:val="16"/>
                <w:szCs w:val="16"/>
              </w:rPr>
            </w:pPr>
            <w:r w:rsidRPr="00526311">
              <w:rPr>
                <w:sz w:val="16"/>
                <w:szCs w:val="16"/>
              </w:rPr>
              <w:t xml:space="preserve">Perfeccionamiento del Registro Internacional electrónico del </w:t>
            </w:r>
            <w:r w:rsidR="00DF7826" w:rsidRPr="00526311">
              <w:rPr>
                <w:sz w:val="16"/>
                <w:szCs w:val="16"/>
              </w:rPr>
              <w:t>Sistema de Lisboa</w:t>
            </w:r>
          </w:p>
        </w:tc>
        <w:tc>
          <w:tcPr>
            <w:tcW w:w="1365" w:type="pct"/>
            <w:tcBorders>
              <w:top w:val="nil"/>
              <w:bottom w:val="single" w:sz="4" w:space="0" w:color="auto"/>
            </w:tcBorders>
            <w:shd w:val="clear" w:color="auto" w:fill="auto"/>
          </w:tcPr>
          <w:p w:rsidR="00B45FC3" w:rsidRPr="00526311" w:rsidRDefault="00B45FC3" w:rsidP="0063039A">
            <w:pPr>
              <w:rPr>
                <w:color w:val="002060"/>
                <w:sz w:val="16"/>
                <w:szCs w:val="16"/>
              </w:rPr>
            </w:pPr>
            <w:r w:rsidRPr="00526311">
              <w:rPr>
                <w:i/>
                <w:color w:val="002060"/>
                <w:sz w:val="16"/>
                <w:szCs w:val="16"/>
              </w:rPr>
              <w:t>Referencia actualizada a fines de 2013: A</w:t>
            </w:r>
            <w:r w:rsidRPr="00526311">
              <w:rPr>
                <w:color w:val="002060"/>
                <w:sz w:val="16"/>
                <w:szCs w:val="16"/>
              </w:rPr>
              <w:t>plicación informática para un Registro Internacional electrónico en funcionamiento desde el verano de 2013.</w:t>
            </w:r>
          </w:p>
          <w:p w:rsidR="00B45FC3" w:rsidRPr="00526311" w:rsidRDefault="00B45FC3" w:rsidP="0063039A">
            <w:pPr>
              <w:rPr>
                <w:color w:val="002060"/>
                <w:sz w:val="16"/>
                <w:szCs w:val="16"/>
              </w:rPr>
            </w:pPr>
          </w:p>
          <w:p w:rsidR="00B45FC3" w:rsidRPr="00526311" w:rsidRDefault="00B45FC3" w:rsidP="0063039A">
            <w:pPr>
              <w:rPr>
                <w:sz w:val="16"/>
                <w:szCs w:val="16"/>
              </w:rPr>
            </w:pPr>
            <w:r w:rsidRPr="00526311">
              <w:rPr>
                <w:i/>
                <w:sz w:val="16"/>
                <w:szCs w:val="16"/>
              </w:rPr>
              <w:t xml:space="preserve">Referencia original en el presupuesto de 2013/14:  </w:t>
            </w:r>
            <w:r w:rsidRPr="00526311">
              <w:rPr>
                <w:sz w:val="16"/>
                <w:szCs w:val="16"/>
              </w:rPr>
              <w:t>El Registro Internacional electrónico por establecer en 2013.</w:t>
            </w:r>
            <w:r w:rsidRPr="00526311">
              <w:rPr>
                <w:sz w:val="16"/>
                <w:szCs w:val="16"/>
              </w:rPr>
              <w:br/>
            </w:r>
          </w:p>
        </w:tc>
        <w:tc>
          <w:tcPr>
            <w:tcW w:w="830" w:type="pct"/>
            <w:tcBorders>
              <w:top w:val="nil"/>
              <w:bottom w:val="single" w:sz="4" w:space="0" w:color="auto"/>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 xml:space="preserve">Sistema electrónico que conecta el Registro Internacional y la base de datos </w:t>
            </w:r>
            <w:r w:rsidRPr="00526311">
              <w:rPr>
                <w:i/>
                <w:sz w:val="16"/>
                <w:szCs w:val="16"/>
                <w:lang w:bidi="th-TH"/>
              </w:rPr>
              <w:t>Lisbon Express</w:t>
            </w:r>
            <w:r w:rsidRPr="00526311">
              <w:rPr>
                <w:sz w:val="16"/>
                <w:szCs w:val="16"/>
                <w:lang w:bidi="th-TH"/>
              </w:rPr>
              <w:t xml:space="preserve"> en el sitio web de la OMPI</w:t>
            </w:r>
          </w:p>
        </w:tc>
        <w:tc>
          <w:tcPr>
            <w:tcW w:w="982" w:type="pct"/>
            <w:gridSpan w:val="2"/>
            <w:tcBorders>
              <w:top w:val="nil"/>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color w:val="000000"/>
                <w:sz w:val="16"/>
                <w:szCs w:val="16"/>
                <w:lang w:bidi="th-TH"/>
              </w:rPr>
              <w:t xml:space="preserve">En 2014, se completó y se puso en marcha una interfaz electrónica que conecta el Registro Internacional y la base de datos </w:t>
            </w:r>
            <w:r w:rsidRPr="00526311">
              <w:rPr>
                <w:i/>
                <w:color w:val="000000"/>
                <w:sz w:val="16"/>
                <w:szCs w:val="16"/>
                <w:lang w:bidi="th-TH"/>
              </w:rPr>
              <w:t>Lisbon Express</w:t>
            </w:r>
            <w:r w:rsidRPr="00526311">
              <w:rPr>
                <w:color w:val="000000"/>
                <w:sz w:val="16"/>
                <w:szCs w:val="16"/>
                <w:lang w:bidi="th-TH"/>
              </w:rPr>
              <w:t xml:space="preserve"> en el sitio web de la OMPI</w:t>
            </w:r>
          </w:p>
        </w:tc>
        <w:tc>
          <w:tcPr>
            <w:tcW w:w="683" w:type="pct"/>
            <w:gridSpan w:val="2"/>
            <w:tcBorders>
              <w:top w:val="nil"/>
              <w:bottom w:val="single" w:sz="4" w:space="0" w:color="auto"/>
              <w:right w:val="single" w:sz="4" w:space="0" w:color="auto"/>
            </w:tcBorders>
            <w:shd w:val="clear" w:color="auto" w:fill="auto"/>
            <w:tcMar>
              <w:top w:w="110" w:type="dxa"/>
            </w:tcMar>
          </w:tcPr>
          <w:p w:rsidR="00B45FC3" w:rsidRPr="00526311" w:rsidRDefault="00B45FC3" w:rsidP="0063039A">
            <w:pPr>
              <w:jc w:val="center"/>
              <w:rPr>
                <w:rStyle w:val="Style5"/>
                <w:b/>
                <w:color w:val="00B050"/>
                <w:sz w:val="16"/>
              </w:rPr>
            </w:pPr>
            <w:r w:rsidRPr="00526311">
              <w:rPr>
                <w:b/>
                <w:bCs/>
                <w:color w:val="00B050"/>
                <w:sz w:val="16"/>
                <w:szCs w:val="16"/>
              </w:rPr>
              <w:t>Avanza</w:t>
            </w:r>
          </w:p>
        </w:tc>
      </w:tr>
    </w:tbl>
    <w:p w:rsidR="00B45FC3" w:rsidRPr="00526311" w:rsidRDefault="00B45FC3">
      <w:pPr>
        <w:rPr>
          <w:sz w:val="20"/>
        </w:rPr>
      </w:pPr>
    </w:p>
    <w:p w:rsidR="00B45FC3" w:rsidRPr="00526311" w:rsidRDefault="00B45FC3" w:rsidP="0063039A">
      <w:pPr>
        <w:rPr>
          <w:sz w:val="20"/>
        </w:rPr>
      </w:pPr>
    </w:p>
    <w:p w:rsidR="00B45FC3" w:rsidRPr="00526311" w:rsidRDefault="00B45FC3" w:rsidP="0063039A">
      <w:pPr>
        <w:rPr>
          <w:b/>
          <w:sz w:val="18"/>
          <w:szCs w:val="18"/>
        </w:rPr>
      </w:pPr>
      <w:r w:rsidRPr="00526311">
        <w:rPr>
          <w:color w:val="000000"/>
          <w:szCs w:val="22"/>
        </w:rPr>
        <w:t>UTILIZACIÓN DE LOS RECURSOS</w:t>
      </w:r>
    </w:p>
    <w:p w:rsidR="00B45FC3" w:rsidRPr="00526311" w:rsidRDefault="00B45FC3"/>
    <w:p w:rsidR="00B45FC3" w:rsidRPr="00526311" w:rsidRDefault="00B45FC3"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B45FC3" w:rsidRPr="00526311" w:rsidRDefault="00B45FC3"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pStyle w:val="NormalWeb"/>
        <w:spacing w:before="0" w:beforeAutospacing="0" w:after="0" w:afterAutospacing="0"/>
        <w:jc w:val="center"/>
        <w:rPr>
          <w:sz w:val="20"/>
          <w:szCs w:val="20"/>
          <w:lang w:val="es-ES"/>
        </w:rPr>
      </w:pPr>
    </w:p>
    <w:p w:rsidR="00B45FC3" w:rsidRPr="00526311" w:rsidRDefault="00DD7B62" w:rsidP="0063039A">
      <w:pPr>
        <w:jc w:val="center"/>
      </w:pPr>
      <w:r w:rsidRPr="00526311">
        <w:rPr>
          <w:noProof/>
          <w:lang w:val="en-US" w:eastAsia="en-US"/>
        </w:rPr>
        <w:drawing>
          <wp:inline distT="0" distB="0" distL="0" distR="0" wp14:anchorId="2A4FBF11" wp14:editId="5061C305">
            <wp:extent cx="5762625" cy="1714500"/>
            <wp:effectExtent l="0" t="0" r="9525"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1714500"/>
                    </a:xfrm>
                    <a:prstGeom prst="rect">
                      <a:avLst/>
                    </a:prstGeom>
                    <a:noFill/>
                    <a:ln>
                      <a:noFill/>
                    </a:ln>
                  </pic:spPr>
                </pic:pic>
              </a:graphicData>
            </a:graphic>
          </wp:inline>
        </w:drawing>
      </w:r>
    </w:p>
    <w:p w:rsidR="00B45FC3" w:rsidRPr="00526311" w:rsidRDefault="00B45FC3"/>
    <w:p w:rsidR="00B45FC3" w:rsidRPr="00526311" w:rsidRDefault="00B45FC3"/>
    <w:p w:rsidR="00B45FC3" w:rsidRPr="00526311" w:rsidRDefault="00B45FC3"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B45FC3" w:rsidRPr="00526311" w:rsidRDefault="00B45FC3"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pStyle w:val="NormalWeb"/>
        <w:keepNext/>
        <w:keepLines/>
        <w:spacing w:before="0" w:beforeAutospacing="0" w:after="0" w:afterAutospacing="0"/>
        <w:jc w:val="center"/>
        <w:rPr>
          <w:lang w:val="es-ES"/>
        </w:rPr>
      </w:pPr>
    </w:p>
    <w:p w:rsidR="00B45FC3" w:rsidRPr="00526311" w:rsidRDefault="00FF6E74" w:rsidP="0063039A">
      <w:pPr>
        <w:jc w:val="center"/>
        <w:rPr>
          <w:sz w:val="16"/>
          <w:szCs w:val="16"/>
        </w:rPr>
      </w:pPr>
      <w:bookmarkStart w:id="28" w:name="Punto6"/>
      <w:r w:rsidRPr="00526311">
        <w:rPr>
          <w:noProof/>
          <w:lang w:val="en-US" w:eastAsia="en-US"/>
        </w:rPr>
        <w:drawing>
          <wp:inline distT="0" distB="0" distL="0" distR="0" wp14:anchorId="51837A78" wp14:editId="3BFE3DC3">
            <wp:extent cx="5940425" cy="1239493"/>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1239493"/>
                    </a:xfrm>
                    <a:prstGeom prst="rect">
                      <a:avLst/>
                    </a:prstGeom>
                    <a:noFill/>
                    <a:ln>
                      <a:noFill/>
                    </a:ln>
                  </pic:spPr>
                </pic:pic>
              </a:graphicData>
            </a:graphic>
          </wp:inline>
        </w:drawing>
      </w:r>
      <w:bookmarkEnd w:id="28"/>
    </w:p>
    <w:p w:rsidR="00B45FC3" w:rsidRPr="00526311" w:rsidRDefault="00B45FC3" w:rsidP="0063039A">
      <w:pPr>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B45FC3" w:rsidRPr="00526311" w:rsidRDefault="00B45FC3" w:rsidP="0063039A">
      <w:pPr>
        <w:widowControl w:val="0"/>
        <w:autoSpaceDE w:val="0"/>
        <w:autoSpaceDN w:val="0"/>
        <w:adjustRightInd w:val="0"/>
        <w:rPr>
          <w:sz w:val="20"/>
        </w:rPr>
      </w:pPr>
    </w:p>
    <w:p w:rsidR="00B45FC3" w:rsidRPr="00526311" w:rsidRDefault="00B45FC3">
      <w:pPr>
        <w:rPr>
          <w:sz w:val="20"/>
        </w:rPr>
      </w:pPr>
    </w:p>
    <w:p w:rsidR="00B45FC3" w:rsidRPr="00526311" w:rsidRDefault="00B45FC3"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B45FC3" w:rsidRPr="00526311" w:rsidRDefault="00B45FC3" w:rsidP="0063039A">
      <w:pPr>
        <w:rPr>
          <w:sz w:val="20"/>
          <w:u w:val="single"/>
        </w:rPr>
      </w:pPr>
    </w:p>
    <w:p w:rsidR="00B45FC3" w:rsidRPr="00526311" w:rsidRDefault="00B45FC3" w:rsidP="00B45FC3">
      <w:pPr>
        <w:pStyle w:val="ListParagraph"/>
        <w:numPr>
          <w:ilvl w:val="0"/>
          <w:numId w:val="27"/>
        </w:numPr>
        <w:tabs>
          <w:tab w:val="left" w:pos="709"/>
        </w:tabs>
        <w:ind w:left="0" w:firstLine="0"/>
        <w:jc w:val="both"/>
        <w:rPr>
          <w:rFonts w:cs="Arial"/>
          <w:lang w:val="es-ES" w:eastAsia="ko-KR"/>
        </w:rPr>
      </w:pPr>
      <w:r w:rsidRPr="00526311">
        <w:rPr>
          <w:rFonts w:cs="Arial"/>
          <w:color w:val="000000"/>
          <w:lang w:val="es-ES" w:eastAsia="ko-KR"/>
        </w:rPr>
        <w:t xml:space="preserve">El presupuesto </w:t>
      </w:r>
      <w:r w:rsidR="007D4926">
        <w:rPr>
          <w:rFonts w:cs="Arial"/>
          <w:color w:val="000000"/>
          <w:lang w:val="es-ES" w:eastAsia="ko-KR"/>
        </w:rPr>
        <w:t>tras</w:t>
      </w:r>
      <w:r w:rsidRPr="00526311">
        <w:rPr>
          <w:rFonts w:cs="Arial"/>
          <w:color w:val="000000"/>
          <w:lang w:val="es-ES" w:eastAsia="ko-KR"/>
        </w:rPr>
        <w:t xml:space="preserve"> las transferencias en relación con el resultado II.6 (Ampliación y mejora del uso de los </w:t>
      </w:r>
      <w:r w:rsidR="006147F4" w:rsidRPr="00526311">
        <w:rPr>
          <w:rFonts w:cs="Arial"/>
          <w:color w:val="000000"/>
          <w:lang w:val="es-ES" w:eastAsia="ko-KR"/>
        </w:rPr>
        <w:t>Sistemas de Madrid</w:t>
      </w:r>
      <w:r w:rsidRPr="00526311">
        <w:rPr>
          <w:rFonts w:cs="Arial"/>
          <w:color w:val="000000"/>
          <w:lang w:val="es-ES" w:eastAsia="ko-KR"/>
        </w:rPr>
        <w:t xml:space="preserve"> y de Lisboa) refleja un ajuste al alza debido principalmente a la expansión del programa de becas de Madrid. </w:t>
      </w:r>
    </w:p>
    <w:p w:rsidR="00B45FC3" w:rsidRPr="00526311" w:rsidRDefault="00B45FC3" w:rsidP="0063039A">
      <w:pPr>
        <w:autoSpaceDE w:val="0"/>
        <w:autoSpaceDN w:val="0"/>
        <w:jc w:val="both"/>
        <w:rPr>
          <w:sz w:val="20"/>
          <w:lang w:eastAsia="ko-KR"/>
        </w:rPr>
      </w:pPr>
    </w:p>
    <w:p w:rsidR="00B45FC3" w:rsidRPr="00526311" w:rsidRDefault="00B45FC3" w:rsidP="00B45FC3">
      <w:pPr>
        <w:pStyle w:val="ListParagraph"/>
        <w:numPr>
          <w:ilvl w:val="0"/>
          <w:numId w:val="27"/>
        </w:numPr>
        <w:tabs>
          <w:tab w:val="left" w:pos="709"/>
        </w:tabs>
        <w:ind w:left="0" w:firstLine="0"/>
        <w:jc w:val="both"/>
        <w:rPr>
          <w:rFonts w:cs="Arial"/>
          <w:lang w:val="es-ES" w:eastAsia="ko-KR"/>
        </w:rPr>
      </w:pPr>
      <w:r w:rsidRPr="00526311">
        <w:rPr>
          <w:rFonts w:cs="Arial"/>
          <w:color w:val="000000"/>
          <w:lang w:val="es-ES" w:eastAsia="ko-KR"/>
        </w:rPr>
        <w:lastRenderedPageBreak/>
        <w:t xml:space="preserve">El traslado de recursos de personal a recursos no relativos a personal en el presupuesto de 2014/15 tras las transferencias refleja un cambio hacia una dotación de personal más ágil y flexible en las operaciones del Sistema de Madrid como parte de la iniciativa de reforma del sistema. </w:t>
      </w:r>
    </w:p>
    <w:p w:rsidR="00B45FC3" w:rsidRPr="00526311" w:rsidRDefault="00B45FC3" w:rsidP="0063039A">
      <w:pPr>
        <w:autoSpaceDE w:val="0"/>
        <w:autoSpaceDN w:val="0"/>
        <w:jc w:val="both"/>
        <w:rPr>
          <w:sz w:val="20"/>
          <w:lang w:eastAsia="ko-KR"/>
        </w:rPr>
      </w:pPr>
    </w:p>
    <w:p w:rsidR="00B45FC3" w:rsidRPr="00526311" w:rsidRDefault="00B45FC3"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B45FC3" w:rsidRPr="00526311" w:rsidRDefault="00B45FC3" w:rsidP="0063039A">
      <w:pPr>
        <w:tabs>
          <w:tab w:val="left" w:pos="709"/>
        </w:tabs>
        <w:jc w:val="both"/>
        <w:rPr>
          <w:sz w:val="20"/>
          <w:u w:val="single"/>
          <w:lang w:eastAsia="ko-KR"/>
        </w:rPr>
      </w:pPr>
    </w:p>
    <w:p w:rsidR="00B45FC3" w:rsidRPr="00526311" w:rsidRDefault="00B45FC3" w:rsidP="00B45FC3">
      <w:pPr>
        <w:pStyle w:val="ListParagraph"/>
        <w:numPr>
          <w:ilvl w:val="0"/>
          <w:numId w:val="27"/>
        </w:numPr>
        <w:tabs>
          <w:tab w:val="left" w:pos="709"/>
        </w:tabs>
        <w:ind w:left="0" w:firstLine="0"/>
        <w:jc w:val="both"/>
        <w:rPr>
          <w:lang w:val="es-ES"/>
        </w:rPr>
      </w:pPr>
      <w:r w:rsidRPr="00526311">
        <w:rPr>
          <w:lang w:val="es-ES"/>
        </w:rPr>
        <w:t>La utilización del presupuesto se ha mantenido dentro de los límites establecidos (40-60%) durante el primer año del bienio y está bien encaminada.</w:t>
      </w:r>
    </w:p>
    <w:p w:rsidR="00B45FC3" w:rsidRPr="00526311" w:rsidRDefault="00B45FC3" w:rsidP="0063039A">
      <w:pPr>
        <w:autoSpaceDE w:val="0"/>
        <w:autoSpaceDN w:val="0"/>
        <w:jc w:val="both"/>
        <w:rPr>
          <w:sz w:val="20"/>
        </w:rPr>
      </w:pPr>
    </w:p>
    <w:p w:rsidR="00B45FC3" w:rsidRPr="00526311" w:rsidRDefault="00B45FC3">
      <w:pPr>
        <w:rPr>
          <w:sz w:val="20"/>
        </w:rPr>
      </w:pPr>
      <w:r w:rsidRPr="00526311">
        <w:rPr>
          <w:sz w:val="20"/>
        </w:rPr>
        <w:br w:type="page"/>
      </w:r>
    </w:p>
    <w:p w:rsidR="00B45FC3" w:rsidRPr="00526311" w:rsidRDefault="00B45FC3" w:rsidP="0063039A">
      <w:pPr>
        <w:pStyle w:val="StyleHeading3BoldNounderline"/>
        <w:rPr>
          <w:b/>
          <w:lang w:val="es-ES"/>
        </w:rPr>
      </w:pPr>
      <w:bookmarkStart w:id="29" w:name="_Toc422927410"/>
      <w:r w:rsidRPr="00526311">
        <w:rPr>
          <w:b/>
          <w:lang w:val="es-ES"/>
        </w:rPr>
        <w:lastRenderedPageBreak/>
        <w:t>Programa 6, Anexo:  Indicadores de las operaciones del Sistema de Madrid</w:t>
      </w:r>
      <w:bookmarkEnd w:id="29"/>
    </w:p>
    <w:p w:rsidR="00B45FC3" w:rsidRPr="00526311" w:rsidRDefault="00B45FC3" w:rsidP="0063039A">
      <w:pPr>
        <w:widowControl w:val="0"/>
        <w:rPr>
          <w:b/>
          <w:sz w:val="20"/>
        </w:rPr>
      </w:pPr>
    </w:p>
    <w:p w:rsidR="00B45FC3" w:rsidRPr="00526311" w:rsidRDefault="00B45FC3" w:rsidP="0063039A">
      <w:pPr>
        <w:widowControl w:val="0"/>
        <w:rPr>
          <w:b/>
          <w:sz w:val="20"/>
        </w:rPr>
      </w:pPr>
    </w:p>
    <w:p w:rsidR="00B45FC3" w:rsidRPr="00526311" w:rsidRDefault="00B45FC3" w:rsidP="0063039A">
      <w:pPr>
        <w:widowControl w:val="0"/>
        <w:rPr>
          <w:sz w:val="20"/>
          <w:lang w:bidi="th-TH"/>
        </w:rPr>
      </w:pPr>
      <w:r w:rsidRPr="00526311">
        <w:rPr>
          <w:sz w:val="20"/>
          <w:lang w:bidi="th-TH"/>
        </w:rPr>
        <w:t>INDICADORES DE RENDIMIENTO CON RESPECTO AL RESULTADO PREVISTO</w:t>
      </w:r>
    </w:p>
    <w:p w:rsidR="00B45FC3" w:rsidRPr="00526311" w:rsidRDefault="00B45FC3" w:rsidP="0063039A">
      <w:pPr>
        <w:widowControl w:val="0"/>
        <w:tabs>
          <w:tab w:val="left" w:pos="1525"/>
          <w:tab w:val="right" w:pos="2835"/>
        </w:tabs>
        <w:spacing w:after="60"/>
        <w:rPr>
          <w:sz w:val="20"/>
        </w:rPr>
      </w:pPr>
      <w:r w:rsidRPr="00526311">
        <w:rPr>
          <w:sz w:val="20"/>
        </w:rPr>
        <w:t>“MEJORA DE LA PRODUCTIVIDAD Y DE LA CALIDAD DE LOS SERVICIOS EN LAS OPERACIONES DEL SISTEMA DE MADRID”</w:t>
      </w:r>
    </w:p>
    <w:p w:rsidR="00B45FC3" w:rsidRPr="00526311" w:rsidRDefault="00B45FC3" w:rsidP="0063039A">
      <w:pPr>
        <w:widowControl w:val="0"/>
        <w:rPr>
          <w:b/>
          <w:sz w:val="20"/>
        </w:rPr>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Para entender el trasfondo de los indicadores de rendimiento para el resultado previsto  “mejora de la productividad y de la calidad de los servicios en las operaciones del Sistema de Madrid”, es necesario tener en cuenta la evolución de los siguientes factores:</w:t>
      </w:r>
    </w:p>
    <w:p w:rsidR="00B45FC3" w:rsidRPr="00526311" w:rsidRDefault="00B45FC3" w:rsidP="0063039A">
      <w:pPr>
        <w:widowControl w:val="0"/>
        <w:jc w:val="both"/>
        <w:rPr>
          <w:sz w:val="20"/>
        </w:rPr>
      </w:pPr>
    </w:p>
    <w:p w:rsidR="00B45FC3" w:rsidRPr="00526311" w:rsidRDefault="00B45FC3" w:rsidP="00B45FC3">
      <w:pPr>
        <w:widowControl w:val="0"/>
        <w:numPr>
          <w:ilvl w:val="0"/>
          <w:numId w:val="29"/>
        </w:numPr>
        <w:tabs>
          <w:tab w:val="clear" w:pos="720"/>
          <w:tab w:val="num" w:pos="1701"/>
        </w:tabs>
        <w:spacing w:after="120"/>
        <w:ind w:left="1701" w:hanging="567"/>
        <w:jc w:val="both"/>
        <w:rPr>
          <w:sz w:val="20"/>
        </w:rPr>
      </w:pPr>
      <w:r w:rsidRPr="00526311">
        <w:rPr>
          <w:sz w:val="20"/>
        </w:rPr>
        <w:t>El volumen de trabajo correspondiente al Sistema de Madrid;</w:t>
      </w:r>
    </w:p>
    <w:p w:rsidR="00B45FC3" w:rsidRPr="00526311" w:rsidRDefault="00B45FC3" w:rsidP="00B45FC3">
      <w:pPr>
        <w:widowControl w:val="0"/>
        <w:numPr>
          <w:ilvl w:val="0"/>
          <w:numId w:val="29"/>
        </w:numPr>
        <w:tabs>
          <w:tab w:val="clear" w:pos="720"/>
          <w:tab w:val="num" w:pos="1701"/>
        </w:tabs>
        <w:spacing w:after="120"/>
        <w:ind w:left="1701" w:hanging="567"/>
        <w:jc w:val="both"/>
        <w:rPr>
          <w:sz w:val="20"/>
        </w:rPr>
      </w:pPr>
      <w:r w:rsidRPr="00526311">
        <w:rPr>
          <w:sz w:val="20"/>
        </w:rPr>
        <w:t>La composición de ese volumen de trabajo;</w:t>
      </w:r>
    </w:p>
    <w:p w:rsidR="00B45FC3" w:rsidRPr="00526311" w:rsidRDefault="00B45FC3" w:rsidP="00B45FC3">
      <w:pPr>
        <w:widowControl w:val="0"/>
        <w:numPr>
          <w:ilvl w:val="0"/>
          <w:numId w:val="29"/>
        </w:numPr>
        <w:tabs>
          <w:tab w:val="clear" w:pos="720"/>
          <w:tab w:val="num" w:pos="1701"/>
        </w:tabs>
        <w:spacing w:after="120"/>
        <w:ind w:left="1701" w:hanging="567"/>
        <w:jc w:val="both"/>
        <w:rPr>
          <w:sz w:val="20"/>
        </w:rPr>
      </w:pPr>
      <w:r w:rsidRPr="00526311">
        <w:rPr>
          <w:sz w:val="20"/>
        </w:rPr>
        <w:t>El número de funcionarios asignados a la tramitación de ese volumen de trabajo;</w:t>
      </w:r>
    </w:p>
    <w:p w:rsidR="00B45FC3" w:rsidRPr="00526311" w:rsidRDefault="00B45FC3" w:rsidP="00B45FC3">
      <w:pPr>
        <w:widowControl w:val="0"/>
        <w:numPr>
          <w:ilvl w:val="0"/>
          <w:numId w:val="29"/>
        </w:numPr>
        <w:tabs>
          <w:tab w:val="clear" w:pos="720"/>
          <w:tab w:val="num" w:pos="1701"/>
        </w:tabs>
        <w:spacing w:after="120"/>
        <w:ind w:left="1701" w:hanging="567"/>
        <w:jc w:val="both"/>
        <w:rPr>
          <w:sz w:val="20"/>
        </w:rPr>
      </w:pPr>
      <w:r w:rsidRPr="00526311">
        <w:rPr>
          <w:sz w:val="20"/>
        </w:rPr>
        <w:t>El grado de automatización;  y</w:t>
      </w:r>
    </w:p>
    <w:p w:rsidR="00B45FC3" w:rsidRPr="00526311" w:rsidRDefault="00B45FC3" w:rsidP="00B45FC3">
      <w:pPr>
        <w:widowControl w:val="0"/>
        <w:numPr>
          <w:ilvl w:val="0"/>
          <w:numId w:val="29"/>
        </w:numPr>
        <w:tabs>
          <w:tab w:val="clear" w:pos="720"/>
          <w:tab w:val="num" w:pos="1701"/>
        </w:tabs>
        <w:ind w:left="1701" w:hanging="567"/>
        <w:jc w:val="both"/>
        <w:rPr>
          <w:sz w:val="20"/>
        </w:rPr>
      </w:pPr>
      <w:r w:rsidRPr="00526311">
        <w:rPr>
          <w:sz w:val="20"/>
        </w:rPr>
        <w:t>El costo total de la producción.</w:t>
      </w:r>
    </w:p>
    <w:p w:rsidR="00B45FC3" w:rsidRPr="00526311" w:rsidRDefault="00B45FC3" w:rsidP="0063039A">
      <w:pPr>
        <w:widowControl w:val="0"/>
        <w:ind w:left="360"/>
        <w:jc w:val="both"/>
        <w:rPr>
          <w:sz w:val="20"/>
        </w:rPr>
      </w:pPr>
    </w:p>
    <w:p w:rsidR="00B45FC3" w:rsidRPr="00526311" w:rsidRDefault="00B45FC3" w:rsidP="00B45FC3">
      <w:pPr>
        <w:pStyle w:val="ListParagraph"/>
        <w:widowControl w:val="0"/>
        <w:numPr>
          <w:ilvl w:val="0"/>
          <w:numId w:val="28"/>
        </w:numPr>
        <w:ind w:left="360" w:hanging="360"/>
        <w:contextualSpacing/>
        <w:jc w:val="both"/>
        <w:rPr>
          <w:rFonts w:cs="Arial"/>
          <w:b/>
          <w:lang w:val="es-ES"/>
        </w:rPr>
      </w:pPr>
      <w:r w:rsidRPr="00526311">
        <w:rPr>
          <w:rFonts w:cs="Arial"/>
          <w:b/>
          <w:lang w:val="es-ES"/>
        </w:rPr>
        <w:t>Documentos recibidos</w:t>
      </w:r>
    </w:p>
    <w:p w:rsidR="00B45FC3" w:rsidRPr="00526311" w:rsidRDefault="00B45FC3" w:rsidP="0063039A">
      <w:pPr>
        <w:pStyle w:val="ListParagraph"/>
        <w:widowControl w:val="0"/>
        <w:ind w:left="1080"/>
        <w:jc w:val="both"/>
        <w:rPr>
          <w:rFonts w:cs="Arial"/>
          <w:lang w:val="es-ES"/>
        </w:rPr>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La Oficina Internacional recibe seis categorías distintas de documentos, a saber, solicitudes internacionales, renovaciones, designaciones posteriores, cambios, decisiones y correcciones.  A continuación se presentan las últimas tendencias en relación con cada uno de esos documentos.  También se proporciona información complementaria sobre las solicitudes, como el número medio de clases y el número de medio de palabras.  Por razones técnicas, algunos indicadores reflejan datos basados en documentos tramitados más bien que en documentos recibidos. Es posible, por lo tanto, que los atrasos en la tramitación afecten algunos indicadores.</w:t>
      </w:r>
    </w:p>
    <w:p w:rsidR="00B45FC3" w:rsidRPr="00526311" w:rsidRDefault="00B45FC3" w:rsidP="0063039A">
      <w:pPr>
        <w:pStyle w:val="ListParagraph"/>
        <w:widowControl w:val="0"/>
        <w:ind w:left="0"/>
        <w:jc w:val="both"/>
        <w:rPr>
          <w:rFonts w:cs="Arial"/>
          <w:lang w:val="es-ES"/>
        </w:rPr>
      </w:pPr>
    </w:p>
    <w:p w:rsidR="00B45FC3" w:rsidRPr="00526311" w:rsidRDefault="00B45FC3" w:rsidP="0063039A">
      <w:pPr>
        <w:pStyle w:val="ListParagraph"/>
        <w:widowControl w:val="0"/>
        <w:ind w:left="0"/>
        <w:jc w:val="both"/>
        <w:rPr>
          <w:rFonts w:cs="Arial"/>
          <w:u w:val="single"/>
          <w:lang w:val="es-ES"/>
        </w:rPr>
      </w:pPr>
      <w:r w:rsidRPr="00526311">
        <w:rPr>
          <w:rFonts w:cs="Arial"/>
          <w:u w:val="single"/>
          <w:lang w:val="es-ES"/>
        </w:rPr>
        <w:t>Solicitudes internacionales</w:t>
      </w:r>
    </w:p>
    <w:p w:rsidR="00B45FC3" w:rsidRPr="00526311" w:rsidRDefault="00B45FC3" w:rsidP="0063039A">
      <w:pPr>
        <w:widowControl w:val="0"/>
        <w:jc w:val="center"/>
        <w:rPr>
          <w:sz w:val="20"/>
        </w:rPr>
      </w:pPr>
      <w:r w:rsidRPr="00526311">
        <w:rPr>
          <w:noProof/>
          <w:sz w:val="20"/>
          <w:lang w:val="en-US" w:eastAsia="en-US"/>
        </w:rPr>
        <w:drawing>
          <wp:inline distT="0" distB="0" distL="0" distR="0" wp14:anchorId="23943876" wp14:editId="0846B973">
            <wp:extent cx="5284382" cy="2388362"/>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01340" cy="2396026"/>
                    </a:xfrm>
                    <a:prstGeom prst="rect">
                      <a:avLst/>
                    </a:prstGeom>
                    <a:noFill/>
                    <a:ln>
                      <a:noFill/>
                    </a:ln>
                  </pic:spPr>
                </pic:pic>
              </a:graphicData>
            </a:graphic>
          </wp:inline>
        </w:drawing>
      </w:r>
    </w:p>
    <w:p w:rsidR="00B45FC3" w:rsidRPr="00526311" w:rsidRDefault="00B45FC3" w:rsidP="0063039A">
      <w:pPr>
        <w:pStyle w:val="ListParagraph"/>
        <w:widowControl w:val="0"/>
        <w:tabs>
          <w:tab w:val="left" w:pos="993"/>
        </w:tabs>
        <w:ind w:left="567"/>
        <w:jc w:val="both"/>
        <w:rPr>
          <w:rFonts w:cs="Arial"/>
          <w:lang w:val="es-ES"/>
        </w:rPr>
      </w:pPr>
    </w:p>
    <w:p w:rsidR="00B45FC3" w:rsidRPr="00526311" w:rsidRDefault="00B45FC3" w:rsidP="00B45FC3">
      <w:pPr>
        <w:widowControl w:val="0"/>
        <w:numPr>
          <w:ilvl w:val="0"/>
          <w:numId w:val="29"/>
        </w:numPr>
        <w:tabs>
          <w:tab w:val="clear" w:pos="720"/>
          <w:tab w:val="num" w:pos="1560"/>
        </w:tabs>
        <w:spacing w:after="120"/>
        <w:ind w:left="993" w:hanging="426"/>
        <w:jc w:val="both"/>
        <w:rPr>
          <w:sz w:val="20"/>
        </w:rPr>
      </w:pPr>
      <w:r w:rsidRPr="00526311">
        <w:rPr>
          <w:sz w:val="20"/>
        </w:rPr>
        <w:t xml:space="preserve">La Oficina Internacional recibió 47.885 solicitudes en 2014, lo que supuso un incremento del 2,3% con respecto a 2013. </w:t>
      </w:r>
    </w:p>
    <w:p w:rsidR="00B45FC3" w:rsidRPr="00526311" w:rsidRDefault="00B45FC3" w:rsidP="00B45FC3">
      <w:pPr>
        <w:widowControl w:val="0"/>
        <w:numPr>
          <w:ilvl w:val="0"/>
          <w:numId w:val="29"/>
        </w:numPr>
        <w:tabs>
          <w:tab w:val="clear" w:pos="720"/>
          <w:tab w:val="num" w:pos="1560"/>
        </w:tabs>
        <w:spacing w:after="120"/>
        <w:ind w:left="993" w:hanging="426"/>
        <w:jc w:val="both"/>
        <w:rPr>
          <w:sz w:val="20"/>
        </w:rPr>
      </w:pPr>
      <w:r w:rsidRPr="00526311">
        <w:rPr>
          <w:sz w:val="20"/>
        </w:rPr>
        <w:t>El número de solicitudes recibidas ha aumentado de forma constante desde 2010.</w:t>
      </w:r>
    </w:p>
    <w:p w:rsidR="00B45FC3" w:rsidRPr="00526311" w:rsidRDefault="00B45FC3" w:rsidP="0063039A">
      <w:pPr>
        <w:pStyle w:val="ListParagraph"/>
        <w:widowControl w:val="0"/>
        <w:ind w:left="1418"/>
        <w:jc w:val="both"/>
        <w:rPr>
          <w:rFonts w:cs="Arial"/>
          <w:lang w:val="es-ES"/>
        </w:rPr>
      </w:pPr>
    </w:p>
    <w:p w:rsidR="00B45FC3" w:rsidRPr="00526311" w:rsidRDefault="00B45FC3" w:rsidP="0063039A">
      <w:pPr>
        <w:pStyle w:val="ListParagraph"/>
        <w:keepNext/>
        <w:widowControl w:val="0"/>
        <w:tabs>
          <w:tab w:val="left" w:pos="1701"/>
        </w:tabs>
        <w:ind w:left="567"/>
        <w:jc w:val="both"/>
        <w:rPr>
          <w:rFonts w:cs="Arial"/>
          <w:i/>
          <w:lang w:val="es-ES"/>
        </w:rPr>
      </w:pPr>
      <w:r w:rsidRPr="00526311">
        <w:rPr>
          <w:rFonts w:cs="Arial"/>
          <w:i/>
          <w:lang w:val="es-ES"/>
        </w:rPr>
        <w:lastRenderedPageBreak/>
        <w:t xml:space="preserve">Distribución de las solicitudes por idioma de presentación </w:t>
      </w:r>
    </w:p>
    <w:p w:rsidR="00B45FC3" w:rsidRPr="00526311" w:rsidRDefault="00B45FC3" w:rsidP="0063039A">
      <w:pPr>
        <w:pStyle w:val="ListParagraph"/>
        <w:keepNext/>
        <w:widowControl w:val="0"/>
        <w:tabs>
          <w:tab w:val="left" w:pos="1701"/>
        </w:tabs>
        <w:ind w:left="1134"/>
        <w:jc w:val="both"/>
        <w:rPr>
          <w:rFonts w:cs="Arial"/>
          <w:lang w:val="es-ES"/>
        </w:rPr>
      </w:pPr>
    </w:p>
    <w:p w:rsidR="00B45FC3" w:rsidRPr="00526311" w:rsidRDefault="00B45FC3" w:rsidP="0063039A">
      <w:pPr>
        <w:widowControl w:val="0"/>
        <w:jc w:val="center"/>
        <w:rPr>
          <w:sz w:val="20"/>
        </w:rPr>
      </w:pPr>
      <w:r w:rsidRPr="00526311">
        <w:rPr>
          <w:noProof/>
          <w:sz w:val="20"/>
          <w:lang w:val="en-US" w:eastAsia="en-US"/>
        </w:rPr>
        <w:drawing>
          <wp:inline distT="0" distB="0" distL="0" distR="0" wp14:anchorId="1C451532" wp14:editId="214ADD48">
            <wp:extent cx="5252484" cy="2593530"/>
            <wp:effectExtent l="0" t="0" r="5715"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59392" cy="2596941"/>
                    </a:xfrm>
                    <a:prstGeom prst="rect">
                      <a:avLst/>
                    </a:prstGeom>
                    <a:noFill/>
                    <a:ln>
                      <a:noFill/>
                    </a:ln>
                  </pic:spPr>
                </pic:pic>
              </a:graphicData>
            </a:graphic>
          </wp:inline>
        </w:drawing>
      </w:r>
    </w:p>
    <w:p w:rsidR="00B45FC3" w:rsidRPr="00526311" w:rsidRDefault="00B45FC3" w:rsidP="00B45FC3">
      <w:pPr>
        <w:widowControl w:val="0"/>
        <w:numPr>
          <w:ilvl w:val="0"/>
          <w:numId w:val="29"/>
        </w:numPr>
        <w:tabs>
          <w:tab w:val="clear" w:pos="720"/>
          <w:tab w:val="num" w:pos="993"/>
        </w:tabs>
        <w:spacing w:after="120"/>
        <w:ind w:left="993" w:hanging="426"/>
        <w:jc w:val="both"/>
        <w:rPr>
          <w:sz w:val="20"/>
        </w:rPr>
      </w:pPr>
      <w:r w:rsidRPr="00526311">
        <w:rPr>
          <w:sz w:val="20"/>
        </w:rPr>
        <w:t xml:space="preserve">En 2014, el 80% de todas las solicitudes se presentaron en inglés.  Este porcentaje aumentó en 15 puntos porcentuales, pasando del 65% en 2008 al 80% en 2014. </w:t>
      </w:r>
    </w:p>
    <w:p w:rsidR="00B45FC3" w:rsidRPr="00526311" w:rsidRDefault="00B45FC3" w:rsidP="0063039A">
      <w:pPr>
        <w:widowControl w:val="0"/>
        <w:jc w:val="both"/>
        <w:rPr>
          <w:sz w:val="20"/>
        </w:rPr>
      </w:pPr>
    </w:p>
    <w:p w:rsidR="00B45FC3" w:rsidRPr="00526311" w:rsidRDefault="00B45FC3" w:rsidP="0063039A">
      <w:pPr>
        <w:widowControl w:val="0"/>
        <w:jc w:val="both"/>
        <w:rPr>
          <w:sz w:val="20"/>
        </w:rPr>
      </w:pPr>
    </w:p>
    <w:p w:rsidR="00B45FC3" w:rsidRPr="00526311" w:rsidRDefault="00B45FC3" w:rsidP="0063039A">
      <w:pPr>
        <w:pStyle w:val="ListParagraph"/>
        <w:widowControl w:val="0"/>
        <w:tabs>
          <w:tab w:val="left" w:pos="1701"/>
        </w:tabs>
        <w:ind w:left="567"/>
        <w:jc w:val="both"/>
        <w:rPr>
          <w:rFonts w:cs="Arial"/>
          <w:i/>
          <w:lang w:val="es-ES"/>
        </w:rPr>
      </w:pPr>
      <w:r w:rsidRPr="00526311">
        <w:rPr>
          <w:rFonts w:cs="Arial"/>
          <w:i/>
          <w:lang w:val="es-ES"/>
        </w:rPr>
        <w:t>Promedio de designaciones por registro</w:t>
      </w:r>
    </w:p>
    <w:p w:rsidR="00B45FC3" w:rsidRPr="00526311" w:rsidRDefault="00B45FC3" w:rsidP="0063039A">
      <w:pPr>
        <w:widowControl w:val="0"/>
        <w:jc w:val="center"/>
        <w:rPr>
          <w:sz w:val="20"/>
        </w:rPr>
      </w:pPr>
      <w:r w:rsidRPr="00526311">
        <w:rPr>
          <w:noProof/>
          <w:sz w:val="20"/>
          <w:lang w:val="en-US" w:eastAsia="en-US"/>
        </w:rPr>
        <w:drawing>
          <wp:inline distT="0" distB="0" distL="0" distR="0" wp14:anchorId="5017DCE3" wp14:editId="3E81C01D">
            <wp:extent cx="5337544" cy="2549724"/>
            <wp:effectExtent l="0" t="0" r="0" b="317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987" cy="2548502"/>
                    </a:xfrm>
                    <a:prstGeom prst="rect">
                      <a:avLst/>
                    </a:prstGeom>
                    <a:noFill/>
                    <a:ln>
                      <a:noFill/>
                    </a:ln>
                  </pic:spPr>
                </pic:pic>
              </a:graphicData>
            </a:graphic>
          </wp:inline>
        </w:drawing>
      </w:r>
    </w:p>
    <w:p w:rsidR="00B45FC3" w:rsidRPr="00526311" w:rsidRDefault="00B45FC3" w:rsidP="00B45FC3">
      <w:pPr>
        <w:widowControl w:val="0"/>
        <w:numPr>
          <w:ilvl w:val="0"/>
          <w:numId w:val="29"/>
        </w:numPr>
        <w:tabs>
          <w:tab w:val="clear" w:pos="720"/>
          <w:tab w:val="num" w:pos="1134"/>
        </w:tabs>
        <w:spacing w:after="120"/>
        <w:ind w:left="993" w:hanging="426"/>
        <w:jc w:val="both"/>
        <w:rPr>
          <w:sz w:val="20"/>
        </w:rPr>
      </w:pPr>
      <w:r w:rsidRPr="00526311">
        <w:rPr>
          <w:sz w:val="20"/>
        </w:rPr>
        <w:t>Se inscribieron en promedio 6,9 designaciones en las solicitudes registradas en 2014.</w:t>
      </w:r>
    </w:p>
    <w:p w:rsidR="00B45FC3" w:rsidRPr="00526311" w:rsidRDefault="00B45FC3" w:rsidP="00B45FC3">
      <w:pPr>
        <w:widowControl w:val="0"/>
        <w:numPr>
          <w:ilvl w:val="0"/>
          <w:numId w:val="29"/>
        </w:numPr>
        <w:tabs>
          <w:tab w:val="clear" w:pos="720"/>
          <w:tab w:val="num" w:pos="1134"/>
        </w:tabs>
        <w:spacing w:after="120"/>
        <w:ind w:left="993" w:hanging="426"/>
        <w:jc w:val="both"/>
        <w:rPr>
          <w:sz w:val="20"/>
        </w:rPr>
      </w:pPr>
      <w:r w:rsidRPr="00526311">
        <w:rPr>
          <w:sz w:val="20"/>
        </w:rPr>
        <w:t>El número promedio de designaciones por registro se ha mantenido prácticamente  inalterado desde 2010.</w:t>
      </w:r>
    </w:p>
    <w:p w:rsidR="00B45FC3" w:rsidRPr="00526311" w:rsidRDefault="00B45FC3" w:rsidP="0063039A">
      <w:pPr>
        <w:widowControl w:val="0"/>
        <w:tabs>
          <w:tab w:val="num" w:pos="1134"/>
        </w:tabs>
        <w:spacing w:after="120"/>
        <w:ind w:left="993" w:hanging="426"/>
        <w:jc w:val="both"/>
        <w:rPr>
          <w:sz w:val="20"/>
        </w:rPr>
      </w:pPr>
    </w:p>
    <w:p w:rsidR="00B45FC3" w:rsidRPr="00526311" w:rsidRDefault="00B45FC3" w:rsidP="0063039A">
      <w:pPr>
        <w:pStyle w:val="ListParagraph"/>
        <w:keepNext/>
        <w:widowControl w:val="0"/>
        <w:tabs>
          <w:tab w:val="left" w:pos="1701"/>
        </w:tabs>
        <w:ind w:left="567"/>
        <w:jc w:val="both"/>
        <w:rPr>
          <w:rFonts w:cs="Arial"/>
          <w:i/>
          <w:lang w:val="es-ES"/>
        </w:rPr>
      </w:pPr>
      <w:r w:rsidRPr="00526311">
        <w:rPr>
          <w:rFonts w:cs="Arial"/>
          <w:i/>
          <w:lang w:val="es-ES"/>
        </w:rPr>
        <w:lastRenderedPageBreak/>
        <w:t>Promedio de clases por registro</w:t>
      </w:r>
    </w:p>
    <w:p w:rsidR="00B45FC3" w:rsidRPr="00526311" w:rsidRDefault="00B45FC3" w:rsidP="0063039A">
      <w:pPr>
        <w:widowControl w:val="0"/>
        <w:jc w:val="center"/>
        <w:rPr>
          <w:sz w:val="20"/>
        </w:rPr>
      </w:pPr>
      <w:r w:rsidRPr="00526311">
        <w:rPr>
          <w:noProof/>
          <w:sz w:val="20"/>
          <w:lang w:val="en-US" w:eastAsia="en-US"/>
        </w:rPr>
        <w:drawing>
          <wp:inline distT="0" distB="0" distL="0" distR="0" wp14:anchorId="12B3F599" wp14:editId="1CE1B8FD">
            <wp:extent cx="5231218" cy="2387548"/>
            <wp:effectExtent l="0" t="0" r="762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8502" cy="2390872"/>
                    </a:xfrm>
                    <a:prstGeom prst="rect">
                      <a:avLst/>
                    </a:prstGeom>
                    <a:noFill/>
                    <a:ln>
                      <a:noFill/>
                    </a:ln>
                  </pic:spPr>
                </pic:pic>
              </a:graphicData>
            </a:graphic>
          </wp:inline>
        </w:drawing>
      </w:r>
    </w:p>
    <w:p w:rsidR="00B45FC3" w:rsidRPr="00526311" w:rsidRDefault="00B45FC3" w:rsidP="00B45FC3">
      <w:pPr>
        <w:widowControl w:val="0"/>
        <w:numPr>
          <w:ilvl w:val="0"/>
          <w:numId w:val="29"/>
        </w:numPr>
        <w:tabs>
          <w:tab w:val="clear" w:pos="720"/>
          <w:tab w:val="num" w:pos="993"/>
        </w:tabs>
        <w:spacing w:after="120"/>
        <w:ind w:left="993" w:hanging="426"/>
        <w:jc w:val="both"/>
        <w:rPr>
          <w:sz w:val="20"/>
        </w:rPr>
      </w:pPr>
      <w:r w:rsidRPr="00526311">
        <w:rPr>
          <w:sz w:val="20"/>
        </w:rPr>
        <w:t xml:space="preserve">Se especificaron en promedio 2,5 clases en todas las solicitudes registradas en 2014. </w:t>
      </w:r>
    </w:p>
    <w:p w:rsidR="00B45FC3" w:rsidRPr="00526311" w:rsidRDefault="00B45FC3" w:rsidP="0063039A">
      <w:pPr>
        <w:widowControl w:val="0"/>
        <w:jc w:val="both"/>
      </w:pPr>
    </w:p>
    <w:p w:rsidR="00B45FC3" w:rsidRPr="00526311" w:rsidRDefault="00B45FC3" w:rsidP="0063039A">
      <w:pPr>
        <w:pStyle w:val="ListParagraph"/>
        <w:widowControl w:val="0"/>
        <w:tabs>
          <w:tab w:val="left" w:pos="1701"/>
        </w:tabs>
        <w:ind w:left="567"/>
        <w:jc w:val="both"/>
        <w:rPr>
          <w:rFonts w:cs="Arial"/>
          <w:i/>
          <w:lang w:val="es-ES"/>
        </w:rPr>
      </w:pPr>
      <w:r w:rsidRPr="00526311">
        <w:rPr>
          <w:rFonts w:cs="Arial"/>
          <w:i/>
          <w:lang w:val="es-ES"/>
        </w:rPr>
        <w:t xml:space="preserve">Extensión media de las solicitudes </w:t>
      </w:r>
    </w:p>
    <w:p w:rsidR="00B45FC3" w:rsidRPr="00526311" w:rsidRDefault="00B45FC3" w:rsidP="0063039A">
      <w:pPr>
        <w:pStyle w:val="ListParagraph"/>
        <w:widowControl w:val="0"/>
        <w:ind w:left="1980"/>
        <w:jc w:val="both"/>
        <w:rPr>
          <w:rFonts w:cs="Arial"/>
          <w:lang w:val="es-ES"/>
        </w:rPr>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 xml:space="preserve">La extensión de una solicitud depende del número total de palabras utilizadas por el solicitante para describir su marca, su lista básica de productos y servicios, y cualquier limitación que la acompañe.  La Oficina Internacional traduce estos tres elementos en dos idiomas (inglés, francés o español). </w:t>
      </w:r>
    </w:p>
    <w:p w:rsidR="00B45FC3" w:rsidRPr="00526311" w:rsidRDefault="00B45FC3" w:rsidP="0063039A">
      <w:pPr>
        <w:widowControl w:val="0"/>
        <w:jc w:val="both"/>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 xml:space="preserve">La extensión de las solicitudes incide en el volumen de trabajo de los examinadores, que tienen que clasificar los productos y/o servicios que figuran en la solicitud con arreglo a la Clasificación de Niza. </w:t>
      </w:r>
    </w:p>
    <w:p w:rsidR="00B45FC3" w:rsidRPr="00526311" w:rsidRDefault="00B45FC3" w:rsidP="0063039A">
      <w:pPr>
        <w:widowControl w:val="0"/>
        <w:jc w:val="both"/>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La extensión media de una solicitud depende del número total de palabras en la lista básica de productos y servicios, las limitaciones y descripciones, divididas por el número de solicitudes registradas.</w:t>
      </w:r>
    </w:p>
    <w:p w:rsidR="00B45FC3" w:rsidRPr="00526311" w:rsidRDefault="00B45FC3" w:rsidP="0063039A">
      <w:pPr>
        <w:pStyle w:val="ListParagraph"/>
        <w:widowControl w:val="0"/>
        <w:tabs>
          <w:tab w:val="left" w:pos="567"/>
        </w:tabs>
        <w:ind w:left="0"/>
        <w:jc w:val="center"/>
        <w:rPr>
          <w:rFonts w:cs="Arial"/>
          <w:lang w:val="es-ES"/>
        </w:rPr>
      </w:pPr>
      <w:r w:rsidRPr="00526311">
        <w:rPr>
          <w:noProof/>
        </w:rPr>
        <w:drawing>
          <wp:inline distT="0" distB="0" distL="0" distR="0" wp14:anchorId="1A82838D" wp14:editId="1BFD7032">
            <wp:extent cx="5100816" cy="2518639"/>
            <wp:effectExtent l="0" t="0" r="508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10294" cy="2523319"/>
                    </a:xfrm>
                    <a:prstGeom prst="rect">
                      <a:avLst/>
                    </a:prstGeom>
                    <a:noFill/>
                    <a:ln>
                      <a:noFill/>
                    </a:ln>
                  </pic:spPr>
                </pic:pic>
              </a:graphicData>
            </a:graphic>
          </wp:inline>
        </w:drawing>
      </w:r>
    </w:p>
    <w:p w:rsidR="00B45FC3" w:rsidRPr="00526311" w:rsidRDefault="00B45FC3" w:rsidP="0063039A">
      <w:pPr>
        <w:pStyle w:val="ListParagraph"/>
        <w:widowControl w:val="0"/>
        <w:tabs>
          <w:tab w:val="left" w:pos="567"/>
        </w:tabs>
        <w:ind w:left="0"/>
        <w:jc w:val="center"/>
        <w:rPr>
          <w:rFonts w:cs="Arial"/>
          <w:lang w:val="es-ES"/>
        </w:rPr>
      </w:pPr>
    </w:p>
    <w:p w:rsidR="00B45FC3" w:rsidRPr="00526311" w:rsidRDefault="00B45FC3" w:rsidP="00B45FC3">
      <w:pPr>
        <w:widowControl w:val="0"/>
        <w:numPr>
          <w:ilvl w:val="0"/>
          <w:numId w:val="29"/>
        </w:numPr>
        <w:tabs>
          <w:tab w:val="clear" w:pos="720"/>
          <w:tab w:val="num" w:pos="993"/>
        </w:tabs>
        <w:spacing w:after="120"/>
        <w:ind w:left="993" w:hanging="426"/>
        <w:jc w:val="both"/>
        <w:rPr>
          <w:sz w:val="20"/>
        </w:rPr>
      </w:pPr>
      <w:r w:rsidRPr="00526311">
        <w:rPr>
          <w:sz w:val="20"/>
        </w:rPr>
        <w:t>En 2014, la extensión media de una solicitud era de 239 palabras.  Esto representa un aumento del 12% con respecto a 2013.</w:t>
      </w:r>
    </w:p>
    <w:p w:rsidR="00B45FC3" w:rsidRPr="00526311" w:rsidRDefault="00B45FC3" w:rsidP="00B45FC3">
      <w:pPr>
        <w:widowControl w:val="0"/>
        <w:numPr>
          <w:ilvl w:val="0"/>
          <w:numId w:val="29"/>
        </w:numPr>
        <w:tabs>
          <w:tab w:val="clear" w:pos="720"/>
          <w:tab w:val="num" w:pos="993"/>
        </w:tabs>
        <w:spacing w:after="120"/>
        <w:ind w:left="993" w:hanging="426"/>
        <w:jc w:val="both"/>
        <w:rPr>
          <w:sz w:val="20"/>
        </w:rPr>
      </w:pPr>
      <w:r w:rsidRPr="00526311">
        <w:rPr>
          <w:sz w:val="20"/>
        </w:rPr>
        <w:t>Si bien algunos aspectos de la labor de traducción y de clasificación son automáticos, el aumento significativo de la extensión de las solicitudes tiene importantes repercusiones en el volumen de trabajo de la Oficina Internacional.</w:t>
      </w:r>
    </w:p>
    <w:p w:rsidR="00B45FC3" w:rsidRPr="00526311" w:rsidRDefault="00B45FC3" w:rsidP="0063039A">
      <w:pPr>
        <w:pStyle w:val="ListParagraph"/>
        <w:widowControl w:val="0"/>
        <w:jc w:val="both"/>
        <w:rPr>
          <w:rFonts w:cs="Arial"/>
          <w:lang w:val="es-ES"/>
        </w:rPr>
      </w:pPr>
    </w:p>
    <w:p w:rsidR="00B45FC3" w:rsidRPr="00526311" w:rsidRDefault="00B45FC3" w:rsidP="0063039A">
      <w:pPr>
        <w:pStyle w:val="ListParagraph"/>
        <w:widowControl w:val="0"/>
        <w:jc w:val="both"/>
        <w:rPr>
          <w:rFonts w:cs="Arial"/>
          <w:lang w:val="es-ES"/>
        </w:rPr>
      </w:pPr>
    </w:p>
    <w:p w:rsidR="00B45FC3" w:rsidRPr="00526311" w:rsidRDefault="00B45FC3" w:rsidP="0063039A">
      <w:pPr>
        <w:pStyle w:val="ListParagraph"/>
        <w:keepNext/>
        <w:keepLines/>
        <w:widowControl w:val="0"/>
        <w:tabs>
          <w:tab w:val="left" w:pos="1701"/>
        </w:tabs>
        <w:ind w:left="567"/>
        <w:jc w:val="both"/>
        <w:rPr>
          <w:rFonts w:cs="Arial"/>
          <w:i/>
          <w:lang w:val="es-ES"/>
        </w:rPr>
      </w:pPr>
      <w:r w:rsidRPr="00526311">
        <w:rPr>
          <w:rFonts w:cs="Arial"/>
          <w:i/>
          <w:lang w:val="es-ES"/>
        </w:rPr>
        <w:lastRenderedPageBreak/>
        <w:t xml:space="preserve">Distribución de solicitudes regulares e irregulares </w:t>
      </w:r>
    </w:p>
    <w:p w:rsidR="00B45FC3" w:rsidRPr="00526311" w:rsidRDefault="00B45FC3" w:rsidP="0063039A">
      <w:pPr>
        <w:pStyle w:val="ListParagraph"/>
        <w:keepNext/>
        <w:keepLines/>
        <w:widowControl w:val="0"/>
        <w:tabs>
          <w:tab w:val="left" w:pos="1701"/>
        </w:tabs>
        <w:ind w:left="567"/>
        <w:jc w:val="both"/>
        <w:rPr>
          <w:rFonts w:cs="Arial"/>
          <w:i/>
          <w:lang w:val="es-ES"/>
        </w:rPr>
      </w:pPr>
    </w:p>
    <w:p w:rsidR="00B45FC3" w:rsidRPr="00526311" w:rsidRDefault="00B45FC3" w:rsidP="0063039A">
      <w:pPr>
        <w:pStyle w:val="ListParagraph"/>
        <w:widowControl w:val="0"/>
        <w:tabs>
          <w:tab w:val="left" w:pos="1701"/>
        </w:tabs>
        <w:ind w:left="567"/>
        <w:jc w:val="both"/>
        <w:rPr>
          <w:rFonts w:cs="Arial"/>
          <w:i/>
          <w:lang w:val="es-ES"/>
        </w:rPr>
      </w:pPr>
      <w:r w:rsidRPr="00526311">
        <w:rPr>
          <w:rFonts w:cs="Arial"/>
          <w:noProof/>
        </w:rPr>
        <w:drawing>
          <wp:inline distT="0" distB="0" distL="0" distR="0" wp14:anchorId="64C5FBF0" wp14:editId="1A5F14DC">
            <wp:extent cx="5756910" cy="2910840"/>
            <wp:effectExtent l="0" t="0" r="0" b="3810"/>
            <wp:docPr id="1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6910" cy="2910840"/>
                    </a:xfrm>
                    <a:prstGeom prst="rect">
                      <a:avLst/>
                    </a:prstGeom>
                    <a:noFill/>
                    <a:ln>
                      <a:noFill/>
                    </a:ln>
                  </pic:spPr>
                </pic:pic>
              </a:graphicData>
            </a:graphic>
          </wp:inline>
        </w:drawing>
      </w:r>
    </w:p>
    <w:p w:rsidR="00B45FC3" w:rsidRPr="00526311" w:rsidRDefault="00B45FC3" w:rsidP="00B45FC3">
      <w:pPr>
        <w:pStyle w:val="ListParagraph"/>
        <w:numPr>
          <w:ilvl w:val="0"/>
          <w:numId w:val="36"/>
        </w:numPr>
        <w:tabs>
          <w:tab w:val="num" w:pos="993"/>
        </w:tabs>
        <w:spacing w:after="120"/>
        <w:contextualSpacing/>
        <w:jc w:val="both"/>
        <w:rPr>
          <w:rFonts w:cs="Arial"/>
          <w:lang w:val="es-ES"/>
        </w:rPr>
      </w:pPr>
      <w:r w:rsidRPr="00526311">
        <w:rPr>
          <w:rFonts w:cs="Arial"/>
          <w:lang w:val="es-ES"/>
        </w:rPr>
        <w:t xml:space="preserve">El porcentaje de solicitudes regulares se ha mantenido más o menos estable desde 2011. </w:t>
      </w:r>
    </w:p>
    <w:p w:rsidR="00B45FC3" w:rsidRPr="00526311" w:rsidRDefault="00B45FC3" w:rsidP="0063039A">
      <w:pPr>
        <w:widowControl w:val="0"/>
        <w:jc w:val="both"/>
      </w:pPr>
    </w:p>
    <w:p w:rsidR="00B45FC3" w:rsidRPr="00526311" w:rsidRDefault="00B45FC3" w:rsidP="0063039A">
      <w:pPr>
        <w:pStyle w:val="ListParagraph"/>
        <w:widowControl w:val="0"/>
        <w:ind w:left="0"/>
        <w:jc w:val="both"/>
        <w:rPr>
          <w:rFonts w:cs="Arial"/>
          <w:u w:val="single"/>
          <w:lang w:val="es-ES"/>
        </w:rPr>
      </w:pPr>
      <w:r w:rsidRPr="00526311">
        <w:rPr>
          <w:rFonts w:cs="Arial"/>
          <w:u w:val="single"/>
          <w:lang w:val="es-ES"/>
        </w:rPr>
        <w:t xml:space="preserve">Renovaciones </w:t>
      </w:r>
    </w:p>
    <w:p w:rsidR="00B45FC3" w:rsidRPr="00526311" w:rsidRDefault="00B45FC3" w:rsidP="0063039A">
      <w:pPr>
        <w:widowControl w:val="0"/>
        <w:jc w:val="center"/>
      </w:pPr>
      <w:r w:rsidRPr="00526311">
        <w:rPr>
          <w:noProof/>
          <w:lang w:val="en-US" w:eastAsia="en-US"/>
        </w:rPr>
        <w:drawing>
          <wp:inline distT="0" distB="0" distL="0" distR="0" wp14:anchorId="4CAFFA43" wp14:editId="1620BAFA">
            <wp:extent cx="5087534" cy="2485000"/>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99337" cy="2490765"/>
                    </a:xfrm>
                    <a:prstGeom prst="rect">
                      <a:avLst/>
                    </a:prstGeom>
                    <a:noFill/>
                    <a:ln>
                      <a:noFill/>
                    </a:ln>
                  </pic:spPr>
                </pic:pic>
              </a:graphicData>
            </a:graphic>
          </wp:inline>
        </w:drawing>
      </w:r>
    </w:p>
    <w:p w:rsidR="00B45FC3" w:rsidRPr="00526311" w:rsidRDefault="00B45FC3" w:rsidP="0063039A">
      <w:pPr>
        <w:widowControl w:val="0"/>
        <w:jc w:val="center"/>
        <w:rPr>
          <w:sz w:val="20"/>
        </w:rPr>
      </w:pPr>
    </w:p>
    <w:p w:rsidR="00B45FC3" w:rsidRPr="00526311" w:rsidRDefault="00B45FC3" w:rsidP="00B45FC3">
      <w:pPr>
        <w:widowControl w:val="0"/>
        <w:numPr>
          <w:ilvl w:val="0"/>
          <w:numId w:val="29"/>
        </w:numPr>
        <w:tabs>
          <w:tab w:val="clear" w:pos="720"/>
          <w:tab w:val="num" w:pos="1560"/>
        </w:tabs>
        <w:spacing w:after="120"/>
        <w:ind w:left="993" w:hanging="426"/>
        <w:jc w:val="both"/>
        <w:rPr>
          <w:sz w:val="20"/>
        </w:rPr>
      </w:pPr>
      <w:r w:rsidRPr="00526311">
        <w:rPr>
          <w:sz w:val="20"/>
        </w:rPr>
        <w:t xml:space="preserve">En 2014, la Oficina Internacional registró 25.729 renovaciones, lo que representa un aumento del 12% con respecto a 2013. </w:t>
      </w:r>
    </w:p>
    <w:p w:rsidR="00B45FC3" w:rsidRPr="00526311" w:rsidRDefault="00B45FC3" w:rsidP="00B45FC3">
      <w:pPr>
        <w:widowControl w:val="0"/>
        <w:numPr>
          <w:ilvl w:val="0"/>
          <w:numId w:val="29"/>
        </w:numPr>
        <w:tabs>
          <w:tab w:val="clear" w:pos="720"/>
          <w:tab w:val="num" w:pos="1560"/>
        </w:tabs>
        <w:spacing w:after="120"/>
        <w:ind w:left="993" w:hanging="426"/>
        <w:jc w:val="both"/>
        <w:rPr>
          <w:sz w:val="20"/>
        </w:rPr>
      </w:pPr>
      <w:r w:rsidRPr="00526311">
        <w:rPr>
          <w:sz w:val="20"/>
        </w:rPr>
        <w:t>A pesar del aumento de las renovaciones entre 2009 y 2014, el número de renovaciones tramitadas manualmente se ha mantenido relativamente estable.  En 2014, el 59% de las renovaciones se tramitaron automáticamente.</w:t>
      </w:r>
    </w:p>
    <w:p w:rsidR="00B45FC3" w:rsidRPr="00526311" w:rsidRDefault="00B45FC3" w:rsidP="0063039A">
      <w:pPr>
        <w:widowControl w:val="0"/>
        <w:spacing w:after="120"/>
        <w:ind w:left="993" w:hanging="426"/>
        <w:jc w:val="both"/>
        <w:rPr>
          <w:sz w:val="20"/>
        </w:rPr>
      </w:pPr>
    </w:p>
    <w:p w:rsidR="00B45FC3" w:rsidRPr="00526311" w:rsidRDefault="00B45FC3" w:rsidP="0063039A">
      <w:pPr>
        <w:pStyle w:val="ListParagraph"/>
        <w:keepNext/>
        <w:widowControl w:val="0"/>
        <w:ind w:left="0"/>
        <w:jc w:val="both"/>
        <w:rPr>
          <w:rFonts w:cs="Arial"/>
          <w:u w:val="single"/>
          <w:lang w:val="es-ES"/>
        </w:rPr>
      </w:pPr>
      <w:r w:rsidRPr="00526311">
        <w:rPr>
          <w:rFonts w:cs="Arial"/>
          <w:u w:val="single"/>
          <w:lang w:val="es-ES"/>
        </w:rPr>
        <w:lastRenderedPageBreak/>
        <w:t xml:space="preserve">Designaciones posteriores </w:t>
      </w:r>
    </w:p>
    <w:p w:rsidR="00B45FC3" w:rsidRPr="00526311" w:rsidRDefault="00B45FC3" w:rsidP="0063039A">
      <w:pPr>
        <w:widowControl w:val="0"/>
        <w:jc w:val="center"/>
      </w:pPr>
      <w:r w:rsidRPr="00526311">
        <w:rPr>
          <w:noProof/>
          <w:lang w:val="en-US" w:eastAsia="en-US"/>
        </w:rPr>
        <w:drawing>
          <wp:inline distT="0" distB="0" distL="0" distR="0" wp14:anchorId="00B1CC1C" wp14:editId="3FF005FE">
            <wp:extent cx="5018568" cy="263030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21878" cy="2632035"/>
                    </a:xfrm>
                    <a:prstGeom prst="rect">
                      <a:avLst/>
                    </a:prstGeom>
                    <a:noFill/>
                    <a:ln>
                      <a:noFill/>
                    </a:ln>
                  </pic:spPr>
                </pic:pic>
              </a:graphicData>
            </a:graphic>
          </wp:inline>
        </w:drawing>
      </w:r>
    </w:p>
    <w:p w:rsidR="00B45FC3" w:rsidRPr="00526311" w:rsidRDefault="00B45FC3" w:rsidP="0063039A">
      <w:pPr>
        <w:widowControl w:val="0"/>
        <w:jc w:val="both"/>
        <w:rPr>
          <w:sz w:val="20"/>
        </w:rPr>
      </w:pPr>
    </w:p>
    <w:p w:rsidR="00B45FC3" w:rsidRPr="00526311" w:rsidRDefault="00B45FC3" w:rsidP="00B45FC3">
      <w:pPr>
        <w:widowControl w:val="0"/>
        <w:numPr>
          <w:ilvl w:val="0"/>
          <w:numId w:val="29"/>
        </w:numPr>
        <w:tabs>
          <w:tab w:val="clear" w:pos="720"/>
          <w:tab w:val="num" w:pos="993"/>
        </w:tabs>
        <w:spacing w:after="120"/>
        <w:ind w:left="993" w:hanging="426"/>
        <w:jc w:val="both"/>
        <w:rPr>
          <w:sz w:val="20"/>
        </w:rPr>
      </w:pPr>
      <w:r w:rsidRPr="00526311">
        <w:rPr>
          <w:sz w:val="20"/>
        </w:rPr>
        <w:t xml:space="preserve">En 2014, la Oficina Internacional registró 17.316 designaciones posteriores, lo que supone un descenso del 2,5% con respecto a 2013. </w:t>
      </w:r>
    </w:p>
    <w:p w:rsidR="00B45FC3" w:rsidRPr="00526311" w:rsidRDefault="00B45FC3" w:rsidP="00B45FC3">
      <w:pPr>
        <w:widowControl w:val="0"/>
        <w:numPr>
          <w:ilvl w:val="0"/>
          <w:numId w:val="29"/>
        </w:numPr>
        <w:tabs>
          <w:tab w:val="clear" w:pos="720"/>
          <w:tab w:val="num" w:pos="993"/>
        </w:tabs>
        <w:ind w:left="993" w:hanging="426"/>
        <w:jc w:val="both"/>
        <w:rPr>
          <w:b/>
          <w:sz w:val="20"/>
        </w:rPr>
      </w:pPr>
      <w:r w:rsidRPr="00526311">
        <w:rPr>
          <w:sz w:val="20"/>
        </w:rPr>
        <w:t xml:space="preserve">En 2014, el nuevo formulario electrónico denominado </w:t>
      </w:r>
      <w:r w:rsidRPr="00526311">
        <w:rPr>
          <w:i/>
          <w:sz w:val="20"/>
        </w:rPr>
        <w:t>E-Subsequent Designation</w:t>
      </w:r>
      <w:r w:rsidRPr="00526311">
        <w:rPr>
          <w:sz w:val="20"/>
        </w:rPr>
        <w:t xml:space="preserve"> se puso a disposición de los solicitantes.  Ese formulario electrónico permitió a la Oficina Internacional  tramitar automáticamente el 14% de las designaciones posteriores. </w:t>
      </w:r>
    </w:p>
    <w:p w:rsidR="00B45FC3" w:rsidRPr="00526311" w:rsidRDefault="00B45FC3" w:rsidP="0063039A">
      <w:pPr>
        <w:pStyle w:val="ListParagraph"/>
        <w:widowControl w:val="0"/>
        <w:ind w:left="1418"/>
        <w:jc w:val="both"/>
        <w:rPr>
          <w:rFonts w:cs="Arial"/>
          <w:b/>
          <w:lang w:val="es-ES"/>
        </w:rPr>
      </w:pPr>
    </w:p>
    <w:p w:rsidR="00B45FC3" w:rsidRPr="00526311" w:rsidRDefault="00B45FC3" w:rsidP="0063039A">
      <w:pPr>
        <w:pStyle w:val="ListParagraph"/>
        <w:widowControl w:val="0"/>
        <w:ind w:left="1418"/>
        <w:jc w:val="both"/>
        <w:rPr>
          <w:rFonts w:cs="Arial"/>
          <w:b/>
          <w:lang w:val="es-ES"/>
        </w:rPr>
      </w:pPr>
    </w:p>
    <w:p w:rsidR="00B45FC3" w:rsidRPr="00526311" w:rsidRDefault="00B45FC3" w:rsidP="0063039A">
      <w:pPr>
        <w:pStyle w:val="ListParagraph"/>
        <w:widowControl w:val="0"/>
        <w:ind w:left="0"/>
        <w:jc w:val="both"/>
        <w:rPr>
          <w:rFonts w:cs="Arial"/>
          <w:u w:val="single"/>
          <w:lang w:val="es-ES"/>
        </w:rPr>
      </w:pPr>
      <w:r w:rsidRPr="00526311">
        <w:rPr>
          <w:rFonts w:cs="Arial"/>
          <w:u w:val="single"/>
          <w:lang w:val="es-ES"/>
        </w:rPr>
        <w:t>Cambios</w:t>
      </w:r>
    </w:p>
    <w:p w:rsidR="00B45FC3" w:rsidRPr="00526311" w:rsidRDefault="00B45FC3" w:rsidP="0063039A">
      <w:pPr>
        <w:widowControl w:val="0"/>
        <w:ind w:left="360"/>
        <w:jc w:val="center"/>
        <w:rPr>
          <w:sz w:val="20"/>
        </w:rPr>
      </w:pPr>
      <w:r w:rsidRPr="00526311">
        <w:rPr>
          <w:noProof/>
          <w:sz w:val="20"/>
          <w:lang w:val="en-US" w:eastAsia="en-US"/>
        </w:rPr>
        <w:drawing>
          <wp:inline distT="0" distB="0" distL="0" distR="0" wp14:anchorId="7622C779" wp14:editId="2F4B6F55">
            <wp:extent cx="5135526" cy="2572410"/>
            <wp:effectExtent l="0" t="0" r="8255"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42566" cy="2575936"/>
                    </a:xfrm>
                    <a:prstGeom prst="rect">
                      <a:avLst/>
                    </a:prstGeom>
                    <a:noFill/>
                    <a:ln>
                      <a:noFill/>
                    </a:ln>
                  </pic:spPr>
                </pic:pic>
              </a:graphicData>
            </a:graphic>
          </wp:inline>
        </w:drawing>
      </w:r>
    </w:p>
    <w:p w:rsidR="00B45FC3" w:rsidRPr="00526311" w:rsidRDefault="00B45FC3" w:rsidP="00B45FC3">
      <w:pPr>
        <w:widowControl w:val="0"/>
        <w:numPr>
          <w:ilvl w:val="0"/>
          <w:numId w:val="29"/>
        </w:numPr>
        <w:tabs>
          <w:tab w:val="clear" w:pos="720"/>
          <w:tab w:val="num" w:pos="993"/>
        </w:tabs>
        <w:spacing w:after="120"/>
        <w:ind w:left="993" w:hanging="426"/>
        <w:jc w:val="both"/>
        <w:rPr>
          <w:sz w:val="20"/>
        </w:rPr>
      </w:pPr>
      <w:r w:rsidRPr="00526311">
        <w:rPr>
          <w:sz w:val="20"/>
        </w:rPr>
        <w:t xml:space="preserve">En 2014, la Oficina Internacional recibió 38.817 peticiones de cambios, lo que representó un aumento del 5,5% con respecto a 2003. </w:t>
      </w:r>
    </w:p>
    <w:p w:rsidR="00B45FC3" w:rsidRPr="00526311" w:rsidRDefault="00B45FC3" w:rsidP="0063039A">
      <w:pPr>
        <w:widowControl w:val="0"/>
        <w:spacing w:after="120"/>
        <w:jc w:val="both"/>
        <w:rPr>
          <w:sz w:val="20"/>
        </w:rPr>
      </w:pPr>
    </w:p>
    <w:p w:rsidR="00B45FC3" w:rsidRPr="00526311" w:rsidRDefault="00B45FC3" w:rsidP="0063039A">
      <w:pPr>
        <w:pStyle w:val="ListParagraph"/>
        <w:keepNext/>
        <w:widowControl w:val="0"/>
        <w:ind w:left="0"/>
        <w:jc w:val="both"/>
        <w:rPr>
          <w:rFonts w:cs="Arial"/>
          <w:u w:val="single"/>
          <w:lang w:val="es-ES"/>
        </w:rPr>
      </w:pPr>
      <w:r w:rsidRPr="00526311">
        <w:rPr>
          <w:rFonts w:cs="Arial"/>
          <w:u w:val="single"/>
          <w:lang w:val="es-ES"/>
        </w:rPr>
        <w:lastRenderedPageBreak/>
        <w:t>Decisiones</w:t>
      </w:r>
    </w:p>
    <w:p w:rsidR="00B45FC3" w:rsidRPr="00526311" w:rsidRDefault="00B45FC3" w:rsidP="0063039A">
      <w:pPr>
        <w:widowControl w:val="0"/>
        <w:jc w:val="center"/>
      </w:pPr>
      <w:r w:rsidRPr="00526311">
        <w:rPr>
          <w:noProof/>
          <w:lang w:val="en-US" w:eastAsia="en-US"/>
        </w:rPr>
        <w:drawing>
          <wp:inline distT="0" distB="0" distL="0" distR="0" wp14:anchorId="7BFAEBD0" wp14:editId="643585E5">
            <wp:extent cx="5171888" cy="2636874"/>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91608" cy="2646928"/>
                    </a:xfrm>
                    <a:prstGeom prst="rect">
                      <a:avLst/>
                    </a:prstGeom>
                    <a:noFill/>
                    <a:ln>
                      <a:noFill/>
                    </a:ln>
                  </pic:spPr>
                </pic:pic>
              </a:graphicData>
            </a:graphic>
          </wp:inline>
        </w:drawing>
      </w:r>
    </w:p>
    <w:p w:rsidR="00B45FC3" w:rsidRPr="00526311" w:rsidRDefault="00B45FC3" w:rsidP="0063039A">
      <w:pPr>
        <w:widowControl w:val="0"/>
        <w:jc w:val="center"/>
        <w:rPr>
          <w:sz w:val="20"/>
        </w:rPr>
      </w:pPr>
    </w:p>
    <w:p w:rsidR="00B45FC3" w:rsidRPr="00526311" w:rsidRDefault="00B45FC3" w:rsidP="00B45FC3">
      <w:pPr>
        <w:widowControl w:val="0"/>
        <w:numPr>
          <w:ilvl w:val="0"/>
          <w:numId w:val="29"/>
        </w:numPr>
        <w:tabs>
          <w:tab w:val="clear" w:pos="720"/>
          <w:tab w:val="num" w:pos="993"/>
        </w:tabs>
        <w:spacing w:after="120"/>
        <w:ind w:left="993" w:hanging="426"/>
        <w:jc w:val="both"/>
        <w:rPr>
          <w:sz w:val="20"/>
        </w:rPr>
      </w:pPr>
      <w:r w:rsidRPr="00526311">
        <w:rPr>
          <w:sz w:val="20"/>
        </w:rPr>
        <w:t>En 2014, el número de decisiones registradas disminuyó en 0,3% frente a 2013, totalizando 521.208.  El número de decisiones tramitadas ha crecido rápidamente desde 2010.</w:t>
      </w:r>
    </w:p>
    <w:p w:rsidR="00B45FC3" w:rsidRPr="00526311" w:rsidRDefault="00B45FC3" w:rsidP="00B45FC3">
      <w:pPr>
        <w:widowControl w:val="0"/>
        <w:numPr>
          <w:ilvl w:val="0"/>
          <w:numId w:val="29"/>
        </w:numPr>
        <w:tabs>
          <w:tab w:val="clear" w:pos="720"/>
          <w:tab w:val="num" w:pos="993"/>
        </w:tabs>
        <w:spacing w:after="120"/>
        <w:ind w:left="993" w:hanging="426"/>
        <w:jc w:val="both"/>
        <w:rPr>
          <w:sz w:val="20"/>
        </w:rPr>
      </w:pPr>
      <w:r w:rsidRPr="00526311">
        <w:rPr>
          <w:sz w:val="20"/>
        </w:rPr>
        <w:t>En 2014, el 62% de las decisiones se tramitaron automáticamente.  La mayoría de las decisiones se han tramitado automáticamente desde 2011.</w:t>
      </w:r>
    </w:p>
    <w:p w:rsidR="00B45FC3" w:rsidRPr="00526311" w:rsidRDefault="00B45FC3" w:rsidP="0063039A">
      <w:pPr>
        <w:widowControl w:val="0"/>
        <w:jc w:val="both"/>
      </w:pPr>
    </w:p>
    <w:p w:rsidR="00B45FC3" w:rsidRPr="00526311" w:rsidRDefault="00B45FC3" w:rsidP="0063039A">
      <w:pPr>
        <w:pStyle w:val="ListParagraph"/>
        <w:widowControl w:val="0"/>
        <w:ind w:left="0"/>
        <w:jc w:val="both"/>
        <w:rPr>
          <w:rFonts w:cs="Arial"/>
          <w:u w:val="single"/>
          <w:lang w:val="es-ES"/>
        </w:rPr>
      </w:pPr>
      <w:r w:rsidRPr="00526311">
        <w:rPr>
          <w:rFonts w:cs="Arial"/>
          <w:u w:val="single"/>
          <w:lang w:val="es-ES"/>
        </w:rPr>
        <w:t>Correcciones</w:t>
      </w:r>
    </w:p>
    <w:p w:rsidR="00B45FC3" w:rsidRPr="00526311" w:rsidRDefault="00B45FC3" w:rsidP="0063039A">
      <w:pPr>
        <w:widowControl w:val="0"/>
        <w:jc w:val="center"/>
      </w:pPr>
      <w:r w:rsidRPr="00526311">
        <w:rPr>
          <w:noProof/>
          <w:lang w:val="en-US" w:eastAsia="en-US"/>
        </w:rPr>
        <w:drawing>
          <wp:inline distT="0" distB="0" distL="0" distR="0" wp14:anchorId="745E7B47" wp14:editId="67AC51DF">
            <wp:extent cx="5326911" cy="2487933"/>
            <wp:effectExtent l="0" t="0" r="7620" b="762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35129" cy="2491771"/>
                    </a:xfrm>
                    <a:prstGeom prst="rect">
                      <a:avLst/>
                    </a:prstGeom>
                    <a:noFill/>
                    <a:ln>
                      <a:noFill/>
                    </a:ln>
                  </pic:spPr>
                </pic:pic>
              </a:graphicData>
            </a:graphic>
          </wp:inline>
        </w:drawing>
      </w:r>
    </w:p>
    <w:p w:rsidR="00B45FC3" w:rsidRPr="00526311" w:rsidRDefault="00B45FC3" w:rsidP="0063039A">
      <w:pPr>
        <w:widowControl w:val="0"/>
        <w:jc w:val="center"/>
        <w:rPr>
          <w:sz w:val="20"/>
        </w:rPr>
      </w:pPr>
    </w:p>
    <w:p w:rsidR="00B45FC3" w:rsidRPr="00526311" w:rsidRDefault="00B45FC3" w:rsidP="00B45FC3">
      <w:pPr>
        <w:widowControl w:val="0"/>
        <w:numPr>
          <w:ilvl w:val="0"/>
          <w:numId w:val="29"/>
        </w:numPr>
        <w:tabs>
          <w:tab w:val="clear" w:pos="720"/>
          <w:tab w:val="num" w:pos="993"/>
        </w:tabs>
        <w:spacing w:after="120"/>
        <w:ind w:left="993" w:hanging="426"/>
        <w:jc w:val="both"/>
        <w:rPr>
          <w:sz w:val="20"/>
        </w:rPr>
      </w:pPr>
      <w:r w:rsidRPr="00526311">
        <w:rPr>
          <w:sz w:val="20"/>
        </w:rPr>
        <w:t>En 2014, la Oficina Internacional registró aproximadamente 6.000 correcciones.  Esto representa un aumento del 17% con respecto a 2013.</w:t>
      </w:r>
    </w:p>
    <w:p w:rsidR="00B45FC3" w:rsidRPr="00526311" w:rsidRDefault="00B45FC3" w:rsidP="0063039A">
      <w:pPr>
        <w:rPr>
          <w:sz w:val="20"/>
        </w:rPr>
      </w:pPr>
      <w:r w:rsidRPr="00526311">
        <w:rPr>
          <w:sz w:val="20"/>
        </w:rPr>
        <w:br w:type="page"/>
      </w:r>
    </w:p>
    <w:p w:rsidR="00B45FC3" w:rsidRPr="00526311" w:rsidRDefault="00B45FC3" w:rsidP="00B45FC3">
      <w:pPr>
        <w:pStyle w:val="ListParagraph"/>
        <w:widowControl w:val="0"/>
        <w:numPr>
          <w:ilvl w:val="0"/>
          <w:numId w:val="28"/>
        </w:numPr>
        <w:ind w:left="540" w:hanging="540"/>
        <w:contextualSpacing/>
        <w:jc w:val="both"/>
        <w:rPr>
          <w:rFonts w:cs="Arial"/>
          <w:b/>
          <w:lang w:val="es-ES"/>
        </w:rPr>
      </w:pPr>
      <w:r w:rsidRPr="00526311">
        <w:rPr>
          <w:rFonts w:cs="Arial"/>
          <w:b/>
          <w:lang w:val="es-ES"/>
        </w:rPr>
        <w:lastRenderedPageBreak/>
        <w:t>Volumen total de trabajo</w:t>
      </w:r>
    </w:p>
    <w:p w:rsidR="00B45FC3" w:rsidRPr="00526311" w:rsidRDefault="00B45FC3" w:rsidP="0063039A">
      <w:pPr>
        <w:widowControl w:val="0"/>
        <w:jc w:val="both"/>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El volumen total de trabajo corresponde al número total ponderado de los documentos tramitados por la Oficina Internacional.  En el total se incluyen las seis categorías de documentos mencionadas, a saber, las solicitudes, las renovaciones, las designaciones posteriores, los cambios, las decisiones y las correcciones.</w:t>
      </w:r>
    </w:p>
    <w:p w:rsidR="00B45FC3" w:rsidRPr="00526311" w:rsidRDefault="00B45FC3" w:rsidP="0063039A">
      <w:pPr>
        <w:widowControl w:val="0"/>
        <w:jc w:val="both"/>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 xml:space="preserve">En vista de que para la tramitación de esos tipos de documentos no se necesita la misma cantidad de recursos, se ponderan de manera diferente.  Según ese sistema de ponderación, en el tiempo necesario para tramitar una solicitud internacional, un examinador puede tramitar 1,6 renovaciones, 1,8 designaciones posteriores, 1,8 cambios o 10 decisiones.  Asimismo, en el tiempo necesario para tramitar una solicitud internacional, un empleado encargado de los procesos automáticos puede normalmente tramitar 17 documentos. </w:t>
      </w:r>
    </w:p>
    <w:p w:rsidR="00B45FC3" w:rsidRPr="00526311" w:rsidRDefault="00B45FC3" w:rsidP="0063039A">
      <w:pPr>
        <w:widowControl w:val="0"/>
        <w:jc w:val="both"/>
        <w:rPr>
          <w:sz w:val="16"/>
          <w:szCs w:val="16"/>
        </w:rPr>
      </w:pPr>
    </w:p>
    <w:p w:rsidR="00B45FC3" w:rsidRPr="00526311" w:rsidRDefault="00B45FC3" w:rsidP="0063039A">
      <w:pPr>
        <w:widowControl w:val="0"/>
        <w:jc w:val="center"/>
      </w:pPr>
      <w:r w:rsidRPr="00526311">
        <w:rPr>
          <w:noProof/>
          <w:lang w:val="en-US" w:eastAsia="en-US"/>
        </w:rPr>
        <w:drawing>
          <wp:inline distT="0" distB="0" distL="0" distR="0" wp14:anchorId="58CDB43F" wp14:editId="6688C5BA">
            <wp:extent cx="5039832" cy="2328531"/>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9165" cy="2332843"/>
                    </a:xfrm>
                    <a:prstGeom prst="rect">
                      <a:avLst/>
                    </a:prstGeom>
                    <a:noFill/>
                    <a:ln>
                      <a:noFill/>
                    </a:ln>
                  </pic:spPr>
                </pic:pic>
              </a:graphicData>
            </a:graphic>
          </wp:inline>
        </w:drawing>
      </w:r>
    </w:p>
    <w:p w:rsidR="00B45FC3" w:rsidRPr="00526311" w:rsidRDefault="00B45FC3" w:rsidP="0063039A">
      <w:pPr>
        <w:widowControl w:val="0"/>
        <w:jc w:val="center"/>
        <w:rPr>
          <w:sz w:val="20"/>
        </w:rPr>
      </w:pPr>
    </w:p>
    <w:p w:rsidR="00B45FC3" w:rsidRPr="00526311" w:rsidRDefault="00B45FC3" w:rsidP="00B45FC3">
      <w:pPr>
        <w:widowControl w:val="0"/>
        <w:numPr>
          <w:ilvl w:val="0"/>
          <w:numId w:val="29"/>
        </w:numPr>
        <w:tabs>
          <w:tab w:val="clear" w:pos="720"/>
          <w:tab w:val="num" w:pos="993"/>
        </w:tabs>
        <w:spacing w:after="120"/>
        <w:ind w:left="993" w:hanging="426"/>
        <w:jc w:val="both"/>
        <w:rPr>
          <w:sz w:val="20"/>
        </w:rPr>
      </w:pPr>
      <w:r w:rsidRPr="00526311">
        <w:rPr>
          <w:sz w:val="20"/>
        </w:rPr>
        <w:t>En 2014, el volumen total de trabajo se mantuvo estable en relación con 2013. Las solicitudes, las decisiones y los cambios representaron casi el 80% de la carga total de trabajo.</w:t>
      </w:r>
    </w:p>
    <w:p w:rsidR="00B45FC3" w:rsidRPr="00526311" w:rsidRDefault="00B45FC3" w:rsidP="00B45FC3">
      <w:pPr>
        <w:widowControl w:val="0"/>
        <w:numPr>
          <w:ilvl w:val="0"/>
          <w:numId w:val="29"/>
        </w:numPr>
        <w:tabs>
          <w:tab w:val="clear" w:pos="720"/>
          <w:tab w:val="num" w:pos="993"/>
        </w:tabs>
        <w:spacing w:after="120"/>
        <w:ind w:left="993" w:hanging="426"/>
        <w:jc w:val="both"/>
        <w:rPr>
          <w:sz w:val="20"/>
        </w:rPr>
      </w:pPr>
      <w:r w:rsidRPr="00526311">
        <w:rPr>
          <w:sz w:val="20"/>
        </w:rPr>
        <w:t>Entre 2011 y 2013, el volumen de trabajo aumentó notablemente, principalmente debido al creciente número de decisiones.</w:t>
      </w:r>
    </w:p>
    <w:p w:rsidR="00B45FC3" w:rsidRPr="00526311" w:rsidRDefault="00B45FC3" w:rsidP="0063039A">
      <w:pPr>
        <w:pStyle w:val="ListParagraph"/>
        <w:widowControl w:val="0"/>
        <w:ind w:left="1080"/>
        <w:jc w:val="both"/>
        <w:rPr>
          <w:rFonts w:cs="Arial"/>
          <w:lang w:val="es-ES"/>
        </w:rPr>
      </w:pPr>
    </w:p>
    <w:p w:rsidR="00B45FC3" w:rsidRPr="00526311" w:rsidRDefault="00B45FC3" w:rsidP="0063039A">
      <w:pPr>
        <w:pStyle w:val="ListParagraph"/>
        <w:widowControl w:val="0"/>
        <w:ind w:left="1080"/>
        <w:jc w:val="both"/>
        <w:rPr>
          <w:rFonts w:cs="Arial"/>
          <w:lang w:val="es-ES"/>
        </w:rPr>
      </w:pPr>
    </w:p>
    <w:p w:rsidR="00B45FC3" w:rsidRPr="00526311" w:rsidRDefault="00B45FC3" w:rsidP="00B45FC3">
      <w:pPr>
        <w:pStyle w:val="ListParagraph"/>
        <w:widowControl w:val="0"/>
        <w:numPr>
          <w:ilvl w:val="0"/>
          <w:numId w:val="28"/>
        </w:numPr>
        <w:ind w:left="567" w:hanging="567"/>
        <w:contextualSpacing/>
        <w:jc w:val="both"/>
        <w:rPr>
          <w:rFonts w:cs="Arial"/>
          <w:b/>
          <w:lang w:val="es-ES"/>
        </w:rPr>
      </w:pPr>
      <w:r w:rsidRPr="00526311">
        <w:rPr>
          <w:rFonts w:cs="Arial"/>
          <w:b/>
          <w:lang w:val="es-ES"/>
        </w:rPr>
        <w:t>Medios de transmisión de los documentos recibidos</w:t>
      </w:r>
    </w:p>
    <w:p w:rsidR="00B45FC3" w:rsidRPr="00526311" w:rsidRDefault="00B45FC3" w:rsidP="0063039A">
      <w:pPr>
        <w:pStyle w:val="ListParagraph"/>
        <w:widowControl w:val="0"/>
        <w:ind w:left="1080"/>
        <w:jc w:val="both"/>
        <w:rPr>
          <w:rFonts w:cs="Arial"/>
          <w:b/>
          <w:lang w:val="es-ES"/>
        </w:rPr>
      </w:pPr>
    </w:p>
    <w:p w:rsidR="00B45FC3" w:rsidRPr="00526311" w:rsidRDefault="00B45FC3" w:rsidP="0063039A">
      <w:pPr>
        <w:widowControl w:val="0"/>
        <w:jc w:val="center"/>
        <w:rPr>
          <w:noProof/>
        </w:rPr>
      </w:pPr>
      <w:r w:rsidRPr="00526311">
        <w:rPr>
          <w:noProof/>
          <w:lang w:val="en-US" w:eastAsia="en-US"/>
        </w:rPr>
        <w:drawing>
          <wp:inline distT="0" distB="0" distL="0" distR="0" wp14:anchorId="28165F8A" wp14:editId="7D5C0B58">
            <wp:extent cx="5252484" cy="2294171"/>
            <wp:effectExtent l="0" t="0" r="5715"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61832" cy="2298254"/>
                    </a:xfrm>
                    <a:prstGeom prst="rect">
                      <a:avLst/>
                    </a:prstGeom>
                    <a:noFill/>
                    <a:ln>
                      <a:noFill/>
                    </a:ln>
                  </pic:spPr>
                </pic:pic>
              </a:graphicData>
            </a:graphic>
          </wp:inline>
        </w:drawing>
      </w:r>
    </w:p>
    <w:p w:rsidR="00B45FC3" w:rsidRPr="00526311" w:rsidRDefault="00B45FC3" w:rsidP="00B45FC3">
      <w:pPr>
        <w:widowControl w:val="0"/>
        <w:numPr>
          <w:ilvl w:val="0"/>
          <w:numId w:val="29"/>
        </w:numPr>
        <w:tabs>
          <w:tab w:val="clear" w:pos="720"/>
          <w:tab w:val="num" w:pos="993"/>
        </w:tabs>
        <w:spacing w:after="120"/>
        <w:ind w:left="993" w:hanging="426"/>
        <w:jc w:val="both"/>
        <w:rPr>
          <w:sz w:val="20"/>
        </w:rPr>
      </w:pPr>
      <w:r w:rsidRPr="00526311">
        <w:rPr>
          <w:sz w:val="20"/>
        </w:rPr>
        <w:t xml:space="preserve">En 2014, el 66% de todos los documentos recibidos se transmitieron a la Oficina Internacional  por vía electrónica. </w:t>
      </w:r>
    </w:p>
    <w:p w:rsidR="00B45FC3" w:rsidRPr="00526311" w:rsidRDefault="00B45FC3" w:rsidP="00B45FC3">
      <w:pPr>
        <w:pStyle w:val="ListParagraph"/>
        <w:widowControl w:val="0"/>
        <w:numPr>
          <w:ilvl w:val="0"/>
          <w:numId w:val="31"/>
        </w:numPr>
        <w:tabs>
          <w:tab w:val="num" w:pos="993"/>
        </w:tabs>
        <w:spacing w:after="200"/>
        <w:ind w:left="993" w:hanging="426"/>
        <w:contextualSpacing/>
        <w:jc w:val="both"/>
        <w:rPr>
          <w:rFonts w:cs="Arial"/>
          <w:lang w:val="es-ES"/>
        </w:rPr>
      </w:pPr>
      <w:r w:rsidRPr="00526311">
        <w:rPr>
          <w:rFonts w:cs="Arial"/>
          <w:lang w:val="es-ES"/>
        </w:rPr>
        <w:t>El porcentaje de documentos transmitidos por vía electrónic</w:t>
      </w:r>
      <w:r w:rsidR="008B2537" w:rsidRPr="00526311">
        <w:rPr>
          <w:rFonts w:cs="Arial"/>
          <w:lang w:val="es-ES"/>
        </w:rPr>
        <w:t>a se ha mantenido estable desde </w:t>
      </w:r>
      <w:r w:rsidRPr="00526311">
        <w:rPr>
          <w:rFonts w:cs="Arial"/>
          <w:lang w:val="es-ES"/>
        </w:rPr>
        <w:t>2012.</w:t>
      </w:r>
    </w:p>
    <w:p w:rsidR="00B45FC3" w:rsidRPr="00526311" w:rsidRDefault="00B45FC3" w:rsidP="0063039A">
      <w:pPr>
        <w:widowControl w:val="0"/>
        <w:tabs>
          <w:tab w:val="num" w:pos="993"/>
        </w:tabs>
        <w:jc w:val="both"/>
      </w:pPr>
    </w:p>
    <w:p w:rsidR="00B45FC3" w:rsidRPr="00526311" w:rsidRDefault="00B45FC3" w:rsidP="00B45FC3">
      <w:pPr>
        <w:pStyle w:val="ListParagraph"/>
        <w:widowControl w:val="0"/>
        <w:numPr>
          <w:ilvl w:val="0"/>
          <w:numId w:val="28"/>
        </w:numPr>
        <w:ind w:left="567" w:hanging="567"/>
        <w:contextualSpacing/>
        <w:jc w:val="both"/>
        <w:rPr>
          <w:rFonts w:cs="Arial"/>
          <w:b/>
          <w:lang w:val="es-ES"/>
        </w:rPr>
      </w:pPr>
      <w:r w:rsidRPr="00526311">
        <w:rPr>
          <w:rFonts w:cs="Arial"/>
          <w:b/>
          <w:lang w:val="es-ES"/>
        </w:rPr>
        <w:t>Tramitación</w:t>
      </w:r>
    </w:p>
    <w:p w:rsidR="00B45FC3" w:rsidRPr="00526311" w:rsidRDefault="00B45FC3" w:rsidP="0063039A">
      <w:pPr>
        <w:widowControl w:val="0"/>
        <w:jc w:val="both"/>
      </w:pPr>
    </w:p>
    <w:p w:rsidR="00B45FC3" w:rsidRPr="00526311" w:rsidRDefault="00B45FC3" w:rsidP="0063039A">
      <w:pPr>
        <w:pStyle w:val="ListParagraph"/>
        <w:widowControl w:val="0"/>
        <w:ind w:left="0"/>
        <w:jc w:val="both"/>
        <w:rPr>
          <w:rFonts w:cs="Arial"/>
          <w:u w:val="single"/>
          <w:lang w:val="es-ES"/>
        </w:rPr>
      </w:pPr>
      <w:r w:rsidRPr="00526311">
        <w:rPr>
          <w:rFonts w:cs="Arial"/>
          <w:u w:val="single"/>
          <w:lang w:val="es-ES"/>
        </w:rPr>
        <w:t>Costo total de producción</w:t>
      </w:r>
    </w:p>
    <w:p w:rsidR="00B45FC3" w:rsidRPr="00526311" w:rsidRDefault="00B45FC3" w:rsidP="0063039A">
      <w:pPr>
        <w:pStyle w:val="ListParagraph"/>
        <w:widowControl w:val="0"/>
        <w:ind w:left="1440"/>
        <w:jc w:val="both"/>
        <w:rPr>
          <w:rFonts w:cs="Arial"/>
          <w:b/>
          <w:i/>
          <w:lang w:val="es-ES"/>
        </w:rPr>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Los costos totales de producción pueden ser directos o indirectos.  Los costos directos reflejan los gastos en que incurre la Oficina Internacional para administrar el Sistema de Madrid (como los gastos de gestión, traducción y registro).  Los costos indirectos reflejan los gastos efectuados para el apoyo de actividades (como los relativos a los edificios y a la tecnología de la información).  Estos últimos se ponderan para tener en cuenta únicamente la proporción imputable al Sistema del Madrid.</w:t>
      </w:r>
    </w:p>
    <w:p w:rsidR="00B45FC3" w:rsidRPr="00526311" w:rsidRDefault="00B45FC3" w:rsidP="0063039A">
      <w:pPr>
        <w:widowControl w:val="0"/>
        <w:jc w:val="center"/>
      </w:pPr>
      <w:r w:rsidRPr="00526311">
        <w:rPr>
          <w:noProof/>
          <w:lang w:val="en-US" w:eastAsia="en-US"/>
        </w:rPr>
        <w:drawing>
          <wp:inline distT="0" distB="0" distL="0" distR="0" wp14:anchorId="4F2C237B" wp14:editId="6B5A10E7">
            <wp:extent cx="4918088" cy="277032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30011" cy="2777036"/>
                    </a:xfrm>
                    <a:prstGeom prst="rect">
                      <a:avLst/>
                    </a:prstGeom>
                    <a:noFill/>
                    <a:ln>
                      <a:noFill/>
                    </a:ln>
                  </pic:spPr>
                </pic:pic>
              </a:graphicData>
            </a:graphic>
          </wp:inline>
        </w:drawing>
      </w:r>
    </w:p>
    <w:p w:rsidR="00B45FC3" w:rsidRPr="00526311" w:rsidRDefault="00B45FC3" w:rsidP="00B45FC3">
      <w:pPr>
        <w:pStyle w:val="ListParagraph"/>
        <w:widowControl w:val="0"/>
        <w:numPr>
          <w:ilvl w:val="0"/>
          <w:numId w:val="32"/>
        </w:numPr>
        <w:spacing w:after="200"/>
        <w:ind w:left="1134" w:hanging="567"/>
        <w:contextualSpacing/>
        <w:jc w:val="both"/>
        <w:rPr>
          <w:rFonts w:cs="Arial"/>
          <w:lang w:val="es-ES"/>
        </w:rPr>
      </w:pPr>
      <w:r w:rsidRPr="00526311">
        <w:rPr>
          <w:rFonts w:cs="Arial"/>
          <w:lang w:val="es-ES"/>
        </w:rPr>
        <w:t xml:space="preserve">Se calcula que el costo total de producción fue de 41,8 millones de francos suizos en 2014.  Esto supone un leve aumento del 0,1% con respecto a 2013. </w:t>
      </w:r>
    </w:p>
    <w:p w:rsidR="00B45FC3" w:rsidRPr="00526311" w:rsidRDefault="00B45FC3" w:rsidP="0063039A">
      <w:pPr>
        <w:pStyle w:val="ListParagraph"/>
        <w:widowControl w:val="0"/>
        <w:ind w:left="1134" w:hanging="567"/>
        <w:jc w:val="both"/>
        <w:rPr>
          <w:rFonts w:cs="Arial"/>
          <w:lang w:val="es-ES"/>
        </w:rPr>
      </w:pPr>
    </w:p>
    <w:p w:rsidR="00B45FC3" w:rsidRPr="00526311" w:rsidRDefault="00B45FC3" w:rsidP="00B45FC3">
      <w:pPr>
        <w:pStyle w:val="ListParagraph"/>
        <w:widowControl w:val="0"/>
        <w:numPr>
          <w:ilvl w:val="0"/>
          <w:numId w:val="32"/>
        </w:numPr>
        <w:ind w:left="1134" w:hanging="567"/>
        <w:contextualSpacing/>
        <w:jc w:val="both"/>
        <w:rPr>
          <w:rFonts w:cs="Arial"/>
          <w:lang w:val="es-ES"/>
        </w:rPr>
      </w:pPr>
      <w:r w:rsidRPr="00526311">
        <w:rPr>
          <w:rFonts w:cs="Arial"/>
          <w:lang w:val="es-ES"/>
        </w:rPr>
        <w:t xml:space="preserve">En 2014, los costos directos representaron el 61% de los costos totales. </w:t>
      </w:r>
    </w:p>
    <w:p w:rsidR="00B45FC3" w:rsidRPr="00526311" w:rsidRDefault="00B45FC3" w:rsidP="0063039A">
      <w:pPr>
        <w:widowControl w:val="0"/>
        <w:ind w:left="1134" w:hanging="567"/>
        <w:jc w:val="both"/>
      </w:pPr>
    </w:p>
    <w:p w:rsidR="00B45FC3" w:rsidRPr="00526311" w:rsidRDefault="00B45FC3" w:rsidP="0063039A">
      <w:pPr>
        <w:widowControl w:val="0"/>
        <w:ind w:left="1080"/>
        <w:jc w:val="both"/>
      </w:pPr>
    </w:p>
    <w:p w:rsidR="00B45FC3" w:rsidRPr="00526311" w:rsidRDefault="00B45FC3" w:rsidP="0063039A">
      <w:pPr>
        <w:pStyle w:val="ListParagraph"/>
        <w:widowControl w:val="0"/>
        <w:ind w:left="0"/>
        <w:jc w:val="both"/>
        <w:rPr>
          <w:rFonts w:cs="Arial"/>
          <w:u w:val="single"/>
          <w:lang w:val="es-ES"/>
        </w:rPr>
      </w:pPr>
      <w:r w:rsidRPr="00526311">
        <w:rPr>
          <w:rFonts w:cs="Arial"/>
          <w:u w:val="single"/>
          <w:lang w:val="es-ES"/>
        </w:rPr>
        <w:t xml:space="preserve">Costo unitario </w:t>
      </w:r>
    </w:p>
    <w:p w:rsidR="00B45FC3" w:rsidRPr="00526311" w:rsidRDefault="00B45FC3" w:rsidP="0063039A">
      <w:pPr>
        <w:widowControl w:val="0"/>
        <w:jc w:val="both"/>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La eficacia de la tramitación de las transacciones de la Oficina Internacional puede medirse por el costo unitario, que se define como el costo medio de producción de una unidad de producto.</w:t>
      </w:r>
    </w:p>
    <w:p w:rsidR="00B45FC3" w:rsidRPr="00526311" w:rsidRDefault="00B45FC3" w:rsidP="0063039A">
      <w:pPr>
        <w:widowControl w:val="0"/>
        <w:contextualSpacing/>
        <w:jc w:val="both"/>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Dado que la Oficina Internacional registra nuevas solicitudes y mantiene los registros existentes, resulta pertinente contar con una unidad de producto que englobe una serie de transacciones.  A continuación se presentan dos indicadores de costo unitario que utilizan dos unidades de producto diferentes.</w:t>
      </w:r>
    </w:p>
    <w:p w:rsidR="00B45FC3" w:rsidRPr="00526311" w:rsidRDefault="00B45FC3" w:rsidP="0063039A">
      <w:pPr>
        <w:pStyle w:val="ListParagraph"/>
        <w:widowControl w:val="0"/>
        <w:tabs>
          <w:tab w:val="left" w:pos="567"/>
        </w:tabs>
        <w:ind w:left="0"/>
        <w:jc w:val="both"/>
        <w:rPr>
          <w:rFonts w:cs="Arial"/>
          <w:lang w:val="es-ES"/>
        </w:rPr>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En el marco de las iniciativas de la Oficina Internacional para mejorar constantemente la metodología para el cálculo de los costos unitarios, se revisó dicha metodología en el Presupuesto por Programas de 2016/2017, con el fin de reflejar de forma más precisa el costo de la tramitación del volumen de trabajo relativo al Sistema de Madrid en la Oficina Internacional  :</w:t>
      </w:r>
    </w:p>
    <w:p w:rsidR="00B45FC3" w:rsidRPr="00526311" w:rsidRDefault="00B45FC3" w:rsidP="0063039A">
      <w:pPr>
        <w:pStyle w:val="ListParagraph"/>
        <w:widowControl w:val="0"/>
        <w:tabs>
          <w:tab w:val="left" w:pos="567"/>
        </w:tabs>
        <w:ind w:left="0"/>
        <w:jc w:val="both"/>
        <w:rPr>
          <w:rFonts w:cs="Arial"/>
          <w:lang w:val="es-ES"/>
        </w:rPr>
      </w:pPr>
    </w:p>
    <w:p w:rsidR="00B45FC3" w:rsidRPr="00526311" w:rsidRDefault="00B45FC3" w:rsidP="00B45FC3">
      <w:pPr>
        <w:pStyle w:val="ListParagraph"/>
        <w:widowControl w:val="0"/>
        <w:numPr>
          <w:ilvl w:val="0"/>
          <w:numId w:val="30"/>
        </w:numPr>
        <w:spacing w:after="200"/>
        <w:ind w:left="1134" w:hanging="567"/>
        <w:contextualSpacing/>
        <w:jc w:val="both"/>
        <w:rPr>
          <w:rFonts w:cs="Arial"/>
          <w:lang w:val="es-ES"/>
        </w:rPr>
      </w:pPr>
      <w:r w:rsidRPr="00526311">
        <w:rPr>
          <w:rFonts w:cs="Arial"/>
          <w:lang w:val="es-ES"/>
        </w:rPr>
        <w:t>La metodología para calcular los costos directos e indirectos del Sistema de Madrid se ha armonizado con las metodologías para calcular los costos unitarios del PCT y del Sistema de La Haya.</w:t>
      </w:r>
    </w:p>
    <w:p w:rsidR="00B45FC3" w:rsidRPr="00526311" w:rsidRDefault="00B45FC3" w:rsidP="0063039A">
      <w:pPr>
        <w:pStyle w:val="ListParagraph"/>
        <w:widowControl w:val="0"/>
        <w:ind w:left="1134" w:hanging="567"/>
        <w:jc w:val="both"/>
        <w:rPr>
          <w:rFonts w:cs="Arial"/>
          <w:lang w:val="es-ES"/>
        </w:rPr>
      </w:pPr>
    </w:p>
    <w:p w:rsidR="00B45FC3" w:rsidRPr="00526311" w:rsidRDefault="00B45FC3" w:rsidP="00B45FC3">
      <w:pPr>
        <w:pStyle w:val="ListParagraph"/>
        <w:widowControl w:val="0"/>
        <w:numPr>
          <w:ilvl w:val="0"/>
          <w:numId w:val="30"/>
        </w:numPr>
        <w:spacing w:after="200"/>
        <w:ind w:left="1134" w:hanging="567"/>
        <w:contextualSpacing/>
        <w:jc w:val="both"/>
        <w:rPr>
          <w:rFonts w:cs="Arial"/>
          <w:lang w:val="es-ES"/>
        </w:rPr>
      </w:pPr>
      <w:r w:rsidRPr="00526311">
        <w:rPr>
          <w:rFonts w:cs="Arial"/>
          <w:lang w:val="es-ES"/>
        </w:rPr>
        <w:t>Se ha puesto en marcha un sistema de ponderación que permite evaluar mejor el trabajo real necesario para tramitar las seis categorías de documentos, teniendo en cuenta que algunos de esos documentos requieren más mano de obra que otros.</w:t>
      </w:r>
      <w:r w:rsidRPr="00526311">
        <w:rPr>
          <w:rStyle w:val="FootnoteReference"/>
          <w:rFonts w:cs="Arial"/>
          <w:lang w:val="es-ES"/>
        </w:rPr>
        <w:footnoteReference w:id="14"/>
      </w:r>
    </w:p>
    <w:p w:rsidR="00B45FC3" w:rsidRPr="00526311" w:rsidRDefault="00B45FC3" w:rsidP="0063039A">
      <w:pPr>
        <w:pStyle w:val="ListParagraph"/>
        <w:widowControl w:val="0"/>
        <w:ind w:left="1134" w:hanging="567"/>
        <w:jc w:val="both"/>
        <w:rPr>
          <w:rFonts w:cs="Arial"/>
          <w:lang w:val="es-ES"/>
        </w:rPr>
      </w:pPr>
    </w:p>
    <w:p w:rsidR="00B45FC3" w:rsidRPr="00526311" w:rsidRDefault="00B45FC3" w:rsidP="00B45FC3">
      <w:pPr>
        <w:pStyle w:val="ListParagraph"/>
        <w:widowControl w:val="0"/>
        <w:numPr>
          <w:ilvl w:val="0"/>
          <w:numId w:val="30"/>
        </w:numPr>
        <w:spacing w:after="200"/>
        <w:contextualSpacing/>
        <w:jc w:val="both"/>
        <w:rPr>
          <w:rFonts w:cs="Arial"/>
          <w:lang w:val="es-ES"/>
        </w:rPr>
      </w:pPr>
      <w:r w:rsidRPr="00526311">
        <w:rPr>
          <w:rFonts w:cs="Arial"/>
          <w:lang w:val="es-ES"/>
        </w:rPr>
        <w:lastRenderedPageBreak/>
        <w:t>Se ha redefinido el primer costo unitario para incluir solo los nuevos registros internacionales  y sus renovaciones (el costo unitario en el Presupuesto por Programas de 2014/2015 también incluía las designaciones posteriores).  Se decidió retirar las designaciones posteriores del cálculo del costo unitario con el fin de dar más relevancia a los productos esenciales del Sistema de Madrid, a saber, los registros internacionales y sus renovaciones.  Todas las demás transacciones del Sistema de Madrid  (las designaciones posteriores, los cambios, las decisiones y correcciones) se pueden considerar secundarios frente a esas dos transacciones esenciales.  Además, no hay nada que justifique la inclusión de una de esas transacciones secundarias como componentes de los costos unitarios en detrimento de las demás.</w:t>
      </w:r>
    </w:p>
    <w:p w:rsidR="00B45FC3" w:rsidRPr="00526311" w:rsidRDefault="00B45FC3" w:rsidP="0063039A">
      <w:pPr>
        <w:pStyle w:val="ListParagraph"/>
        <w:widowControl w:val="0"/>
        <w:ind w:left="1134" w:hanging="567"/>
        <w:rPr>
          <w:rFonts w:cs="Arial"/>
          <w:lang w:val="es-ES"/>
        </w:rPr>
      </w:pPr>
    </w:p>
    <w:p w:rsidR="00B45FC3" w:rsidRPr="00526311" w:rsidRDefault="00B45FC3" w:rsidP="00B45FC3">
      <w:pPr>
        <w:pStyle w:val="ListParagraph"/>
        <w:widowControl w:val="0"/>
        <w:numPr>
          <w:ilvl w:val="0"/>
          <w:numId w:val="30"/>
        </w:numPr>
        <w:ind w:left="714" w:hanging="357"/>
        <w:contextualSpacing/>
        <w:jc w:val="both"/>
        <w:rPr>
          <w:rFonts w:cs="Arial"/>
          <w:lang w:val="es-ES"/>
        </w:rPr>
      </w:pPr>
      <w:r w:rsidRPr="00526311">
        <w:rPr>
          <w:rFonts w:cs="Arial"/>
          <w:lang w:val="es-ES"/>
        </w:rPr>
        <w:t>El segundo costo unitario se basa en el número de documentos inscritos en el registro más que en el número de inscripciones realizadas en razón de los diferentes tipos de actividades necesarias para tramitar los diversos documentos.</w:t>
      </w:r>
    </w:p>
    <w:p w:rsidR="00B45FC3" w:rsidRPr="00526311" w:rsidRDefault="00B45FC3" w:rsidP="0063039A">
      <w:pPr>
        <w:widowControl w:val="0"/>
        <w:jc w:val="both"/>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A efectos de comparación, en los gráficos que figuran a continuación se muestra la evolución de dos tipos de costos unitarios de 2008 a 2014 (Metodología antigua) y de 2012 a 2014 (Metodología nueva), con inclusión de un desglose de la contribución de los costos directos e indirectos.</w:t>
      </w:r>
    </w:p>
    <w:p w:rsidR="00B45FC3" w:rsidRPr="00526311" w:rsidRDefault="00B45FC3" w:rsidP="0063039A">
      <w:pPr>
        <w:widowControl w:val="0"/>
        <w:jc w:val="both"/>
      </w:pPr>
    </w:p>
    <w:p w:rsidR="00B45FC3" w:rsidRPr="00526311" w:rsidRDefault="00B45FC3" w:rsidP="0063039A">
      <w:pPr>
        <w:pStyle w:val="ListParagraph"/>
        <w:widowControl w:val="0"/>
        <w:tabs>
          <w:tab w:val="left" w:pos="1701"/>
        </w:tabs>
        <w:ind w:left="567"/>
        <w:jc w:val="both"/>
        <w:rPr>
          <w:rFonts w:cs="Arial"/>
          <w:i/>
          <w:lang w:val="es-ES"/>
        </w:rPr>
      </w:pPr>
      <w:r w:rsidRPr="00526311">
        <w:rPr>
          <w:rFonts w:cs="Arial"/>
          <w:i/>
          <w:lang w:val="es-ES"/>
        </w:rPr>
        <w:t>Costo unitario por registro internacional nuevo o renovado</w:t>
      </w:r>
    </w:p>
    <w:p w:rsidR="00B45FC3" w:rsidRPr="00526311" w:rsidRDefault="00B45FC3" w:rsidP="0063039A">
      <w:pPr>
        <w:widowControl w:val="0"/>
        <w:jc w:val="both"/>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Los nuevos registros internacionales consisten en solicitudes que se registran en un año dado y los registros internacionales renovados son los registros existentes que se renuevan en un año dado.  En conjunto, estos dos tipos de transacciones constituyen la actividad central de la Oficina Internacional.</w:t>
      </w:r>
    </w:p>
    <w:p w:rsidR="00B45FC3" w:rsidRPr="00526311" w:rsidRDefault="00B45FC3" w:rsidP="0063039A">
      <w:pPr>
        <w:widowControl w:val="0"/>
        <w:jc w:val="both"/>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En vista de que la tramitación de estos dos tipos de transacciones no exige la misma cantidad de recursos, cada uno se pondera de forma diferente</w:t>
      </w:r>
      <w:r w:rsidRPr="00526311">
        <w:rPr>
          <w:rStyle w:val="FootnoteReference"/>
          <w:rFonts w:cs="Arial"/>
          <w:lang w:val="es-ES"/>
        </w:rPr>
        <w:t xml:space="preserve"> </w:t>
      </w:r>
      <w:r w:rsidRPr="00526311">
        <w:rPr>
          <w:rStyle w:val="FootnoteReference"/>
          <w:rFonts w:cs="Arial"/>
          <w:lang w:val="es-ES"/>
        </w:rPr>
        <w:footnoteReference w:id="15"/>
      </w:r>
      <w:r w:rsidRPr="00526311">
        <w:rPr>
          <w:rFonts w:cs="Arial"/>
          <w:lang w:val="es-ES"/>
        </w:rPr>
        <w:t xml:space="preserve">.  Los costos unitarios se calculan dividiendo el costo total de producción  por el número de nuevos o renovados registros internacionales.  </w:t>
      </w:r>
    </w:p>
    <w:p w:rsidR="00B45FC3" w:rsidRPr="00526311" w:rsidRDefault="00B45FC3" w:rsidP="0063039A">
      <w:pPr>
        <w:widowControl w:val="0"/>
      </w:pPr>
    </w:p>
    <w:tbl>
      <w:tblPr>
        <w:tblStyle w:val="TableGrid"/>
        <w:tblW w:w="9464" w:type="dxa"/>
        <w:tblLayout w:type="fixed"/>
        <w:tblLook w:val="04A0" w:firstRow="1" w:lastRow="0" w:firstColumn="1" w:lastColumn="0" w:noHBand="0" w:noVBand="1"/>
      </w:tblPr>
      <w:tblGrid>
        <w:gridCol w:w="4503"/>
        <w:gridCol w:w="4961"/>
      </w:tblGrid>
      <w:tr w:rsidR="00B45FC3" w:rsidRPr="00526311" w:rsidTr="0063039A">
        <w:trPr>
          <w:cantSplit/>
        </w:trPr>
        <w:tc>
          <w:tcPr>
            <w:tcW w:w="4503" w:type="dxa"/>
          </w:tcPr>
          <w:p w:rsidR="00B45FC3" w:rsidRPr="00526311" w:rsidRDefault="00B45FC3" w:rsidP="0063039A">
            <w:pPr>
              <w:keepNext/>
              <w:widowControl w:val="0"/>
              <w:jc w:val="center"/>
            </w:pPr>
            <w:r w:rsidRPr="00526311">
              <w:t>Metodología antigua</w:t>
            </w:r>
          </w:p>
        </w:tc>
        <w:tc>
          <w:tcPr>
            <w:tcW w:w="4961" w:type="dxa"/>
          </w:tcPr>
          <w:p w:rsidR="00B45FC3" w:rsidRPr="00526311" w:rsidRDefault="00B45FC3" w:rsidP="0063039A">
            <w:pPr>
              <w:keepNext/>
              <w:widowControl w:val="0"/>
              <w:jc w:val="center"/>
            </w:pPr>
            <w:r w:rsidRPr="00526311">
              <w:t>Metodología nueva</w:t>
            </w:r>
          </w:p>
        </w:tc>
      </w:tr>
      <w:tr w:rsidR="00B45FC3" w:rsidRPr="00526311" w:rsidTr="0063039A">
        <w:trPr>
          <w:cantSplit/>
          <w:trHeight w:val="3125"/>
        </w:trPr>
        <w:tc>
          <w:tcPr>
            <w:tcW w:w="4503" w:type="dxa"/>
          </w:tcPr>
          <w:p w:rsidR="00B45FC3" w:rsidRPr="00526311" w:rsidRDefault="00B45FC3" w:rsidP="0063039A">
            <w:pPr>
              <w:widowControl w:val="0"/>
              <w:jc w:val="center"/>
            </w:pPr>
            <w:r w:rsidRPr="00526311">
              <w:rPr>
                <w:noProof/>
                <w:lang w:val="en-US" w:eastAsia="en-US"/>
              </w:rPr>
              <w:drawing>
                <wp:inline distT="0" distB="0" distL="0" distR="0" wp14:anchorId="79476B58" wp14:editId="43EE11B8">
                  <wp:extent cx="2679405" cy="1881963"/>
                  <wp:effectExtent l="0" t="0" r="6985" b="4445"/>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79310" cy="1881896"/>
                          </a:xfrm>
                          <a:prstGeom prst="rect">
                            <a:avLst/>
                          </a:prstGeom>
                          <a:noFill/>
                          <a:ln>
                            <a:noFill/>
                          </a:ln>
                        </pic:spPr>
                      </pic:pic>
                    </a:graphicData>
                  </a:graphic>
                </wp:inline>
              </w:drawing>
            </w:r>
          </w:p>
        </w:tc>
        <w:tc>
          <w:tcPr>
            <w:tcW w:w="4961" w:type="dxa"/>
          </w:tcPr>
          <w:p w:rsidR="00B45FC3" w:rsidRPr="00526311" w:rsidRDefault="00B45FC3" w:rsidP="0063039A">
            <w:pPr>
              <w:widowControl w:val="0"/>
              <w:jc w:val="center"/>
            </w:pPr>
            <w:r w:rsidRPr="00526311">
              <w:rPr>
                <w:noProof/>
                <w:lang w:val="en-US" w:eastAsia="en-US"/>
              </w:rPr>
              <w:drawing>
                <wp:inline distT="0" distB="0" distL="0" distR="0" wp14:anchorId="1F2A9856" wp14:editId="4022E293">
                  <wp:extent cx="2837423" cy="1935126"/>
                  <wp:effectExtent l="0" t="0" r="1270" b="825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48914" cy="1942963"/>
                          </a:xfrm>
                          <a:prstGeom prst="rect">
                            <a:avLst/>
                          </a:prstGeom>
                          <a:noFill/>
                          <a:ln>
                            <a:noFill/>
                          </a:ln>
                        </pic:spPr>
                      </pic:pic>
                    </a:graphicData>
                  </a:graphic>
                </wp:inline>
              </w:drawing>
            </w:r>
          </w:p>
        </w:tc>
      </w:tr>
    </w:tbl>
    <w:p w:rsidR="00B45FC3" w:rsidRPr="00526311" w:rsidRDefault="00B45FC3" w:rsidP="0063039A">
      <w:pPr>
        <w:widowControl w:val="0"/>
      </w:pPr>
    </w:p>
    <w:p w:rsidR="00B45FC3" w:rsidRPr="00526311" w:rsidRDefault="00B45FC3" w:rsidP="00B45FC3">
      <w:pPr>
        <w:pStyle w:val="ListParagraph"/>
        <w:widowControl w:val="0"/>
        <w:numPr>
          <w:ilvl w:val="0"/>
          <w:numId w:val="33"/>
        </w:numPr>
        <w:ind w:left="851" w:hanging="284"/>
        <w:contextualSpacing/>
        <w:jc w:val="both"/>
        <w:rPr>
          <w:rFonts w:cs="Arial"/>
          <w:lang w:val="es-ES"/>
        </w:rPr>
      </w:pPr>
      <w:r w:rsidRPr="00526311">
        <w:rPr>
          <w:rFonts w:cs="Arial"/>
          <w:lang w:val="es-ES"/>
        </w:rPr>
        <w:t>El costo medio de la tramitación de un registro internacional nuevo o renovado ascendió a 837 francos suizos en 2014.  Esto representa un aumento del 2,6% con respecto a 2013.  Ese aumento se debió esencialmente a que el costo de tramitación se mantuvo relativamente estable, conjuntamente con un descenso del 4,5% del número de solicitudes internacionales registradas.</w:t>
      </w:r>
    </w:p>
    <w:p w:rsidR="00B45FC3" w:rsidRPr="00526311" w:rsidRDefault="00B45FC3" w:rsidP="0063039A">
      <w:pPr>
        <w:widowControl w:val="0"/>
        <w:jc w:val="center"/>
      </w:pPr>
    </w:p>
    <w:p w:rsidR="00B45FC3" w:rsidRPr="00526311" w:rsidRDefault="00B45FC3" w:rsidP="0063039A">
      <w:pPr>
        <w:pStyle w:val="ListParagraph"/>
        <w:keepNext/>
        <w:keepLines/>
        <w:widowControl w:val="0"/>
        <w:tabs>
          <w:tab w:val="left" w:pos="1701"/>
        </w:tabs>
        <w:ind w:left="567"/>
        <w:jc w:val="both"/>
        <w:rPr>
          <w:rFonts w:cs="Arial"/>
          <w:i/>
          <w:lang w:val="es-ES"/>
        </w:rPr>
      </w:pPr>
      <w:r w:rsidRPr="00526311">
        <w:rPr>
          <w:rFonts w:cs="Arial"/>
          <w:i/>
          <w:lang w:val="es-ES"/>
        </w:rPr>
        <w:lastRenderedPageBreak/>
        <w:t>Costo unitario por documento inscrito en el registro</w:t>
      </w:r>
    </w:p>
    <w:p w:rsidR="00B45FC3" w:rsidRPr="00526311" w:rsidRDefault="00B45FC3" w:rsidP="0063039A">
      <w:pPr>
        <w:keepNext/>
        <w:keepLines/>
        <w:widowControl w:val="0"/>
        <w:jc w:val="both"/>
      </w:pPr>
    </w:p>
    <w:p w:rsidR="00B45FC3" w:rsidRPr="00526311" w:rsidRDefault="00B45FC3" w:rsidP="00B45FC3">
      <w:pPr>
        <w:pStyle w:val="ListParagraph"/>
        <w:keepNext/>
        <w:keepLines/>
        <w:widowControl w:val="0"/>
        <w:numPr>
          <w:ilvl w:val="0"/>
          <w:numId w:val="35"/>
        </w:numPr>
        <w:tabs>
          <w:tab w:val="left" w:pos="567"/>
        </w:tabs>
        <w:ind w:left="0" w:firstLine="0"/>
        <w:contextualSpacing/>
        <w:jc w:val="both"/>
        <w:rPr>
          <w:rFonts w:cs="Arial"/>
          <w:lang w:val="es-ES"/>
        </w:rPr>
      </w:pPr>
      <w:r w:rsidRPr="00526311">
        <w:rPr>
          <w:rFonts w:cs="Arial"/>
          <w:lang w:val="es-ES"/>
        </w:rPr>
        <w:t xml:space="preserve">Los documentos inscritos en el registro corresponden al volumen total de trabajo (véase el “volumen total de trabajo” arriba). </w:t>
      </w:r>
    </w:p>
    <w:p w:rsidR="00B45FC3" w:rsidRPr="00526311" w:rsidRDefault="00B45FC3" w:rsidP="0063039A">
      <w:pPr>
        <w:keepNext/>
        <w:keepLines/>
        <w:widowControl w:val="0"/>
        <w:jc w:val="center"/>
      </w:pPr>
    </w:p>
    <w:tbl>
      <w:tblPr>
        <w:tblStyle w:val="TableGrid"/>
        <w:tblW w:w="10173" w:type="dxa"/>
        <w:tblLayout w:type="fixed"/>
        <w:tblLook w:val="04A0" w:firstRow="1" w:lastRow="0" w:firstColumn="1" w:lastColumn="0" w:noHBand="0" w:noVBand="1"/>
      </w:tblPr>
      <w:tblGrid>
        <w:gridCol w:w="5177"/>
        <w:gridCol w:w="4996"/>
      </w:tblGrid>
      <w:tr w:rsidR="00B45FC3" w:rsidRPr="00526311" w:rsidTr="0063039A">
        <w:trPr>
          <w:cantSplit/>
          <w:trHeight w:val="273"/>
        </w:trPr>
        <w:tc>
          <w:tcPr>
            <w:tcW w:w="5177" w:type="dxa"/>
          </w:tcPr>
          <w:p w:rsidR="00B45FC3" w:rsidRPr="00526311" w:rsidRDefault="00B45FC3" w:rsidP="0063039A">
            <w:pPr>
              <w:keepNext/>
              <w:keepLines/>
              <w:widowControl w:val="0"/>
              <w:jc w:val="center"/>
            </w:pPr>
            <w:r w:rsidRPr="00526311">
              <w:t>Metodología antigua</w:t>
            </w:r>
          </w:p>
        </w:tc>
        <w:tc>
          <w:tcPr>
            <w:tcW w:w="4996" w:type="dxa"/>
          </w:tcPr>
          <w:p w:rsidR="00B45FC3" w:rsidRPr="00526311" w:rsidRDefault="00B45FC3" w:rsidP="0063039A">
            <w:pPr>
              <w:keepNext/>
              <w:keepLines/>
              <w:widowControl w:val="0"/>
              <w:jc w:val="center"/>
            </w:pPr>
            <w:r w:rsidRPr="00526311">
              <w:t>Metodología nueva</w:t>
            </w:r>
          </w:p>
        </w:tc>
      </w:tr>
      <w:tr w:rsidR="00B45FC3" w:rsidRPr="00526311" w:rsidTr="0063039A">
        <w:trPr>
          <w:cantSplit/>
          <w:trHeight w:val="3013"/>
        </w:trPr>
        <w:tc>
          <w:tcPr>
            <w:tcW w:w="5177" w:type="dxa"/>
          </w:tcPr>
          <w:p w:rsidR="00B45FC3" w:rsidRPr="00526311" w:rsidRDefault="00B45FC3" w:rsidP="0063039A">
            <w:pPr>
              <w:keepNext/>
              <w:keepLines/>
              <w:widowControl w:val="0"/>
              <w:jc w:val="center"/>
            </w:pPr>
            <w:r w:rsidRPr="00526311">
              <w:rPr>
                <w:noProof/>
                <w:lang w:val="en-US" w:eastAsia="en-US"/>
              </w:rPr>
              <w:drawing>
                <wp:inline distT="0" distB="0" distL="0" distR="0" wp14:anchorId="155AF83F" wp14:editId="5DF2505E">
                  <wp:extent cx="3147060" cy="1828800"/>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47060" cy="1828800"/>
                          </a:xfrm>
                          <a:prstGeom prst="rect">
                            <a:avLst/>
                          </a:prstGeom>
                          <a:noFill/>
                          <a:ln>
                            <a:noFill/>
                          </a:ln>
                        </pic:spPr>
                      </pic:pic>
                    </a:graphicData>
                  </a:graphic>
                </wp:inline>
              </w:drawing>
            </w:r>
          </w:p>
        </w:tc>
        <w:tc>
          <w:tcPr>
            <w:tcW w:w="4996" w:type="dxa"/>
          </w:tcPr>
          <w:p w:rsidR="00B45FC3" w:rsidRPr="00526311" w:rsidRDefault="00B45FC3" w:rsidP="0063039A">
            <w:pPr>
              <w:keepNext/>
              <w:keepLines/>
              <w:widowControl w:val="0"/>
              <w:jc w:val="center"/>
            </w:pPr>
            <w:r w:rsidRPr="00526311">
              <w:rPr>
                <w:noProof/>
                <w:lang w:val="en-US" w:eastAsia="en-US"/>
              </w:rPr>
              <w:drawing>
                <wp:inline distT="0" distB="0" distL="0" distR="0" wp14:anchorId="34020AEE" wp14:editId="4D6A0BB3">
                  <wp:extent cx="3030279" cy="182880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30220" cy="1828764"/>
                          </a:xfrm>
                          <a:prstGeom prst="rect">
                            <a:avLst/>
                          </a:prstGeom>
                          <a:noFill/>
                          <a:ln>
                            <a:noFill/>
                          </a:ln>
                        </pic:spPr>
                      </pic:pic>
                    </a:graphicData>
                  </a:graphic>
                </wp:inline>
              </w:drawing>
            </w:r>
          </w:p>
        </w:tc>
      </w:tr>
    </w:tbl>
    <w:p w:rsidR="00B45FC3" w:rsidRPr="00526311" w:rsidRDefault="00B45FC3" w:rsidP="0063039A">
      <w:pPr>
        <w:keepNext/>
        <w:keepLines/>
        <w:widowControl w:val="0"/>
        <w:jc w:val="center"/>
      </w:pPr>
    </w:p>
    <w:p w:rsidR="00B45FC3" w:rsidRPr="00526311" w:rsidRDefault="00B45FC3" w:rsidP="00B45FC3">
      <w:pPr>
        <w:pStyle w:val="ListParagraph"/>
        <w:keepNext/>
        <w:keepLines/>
        <w:widowControl w:val="0"/>
        <w:numPr>
          <w:ilvl w:val="0"/>
          <w:numId w:val="33"/>
        </w:numPr>
        <w:contextualSpacing/>
        <w:jc w:val="both"/>
        <w:rPr>
          <w:rFonts w:cs="Arial"/>
          <w:lang w:val="es-ES"/>
        </w:rPr>
      </w:pPr>
      <w:r w:rsidRPr="00526311">
        <w:rPr>
          <w:rFonts w:cs="Arial"/>
          <w:lang w:val="es-ES"/>
        </w:rPr>
        <w:t xml:space="preserve">El costo medio de la inscripción de un documento en el registro aumentó ligeramente de 320 francos suizos en 2012 a 322 francos suizos en 2014. </w:t>
      </w:r>
    </w:p>
    <w:p w:rsidR="00B45FC3" w:rsidRPr="00526311" w:rsidRDefault="00B45FC3" w:rsidP="0063039A">
      <w:pPr>
        <w:pStyle w:val="ListParagraph"/>
        <w:widowControl w:val="0"/>
        <w:ind w:left="1417"/>
        <w:jc w:val="both"/>
        <w:rPr>
          <w:rFonts w:cs="Arial"/>
          <w:lang w:val="es-ES"/>
        </w:rPr>
      </w:pPr>
    </w:p>
    <w:p w:rsidR="00B45FC3" w:rsidRPr="00526311" w:rsidRDefault="00B45FC3" w:rsidP="0063039A">
      <w:pPr>
        <w:widowControl w:val="0"/>
        <w:jc w:val="both"/>
      </w:pPr>
    </w:p>
    <w:p w:rsidR="00B45FC3" w:rsidRPr="00526311" w:rsidRDefault="00B45FC3" w:rsidP="00B45FC3">
      <w:pPr>
        <w:pStyle w:val="ListParagraph"/>
        <w:widowControl w:val="0"/>
        <w:numPr>
          <w:ilvl w:val="0"/>
          <w:numId w:val="28"/>
        </w:numPr>
        <w:ind w:left="567" w:hanging="567"/>
        <w:contextualSpacing/>
        <w:jc w:val="both"/>
        <w:rPr>
          <w:rFonts w:cs="Arial"/>
          <w:b/>
          <w:lang w:val="es-ES"/>
        </w:rPr>
      </w:pPr>
      <w:r w:rsidRPr="00526311">
        <w:rPr>
          <w:rFonts w:cs="Arial"/>
          <w:b/>
          <w:lang w:val="es-ES"/>
        </w:rPr>
        <w:t>Productividad del examen</w:t>
      </w:r>
    </w:p>
    <w:p w:rsidR="00B45FC3" w:rsidRPr="00526311" w:rsidRDefault="00B45FC3" w:rsidP="0063039A">
      <w:pPr>
        <w:widowControl w:val="0"/>
        <w:jc w:val="both"/>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 xml:space="preserve">La productividad del proceso de examen se puede definir como el número de registros internacionales nuevos o renovados tramitados por los examinadores, dividido por el número de empleados que participaron en el examen.  En el número de empleados se cuentan los becarios, los pasantes y el personal externo. </w:t>
      </w:r>
    </w:p>
    <w:p w:rsidR="00B45FC3" w:rsidRPr="00526311" w:rsidRDefault="00B45FC3" w:rsidP="0063039A">
      <w:pPr>
        <w:widowControl w:val="0"/>
        <w:jc w:val="center"/>
      </w:pPr>
      <w:r w:rsidRPr="00526311">
        <w:rPr>
          <w:noProof/>
          <w:lang w:val="en-US" w:eastAsia="en-US"/>
        </w:rPr>
        <w:drawing>
          <wp:inline distT="0" distB="0" distL="0" distR="0" wp14:anchorId="784FB78D" wp14:editId="2541A126">
            <wp:extent cx="5720317" cy="2869011"/>
            <wp:effectExtent l="0" t="0" r="0" b="762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8825" cy="2878293"/>
                    </a:xfrm>
                    <a:prstGeom prst="rect">
                      <a:avLst/>
                    </a:prstGeom>
                    <a:noFill/>
                    <a:ln>
                      <a:noFill/>
                    </a:ln>
                  </pic:spPr>
                </pic:pic>
              </a:graphicData>
            </a:graphic>
          </wp:inline>
        </w:drawing>
      </w:r>
    </w:p>
    <w:p w:rsidR="00B45FC3" w:rsidRPr="00526311" w:rsidRDefault="00B45FC3" w:rsidP="00B45FC3">
      <w:pPr>
        <w:pStyle w:val="ListParagraph"/>
        <w:widowControl w:val="0"/>
        <w:numPr>
          <w:ilvl w:val="0"/>
          <w:numId w:val="33"/>
        </w:numPr>
        <w:ind w:left="1134" w:hanging="567"/>
        <w:contextualSpacing/>
        <w:jc w:val="both"/>
        <w:rPr>
          <w:rFonts w:cs="Arial"/>
          <w:lang w:val="es-ES"/>
        </w:rPr>
      </w:pPr>
      <w:r w:rsidRPr="00526311">
        <w:rPr>
          <w:rFonts w:cs="Arial"/>
          <w:lang w:val="es-ES"/>
        </w:rPr>
        <w:t>La productividad del proceso de examen se mantuvo relativamente estable en 2014 frente a la registrada en 2013.</w:t>
      </w:r>
    </w:p>
    <w:p w:rsidR="00B45FC3" w:rsidRPr="00526311" w:rsidRDefault="00B45FC3" w:rsidP="0063039A">
      <w:pPr>
        <w:pStyle w:val="ListParagraph"/>
        <w:widowControl w:val="0"/>
        <w:jc w:val="both"/>
        <w:rPr>
          <w:rFonts w:cs="Arial"/>
          <w:lang w:val="es-ES"/>
        </w:rPr>
      </w:pPr>
    </w:p>
    <w:p w:rsidR="00B45FC3" w:rsidRPr="00526311" w:rsidRDefault="00B45FC3" w:rsidP="00B45FC3">
      <w:pPr>
        <w:pStyle w:val="ListParagraph"/>
        <w:keepNext/>
        <w:keepLines/>
        <w:widowControl w:val="0"/>
        <w:numPr>
          <w:ilvl w:val="0"/>
          <w:numId w:val="28"/>
        </w:numPr>
        <w:ind w:left="567" w:hanging="567"/>
        <w:contextualSpacing/>
        <w:jc w:val="both"/>
        <w:rPr>
          <w:rFonts w:cs="Arial"/>
          <w:b/>
          <w:lang w:val="es-ES"/>
        </w:rPr>
      </w:pPr>
      <w:r w:rsidRPr="00526311">
        <w:rPr>
          <w:rFonts w:cs="Arial"/>
          <w:b/>
          <w:lang w:val="es-ES"/>
        </w:rPr>
        <w:lastRenderedPageBreak/>
        <w:t>Personal</w:t>
      </w:r>
    </w:p>
    <w:p w:rsidR="00B45FC3" w:rsidRPr="00526311" w:rsidRDefault="00B45FC3" w:rsidP="0063039A">
      <w:pPr>
        <w:keepNext/>
        <w:keepLines/>
        <w:widowControl w:val="0"/>
        <w:jc w:val="both"/>
        <w:rPr>
          <w:b/>
        </w:rPr>
      </w:pPr>
    </w:p>
    <w:p w:rsidR="00B45FC3" w:rsidRPr="00526311" w:rsidRDefault="00B45FC3" w:rsidP="0063039A">
      <w:pPr>
        <w:pStyle w:val="ListParagraph"/>
        <w:keepNext/>
        <w:keepLines/>
        <w:widowControl w:val="0"/>
        <w:ind w:left="0"/>
        <w:jc w:val="center"/>
        <w:rPr>
          <w:rFonts w:cs="Arial"/>
          <w:lang w:val="es-ES"/>
        </w:rPr>
      </w:pPr>
      <w:r w:rsidRPr="00526311">
        <w:rPr>
          <w:rFonts w:cs="Arial"/>
          <w:noProof/>
        </w:rPr>
        <w:drawing>
          <wp:inline distT="0" distB="0" distL="0" distR="0" wp14:anchorId="61CFEB1F" wp14:editId="007BE692">
            <wp:extent cx="5103628" cy="2471674"/>
            <wp:effectExtent l="0" t="0" r="1905" b="5080"/>
            <wp:docPr id="8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18084" cy="2478675"/>
                    </a:xfrm>
                    <a:prstGeom prst="rect">
                      <a:avLst/>
                    </a:prstGeom>
                    <a:noFill/>
                    <a:ln>
                      <a:noFill/>
                    </a:ln>
                  </pic:spPr>
                </pic:pic>
              </a:graphicData>
            </a:graphic>
          </wp:inline>
        </w:drawing>
      </w:r>
    </w:p>
    <w:p w:rsidR="00B45FC3" w:rsidRPr="00526311" w:rsidRDefault="00B45FC3" w:rsidP="0063039A">
      <w:pPr>
        <w:pStyle w:val="ListParagraph"/>
        <w:keepNext/>
        <w:keepLines/>
        <w:widowControl w:val="0"/>
        <w:ind w:left="0"/>
        <w:jc w:val="center"/>
        <w:rPr>
          <w:rFonts w:cs="Arial"/>
          <w:lang w:val="es-ES"/>
        </w:rPr>
      </w:pPr>
    </w:p>
    <w:p w:rsidR="00B45FC3" w:rsidRPr="00526311" w:rsidRDefault="00B45FC3" w:rsidP="00B45FC3">
      <w:pPr>
        <w:pStyle w:val="ListParagraph"/>
        <w:keepNext/>
        <w:keepLines/>
        <w:widowControl w:val="0"/>
        <w:numPr>
          <w:ilvl w:val="0"/>
          <w:numId w:val="33"/>
        </w:numPr>
        <w:spacing w:after="120"/>
        <w:ind w:left="993" w:hanging="426"/>
        <w:jc w:val="both"/>
        <w:rPr>
          <w:rFonts w:cs="Arial"/>
          <w:lang w:val="es-ES"/>
        </w:rPr>
      </w:pPr>
      <w:r w:rsidRPr="00526311">
        <w:rPr>
          <w:rFonts w:cs="Arial"/>
          <w:lang w:val="es-ES"/>
        </w:rPr>
        <w:t>El número de empleados se ha mantenido relativamente estable desde 2010, aunque el número de recursos flexibles aumentó de 1 persona en 2012 a 12 en 2014.</w:t>
      </w:r>
    </w:p>
    <w:p w:rsidR="00B45FC3" w:rsidRPr="00526311" w:rsidRDefault="00B45FC3" w:rsidP="00B45FC3">
      <w:pPr>
        <w:pStyle w:val="ListParagraph"/>
        <w:widowControl w:val="0"/>
        <w:numPr>
          <w:ilvl w:val="0"/>
          <w:numId w:val="33"/>
        </w:numPr>
        <w:spacing w:after="120"/>
        <w:ind w:left="993" w:hanging="426"/>
        <w:jc w:val="both"/>
        <w:rPr>
          <w:rFonts w:cs="Arial"/>
          <w:lang w:val="es-ES"/>
        </w:rPr>
      </w:pPr>
      <w:r w:rsidRPr="00526311">
        <w:rPr>
          <w:rFonts w:cs="Arial"/>
          <w:lang w:val="es-ES"/>
        </w:rPr>
        <w:t>Los empleados que proceden de empresas de contratación que no trabajan en los locales de la OMPI no se incluyen en este indicador.</w:t>
      </w:r>
    </w:p>
    <w:p w:rsidR="00B45FC3" w:rsidRPr="00526311" w:rsidRDefault="00B45FC3" w:rsidP="0063039A">
      <w:pPr>
        <w:widowControl w:val="0"/>
        <w:ind w:left="567" w:hanging="567"/>
        <w:rPr>
          <w:b/>
          <w:u w:val="single"/>
        </w:rPr>
      </w:pPr>
    </w:p>
    <w:p w:rsidR="00B45FC3" w:rsidRPr="00526311" w:rsidRDefault="00B45FC3" w:rsidP="00B45FC3">
      <w:pPr>
        <w:pStyle w:val="ListParagraph"/>
        <w:widowControl w:val="0"/>
        <w:numPr>
          <w:ilvl w:val="0"/>
          <w:numId w:val="28"/>
        </w:numPr>
        <w:ind w:left="567" w:hanging="567"/>
        <w:contextualSpacing/>
        <w:jc w:val="both"/>
        <w:rPr>
          <w:rFonts w:cs="Arial"/>
          <w:b/>
          <w:lang w:val="es-ES"/>
        </w:rPr>
      </w:pPr>
      <w:r w:rsidRPr="00526311">
        <w:rPr>
          <w:rFonts w:cs="Arial"/>
          <w:b/>
          <w:lang w:val="es-ES"/>
        </w:rPr>
        <w:t>Tiempo de tramitación</w:t>
      </w:r>
    </w:p>
    <w:p w:rsidR="00B45FC3" w:rsidRPr="00526311" w:rsidRDefault="00B45FC3" w:rsidP="0063039A">
      <w:pPr>
        <w:pStyle w:val="ListParagraph"/>
        <w:widowControl w:val="0"/>
        <w:ind w:left="567" w:hanging="567"/>
        <w:jc w:val="both"/>
        <w:rPr>
          <w:rFonts w:cs="Arial"/>
          <w:lang w:val="es-ES"/>
        </w:rPr>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A continuación se muestra el tiempo medio de tramitación para las seis transacciones realizadas por la Oficina Internacional.  Ese tiempo se calcula desde la fecha en que se recibe el documento hasta la fecha en que se inscribe.</w:t>
      </w:r>
    </w:p>
    <w:p w:rsidR="00B45FC3" w:rsidRPr="00526311" w:rsidRDefault="00B45FC3" w:rsidP="0063039A">
      <w:pPr>
        <w:pStyle w:val="ListParagraph"/>
        <w:widowControl w:val="0"/>
        <w:ind w:left="0"/>
        <w:jc w:val="both"/>
        <w:rPr>
          <w:rFonts w:cs="Arial"/>
          <w:lang w:val="es-ES"/>
        </w:rPr>
      </w:pPr>
    </w:p>
    <w:tbl>
      <w:tblPr>
        <w:tblStyle w:val="TableGrid"/>
        <w:tblW w:w="0" w:type="auto"/>
        <w:jc w:val="center"/>
        <w:tblLook w:val="04A0" w:firstRow="1" w:lastRow="0" w:firstColumn="1" w:lastColumn="0" w:noHBand="0" w:noVBand="1"/>
      </w:tblPr>
      <w:tblGrid>
        <w:gridCol w:w="4750"/>
        <w:gridCol w:w="4719"/>
      </w:tblGrid>
      <w:tr w:rsidR="00B45FC3" w:rsidRPr="00526311" w:rsidTr="0063039A">
        <w:trPr>
          <w:trHeight w:val="3298"/>
          <w:jc w:val="center"/>
        </w:trPr>
        <w:tc>
          <w:tcPr>
            <w:tcW w:w="4560" w:type="dxa"/>
          </w:tcPr>
          <w:p w:rsidR="00B45FC3" w:rsidRPr="00526311" w:rsidRDefault="00B45FC3" w:rsidP="0063039A">
            <w:pPr>
              <w:widowControl w:val="0"/>
              <w:jc w:val="both"/>
            </w:pPr>
            <w:r w:rsidRPr="00526311">
              <w:rPr>
                <w:noProof/>
                <w:lang w:val="en-US" w:eastAsia="en-US"/>
              </w:rPr>
              <w:drawing>
                <wp:inline distT="0" distB="0" distL="0" distR="0" wp14:anchorId="2C492E81" wp14:editId="0E89DEF0">
                  <wp:extent cx="2806996" cy="1881962"/>
                  <wp:effectExtent l="0" t="0" r="0" b="444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15077" cy="1887380"/>
                          </a:xfrm>
                          <a:prstGeom prst="rect">
                            <a:avLst/>
                          </a:prstGeom>
                          <a:noFill/>
                          <a:ln>
                            <a:noFill/>
                          </a:ln>
                        </pic:spPr>
                      </pic:pic>
                    </a:graphicData>
                  </a:graphic>
                </wp:inline>
              </w:drawing>
            </w:r>
          </w:p>
        </w:tc>
        <w:tc>
          <w:tcPr>
            <w:tcW w:w="4591" w:type="dxa"/>
          </w:tcPr>
          <w:p w:rsidR="00B45FC3" w:rsidRPr="00526311" w:rsidRDefault="00B45FC3" w:rsidP="0063039A">
            <w:pPr>
              <w:widowControl w:val="0"/>
              <w:jc w:val="both"/>
            </w:pPr>
            <w:r w:rsidRPr="00526311">
              <w:rPr>
                <w:noProof/>
                <w:lang w:val="en-US" w:eastAsia="en-US"/>
              </w:rPr>
              <w:drawing>
                <wp:inline distT="0" distB="0" distL="0" distR="0" wp14:anchorId="5A3A5485" wp14:editId="0AC964C6">
                  <wp:extent cx="2785730" cy="1881962"/>
                  <wp:effectExtent l="0" t="0" r="0" b="444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90082" cy="1884902"/>
                          </a:xfrm>
                          <a:prstGeom prst="rect">
                            <a:avLst/>
                          </a:prstGeom>
                          <a:noFill/>
                          <a:ln>
                            <a:noFill/>
                          </a:ln>
                        </pic:spPr>
                      </pic:pic>
                    </a:graphicData>
                  </a:graphic>
                </wp:inline>
              </w:drawing>
            </w:r>
          </w:p>
        </w:tc>
      </w:tr>
      <w:tr w:rsidR="00B45FC3" w:rsidRPr="00526311" w:rsidTr="0063039A">
        <w:trPr>
          <w:trHeight w:val="3418"/>
          <w:jc w:val="center"/>
        </w:trPr>
        <w:tc>
          <w:tcPr>
            <w:tcW w:w="4560" w:type="dxa"/>
          </w:tcPr>
          <w:p w:rsidR="00B45FC3" w:rsidRPr="00526311" w:rsidRDefault="00B45FC3" w:rsidP="0063039A">
            <w:pPr>
              <w:widowControl w:val="0"/>
              <w:jc w:val="both"/>
            </w:pPr>
            <w:r w:rsidRPr="00526311">
              <w:rPr>
                <w:noProof/>
                <w:lang w:val="en-US" w:eastAsia="en-US"/>
              </w:rPr>
              <w:drawing>
                <wp:inline distT="0" distB="0" distL="0" distR="0" wp14:anchorId="6B2BB1C1" wp14:editId="064F314D">
                  <wp:extent cx="2879437" cy="204142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79401" cy="2041395"/>
                          </a:xfrm>
                          <a:prstGeom prst="rect">
                            <a:avLst/>
                          </a:prstGeom>
                          <a:noFill/>
                          <a:ln>
                            <a:noFill/>
                          </a:ln>
                        </pic:spPr>
                      </pic:pic>
                    </a:graphicData>
                  </a:graphic>
                </wp:inline>
              </w:drawing>
            </w:r>
          </w:p>
        </w:tc>
        <w:tc>
          <w:tcPr>
            <w:tcW w:w="4591" w:type="dxa"/>
          </w:tcPr>
          <w:p w:rsidR="00B45FC3" w:rsidRPr="00526311" w:rsidRDefault="00B45FC3" w:rsidP="0063039A">
            <w:pPr>
              <w:widowControl w:val="0"/>
              <w:jc w:val="both"/>
            </w:pPr>
            <w:r w:rsidRPr="00526311">
              <w:rPr>
                <w:noProof/>
                <w:lang w:val="en-US" w:eastAsia="en-US"/>
              </w:rPr>
              <w:drawing>
                <wp:inline distT="0" distB="0" distL="0" distR="0" wp14:anchorId="272317F0" wp14:editId="085A182D">
                  <wp:extent cx="2785730" cy="2041451"/>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86954" cy="2042348"/>
                          </a:xfrm>
                          <a:prstGeom prst="rect">
                            <a:avLst/>
                          </a:prstGeom>
                          <a:noFill/>
                          <a:ln>
                            <a:noFill/>
                          </a:ln>
                        </pic:spPr>
                      </pic:pic>
                    </a:graphicData>
                  </a:graphic>
                </wp:inline>
              </w:drawing>
            </w:r>
          </w:p>
        </w:tc>
      </w:tr>
      <w:tr w:rsidR="00B45FC3" w:rsidRPr="00526311" w:rsidTr="0063039A">
        <w:trPr>
          <w:trHeight w:val="3194"/>
          <w:jc w:val="center"/>
        </w:trPr>
        <w:tc>
          <w:tcPr>
            <w:tcW w:w="4560" w:type="dxa"/>
          </w:tcPr>
          <w:p w:rsidR="00B45FC3" w:rsidRPr="00526311" w:rsidRDefault="00B45FC3" w:rsidP="0063039A">
            <w:pPr>
              <w:widowControl w:val="0"/>
              <w:jc w:val="both"/>
            </w:pPr>
            <w:r w:rsidRPr="00526311">
              <w:rPr>
                <w:noProof/>
                <w:lang w:val="en-US" w:eastAsia="en-US"/>
              </w:rPr>
              <w:lastRenderedPageBreak/>
              <w:drawing>
                <wp:inline distT="0" distB="0" distL="0" distR="0" wp14:anchorId="035E1C7D" wp14:editId="4C77AC58">
                  <wp:extent cx="2861943" cy="1925918"/>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63045" cy="1926660"/>
                          </a:xfrm>
                          <a:prstGeom prst="rect">
                            <a:avLst/>
                          </a:prstGeom>
                          <a:noFill/>
                          <a:ln>
                            <a:noFill/>
                          </a:ln>
                        </pic:spPr>
                      </pic:pic>
                    </a:graphicData>
                  </a:graphic>
                </wp:inline>
              </w:drawing>
            </w:r>
          </w:p>
        </w:tc>
        <w:tc>
          <w:tcPr>
            <w:tcW w:w="4591" w:type="dxa"/>
          </w:tcPr>
          <w:p w:rsidR="00B45FC3" w:rsidRPr="00526311" w:rsidRDefault="00B45FC3" w:rsidP="0063039A">
            <w:pPr>
              <w:widowControl w:val="0"/>
              <w:jc w:val="both"/>
            </w:pPr>
            <w:r w:rsidRPr="00526311">
              <w:rPr>
                <w:noProof/>
                <w:lang w:val="en-US" w:eastAsia="en-US"/>
              </w:rPr>
              <w:drawing>
                <wp:inline distT="0" distB="0" distL="0" distR="0" wp14:anchorId="261B8A01" wp14:editId="098A20A2">
                  <wp:extent cx="2859937" cy="2029784"/>
                  <wp:effectExtent l="0" t="0" r="0" b="889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60058" cy="2029870"/>
                          </a:xfrm>
                          <a:prstGeom prst="rect">
                            <a:avLst/>
                          </a:prstGeom>
                          <a:noFill/>
                          <a:ln>
                            <a:noFill/>
                          </a:ln>
                        </pic:spPr>
                      </pic:pic>
                    </a:graphicData>
                  </a:graphic>
                </wp:inline>
              </w:drawing>
            </w:r>
          </w:p>
        </w:tc>
      </w:tr>
    </w:tbl>
    <w:p w:rsidR="00B45FC3" w:rsidRPr="00526311" w:rsidRDefault="00B45FC3" w:rsidP="0063039A">
      <w:pPr>
        <w:widowControl w:val="0"/>
        <w:jc w:val="both"/>
      </w:pPr>
    </w:p>
    <w:p w:rsidR="00B45FC3" w:rsidRPr="00526311" w:rsidRDefault="00B45FC3" w:rsidP="00B45FC3">
      <w:pPr>
        <w:pStyle w:val="ListParagraph"/>
        <w:widowControl w:val="0"/>
        <w:numPr>
          <w:ilvl w:val="0"/>
          <w:numId w:val="34"/>
        </w:numPr>
        <w:spacing w:after="120"/>
        <w:ind w:left="993" w:hanging="426"/>
        <w:jc w:val="both"/>
        <w:rPr>
          <w:rFonts w:cs="Arial"/>
          <w:lang w:val="es-ES"/>
        </w:rPr>
      </w:pPr>
      <w:r w:rsidRPr="00526311">
        <w:rPr>
          <w:rFonts w:cs="Arial"/>
          <w:lang w:val="es-ES"/>
        </w:rPr>
        <w:t>El tiempo medio de tramitación en 2014 aumentó frente al de 2013 para las solicitudes, las correcciones, los cambios y las designaciones posteriores.  El tiempo medio de tramitación para las renovaciones se mantuvo estable, mientras que el de las decisiones descendió por segundo año consecutivo.</w:t>
      </w:r>
    </w:p>
    <w:p w:rsidR="00B45FC3" w:rsidRPr="00526311" w:rsidRDefault="00B45FC3" w:rsidP="00B45FC3">
      <w:pPr>
        <w:pStyle w:val="ListParagraph"/>
        <w:widowControl w:val="0"/>
        <w:numPr>
          <w:ilvl w:val="0"/>
          <w:numId w:val="34"/>
        </w:numPr>
        <w:spacing w:after="200"/>
        <w:ind w:left="993" w:hanging="426"/>
        <w:contextualSpacing/>
        <w:jc w:val="both"/>
        <w:rPr>
          <w:rFonts w:cs="Arial"/>
          <w:lang w:val="es-ES"/>
        </w:rPr>
      </w:pPr>
      <w:r w:rsidRPr="00526311">
        <w:rPr>
          <w:rFonts w:cs="Arial"/>
          <w:lang w:val="es-ES"/>
        </w:rPr>
        <w:t>Uno de los principales objetivos que se ha fijado la Oficina Internacional es mejorar y estabilizar los tiempos de tramitación para todas las transacciones.</w:t>
      </w:r>
    </w:p>
    <w:p w:rsidR="00B45FC3" w:rsidRPr="00526311" w:rsidRDefault="00B45FC3" w:rsidP="0063039A">
      <w:pPr>
        <w:pStyle w:val="ListParagraph"/>
        <w:widowControl w:val="0"/>
        <w:ind w:left="993"/>
        <w:jc w:val="both"/>
        <w:rPr>
          <w:rFonts w:cs="Arial"/>
          <w:lang w:val="es-ES"/>
        </w:rPr>
      </w:pPr>
    </w:p>
    <w:p w:rsidR="00B45FC3" w:rsidRPr="00526311" w:rsidRDefault="00B45FC3" w:rsidP="0063039A">
      <w:pPr>
        <w:autoSpaceDE w:val="0"/>
        <w:autoSpaceDN w:val="0"/>
        <w:jc w:val="both"/>
      </w:pPr>
    </w:p>
    <w:p w:rsidR="00B45FC3" w:rsidRPr="00526311" w:rsidRDefault="00B45FC3" w:rsidP="0063039A">
      <w:pPr>
        <w:autoSpaceDE w:val="0"/>
        <w:autoSpaceDN w:val="0"/>
        <w:jc w:val="both"/>
      </w:pPr>
    </w:p>
    <w:p w:rsidR="00B45FC3" w:rsidRPr="00526311" w:rsidRDefault="00B45FC3">
      <w:pPr>
        <w:rPr>
          <w:bCs/>
          <w:iCs/>
          <w:caps/>
          <w:szCs w:val="28"/>
        </w:rPr>
      </w:pPr>
      <w:r w:rsidRPr="00526311">
        <w:br w:type="page"/>
      </w:r>
    </w:p>
    <w:p w:rsidR="00B45FC3" w:rsidRPr="00526311" w:rsidRDefault="00B45FC3" w:rsidP="0063039A">
      <w:pPr>
        <w:pStyle w:val="Heading2"/>
        <w:keepNext w:val="0"/>
        <w:widowControl w:val="0"/>
        <w:tabs>
          <w:tab w:val="left" w:pos="2410"/>
        </w:tabs>
        <w:ind w:left="2410" w:hanging="2410"/>
        <w:rPr>
          <w:b/>
        </w:rPr>
      </w:pPr>
      <w:bookmarkStart w:id="30" w:name="_Toc422927411"/>
      <w:r w:rsidRPr="00526311">
        <w:rPr>
          <w:b/>
        </w:rPr>
        <w:lastRenderedPageBreak/>
        <w:t>PROGRAMA 31</w:t>
      </w:r>
      <w:r w:rsidRPr="00526311">
        <w:rPr>
          <w:b/>
        </w:rPr>
        <w:tab/>
        <w:t>SISTEMA DE LA HAYA</w:t>
      </w:r>
      <w:bookmarkEnd w:id="30"/>
    </w:p>
    <w:p w:rsidR="00B45FC3" w:rsidRPr="00526311" w:rsidRDefault="00B45FC3" w:rsidP="0063039A">
      <w:pPr>
        <w:widowControl w:val="0"/>
      </w:pPr>
    </w:p>
    <w:p w:rsidR="00B45FC3" w:rsidRPr="00526311" w:rsidRDefault="00B45FC3" w:rsidP="0063039A">
      <w:pPr>
        <w:widowControl w:val="0"/>
        <w:tabs>
          <w:tab w:val="left" w:pos="2410"/>
        </w:tabs>
        <w:rPr>
          <w:b/>
          <w:sz w:val="20"/>
        </w:rPr>
      </w:pPr>
      <w:r w:rsidRPr="00526311">
        <w:rPr>
          <w:b/>
          <w:sz w:val="20"/>
        </w:rPr>
        <w:t>Directora de programa</w:t>
      </w:r>
      <w:r w:rsidRPr="00526311">
        <w:rPr>
          <w:b/>
          <w:sz w:val="20"/>
        </w:rPr>
        <w:tab/>
        <w:t>Sra. B. Wang</w:t>
      </w:r>
    </w:p>
    <w:p w:rsidR="00B45FC3" w:rsidRPr="00526311" w:rsidRDefault="00B45FC3" w:rsidP="0063039A">
      <w:pPr>
        <w:widowControl w:val="0"/>
        <w:rPr>
          <w:sz w:val="20"/>
        </w:rPr>
      </w:pPr>
    </w:p>
    <w:p w:rsidR="00B45FC3" w:rsidRPr="00526311" w:rsidRDefault="00B45FC3" w:rsidP="0063039A">
      <w:pPr>
        <w:widowControl w:val="0"/>
        <w:rPr>
          <w:sz w:val="20"/>
        </w:rPr>
      </w:pPr>
    </w:p>
    <w:p w:rsidR="00B45FC3" w:rsidRPr="00526311" w:rsidRDefault="00B45FC3" w:rsidP="0063039A">
      <w:pPr>
        <w:widowControl w:val="0"/>
        <w:rPr>
          <w:bCs/>
          <w:szCs w:val="22"/>
        </w:rPr>
      </w:pPr>
      <w:r w:rsidRPr="00526311">
        <w:rPr>
          <w:bCs/>
          <w:szCs w:val="22"/>
        </w:rPr>
        <w:t>RESEÑA DE LOS AVANCES LOGRADOS EN 2014</w:t>
      </w:r>
    </w:p>
    <w:p w:rsidR="00B45FC3" w:rsidRPr="00526311" w:rsidRDefault="00B45FC3" w:rsidP="0063039A">
      <w:pPr>
        <w:widowControl w:val="0"/>
      </w:pPr>
    </w:p>
    <w:p w:rsidR="00B45FC3" w:rsidRPr="00526311" w:rsidRDefault="00B45FC3" w:rsidP="00B45FC3">
      <w:pPr>
        <w:pStyle w:val="ListParagraph"/>
        <w:widowControl w:val="0"/>
        <w:numPr>
          <w:ilvl w:val="0"/>
          <w:numId w:val="37"/>
        </w:numPr>
        <w:tabs>
          <w:tab w:val="left" w:pos="709"/>
        </w:tabs>
        <w:ind w:left="0" w:firstLine="0"/>
        <w:jc w:val="both"/>
        <w:rPr>
          <w:lang w:val="es-ES"/>
        </w:rPr>
      </w:pPr>
      <w:r w:rsidRPr="00526311">
        <w:rPr>
          <w:lang w:val="es-ES"/>
        </w:rPr>
        <w:t xml:space="preserve">En 2014, la República de Corea pasó a ser parte en el Acta de Ginebra (1999) del Arreglo de La Haya relativo al registro internacional de dibujos y modelos industriales (denominado en lo sucesivo "el Acta de 1999").  </w:t>
      </w:r>
      <w:r w:rsidRPr="00526311">
        <w:rPr>
          <w:color w:val="000000"/>
          <w:lang w:val="es-ES"/>
        </w:rPr>
        <w:t xml:space="preserve">Las adhesiones de otros posibles miembros, en particular el </w:t>
      </w:r>
      <w:r w:rsidRPr="00526311">
        <w:rPr>
          <w:lang w:val="es-ES"/>
        </w:rPr>
        <w:t xml:space="preserve">Japón y los Estados Unidos de América, </w:t>
      </w:r>
      <w:r w:rsidRPr="00526311">
        <w:rPr>
          <w:color w:val="000000"/>
          <w:lang w:val="es-ES"/>
        </w:rPr>
        <w:t xml:space="preserve">fueron aplazadas para 2015, lo que se tradujo en un crecimiento inferior a lo previsto en el número de miembros.  Además, a fines </w:t>
      </w:r>
      <w:r w:rsidRPr="00526311">
        <w:rPr>
          <w:lang w:val="es-ES"/>
        </w:rPr>
        <w:t>de 2014, todavía se necesitaban tres autorizaciones para el cese de la aplicación del Acta de 1934, y cuatro Partes Contratantes al margen de la UE y la OAPI continuaban obligadas por el Acta de 1960.</w:t>
      </w:r>
    </w:p>
    <w:p w:rsidR="00B45FC3" w:rsidRPr="00526311" w:rsidRDefault="00B45FC3" w:rsidP="0063039A">
      <w:pPr>
        <w:widowControl w:val="0"/>
        <w:tabs>
          <w:tab w:val="left" w:pos="709"/>
        </w:tabs>
        <w:jc w:val="both"/>
      </w:pPr>
    </w:p>
    <w:p w:rsidR="00B45FC3" w:rsidRPr="00526311" w:rsidRDefault="00B45FC3" w:rsidP="00B45FC3">
      <w:pPr>
        <w:pStyle w:val="ListParagraph"/>
        <w:widowControl w:val="0"/>
        <w:numPr>
          <w:ilvl w:val="0"/>
          <w:numId w:val="37"/>
        </w:numPr>
        <w:tabs>
          <w:tab w:val="left" w:pos="709"/>
        </w:tabs>
        <w:ind w:left="0" w:firstLine="0"/>
        <w:jc w:val="both"/>
        <w:rPr>
          <w:lang w:val="es-ES"/>
        </w:rPr>
      </w:pPr>
      <w:r w:rsidRPr="00526311">
        <w:rPr>
          <w:color w:val="000000"/>
          <w:lang w:val="es-ES"/>
        </w:rPr>
        <w:t xml:space="preserve">En 2014, se lograron avances significativos en la mejora del marco jurídico del </w:t>
      </w:r>
      <w:r w:rsidRPr="00526311">
        <w:rPr>
          <w:lang w:val="es-ES"/>
        </w:rPr>
        <w:t xml:space="preserve">Sistema de La Haya.  </w:t>
      </w:r>
      <w:r w:rsidRPr="00526311">
        <w:rPr>
          <w:color w:val="000000"/>
          <w:lang w:val="es-ES"/>
        </w:rPr>
        <w:t xml:space="preserve">Cabe destacar que, tras la cuarta reunión del Grupo de Trabajo sobre el Desarrollo Jurídico del Sistema de La Haya para el Registro Internacional de Dibujos y Modelos Industriales, la Asamblea de la Unión de La Haya adoptó disposiciones que permitieron la introducción de un "mecanismo de información". </w:t>
      </w:r>
      <w:r w:rsidRPr="00526311">
        <w:rPr>
          <w:lang w:val="es-ES"/>
        </w:rPr>
        <w:t xml:space="preserve"> </w:t>
      </w:r>
      <w:r w:rsidRPr="00526311">
        <w:rPr>
          <w:color w:val="000000"/>
          <w:lang w:val="es-ES"/>
        </w:rPr>
        <w:t xml:space="preserve">Además, se modificaron las Instrucciones Administrativas para que los usuarios dispongan de mayor flexibilidad respecto de la divulgación formal de sus dibujos y modelos. </w:t>
      </w:r>
      <w:r w:rsidRPr="00526311">
        <w:rPr>
          <w:lang w:val="es-ES"/>
        </w:rPr>
        <w:t xml:space="preserve"> </w:t>
      </w:r>
      <w:r w:rsidRPr="00526311">
        <w:rPr>
          <w:color w:val="000000"/>
          <w:lang w:val="es-ES"/>
        </w:rPr>
        <w:t xml:space="preserve">Estos dos hechos establecen los cimientos necesarios para avanzar en la tan esperada expansión a jurisdicciones donde se llevan a </w:t>
      </w:r>
      <w:r w:rsidRPr="00526311">
        <w:rPr>
          <w:lang w:val="es-ES"/>
        </w:rPr>
        <w:t>cabo exámenes sustantivos</w:t>
      </w:r>
      <w:r w:rsidRPr="00526311">
        <w:rPr>
          <w:color w:val="000000"/>
          <w:lang w:val="es-ES"/>
        </w:rPr>
        <w:t>.</w:t>
      </w:r>
      <w:r w:rsidRPr="00526311">
        <w:rPr>
          <w:lang w:val="es-ES"/>
        </w:rPr>
        <w:t xml:space="preserve">  </w:t>
      </w:r>
      <w:r w:rsidRPr="00526311">
        <w:rPr>
          <w:color w:val="000000"/>
          <w:lang w:val="es-ES"/>
        </w:rPr>
        <w:t xml:space="preserve">Además de las modificaciones realizadas a la interfaz de presentación electrónica de solicitudes con miras a la adhesión de la </w:t>
      </w:r>
      <w:r w:rsidRPr="00526311">
        <w:rPr>
          <w:lang w:val="es-ES"/>
        </w:rPr>
        <w:t>República de Corea</w:t>
      </w:r>
      <w:r w:rsidRPr="00526311">
        <w:rPr>
          <w:color w:val="000000"/>
          <w:lang w:val="es-ES"/>
        </w:rPr>
        <w:t>, el Sistema debería estar mejor equipado para hacer frente a las complejidades adicionales que surgirán con las adhesiones previstas.</w:t>
      </w:r>
    </w:p>
    <w:p w:rsidR="00B45FC3" w:rsidRPr="00526311" w:rsidRDefault="00B45FC3" w:rsidP="0063039A">
      <w:pPr>
        <w:widowControl w:val="0"/>
        <w:tabs>
          <w:tab w:val="left" w:pos="709"/>
        </w:tabs>
        <w:jc w:val="both"/>
      </w:pPr>
    </w:p>
    <w:p w:rsidR="00B45FC3" w:rsidRPr="00526311" w:rsidRDefault="00B45FC3" w:rsidP="00B45FC3">
      <w:pPr>
        <w:pStyle w:val="ListParagraph"/>
        <w:widowControl w:val="0"/>
        <w:numPr>
          <w:ilvl w:val="0"/>
          <w:numId w:val="37"/>
        </w:numPr>
        <w:tabs>
          <w:tab w:val="left" w:pos="709"/>
        </w:tabs>
        <w:ind w:left="0" w:firstLine="0"/>
        <w:jc w:val="both"/>
        <w:rPr>
          <w:lang w:val="es-ES"/>
        </w:rPr>
      </w:pPr>
      <w:r w:rsidRPr="00526311">
        <w:rPr>
          <w:color w:val="000000"/>
          <w:lang w:val="es-ES"/>
        </w:rPr>
        <w:t>El número de solicitudes presentadas también fue considerablemente menor a lo previsto para 2014, a pesar del aumento general de dibujos y modelos presentados y de registros internacionales inscritos.</w:t>
      </w:r>
      <w:r w:rsidRPr="00526311">
        <w:rPr>
          <w:lang w:val="es-ES"/>
        </w:rPr>
        <w:t xml:space="preserve">  </w:t>
      </w:r>
      <w:r w:rsidRPr="00526311">
        <w:rPr>
          <w:color w:val="000000"/>
          <w:lang w:val="es-ES"/>
        </w:rPr>
        <w:t xml:space="preserve">Como resultado de ello, se avanzó muy poco en la flexibilización de la base de datos puesto que esa tarea debía ser realizada solamente una vez que se hubiera obtenido la experiencia necesaria a partir del aumento del número de miembros.  No obstante, se siguió avanzando en la introducción de procesos más automatizados en la plataforma existente de tecnologías de la información, con la automatización de un nuevo proceso (declaración de concesión de la protección) </w:t>
      </w:r>
      <w:r w:rsidR="002B55A2" w:rsidRPr="00526311">
        <w:rPr>
          <w:color w:val="000000"/>
          <w:lang w:val="es-ES"/>
        </w:rPr>
        <w:t xml:space="preserve">en </w:t>
      </w:r>
      <w:r w:rsidRPr="00526311">
        <w:rPr>
          <w:color w:val="000000"/>
          <w:lang w:val="es-ES"/>
        </w:rPr>
        <w:t>2014, elevando a tres los procesos automatizados.</w:t>
      </w:r>
    </w:p>
    <w:p w:rsidR="00B45FC3" w:rsidRPr="00526311" w:rsidRDefault="00B45FC3" w:rsidP="0063039A">
      <w:pPr>
        <w:widowControl w:val="0"/>
        <w:tabs>
          <w:tab w:val="left" w:pos="709"/>
        </w:tabs>
        <w:jc w:val="both"/>
      </w:pPr>
    </w:p>
    <w:p w:rsidR="00B45FC3" w:rsidRPr="00526311" w:rsidRDefault="00B45FC3" w:rsidP="00B45FC3">
      <w:pPr>
        <w:pStyle w:val="ListParagraph"/>
        <w:widowControl w:val="0"/>
        <w:numPr>
          <w:ilvl w:val="0"/>
          <w:numId w:val="37"/>
        </w:numPr>
        <w:tabs>
          <w:tab w:val="left" w:pos="709"/>
        </w:tabs>
        <w:ind w:left="0" w:firstLine="0"/>
        <w:jc w:val="both"/>
        <w:rPr>
          <w:lang w:val="es-ES"/>
        </w:rPr>
      </w:pPr>
      <w:r w:rsidRPr="00526311">
        <w:rPr>
          <w:lang w:val="es-ES"/>
        </w:rPr>
        <w:t>Para el diseño, la planificación y la ejecución de las actividades del programa 31 se tomó como base y guía las recomendaciones pertinentes de la Agenda para el Desarrollo, en particular las recomendaciones 1 y 6.</w:t>
      </w:r>
    </w:p>
    <w:p w:rsidR="00B45FC3" w:rsidRPr="00526311" w:rsidRDefault="00B45FC3" w:rsidP="0063039A">
      <w:pPr>
        <w:widowControl w:val="0"/>
        <w:rPr>
          <w:bCs/>
          <w:szCs w:val="22"/>
        </w:rPr>
      </w:pPr>
    </w:p>
    <w:p w:rsidR="00B45FC3" w:rsidRPr="00526311" w:rsidRDefault="00B45FC3" w:rsidP="0063039A">
      <w:pPr>
        <w:widowControl w:val="0"/>
        <w:rPr>
          <w:bCs/>
          <w:szCs w:val="22"/>
        </w:rPr>
      </w:pPr>
    </w:p>
    <w:p w:rsidR="00B45FC3" w:rsidRPr="00526311" w:rsidRDefault="00B45FC3" w:rsidP="0063039A">
      <w:pPr>
        <w:widowControl w:val="0"/>
        <w:rPr>
          <w:szCs w:val="22"/>
        </w:rPr>
      </w:pPr>
      <w:r w:rsidRPr="00526311">
        <w:rPr>
          <w:szCs w:val="22"/>
        </w:rPr>
        <w:t>DATOS SOBRE EL RENDIMIENTO</w:t>
      </w:r>
    </w:p>
    <w:p w:rsidR="00B45FC3" w:rsidRPr="00526311" w:rsidRDefault="00B45FC3" w:rsidP="0063039A">
      <w:pPr>
        <w:widowControl w:val="0"/>
        <w:rPr>
          <w:bCs/>
          <w:szCs w:val="22"/>
        </w:rPr>
      </w:pPr>
    </w:p>
    <w:tbl>
      <w:tblPr>
        <w:tblW w:w="479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2"/>
        <w:gridCol w:w="9"/>
        <w:gridCol w:w="35"/>
        <w:gridCol w:w="2124"/>
        <w:gridCol w:w="90"/>
        <w:gridCol w:w="1541"/>
        <w:gridCol w:w="39"/>
        <w:gridCol w:w="31"/>
        <w:gridCol w:w="1987"/>
        <w:gridCol w:w="1243"/>
      </w:tblGrid>
      <w:tr w:rsidR="00B45FC3" w:rsidRPr="00526311" w:rsidTr="0063039A">
        <w:trPr>
          <w:cantSplit/>
          <w:trHeight w:val="559"/>
        </w:trPr>
        <w:tc>
          <w:tcPr>
            <w:tcW w:w="5000" w:type="pct"/>
            <w:gridSpan w:val="10"/>
            <w:tcBorders>
              <w:top w:val="single" w:sz="4" w:space="0" w:color="auto"/>
              <w:bottom w:val="single" w:sz="4" w:space="0" w:color="auto"/>
            </w:tcBorders>
            <w:shd w:val="clear" w:color="auto" w:fill="CCFFFF"/>
            <w:vAlign w:val="center"/>
          </w:tcPr>
          <w:p w:rsidR="00B45FC3" w:rsidRPr="00526311" w:rsidRDefault="00B45FC3" w:rsidP="0063039A">
            <w:pPr>
              <w:widowControl w:val="0"/>
              <w:tabs>
                <w:tab w:val="left" w:pos="2019"/>
              </w:tabs>
              <w:ind w:left="2019" w:hanging="2019"/>
              <w:rPr>
                <w:b/>
                <w:bCs/>
                <w:sz w:val="16"/>
                <w:szCs w:val="16"/>
              </w:rPr>
            </w:pPr>
            <w:r w:rsidRPr="00526311">
              <w:rPr>
                <w:b/>
                <w:bCs/>
                <w:color w:val="000000"/>
                <w:sz w:val="16"/>
                <w:szCs w:val="16"/>
              </w:rPr>
              <w:t>Resultados previstos</w:t>
            </w:r>
            <w:r w:rsidRPr="00526311">
              <w:rPr>
                <w:bCs/>
                <w:sz w:val="16"/>
                <w:szCs w:val="16"/>
              </w:rPr>
              <w:t>:</w:t>
            </w:r>
            <w:r w:rsidRPr="00526311">
              <w:rPr>
                <w:bCs/>
              </w:rPr>
              <w:t xml:space="preserve"> </w:t>
            </w:r>
            <w:r w:rsidRPr="00526311">
              <w:rPr>
                <w:bCs/>
              </w:rPr>
              <w:tab/>
            </w:r>
            <w:r w:rsidRPr="00526311">
              <w:rPr>
                <w:bCs/>
                <w:sz w:val="16"/>
                <w:szCs w:val="16"/>
              </w:rPr>
              <w:t xml:space="preserve">II.4 </w:t>
            </w:r>
            <w:r w:rsidRPr="00526311">
              <w:rPr>
                <w:sz w:val="16"/>
                <w:szCs w:val="16"/>
              </w:rPr>
              <w:t>Ampliación</w:t>
            </w:r>
            <w:r w:rsidRPr="00526311">
              <w:rPr>
                <w:bCs/>
                <w:sz w:val="16"/>
                <w:szCs w:val="16"/>
              </w:rPr>
              <w:t xml:space="preserve"> y mejora del uso del Sistema de La Haya por los países en desarrollo y los PMA, entre otros</w:t>
            </w:r>
          </w:p>
        </w:tc>
      </w:tr>
      <w:tr w:rsidR="00B45FC3" w:rsidRPr="00526311" w:rsidTr="0063039A">
        <w:trPr>
          <w:cantSplit/>
        </w:trPr>
        <w:tc>
          <w:tcPr>
            <w:tcW w:w="1134" w:type="pct"/>
            <w:tcBorders>
              <w:top w:val="single" w:sz="4" w:space="0" w:color="auto"/>
            </w:tcBorders>
            <w:shd w:val="clear" w:color="auto" w:fill="auto"/>
            <w:vAlign w:val="center"/>
          </w:tcPr>
          <w:p w:rsidR="00B45FC3" w:rsidRPr="00526311" w:rsidRDefault="00B45FC3" w:rsidP="0063039A">
            <w:pPr>
              <w:widowControl w:val="0"/>
              <w:rPr>
                <w:sz w:val="16"/>
                <w:szCs w:val="16"/>
              </w:rPr>
            </w:pPr>
            <w:r w:rsidRPr="00526311">
              <w:rPr>
                <w:b/>
                <w:sz w:val="16"/>
                <w:szCs w:val="16"/>
              </w:rPr>
              <w:t>Indicadores de rendimiento</w:t>
            </w:r>
          </w:p>
        </w:tc>
        <w:tc>
          <w:tcPr>
            <w:tcW w:w="1230" w:type="pct"/>
            <w:gridSpan w:val="4"/>
            <w:tcBorders>
              <w:top w:val="single" w:sz="4" w:space="0" w:color="auto"/>
            </w:tcBorders>
            <w:shd w:val="clear" w:color="auto" w:fill="auto"/>
            <w:vAlign w:val="center"/>
          </w:tcPr>
          <w:p w:rsidR="00B45FC3" w:rsidRPr="00526311" w:rsidRDefault="00B45FC3" w:rsidP="0063039A">
            <w:pPr>
              <w:widowControl w:val="0"/>
              <w:rPr>
                <w:b/>
                <w:bCs/>
                <w:sz w:val="16"/>
                <w:szCs w:val="16"/>
              </w:rPr>
            </w:pPr>
            <w:r w:rsidRPr="00526311">
              <w:rPr>
                <w:b/>
                <w:bCs/>
                <w:sz w:val="16"/>
                <w:szCs w:val="16"/>
              </w:rPr>
              <w:t>Referencia</w:t>
            </w:r>
          </w:p>
        </w:tc>
        <w:tc>
          <w:tcPr>
            <w:tcW w:w="839" w:type="pct"/>
            <w:tcBorders>
              <w:top w:val="single" w:sz="4" w:space="0" w:color="auto"/>
            </w:tcBorders>
            <w:shd w:val="clear" w:color="auto" w:fill="auto"/>
            <w:tcMar>
              <w:top w:w="110" w:type="dxa"/>
            </w:tcMar>
            <w:vAlign w:val="center"/>
          </w:tcPr>
          <w:p w:rsidR="00B45FC3" w:rsidRPr="00526311" w:rsidRDefault="00B45FC3" w:rsidP="0063039A">
            <w:pPr>
              <w:widowControl w:val="0"/>
              <w:rPr>
                <w:b/>
                <w:sz w:val="16"/>
                <w:szCs w:val="16"/>
              </w:rPr>
            </w:pPr>
            <w:r w:rsidRPr="00526311">
              <w:rPr>
                <w:b/>
                <w:sz w:val="16"/>
                <w:szCs w:val="16"/>
              </w:rPr>
              <w:t>Objetivos</w:t>
            </w:r>
          </w:p>
        </w:tc>
        <w:tc>
          <w:tcPr>
            <w:tcW w:w="1120" w:type="pct"/>
            <w:gridSpan w:val="3"/>
            <w:tcBorders>
              <w:top w:val="single" w:sz="4" w:space="0" w:color="auto"/>
            </w:tcBorders>
            <w:shd w:val="clear" w:color="auto" w:fill="FFFFFF"/>
            <w:tcMar>
              <w:top w:w="110" w:type="dxa"/>
            </w:tcMar>
            <w:vAlign w:val="center"/>
          </w:tcPr>
          <w:p w:rsidR="00B45FC3" w:rsidRPr="00526311" w:rsidRDefault="00B45FC3" w:rsidP="0063039A">
            <w:pPr>
              <w:widowControl w:val="0"/>
              <w:rPr>
                <w:sz w:val="16"/>
                <w:szCs w:val="16"/>
              </w:rPr>
            </w:pPr>
            <w:r w:rsidRPr="00526311">
              <w:rPr>
                <w:b/>
                <w:sz w:val="16"/>
                <w:szCs w:val="16"/>
              </w:rPr>
              <w:t>Datos sobre el rendimiento</w:t>
            </w:r>
          </w:p>
        </w:tc>
        <w:tc>
          <w:tcPr>
            <w:tcW w:w="677" w:type="pct"/>
            <w:tcBorders>
              <w:top w:val="single" w:sz="4" w:space="0" w:color="auto"/>
            </w:tcBorders>
            <w:shd w:val="clear" w:color="auto" w:fill="auto"/>
            <w:tcMar>
              <w:top w:w="110" w:type="dxa"/>
            </w:tcMar>
            <w:vAlign w:val="center"/>
          </w:tcPr>
          <w:p w:rsidR="00B45FC3" w:rsidRPr="00526311" w:rsidRDefault="00B45FC3" w:rsidP="0063039A">
            <w:pPr>
              <w:widowControl w:val="0"/>
              <w:jc w:val="center"/>
              <w:rPr>
                <w:b/>
                <w:bCs/>
                <w:color w:val="808080"/>
                <w:sz w:val="16"/>
                <w:szCs w:val="16"/>
              </w:rPr>
            </w:pPr>
            <w:r w:rsidRPr="00526311">
              <w:rPr>
                <w:b/>
                <w:bCs/>
                <w:sz w:val="16"/>
                <w:szCs w:val="16"/>
              </w:rPr>
              <w:t>Clave de colores</w:t>
            </w:r>
          </w:p>
        </w:tc>
      </w:tr>
      <w:tr w:rsidR="00B45FC3" w:rsidRPr="00526311" w:rsidTr="0063039A">
        <w:trPr>
          <w:cantSplit/>
          <w:trHeight w:val="1492"/>
        </w:trPr>
        <w:tc>
          <w:tcPr>
            <w:tcW w:w="1134" w:type="pct"/>
            <w:shd w:val="clear" w:color="auto" w:fill="auto"/>
          </w:tcPr>
          <w:p w:rsidR="00B45FC3" w:rsidRPr="00526311" w:rsidRDefault="00B45FC3" w:rsidP="0063039A">
            <w:pPr>
              <w:widowControl w:val="0"/>
              <w:rPr>
                <w:sz w:val="16"/>
                <w:szCs w:val="16"/>
              </w:rPr>
            </w:pPr>
            <w:r w:rsidRPr="00526311">
              <w:rPr>
                <w:sz w:val="16"/>
                <w:szCs w:val="16"/>
              </w:rPr>
              <w:t>Número de miembros del Acta de Ginebra (1999)</w:t>
            </w:r>
          </w:p>
        </w:tc>
        <w:tc>
          <w:tcPr>
            <w:tcW w:w="1230" w:type="pct"/>
            <w:gridSpan w:val="4"/>
            <w:shd w:val="clear" w:color="auto" w:fill="auto"/>
          </w:tcPr>
          <w:p w:rsidR="00B45FC3" w:rsidRPr="00526311" w:rsidRDefault="00B45FC3" w:rsidP="0063039A">
            <w:pPr>
              <w:rPr>
                <w:i/>
                <w:color w:val="002060"/>
                <w:sz w:val="16"/>
                <w:szCs w:val="16"/>
              </w:rPr>
            </w:pPr>
            <w:r w:rsidRPr="00526311">
              <w:rPr>
                <w:i/>
                <w:color w:val="002060"/>
                <w:sz w:val="16"/>
                <w:szCs w:val="16"/>
              </w:rPr>
              <w:t>Referencia actualizada a fines de 2013:  46 Partes Contratantes (fines de 2013)</w:t>
            </w:r>
          </w:p>
          <w:p w:rsidR="00B45FC3" w:rsidRPr="00526311" w:rsidRDefault="00B45FC3" w:rsidP="0063039A">
            <w:pPr>
              <w:widowControl w:val="0"/>
              <w:rPr>
                <w:sz w:val="16"/>
                <w:szCs w:val="16"/>
              </w:rPr>
            </w:pPr>
          </w:p>
          <w:p w:rsidR="00B45FC3" w:rsidRPr="00526311" w:rsidRDefault="00B45FC3" w:rsidP="0063039A">
            <w:pPr>
              <w:widowControl w:val="0"/>
              <w:rPr>
                <w:sz w:val="16"/>
                <w:szCs w:val="16"/>
              </w:rPr>
            </w:pPr>
          </w:p>
          <w:p w:rsidR="00B45FC3" w:rsidRPr="00526311" w:rsidRDefault="00B45FC3" w:rsidP="0063039A">
            <w:pPr>
              <w:widowControl w:val="0"/>
              <w:rPr>
                <w:sz w:val="16"/>
                <w:szCs w:val="16"/>
              </w:rPr>
            </w:pPr>
            <w:r w:rsidRPr="00526311">
              <w:rPr>
                <w:i/>
                <w:sz w:val="16"/>
                <w:szCs w:val="16"/>
              </w:rPr>
              <w:t xml:space="preserve">Referencia original en el presupuesto de 2014/15:  </w:t>
            </w:r>
            <w:r w:rsidRPr="00526311">
              <w:rPr>
                <w:sz w:val="16"/>
                <w:szCs w:val="16"/>
              </w:rPr>
              <w:t>45 Partes Contratantes</w:t>
            </w:r>
          </w:p>
        </w:tc>
        <w:tc>
          <w:tcPr>
            <w:tcW w:w="839" w:type="pct"/>
            <w:shd w:val="clear" w:color="auto" w:fill="auto"/>
            <w:tcMar>
              <w:top w:w="110" w:type="dxa"/>
            </w:tcMar>
          </w:tcPr>
          <w:p w:rsidR="00B45FC3" w:rsidRPr="00526311" w:rsidRDefault="00B45FC3" w:rsidP="0063039A">
            <w:pPr>
              <w:widowControl w:val="0"/>
              <w:rPr>
                <w:sz w:val="16"/>
                <w:szCs w:val="16"/>
              </w:rPr>
            </w:pPr>
            <w:r w:rsidRPr="00526311">
              <w:rPr>
                <w:sz w:val="16"/>
                <w:szCs w:val="16"/>
              </w:rPr>
              <w:t>58 Partes Contratantes</w:t>
            </w:r>
          </w:p>
        </w:tc>
        <w:tc>
          <w:tcPr>
            <w:tcW w:w="1120" w:type="pct"/>
            <w:gridSpan w:val="3"/>
            <w:shd w:val="clear" w:color="auto" w:fill="FFFFFF"/>
            <w:tcMar>
              <w:top w:w="110" w:type="dxa"/>
            </w:tcMar>
          </w:tcPr>
          <w:p w:rsidR="00B45FC3" w:rsidRPr="00526311" w:rsidRDefault="00B45FC3" w:rsidP="0063039A">
            <w:pPr>
              <w:widowControl w:val="0"/>
              <w:rPr>
                <w:sz w:val="16"/>
                <w:szCs w:val="16"/>
              </w:rPr>
            </w:pPr>
            <w:r w:rsidRPr="00526311">
              <w:rPr>
                <w:sz w:val="16"/>
                <w:szCs w:val="16"/>
                <w:lang w:bidi="th-TH"/>
              </w:rPr>
              <w:t>47 Partes Contratantes del Acta de Ginebra (fines de 2014)</w:t>
            </w:r>
          </w:p>
        </w:tc>
        <w:tc>
          <w:tcPr>
            <w:tcW w:w="677" w:type="pct"/>
            <w:shd w:val="clear" w:color="auto" w:fill="auto"/>
            <w:tcMar>
              <w:top w:w="110" w:type="dxa"/>
            </w:tcMar>
          </w:tcPr>
          <w:p w:rsidR="00B45FC3" w:rsidRPr="00526311" w:rsidRDefault="00B45FC3" w:rsidP="0063039A">
            <w:pPr>
              <w:widowControl w:val="0"/>
              <w:ind w:left="-108" w:right="-141"/>
              <w:jc w:val="center"/>
              <w:rPr>
                <w:b/>
                <w:bCs/>
                <w:color w:val="FF0000"/>
                <w:sz w:val="16"/>
                <w:szCs w:val="16"/>
              </w:rPr>
            </w:pPr>
            <w:r w:rsidRPr="00526311">
              <w:rPr>
                <w:b/>
                <w:bCs/>
                <w:color w:val="FF0000"/>
                <w:sz w:val="16"/>
                <w:szCs w:val="16"/>
              </w:rPr>
              <w:t>No avanza</w:t>
            </w:r>
          </w:p>
        </w:tc>
      </w:tr>
      <w:tr w:rsidR="00B45FC3" w:rsidRPr="00526311" w:rsidTr="0063039A">
        <w:trPr>
          <w:cantSplit/>
        </w:trPr>
        <w:tc>
          <w:tcPr>
            <w:tcW w:w="1134" w:type="pct"/>
            <w:tcBorders>
              <w:top w:val="single" w:sz="4" w:space="0" w:color="auto"/>
            </w:tcBorders>
            <w:shd w:val="clear" w:color="auto" w:fill="auto"/>
            <w:vAlign w:val="center"/>
          </w:tcPr>
          <w:p w:rsidR="00B45FC3" w:rsidRPr="00526311" w:rsidRDefault="00B45FC3" w:rsidP="0063039A">
            <w:pPr>
              <w:keepNext/>
              <w:keepLines/>
              <w:widowControl w:val="0"/>
              <w:rPr>
                <w:sz w:val="16"/>
                <w:szCs w:val="16"/>
              </w:rPr>
            </w:pPr>
            <w:r w:rsidRPr="00526311">
              <w:rPr>
                <w:b/>
                <w:sz w:val="16"/>
                <w:szCs w:val="16"/>
              </w:rPr>
              <w:lastRenderedPageBreak/>
              <w:t>Indicadores de rendimiento</w:t>
            </w:r>
          </w:p>
        </w:tc>
        <w:tc>
          <w:tcPr>
            <w:tcW w:w="1230" w:type="pct"/>
            <w:gridSpan w:val="4"/>
            <w:tcBorders>
              <w:top w:val="single" w:sz="4" w:space="0" w:color="auto"/>
            </w:tcBorders>
            <w:shd w:val="clear" w:color="auto" w:fill="auto"/>
            <w:vAlign w:val="center"/>
          </w:tcPr>
          <w:p w:rsidR="00B45FC3" w:rsidRPr="00526311" w:rsidRDefault="00B45FC3" w:rsidP="0063039A">
            <w:pPr>
              <w:widowControl w:val="0"/>
              <w:rPr>
                <w:b/>
                <w:bCs/>
                <w:sz w:val="16"/>
                <w:szCs w:val="16"/>
              </w:rPr>
            </w:pPr>
            <w:r w:rsidRPr="00526311">
              <w:rPr>
                <w:b/>
                <w:bCs/>
                <w:sz w:val="16"/>
                <w:szCs w:val="16"/>
              </w:rPr>
              <w:t>Referencia</w:t>
            </w:r>
          </w:p>
        </w:tc>
        <w:tc>
          <w:tcPr>
            <w:tcW w:w="839" w:type="pct"/>
            <w:tcBorders>
              <w:top w:val="single" w:sz="4" w:space="0" w:color="auto"/>
            </w:tcBorders>
            <w:shd w:val="clear" w:color="auto" w:fill="auto"/>
            <w:tcMar>
              <w:top w:w="110" w:type="dxa"/>
            </w:tcMar>
            <w:vAlign w:val="center"/>
          </w:tcPr>
          <w:p w:rsidR="00B45FC3" w:rsidRPr="00526311" w:rsidRDefault="00B45FC3" w:rsidP="0063039A">
            <w:pPr>
              <w:widowControl w:val="0"/>
              <w:rPr>
                <w:b/>
                <w:sz w:val="16"/>
                <w:szCs w:val="16"/>
              </w:rPr>
            </w:pPr>
            <w:r w:rsidRPr="00526311">
              <w:rPr>
                <w:b/>
                <w:sz w:val="16"/>
                <w:szCs w:val="16"/>
              </w:rPr>
              <w:t>Objetivos</w:t>
            </w:r>
          </w:p>
        </w:tc>
        <w:tc>
          <w:tcPr>
            <w:tcW w:w="1120" w:type="pct"/>
            <w:gridSpan w:val="3"/>
            <w:tcBorders>
              <w:top w:val="single" w:sz="4" w:space="0" w:color="auto"/>
            </w:tcBorders>
            <w:shd w:val="clear" w:color="auto" w:fill="FFFFFF"/>
            <w:tcMar>
              <w:top w:w="110" w:type="dxa"/>
            </w:tcMar>
            <w:vAlign w:val="center"/>
          </w:tcPr>
          <w:p w:rsidR="00B45FC3" w:rsidRPr="00526311" w:rsidRDefault="00B45FC3" w:rsidP="0063039A">
            <w:pPr>
              <w:widowControl w:val="0"/>
              <w:rPr>
                <w:sz w:val="16"/>
                <w:szCs w:val="16"/>
              </w:rPr>
            </w:pPr>
            <w:r w:rsidRPr="00526311">
              <w:rPr>
                <w:b/>
                <w:sz w:val="16"/>
                <w:szCs w:val="16"/>
              </w:rPr>
              <w:t>Datos sobre el rendimiento</w:t>
            </w:r>
          </w:p>
        </w:tc>
        <w:tc>
          <w:tcPr>
            <w:tcW w:w="677" w:type="pct"/>
            <w:tcBorders>
              <w:top w:val="single" w:sz="4" w:space="0" w:color="auto"/>
            </w:tcBorders>
            <w:shd w:val="clear" w:color="auto" w:fill="auto"/>
            <w:tcMar>
              <w:top w:w="110" w:type="dxa"/>
            </w:tcMar>
            <w:vAlign w:val="center"/>
          </w:tcPr>
          <w:p w:rsidR="00B45FC3" w:rsidRPr="00526311" w:rsidRDefault="00B45FC3" w:rsidP="0063039A">
            <w:pPr>
              <w:widowControl w:val="0"/>
              <w:jc w:val="center"/>
              <w:rPr>
                <w:b/>
                <w:bCs/>
                <w:color w:val="808080"/>
                <w:sz w:val="16"/>
                <w:szCs w:val="16"/>
              </w:rPr>
            </w:pPr>
            <w:r w:rsidRPr="00526311">
              <w:rPr>
                <w:b/>
                <w:bCs/>
                <w:sz w:val="16"/>
                <w:szCs w:val="16"/>
              </w:rPr>
              <w:t>Clave de colores</w:t>
            </w:r>
          </w:p>
        </w:tc>
      </w:tr>
      <w:tr w:rsidR="00B45FC3" w:rsidRPr="00526311" w:rsidTr="0063039A">
        <w:trPr>
          <w:cantSplit/>
        </w:trPr>
        <w:tc>
          <w:tcPr>
            <w:tcW w:w="1134" w:type="pct"/>
            <w:tcBorders>
              <w:bottom w:val="nil"/>
            </w:tcBorders>
            <w:shd w:val="clear" w:color="auto" w:fill="auto"/>
          </w:tcPr>
          <w:p w:rsidR="00B45FC3" w:rsidRPr="00526311" w:rsidRDefault="00B45FC3" w:rsidP="0063039A">
            <w:pPr>
              <w:keepNext/>
              <w:keepLines/>
              <w:widowControl w:val="0"/>
              <w:rPr>
                <w:sz w:val="16"/>
                <w:szCs w:val="16"/>
              </w:rPr>
            </w:pPr>
            <w:r w:rsidRPr="00526311">
              <w:rPr>
                <w:sz w:val="16"/>
                <w:szCs w:val="16"/>
              </w:rPr>
              <w:t>Porcentaje de oficinas que proporcionan información sobre el Sistema de La Haya</w:t>
            </w:r>
          </w:p>
        </w:tc>
        <w:tc>
          <w:tcPr>
            <w:tcW w:w="1230" w:type="pct"/>
            <w:gridSpan w:val="4"/>
            <w:tcBorders>
              <w:bottom w:val="nil"/>
            </w:tcBorders>
            <w:shd w:val="clear" w:color="auto" w:fill="auto"/>
          </w:tcPr>
          <w:p w:rsidR="00B45FC3" w:rsidRPr="00526311" w:rsidRDefault="00B45FC3" w:rsidP="0063039A">
            <w:pPr>
              <w:rPr>
                <w:i/>
                <w:color w:val="002060"/>
                <w:sz w:val="16"/>
                <w:szCs w:val="16"/>
              </w:rPr>
            </w:pPr>
            <w:r w:rsidRPr="00526311">
              <w:rPr>
                <w:i/>
                <w:color w:val="002060"/>
                <w:sz w:val="16"/>
                <w:szCs w:val="16"/>
              </w:rPr>
              <w:t>Referencia actualizada a fines de 2013:  42 oficinas nacionales o regionales proporcionaban información adecuada sobre el Sistema de La Haya.  Nueve oficinas no disponían de sitio web.</w:t>
            </w:r>
          </w:p>
          <w:p w:rsidR="00B45FC3" w:rsidRPr="00526311" w:rsidRDefault="00B45FC3" w:rsidP="0063039A">
            <w:pPr>
              <w:widowControl w:val="0"/>
              <w:rPr>
                <w:i/>
                <w:sz w:val="16"/>
                <w:szCs w:val="16"/>
              </w:rPr>
            </w:pPr>
          </w:p>
          <w:p w:rsidR="00B45FC3" w:rsidRPr="00526311" w:rsidRDefault="00B45FC3" w:rsidP="0063039A">
            <w:pPr>
              <w:widowControl w:val="0"/>
              <w:rPr>
                <w:i/>
                <w:sz w:val="16"/>
                <w:szCs w:val="16"/>
              </w:rPr>
            </w:pPr>
            <w:r w:rsidRPr="00526311">
              <w:rPr>
                <w:i/>
                <w:color w:val="000000"/>
                <w:sz w:val="16"/>
                <w:szCs w:val="16"/>
              </w:rPr>
              <w:t>Referencia original en el presupuesto de 2014/15</w:t>
            </w:r>
            <w:r w:rsidRPr="00526311">
              <w:rPr>
                <w:color w:val="000000"/>
                <w:sz w:val="16"/>
                <w:szCs w:val="16"/>
              </w:rPr>
              <w:t>:  Porcentaje de oficinas que proporcionan dicha información</w:t>
            </w:r>
          </w:p>
          <w:p w:rsidR="00B45FC3" w:rsidRPr="00526311" w:rsidRDefault="00B45FC3" w:rsidP="0063039A">
            <w:pPr>
              <w:widowControl w:val="0"/>
              <w:rPr>
                <w:sz w:val="16"/>
                <w:szCs w:val="16"/>
              </w:rPr>
            </w:pPr>
          </w:p>
        </w:tc>
        <w:tc>
          <w:tcPr>
            <w:tcW w:w="839" w:type="pct"/>
            <w:tcBorders>
              <w:bottom w:val="nil"/>
            </w:tcBorders>
            <w:shd w:val="clear" w:color="auto" w:fill="auto"/>
            <w:tcMar>
              <w:top w:w="110" w:type="dxa"/>
            </w:tcMar>
          </w:tcPr>
          <w:p w:rsidR="00B45FC3" w:rsidRPr="00526311" w:rsidRDefault="00B45FC3" w:rsidP="0063039A">
            <w:pPr>
              <w:widowControl w:val="0"/>
              <w:rPr>
                <w:color w:val="993300"/>
                <w:sz w:val="16"/>
                <w:szCs w:val="16"/>
                <w:lang w:bidi="th-TH"/>
              </w:rPr>
            </w:pPr>
            <w:r w:rsidRPr="00526311">
              <w:rPr>
                <w:sz w:val="16"/>
                <w:szCs w:val="16"/>
                <w:lang w:bidi="th-TH"/>
              </w:rPr>
              <w:t>Mayor porcentaje</w:t>
            </w:r>
            <w:r w:rsidRPr="00526311">
              <w:rPr>
                <w:color w:val="808080"/>
                <w:sz w:val="16"/>
                <w:szCs w:val="16"/>
                <w:lang w:bidi="th-TH"/>
              </w:rPr>
              <w:t>.</w:t>
            </w:r>
          </w:p>
        </w:tc>
        <w:tc>
          <w:tcPr>
            <w:tcW w:w="1120" w:type="pct"/>
            <w:gridSpan w:val="3"/>
            <w:tcBorders>
              <w:bottom w:val="nil"/>
            </w:tcBorders>
            <w:shd w:val="clear" w:color="auto" w:fill="FFFFFF"/>
            <w:tcMar>
              <w:top w:w="110" w:type="dxa"/>
            </w:tcMar>
          </w:tcPr>
          <w:p w:rsidR="00B45FC3" w:rsidRPr="00526311" w:rsidRDefault="00B45FC3" w:rsidP="0063039A">
            <w:pPr>
              <w:widowControl w:val="0"/>
              <w:rPr>
                <w:i/>
                <w:sz w:val="16"/>
                <w:szCs w:val="16"/>
              </w:rPr>
            </w:pPr>
            <w:r w:rsidRPr="00526311">
              <w:rPr>
                <w:color w:val="000000"/>
                <w:sz w:val="16"/>
                <w:szCs w:val="16"/>
              </w:rPr>
              <w:t xml:space="preserve">38 oficinas nacionales o regionales proporcionaban información sobre el Sistema de La Haya a fines de 2014. </w:t>
            </w:r>
            <w:r w:rsidRPr="00526311">
              <w:rPr>
                <w:sz w:val="16"/>
                <w:szCs w:val="16"/>
              </w:rPr>
              <w:t> Diez oficinas no disponían de sitio web (fines de 2014)</w:t>
            </w:r>
          </w:p>
        </w:tc>
        <w:tc>
          <w:tcPr>
            <w:tcW w:w="677" w:type="pct"/>
            <w:tcBorders>
              <w:bottom w:val="nil"/>
            </w:tcBorders>
            <w:shd w:val="clear" w:color="auto" w:fill="auto"/>
            <w:tcMar>
              <w:top w:w="110" w:type="dxa"/>
            </w:tcMar>
          </w:tcPr>
          <w:p w:rsidR="00B45FC3" w:rsidRPr="00526311" w:rsidRDefault="00B45FC3" w:rsidP="0063039A">
            <w:pPr>
              <w:widowControl w:val="0"/>
              <w:jc w:val="center"/>
              <w:rPr>
                <w:b/>
                <w:bCs/>
                <w:color w:val="FF0000"/>
                <w:sz w:val="16"/>
                <w:szCs w:val="16"/>
              </w:rPr>
            </w:pPr>
            <w:r w:rsidRPr="00526311">
              <w:rPr>
                <w:b/>
                <w:bCs/>
                <w:color w:val="FF0000"/>
                <w:sz w:val="16"/>
                <w:szCs w:val="16"/>
              </w:rPr>
              <w:t>No avanza</w:t>
            </w:r>
          </w:p>
        </w:tc>
      </w:tr>
      <w:tr w:rsidR="00B45FC3" w:rsidRPr="00526311" w:rsidTr="0063039A">
        <w:trPr>
          <w:cantSplit/>
        </w:trPr>
        <w:tc>
          <w:tcPr>
            <w:tcW w:w="1134" w:type="pct"/>
            <w:tcBorders>
              <w:top w:val="nil"/>
              <w:left w:val="single" w:sz="4" w:space="0" w:color="auto"/>
              <w:bottom w:val="single" w:sz="4" w:space="0" w:color="auto"/>
            </w:tcBorders>
            <w:shd w:val="clear" w:color="auto" w:fill="auto"/>
          </w:tcPr>
          <w:p w:rsidR="00B45FC3" w:rsidRPr="00526311" w:rsidRDefault="00B45FC3" w:rsidP="0063039A">
            <w:pPr>
              <w:widowControl w:val="0"/>
              <w:rPr>
                <w:sz w:val="16"/>
                <w:szCs w:val="16"/>
              </w:rPr>
            </w:pPr>
            <w:r w:rsidRPr="00526311">
              <w:rPr>
                <w:sz w:val="16"/>
                <w:szCs w:val="16"/>
              </w:rPr>
              <w:t>Solicitudes de registro y renovaciones en virtud del Sistema de La Haya</w:t>
            </w:r>
          </w:p>
        </w:tc>
        <w:tc>
          <w:tcPr>
            <w:tcW w:w="1230" w:type="pct"/>
            <w:gridSpan w:val="4"/>
            <w:tcBorders>
              <w:top w:val="nil"/>
              <w:bottom w:val="single" w:sz="4" w:space="0" w:color="auto"/>
            </w:tcBorders>
            <w:shd w:val="clear" w:color="auto" w:fill="auto"/>
          </w:tcPr>
          <w:p w:rsidR="00B45FC3" w:rsidRPr="00526311" w:rsidRDefault="00B45FC3" w:rsidP="0063039A">
            <w:pPr>
              <w:rPr>
                <w:i/>
                <w:color w:val="002060"/>
                <w:sz w:val="16"/>
                <w:szCs w:val="16"/>
              </w:rPr>
            </w:pPr>
            <w:r w:rsidRPr="00526311">
              <w:rPr>
                <w:i/>
                <w:color w:val="002060"/>
                <w:sz w:val="16"/>
                <w:szCs w:val="16"/>
              </w:rPr>
              <w:t>Referencia actualizada a fines de 2013:  2.990 solicitudes</w:t>
            </w:r>
          </w:p>
          <w:p w:rsidR="00B45FC3" w:rsidRPr="00526311" w:rsidRDefault="00B45FC3" w:rsidP="0063039A">
            <w:pPr>
              <w:rPr>
                <w:i/>
                <w:color w:val="002060"/>
                <w:sz w:val="16"/>
                <w:szCs w:val="16"/>
              </w:rPr>
            </w:pPr>
            <w:r w:rsidRPr="00526311">
              <w:rPr>
                <w:i/>
                <w:color w:val="002060"/>
                <w:sz w:val="16"/>
                <w:szCs w:val="16"/>
              </w:rPr>
              <w:t xml:space="preserve">13.172 dibujos y modelos contenidos </w:t>
            </w:r>
          </w:p>
          <w:p w:rsidR="00B45FC3" w:rsidRPr="00526311" w:rsidRDefault="00B45FC3" w:rsidP="0063039A">
            <w:pPr>
              <w:rPr>
                <w:i/>
                <w:color w:val="002060"/>
                <w:sz w:val="16"/>
                <w:szCs w:val="16"/>
              </w:rPr>
            </w:pPr>
            <w:r w:rsidRPr="00526311">
              <w:rPr>
                <w:i/>
                <w:color w:val="002060"/>
                <w:sz w:val="16"/>
                <w:szCs w:val="16"/>
              </w:rPr>
              <w:t>2.859 renovaciones</w:t>
            </w:r>
          </w:p>
          <w:p w:rsidR="00B45FC3" w:rsidRPr="00526311" w:rsidRDefault="00B45FC3" w:rsidP="0063039A">
            <w:pPr>
              <w:rPr>
                <w:i/>
                <w:color w:val="002060"/>
                <w:sz w:val="16"/>
                <w:szCs w:val="16"/>
              </w:rPr>
            </w:pPr>
            <w:r w:rsidRPr="00526311">
              <w:rPr>
                <w:i/>
                <w:color w:val="002060"/>
                <w:sz w:val="16"/>
                <w:szCs w:val="16"/>
              </w:rPr>
              <w:t>(2013)</w:t>
            </w:r>
          </w:p>
          <w:p w:rsidR="00B45FC3" w:rsidRPr="00526311" w:rsidRDefault="00B45FC3" w:rsidP="0063039A">
            <w:pPr>
              <w:widowControl w:val="0"/>
              <w:rPr>
                <w:i/>
                <w:sz w:val="16"/>
                <w:szCs w:val="16"/>
              </w:rPr>
            </w:pPr>
          </w:p>
          <w:p w:rsidR="00B45FC3" w:rsidRPr="00526311" w:rsidRDefault="00B45FC3" w:rsidP="0063039A">
            <w:pPr>
              <w:widowControl w:val="0"/>
              <w:rPr>
                <w:i/>
                <w:sz w:val="16"/>
                <w:szCs w:val="16"/>
              </w:rPr>
            </w:pPr>
            <w:r w:rsidRPr="00526311">
              <w:rPr>
                <w:i/>
                <w:sz w:val="16"/>
                <w:szCs w:val="16"/>
              </w:rPr>
              <w:t>Referencia original en el presupuesto de 2014/15:  2.604 solicitudes</w:t>
            </w:r>
          </w:p>
          <w:p w:rsidR="00B45FC3" w:rsidRPr="00526311" w:rsidRDefault="00B45FC3" w:rsidP="0063039A">
            <w:pPr>
              <w:widowControl w:val="0"/>
              <w:rPr>
                <w:i/>
                <w:sz w:val="16"/>
                <w:szCs w:val="16"/>
              </w:rPr>
            </w:pPr>
            <w:r w:rsidRPr="00526311">
              <w:rPr>
                <w:i/>
                <w:sz w:val="16"/>
                <w:szCs w:val="16"/>
              </w:rPr>
              <w:t>12.454</w:t>
            </w:r>
            <w:r w:rsidRPr="00526311">
              <w:rPr>
                <w:rStyle w:val="FootnoteReference"/>
                <w:i/>
                <w:sz w:val="16"/>
                <w:szCs w:val="16"/>
              </w:rPr>
              <w:footnoteReference w:id="16"/>
            </w:r>
            <w:r w:rsidRPr="00526311">
              <w:rPr>
                <w:i/>
                <w:sz w:val="16"/>
                <w:szCs w:val="16"/>
              </w:rPr>
              <w:t xml:space="preserve"> dibujos y modelos contenidos</w:t>
            </w:r>
          </w:p>
          <w:p w:rsidR="00B45FC3" w:rsidRPr="00526311" w:rsidRDefault="00B45FC3" w:rsidP="0063039A">
            <w:pPr>
              <w:widowControl w:val="0"/>
              <w:rPr>
                <w:i/>
                <w:sz w:val="16"/>
                <w:szCs w:val="16"/>
              </w:rPr>
            </w:pPr>
            <w:r w:rsidRPr="00526311">
              <w:rPr>
                <w:i/>
                <w:sz w:val="16"/>
                <w:szCs w:val="16"/>
              </w:rPr>
              <w:t xml:space="preserve">3.120 renovaciones </w:t>
            </w:r>
          </w:p>
          <w:p w:rsidR="00B45FC3" w:rsidRPr="00526311" w:rsidRDefault="00B45FC3" w:rsidP="0063039A">
            <w:pPr>
              <w:widowControl w:val="0"/>
              <w:rPr>
                <w:sz w:val="16"/>
                <w:szCs w:val="16"/>
              </w:rPr>
            </w:pPr>
            <w:r w:rsidRPr="00526311">
              <w:rPr>
                <w:i/>
                <w:sz w:val="16"/>
                <w:szCs w:val="16"/>
              </w:rPr>
              <w:t>(2012)</w:t>
            </w:r>
          </w:p>
        </w:tc>
        <w:tc>
          <w:tcPr>
            <w:tcW w:w="839" w:type="pct"/>
            <w:tcBorders>
              <w:top w:val="nil"/>
              <w:bottom w:val="single" w:sz="4" w:space="0" w:color="auto"/>
            </w:tcBorders>
            <w:shd w:val="clear" w:color="auto" w:fill="auto"/>
            <w:tcMar>
              <w:top w:w="110" w:type="dxa"/>
            </w:tcMar>
          </w:tcPr>
          <w:p w:rsidR="00B45FC3" w:rsidRPr="00526311" w:rsidRDefault="00B45FC3" w:rsidP="0063039A">
            <w:pPr>
              <w:widowControl w:val="0"/>
              <w:rPr>
                <w:sz w:val="16"/>
                <w:szCs w:val="16"/>
              </w:rPr>
            </w:pPr>
            <w:r w:rsidRPr="00526311">
              <w:rPr>
                <w:sz w:val="16"/>
                <w:szCs w:val="16"/>
              </w:rPr>
              <w:t xml:space="preserve">2014: </w:t>
            </w:r>
          </w:p>
          <w:p w:rsidR="00B45FC3" w:rsidRPr="00526311" w:rsidRDefault="00B45FC3" w:rsidP="0063039A">
            <w:pPr>
              <w:widowControl w:val="0"/>
              <w:rPr>
                <w:sz w:val="16"/>
                <w:szCs w:val="16"/>
              </w:rPr>
            </w:pPr>
            <w:r w:rsidRPr="00526311">
              <w:rPr>
                <w:sz w:val="16"/>
                <w:szCs w:val="16"/>
              </w:rPr>
              <w:t>Solicitudes: Aumento del 33,9%</w:t>
            </w:r>
          </w:p>
          <w:p w:rsidR="00B45FC3" w:rsidRPr="00526311" w:rsidRDefault="00B45FC3" w:rsidP="0063039A">
            <w:pPr>
              <w:widowControl w:val="0"/>
              <w:rPr>
                <w:sz w:val="16"/>
                <w:szCs w:val="16"/>
              </w:rPr>
            </w:pPr>
            <w:r w:rsidRPr="00526311">
              <w:rPr>
                <w:sz w:val="16"/>
                <w:szCs w:val="16"/>
              </w:rPr>
              <w:t>Dibujos y modelos contenidos: aumento del 33% Renovaciones:  Disminución del 2,9%</w:t>
            </w:r>
          </w:p>
          <w:p w:rsidR="00B45FC3" w:rsidRPr="00526311" w:rsidRDefault="00B45FC3" w:rsidP="0063039A">
            <w:pPr>
              <w:widowControl w:val="0"/>
              <w:rPr>
                <w:sz w:val="16"/>
                <w:szCs w:val="16"/>
              </w:rPr>
            </w:pPr>
          </w:p>
          <w:p w:rsidR="00B45FC3" w:rsidRPr="00526311" w:rsidRDefault="00B45FC3" w:rsidP="0063039A">
            <w:pPr>
              <w:widowControl w:val="0"/>
              <w:rPr>
                <w:sz w:val="16"/>
                <w:szCs w:val="16"/>
              </w:rPr>
            </w:pPr>
            <w:r w:rsidRPr="00526311">
              <w:rPr>
                <w:sz w:val="16"/>
                <w:szCs w:val="16"/>
              </w:rPr>
              <w:t xml:space="preserve">2015:  </w:t>
            </w:r>
          </w:p>
          <w:p w:rsidR="00B45FC3" w:rsidRPr="00526311" w:rsidRDefault="00B45FC3" w:rsidP="0063039A">
            <w:pPr>
              <w:widowControl w:val="0"/>
              <w:rPr>
                <w:sz w:val="16"/>
                <w:szCs w:val="16"/>
              </w:rPr>
            </w:pPr>
            <w:r w:rsidRPr="00526311">
              <w:rPr>
                <w:sz w:val="16"/>
                <w:szCs w:val="16"/>
              </w:rPr>
              <w:t>Solicitudes:  Aumento del 23,4%.  Dibujos y modelos contenidos: aumento del 23,5% Renovaciones:  Aumento del 5,5%</w:t>
            </w:r>
          </w:p>
        </w:tc>
        <w:tc>
          <w:tcPr>
            <w:tcW w:w="1120" w:type="pct"/>
            <w:gridSpan w:val="3"/>
            <w:tcBorders>
              <w:top w:val="nil"/>
              <w:bottom w:val="single" w:sz="4" w:space="0" w:color="auto"/>
            </w:tcBorders>
            <w:shd w:val="clear" w:color="auto" w:fill="FFFFFF"/>
            <w:tcMar>
              <w:top w:w="110" w:type="dxa"/>
            </w:tcMar>
          </w:tcPr>
          <w:p w:rsidR="00B45FC3" w:rsidRPr="00526311" w:rsidRDefault="00B45FC3" w:rsidP="0063039A">
            <w:pPr>
              <w:widowControl w:val="0"/>
              <w:rPr>
                <w:sz w:val="16"/>
                <w:szCs w:val="16"/>
                <w:lang w:bidi="th-TH"/>
              </w:rPr>
            </w:pPr>
            <w:r w:rsidRPr="00526311">
              <w:rPr>
                <w:sz w:val="16"/>
                <w:szCs w:val="16"/>
                <w:lang w:bidi="th-TH"/>
              </w:rPr>
              <w:t>2014:</w:t>
            </w:r>
          </w:p>
          <w:p w:rsidR="00B45FC3" w:rsidRPr="00526311" w:rsidRDefault="00B45FC3" w:rsidP="0063039A">
            <w:pPr>
              <w:widowControl w:val="0"/>
              <w:rPr>
                <w:sz w:val="16"/>
                <w:szCs w:val="16"/>
                <w:lang w:bidi="th-TH"/>
              </w:rPr>
            </w:pPr>
            <w:r w:rsidRPr="00526311">
              <w:rPr>
                <w:sz w:val="16"/>
                <w:szCs w:val="16"/>
                <w:lang w:bidi="th-TH"/>
              </w:rPr>
              <w:t>Solicitudes: Disminución del  2,2% (2.924)</w:t>
            </w:r>
          </w:p>
          <w:p w:rsidR="00B45FC3" w:rsidRPr="00526311" w:rsidRDefault="00B45FC3" w:rsidP="0063039A">
            <w:pPr>
              <w:widowControl w:val="0"/>
              <w:rPr>
                <w:sz w:val="16"/>
                <w:szCs w:val="16"/>
                <w:lang w:bidi="th-TH"/>
              </w:rPr>
            </w:pPr>
          </w:p>
          <w:p w:rsidR="00B45FC3" w:rsidRPr="00526311" w:rsidRDefault="00B45FC3" w:rsidP="0063039A">
            <w:pPr>
              <w:widowControl w:val="0"/>
              <w:rPr>
                <w:sz w:val="16"/>
                <w:szCs w:val="16"/>
                <w:lang w:bidi="th-TH"/>
              </w:rPr>
            </w:pPr>
            <w:r w:rsidRPr="00526311">
              <w:rPr>
                <w:sz w:val="16"/>
                <w:szCs w:val="16"/>
                <w:lang w:bidi="th-TH"/>
              </w:rPr>
              <w:t>Dibujos y modelos contenidos: Aumento del 9,6% (14.441)</w:t>
            </w:r>
          </w:p>
          <w:p w:rsidR="00B45FC3" w:rsidRPr="00526311" w:rsidRDefault="00B45FC3" w:rsidP="0063039A">
            <w:pPr>
              <w:widowControl w:val="0"/>
              <w:rPr>
                <w:sz w:val="16"/>
                <w:szCs w:val="16"/>
                <w:lang w:bidi="th-TH"/>
              </w:rPr>
            </w:pPr>
          </w:p>
          <w:p w:rsidR="00B45FC3" w:rsidRPr="00526311" w:rsidRDefault="00B45FC3" w:rsidP="0063039A">
            <w:pPr>
              <w:widowControl w:val="0"/>
              <w:rPr>
                <w:sz w:val="16"/>
                <w:szCs w:val="16"/>
              </w:rPr>
            </w:pPr>
            <w:r w:rsidRPr="00526311">
              <w:rPr>
                <w:sz w:val="16"/>
                <w:szCs w:val="16"/>
                <w:lang w:bidi="th-TH"/>
              </w:rPr>
              <w:t>Renovaciones:  Disminución del 5,5% (2.703)</w:t>
            </w:r>
          </w:p>
        </w:tc>
        <w:tc>
          <w:tcPr>
            <w:tcW w:w="677" w:type="pct"/>
            <w:tcBorders>
              <w:top w:val="nil"/>
              <w:bottom w:val="single" w:sz="4" w:space="0" w:color="auto"/>
              <w:right w:val="single" w:sz="4" w:space="0" w:color="auto"/>
            </w:tcBorders>
            <w:shd w:val="clear" w:color="auto" w:fill="auto"/>
            <w:tcMar>
              <w:top w:w="110" w:type="dxa"/>
            </w:tcMar>
          </w:tcPr>
          <w:p w:rsidR="00B45FC3" w:rsidRPr="00526311" w:rsidRDefault="00B45FC3" w:rsidP="0063039A">
            <w:pPr>
              <w:widowControl w:val="0"/>
              <w:jc w:val="center"/>
              <w:rPr>
                <w:b/>
                <w:bCs/>
                <w:color w:val="FF0000"/>
                <w:sz w:val="16"/>
                <w:szCs w:val="16"/>
              </w:rPr>
            </w:pPr>
            <w:r w:rsidRPr="00526311">
              <w:rPr>
                <w:b/>
                <w:bCs/>
                <w:color w:val="FF0000"/>
                <w:sz w:val="16"/>
                <w:szCs w:val="16"/>
              </w:rPr>
              <w:t>No avanza</w:t>
            </w:r>
          </w:p>
        </w:tc>
      </w:tr>
      <w:tr w:rsidR="00B45FC3" w:rsidRPr="00526311" w:rsidTr="0063039A">
        <w:trPr>
          <w:cantSplit/>
        </w:trPr>
        <w:tc>
          <w:tcPr>
            <w:tcW w:w="5000" w:type="pct"/>
            <w:gridSpan w:val="10"/>
            <w:tcBorders>
              <w:top w:val="single" w:sz="4" w:space="0" w:color="auto"/>
              <w:bottom w:val="single" w:sz="4" w:space="0" w:color="auto"/>
            </w:tcBorders>
            <w:shd w:val="clear" w:color="auto" w:fill="CCFFFF"/>
            <w:vAlign w:val="center"/>
          </w:tcPr>
          <w:p w:rsidR="00B45FC3" w:rsidRPr="00526311" w:rsidRDefault="00B45FC3" w:rsidP="0063039A">
            <w:pPr>
              <w:widowControl w:val="0"/>
              <w:tabs>
                <w:tab w:val="left" w:pos="1735"/>
              </w:tabs>
              <w:spacing w:before="120" w:after="120"/>
              <w:ind w:left="1735" w:hanging="1735"/>
              <w:rPr>
                <w:b/>
                <w:bCs/>
                <w:sz w:val="16"/>
                <w:szCs w:val="16"/>
              </w:rPr>
            </w:pPr>
            <w:r w:rsidRPr="00526311">
              <w:rPr>
                <w:b/>
                <w:bCs/>
                <w:sz w:val="16"/>
                <w:szCs w:val="16"/>
              </w:rPr>
              <w:t>Resultado previsto</w:t>
            </w:r>
            <w:r w:rsidRPr="00526311">
              <w:rPr>
                <w:b/>
                <w:bCs/>
                <w:color w:val="808080"/>
                <w:sz w:val="16"/>
                <w:szCs w:val="16"/>
              </w:rPr>
              <w:t>:</w:t>
            </w:r>
            <w:r w:rsidRPr="00526311">
              <w:rPr>
                <w:b/>
                <w:bCs/>
                <w:color w:val="808080"/>
                <w:sz w:val="16"/>
                <w:szCs w:val="16"/>
              </w:rPr>
              <w:tab/>
            </w:r>
            <w:r w:rsidRPr="00526311">
              <w:rPr>
                <w:sz w:val="16"/>
                <w:szCs w:val="16"/>
              </w:rPr>
              <w:t xml:space="preserve">II.5 Mejora de la productividad y de la calidad de los servicios en las operaciones del </w:t>
            </w:r>
            <w:r w:rsidR="00DF7826" w:rsidRPr="00526311">
              <w:rPr>
                <w:sz w:val="16"/>
                <w:szCs w:val="16"/>
              </w:rPr>
              <w:t>Sistema de La Haya</w:t>
            </w:r>
          </w:p>
        </w:tc>
      </w:tr>
      <w:tr w:rsidR="00B45FC3" w:rsidRPr="00526311" w:rsidTr="0063039A">
        <w:trPr>
          <w:cantSplit/>
        </w:trPr>
        <w:tc>
          <w:tcPr>
            <w:tcW w:w="1139" w:type="pct"/>
            <w:gridSpan w:val="2"/>
            <w:tcBorders>
              <w:top w:val="single" w:sz="4" w:space="0" w:color="auto"/>
            </w:tcBorders>
            <w:shd w:val="clear" w:color="auto" w:fill="auto"/>
            <w:vAlign w:val="center"/>
          </w:tcPr>
          <w:p w:rsidR="00B45FC3" w:rsidRPr="00526311" w:rsidRDefault="00B45FC3" w:rsidP="0063039A">
            <w:pPr>
              <w:widowControl w:val="0"/>
              <w:rPr>
                <w:sz w:val="16"/>
                <w:szCs w:val="16"/>
              </w:rPr>
            </w:pPr>
            <w:r w:rsidRPr="00526311">
              <w:rPr>
                <w:b/>
                <w:sz w:val="16"/>
                <w:szCs w:val="16"/>
              </w:rPr>
              <w:t>Indicadores de rendimiento</w:t>
            </w:r>
          </w:p>
        </w:tc>
        <w:tc>
          <w:tcPr>
            <w:tcW w:w="1225" w:type="pct"/>
            <w:gridSpan w:val="3"/>
            <w:tcBorders>
              <w:top w:val="single" w:sz="4" w:space="0" w:color="auto"/>
            </w:tcBorders>
            <w:shd w:val="clear" w:color="auto" w:fill="auto"/>
            <w:vAlign w:val="center"/>
          </w:tcPr>
          <w:p w:rsidR="00B45FC3" w:rsidRPr="00526311" w:rsidRDefault="00B45FC3" w:rsidP="0063039A">
            <w:pPr>
              <w:widowControl w:val="0"/>
              <w:rPr>
                <w:b/>
                <w:bCs/>
                <w:sz w:val="16"/>
                <w:szCs w:val="16"/>
              </w:rPr>
            </w:pPr>
            <w:r w:rsidRPr="00526311">
              <w:rPr>
                <w:b/>
                <w:bCs/>
                <w:sz w:val="16"/>
                <w:szCs w:val="16"/>
              </w:rPr>
              <w:t>Referencia</w:t>
            </w:r>
          </w:p>
        </w:tc>
        <w:tc>
          <w:tcPr>
            <w:tcW w:w="860" w:type="pct"/>
            <w:gridSpan w:val="2"/>
            <w:tcBorders>
              <w:top w:val="single" w:sz="4" w:space="0" w:color="auto"/>
            </w:tcBorders>
            <w:shd w:val="clear" w:color="auto" w:fill="auto"/>
            <w:tcMar>
              <w:top w:w="110" w:type="dxa"/>
            </w:tcMar>
            <w:vAlign w:val="center"/>
          </w:tcPr>
          <w:p w:rsidR="00B45FC3" w:rsidRPr="00526311" w:rsidRDefault="00B45FC3" w:rsidP="0063039A">
            <w:pPr>
              <w:widowControl w:val="0"/>
              <w:rPr>
                <w:b/>
                <w:sz w:val="16"/>
                <w:szCs w:val="16"/>
              </w:rPr>
            </w:pPr>
            <w:r w:rsidRPr="00526311">
              <w:rPr>
                <w:b/>
                <w:sz w:val="16"/>
                <w:szCs w:val="16"/>
              </w:rPr>
              <w:t>Objetivos</w:t>
            </w:r>
          </w:p>
        </w:tc>
        <w:tc>
          <w:tcPr>
            <w:tcW w:w="1099" w:type="pct"/>
            <w:gridSpan w:val="2"/>
            <w:tcBorders>
              <w:top w:val="single" w:sz="4" w:space="0" w:color="auto"/>
            </w:tcBorders>
            <w:shd w:val="clear" w:color="auto" w:fill="FFFFFF"/>
            <w:tcMar>
              <w:top w:w="110" w:type="dxa"/>
            </w:tcMar>
            <w:vAlign w:val="center"/>
          </w:tcPr>
          <w:p w:rsidR="00B45FC3" w:rsidRPr="00526311" w:rsidRDefault="00B45FC3" w:rsidP="0063039A">
            <w:pPr>
              <w:widowControl w:val="0"/>
              <w:rPr>
                <w:sz w:val="16"/>
                <w:szCs w:val="16"/>
              </w:rPr>
            </w:pPr>
            <w:r w:rsidRPr="00526311">
              <w:rPr>
                <w:b/>
                <w:sz w:val="16"/>
                <w:szCs w:val="16"/>
              </w:rPr>
              <w:t>Datos sobre el rendimiento</w:t>
            </w:r>
          </w:p>
        </w:tc>
        <w:tc>
          <w:tcPr>
            <w:tcW w:w="677" w:type="pct"/>
            <w:tcBorders>
              <w:top w:val="single" w:sz="4" w:space="0" w:color="auto"/>
            </w:tcBorders>
            <w:shd w:val="clear" w:color="auto" w:fill="auto"/>
            <w:tcMar>
              <w:top w:w="110" w:type="dxa"/>
            </w:tcMar>
            <w:vAlign w:val="center"/>
          </w:tcPr>
          <w:p w:rsidR="00B45FC3" w:rsidRPr="00526311" w:rsidRDefault="00B45FC3" w:rsidP="0063039A">
            <w:pPr>
              <w:widowControl w:val="0"/>
              <w:jc w:val="center"/>
              <w:rPr>
                <w:b/>
                <w:bCs/>
                <w:sz w:val="16"/>
                <w:szCs w:val="16"/>
              </w:rPr>
            </w:pPr>
            <w:r w:rsidRPr="00526311">
              <w:rPr>
                <w:b/>
                <w:bCs/>
                <w:sz w:val="16"/>
                <w:szCs w:val="16"/>
              </w:rPr>
              <w:t>Clave de colores</w:t>
            </w:r>
          </w:p>
        </w:tc>
      </w:tr>
      <w:tr w:rsidR="00B45FC3" w:rsidRPr="00526311" w:rsidTr="0063039A">
        <w:trPr>
          <w:cantSplit/>
        </w:trPr>
        <w:tc>
          <w:tcPr>
            <w:tcW w:w="1139" w:type="pct"/>
            <w:gridSpan w:val="2"/>
            <w:shd w:val="clear" w:color="auto" w:fill="auto"/>
          </w:tcPr>
          <w:p w:rsidR="00B45FC3" w:rsidRPr="00526311" w:rsidRDefault="00B45FC3" w:rsidP="0063039A">
            <w:pPr>
              <w:widowControl w:val="0"/>
              <w:rPr>
                <w:sz w:val="16"/>
                <w:szCs w:val="16"/>
              </w:rPr>
            </w:pPr>
            <w:r w:rsidRPr="00526311">
              <w:rPr>
                <w:sz w:val="16"/>
                <w:szCs w:val="16"/>
              </w:rPr>
              <w:t>Predominio del Acta de Ginebra (1999) en el Sistema de La Haya</w:t>
            </w:r>
          </w:p>
        </w:tc>
        <w:tc>
          <w:tcPr>
            <w:tcW w:w="1225" w:type="pct"/>
            <w:gridSpan w:val="3"/>
            <w:shd w:val="clear" w:color="auto" w:fill="auto"/>
          </w:tcPr>
          <w:p w:rsidR="00B45FC3" w:rsidRPr="00526311" w:rsidRDefault="00B45FC3" w:rsidP="0063039A">
            <w:pPr>
              <w:rPr>
                <w:i/>
                <w:color w:val="002060"/>
                <w:sz w:val="16"/>
                <w:szCs w:val="16"/>
              </w:rPr>
            </w:pPr>
            <w:r w:rsidRPr="00526311">
              <w:rPr>
                <w:i/>
                <w:color w:val="002060"/>
                <w:sz w:val="16"/>
                <w:szCs w:val="16"/>
              </w:rPr>
              <w:t>Referencia actualizada a fines de 2013: Todavía se necesitaban tres autorizaciones para el cese de la aplicación del Acta de 1934, y cuatro Partes Contratantes al margen de la UE y la OAPI continuaban obligadas por el Acta de 1960</w:t>
            </w:r>
          </w:p>
          <w:p w:rsidR="00B45FC3" w:rsidRPr="00526311" w:rsidRDefault="00B45FC3" w:rsidP="0063039A">
            <w:pPr>
              <w:widowControl w:val="0"/>
              <w:rPr>
                <w:sz w:val="16"/>
                <w:szCs w:val="16"/>
              </w:rPr>
            </w:pPr>
          </w:p>
          <w:p w:rsidR="00B45FC3" w:rsidRPr="00526311" w:rsidRDefault="00B45FC3" w:rsidP="0063039A">
            <w:pPr>
              <w:widowControl w:val="0"/>
              <w:rPr>
                <w:sz w:val="16"/>
                <w:szCs w:val="16"/>
              </w:rPr>
            </w:pPr>
          </w:p>
          <w:p w:rsidR="00B45FC3" w:rsidRPr="00526311" w:rsidRDefault="00B45FC3" w:rsidP="0063039A">
            <w:pPr>
              <w:widowControl w:val="0"/>
              <w:rPr>
                <w:sz w:val="16"/>
                <w:szCs w:val="16"/>
              </w:rPr>
            </w:pPr>
            <w:r w:rsidRPr="00526311">
              <w:rPr>
                <w:i/>
                <w:sz w:val="16"/>
                <w:szCs w:val="16"/>
              </w:rPr>
              <w:t xml:space="preserve">Referencia original en el presupuesto de 2014/15: </w:t>
            </w:r>
            <w:r w:rsidRPr="00526311">
              <w:rPr>
                <w:sz w:val="16"/>
                <w:szCs w:val="16"/>
              </w:rPr>
              <w:t>15 miembros del Sistema de La Haya siguen sin estar obligados por el Acta de Ginebra (1999);  siguen pendientes las comunicaciones de consentimiento de 5 miembros para cesar la aplicación del Acta de 1934</w:t>
            </w:r>
            <w:r w:rsidR="002B55A2" w:rsidRPr="00526311">
              <w:rPr>
                <w:sz w:val="16"/>
                <w:szCs w:val="16"/>
              </w:rPr>
              <w:t xml:space="preserve"> (a fines de 2012).</w:t>
            </w:r>
            <w:r w:rsidR="002B55A2" w:rsidRPr="00526311">
              <w:rPr>
                <w:sz w:val="16"/>
                <w:szCs w:val="16"/>
              </w:rPr>
              <w:br/>
            </w:r>
          </w:p>
        </w:tc>
        <w:tc>
          <w:tcPr>
            <w:tcW w:w="860" w:type="pct"/>
            <w:gridSpan w:val="2"/>
            <w:shd w:val="clear" w:color="auto" w:fill="auto"/>
            <w:tcMar>
              <w:top w:w="110" w:type="dxa"/>
            </w:tcMar>
          </w:tcPr>
          <w:p w:rsidR="00B45FC3" w:rsidRPr="00526311" w:rsidRDefault="00B45FC3" w:rsidP="0063039A">
            <w:pPr>
              <w:widowControl w:val="0"/>
              <w:rPr>
                <w:sz w:val="16"/>
                <w:szCs w:val="16"/>
                <w:lang w:bidi="th-TH"/>
              </w:rPr>
            </w:pPr>
            <w:r w:rsidRPr="00526311">
              <w:rPr>
                <w:sz w:val="16"/>
                <w:szCs w:val="16"/>
                <w:lang w:bidi="th-TH"/>
              </w:rPr>
              <w:t>Ningún país está obligado únicamente por el Acta de la Haya de 1960 fuera de la UE o la OAPI;  se han recibido las (cinco) comunicaciones de consentimiento restantes para cesar la aplicación del Acta de 1934</w:t>
            </w:r>
          </w:p>
        </w:tc>
        <w:tc>
          <w:tcPr>
            <w:tcW w:w="1099" w:type="pct"/>
            <w:gridSpan w:val="2"/>
            <w:shd w:val="clear" w:color="auto" w:fill="FFFFFF"/>
            <w:tcMar>
              <w:top w:w="110" w:type="dxa"/>
            </w:tcMar>
          </w:tcPr>
          <w:p w:rsidR="00B45FC3" w:rsidRPr="00526311" w:rsidRDefault="00B45FC3" w:rsidP="0063039A">
            <w:pPr>
              <w:widowControl w:val="0"/>
              <w:rPr>
                <w:sz w:val="16"/>
                <w:szCs w:val="16"/>
                <w:lang w:bidi="th-TH"/>
              </w:rPr>
            </w:pPr>
            <w:r w:rsidRPr="00526311">
              <w:rPr>
                <w:sz w:val="16"/>
                <w:szCs w:val="16"/>
                <w:lang w:bidi="th-TH"/>
              </w:rPr>
              <w:t>Todavía se necesitaban tres autorizaciones para el cese de la aplicación del Acta de 1934, y cuatro Partes Contratantes al margen de la UE y la OAPI continuaban obligadas por el Acta de 1960</w:t>
            </w:r>
          </w:p>
        </w:tc>
        <w:tc>
          <w:tcPr>
            <w:tcW w:w="677" w:type="pct"/>
            <w:shd w:val="clear" w:color="auto" w:fill="auto"/>
            <w:tcMar>
              <w:top w:w="110" w:type="dxa"/>
            </w:tcMar>
          </w:tcPr>
          <w:p w:rsidR="00B45FC3" w:rsidRPr="00526311" w:rsidRDefault="00B45FC3" w:rsidP="0063039A">
            <w:pPr>
              <w:widowControl w:val="0"/>
              <w:jc w:val="center"/>
              <w:rPr>
                <w:b/>
                <w:bCs/>
                <w:color w:val="FF0000"/>
                <w:sz w:val="16"/>
                <w:szCs w:val="16"/>
              </w:rPr>
            </w:pPr>
            <w:r w:rsidRPr="00526311">
              <w:rPr>
                <w:b/>
                <w:bCs/>
                <w:color w:val="FF0000"/>
                <w:sz w:val="16"/>
                <w:szCs w:val="16"/>
              </w:rPr>
              <w:t>No avanza</w:t>
            </w:r>
          </w:p>
        </w:tc>
      </w:tr>
      <w:tr w:rsidR="00B45FC3" w:rsidRPr="00526311" w:rsidTr="0063039A">
        <w:trPr>
          <w:cantSplit/>
        </w:trPr>
        <w:tc>
          <w:tcPr>
            <w:tcW w:w="1139" w:type="pct"/>
            <w:gridSpan w:val="2"/>
            <w:tcBorders>
              <w:top w:val="single" w:sz="4" w:space="0" w:color="auto"/>
            </w:tcBorders>
            <w:shd w:val="clear" w:color="auto" w:fill="auto"/>
            <w:vAlign w:val="center"/>
          </w:tcPr>
          <w:p w:rsidR="00B45FC3" w:rsidRPr="00526311" w:rsidRDefault="00B45FC3" w:rsidP="0063039A">
            <w:pPr>
              <w:keepNext/>
              <w:keepLines/>
              <w:widowControl w:val="0"/>
              <w:rPr>
                <w:sz w:val="16"/>
                <w:szCs w:val="16"/>
              </w:rPr>
            </w:pPr>
            <w:r w:rsidRPr="00526311">
              <w:rPr>
                <w:b/>
                <w:sz w:val="16"/>
                <w:szCs w:val="16"/>
              </w:rPr>
              <w:lastRenderedPageBreak/>
              <w:t>Indicadores de rendimiento</w:t>
            </w:r>
          </w:p>
        </w:tc>
        <w:tc>
          <w:tcPr>
            <w:tcW w:w="1225" w:type="pct"/>
            <w:gridSpan w:val="3"/>
            <w:tcBorders>
              <w:top w:val="single" w:sz="4" w:space="0" w:color="auto"/>
            </w:tcBorders>
            <w:shd w:val="clear" w:color="auto" w:fill="auto"/>
            <w:vAlign w:val="center"/>
          </w:tcPr>
          <w:p w:rsidR="00B45FC3" w:rsidRPr="00526311" w:rsidRDefault="00B45FC3" w:rsidP="0063039A">
            <w:pPr>
              <w:widowControl w:val="0"/>
              <w:rPr>
                <w:b/>
                <w:bCs/>
                <w:sz w:val="16"/>
                <w:szCs w:val="16"/>
              </w:rPr>
            </w:pPr>
            <w:r w:rsidRPr="00526311">
              <w:rPr>
                <w:b/>
                <w:bCs/>
                <w:sz w:val="16"/>
                <w:szCs w:val="16"/>
              </w:rPr>
              <w:t>Referencia</w:t>
            </w:r>
          </w:p>
        </w:tc>
        <w:tc>
          <w:tcPr>
            <w:tcW w:w="860" w:type="pct"/>
            <w:gridSpan w:val="2"/>
            <w:tcBorders>
              <w:top w:val="single" w:sz="4" w:space="0" w:color="auto"/>
            </w:tcBorders>
            <w:shd w:val="clear" w:color="auto" w:fill="auto"/>
            <w:tcMar>
              <w:top w:w="110" w:type="dxa"/>
            </w:tcMar>
            <w:vAlign w:val="center"/>
          </w:tcPr>
          <w:p w:rsidR="00B45FC3" w:rsidRPr="00526311" w:rsidRDefault="00B45FC3" w:rsidP="0063039A">
            <w:pPr>
              <w:widowControl w:val="0"/>
              <w:rPr>
                <w:b/>
                <w:sz w:val="16"/>
                <w:szCs w:val="16"/>
              </w:rPr>
            </w:pPr>
            <w:r w:rsidRPr="00526311">
              <w:rPr>
                <w:b/>
                <w:sz w:val="16"/>
                <w:szCs w:val="16"/>
              </w:rPr>
              <w:t>Objetivos</w:t>
            </w:r>
          </w:p>
        </w:tc>
        <w:tc>
          <w:tcPr>
            <w:tcW w:w="1099" w:type="pct"/>
            <w:gridSpan w:val="2"/>
            <w:tcBorders>
              <w:top w:val="single" w:sz="4" w:space="0" w:color="auto"/>
            </w:tcBorders>
            <w:shd w:val="clear" w:color="auto" w:fill="FFFFFF"/>
            <w:tcMar>
              <w:top w:w="110" w:type="dxa"/>
            </w:tcMar>
            <w:vAlign w:val="center"/>
          </w:tcPr>
          <w:p w:rsidR="00B45FC3" w:rsidRPr="00526311" w:rsidRDefault="00B45FC3" w:rsidP="0063039A">
            <w:pPr>
              <w:widowControl w:val="0"/>
              <w:rPr>
                <w:sz w:val="16"/>
                <w:szCs w:val="16"/>
              </w:rPr>
            </w:pPr>
            <w:r w:rsidRPr="00526311">
              <w:rPr>
                <w:b/>
                <w:sz w:val="16"/>
                <w:szCs w:val="16"/>
              </w:rPr>
              <w:t>Datos sobre el rendimiento</w:t>
            </w:r>
          </w:p>
        </w:tc>
        <w:tc>
          <w:tcPr>
            <w:tcW w:w="677" w:type="pct"/>
            <w:tcBorders>
              <w:top w:val="single" w:sz="4" w:space="0" w:color="auto"/>
            </w:tcBorders>
            <w:shd w:val="clear" w:color="auto" w:fill="auto"/>
            <w:tcMar>
              <w:top w:w="110" w:type="dxa"/>
            </w:tcMar>
            <w:vAlign w:val="center"/>
          </w:tcPr>
          <w:p w:rsidR="00B45FC3" w:rsidRPr="00526311" w:rsidRDefault="00B45FC3" w:rsidP="0063039A">
            <w:pPr>
              <w:widowControl w:val="0"/>
              <w:jc w:val="center"/>
              <w:rPr>
                <w:b/>
                <w:bCs/>
                <w:sz w:val="16"/>
                <w:szCs w:val="16"/>
              </w:rPr>
            </w:pPr>
            <w:r w:rsidRPr="00526311">
              <w:rPr>
                <w:b/>
                <w:bCs/>
                <w:sz w:val="16"/>
                <w:szCs w:val="16"/>
              </w:rPr>
              <w:t>Clave de colores</w:t>
            </w:r>
          </w:p>
        </w:tc>
      </w:tr>
      <w:tr w:rsidR="00B45FC3" w:rsidRPr="00526311" w:rsidTr="0063039A">
        <w:trPr>
          <w:cantSplit/>
        </w:trPr>
        <w:tc>
          <w:tcPr>
            <w:tcW w:w="1139" w:type="pct"/>
            <w:gridSpan w:val="2"/>
            <w:shd w:val="clear" w:color="auto" w:fill="auto"/>
          </w:tcPr>
          <w:p w:rsidR="00B45FC3" w:rsidRPr="00526311" w:rsidRDefault="00B45FC3" w:rsidP="0063039A">
            <w:pPr>
              <w:keepNext/>
              <w:keepLines/>
              <w:widowControl w:val="0"/>
              <w:rPr>
                <w:sz w:val="16"/>
                <w:szCs w:val="16"/>
              </w:rPr>
            </w:pPr>
            <w:r w:rsidRPr="00526311">
              <w:rPr>
                <w:sz w:val="16"/>
                <w:szCs w:val="16"/>
              </w:rPr>
              <w:t>Avances en la mejora del marco jurídico</w:t>
            </w:r>
          </w:p>
        </w:tc>
        <w:tc>
          <w:tcPr>
            <w:tcW w:w="1225" w:type="pct"/>
            <w:gridSpan w:val="3"/>
            <w:shd w:val="clear" w:color="auto" w:fill="auto"/>
          </w:tcPr>
          <w:p w:rsidR="00B45FC3" w:rsidRPr="00526311" w:rsidRDefault="00B45FC3" w:rsidP="0063039A">
            <w:pPr>
              <w:rPr>
                <w:i/>
                <w:color w:val="002060"/>
                <w:sz w:val="16"/>
                <w:szCs w:val="16"/>
              </w:rPr>
            </w:pPr>
            <w:r w:rsidRPr="00526311">
              <w:rPr>
                <w:i/>
                <w:color w:val="002060"/>
                <w:sz w:val="16"/>
                <w:szCs w:val="16"/>
              </w:rPr>
              <w:t xml:space="preserve">Referencia actualizada a fines de 2013:  </w:t>
            </w:r>
          </w:p>
          <w:p w:rsidR="00B45FC3" w:rsidRPr="00526311" w:rsidRDefault="00B45FC3" w:rsidP="0063039A">
            <w:pPr>
              <w:widowControl w:val="0"/>
              <w:rPr>
                <w:sz w:val="16"/>
                <w:szCs w:val="16"/>
              </w:rPr>
            </w:pPr>
          </w:p>
          <w:p w:rsidR="00B45FC3" w:rsidRPr="00526311" w:rsidRDefault="00B45FC3" w:rsidP="0063039A">
            <w:pPr>
              <w:widowControl w:val="0"/>
              <w:rPr>
                <w:sz w:val="16"/>
                <w:szCs w:val="16"/>
              </w:rPr>
            </w:pPr>
            <w:r w:rsidRPr="00526311">
              <w:rPr>
                <w:i/>
                <w:sz w:val="16"/>
                <w:szCs w:val="16"/>
              </w:rPr>
              <w:t>Referencia original en el presupuesto de 2014/15:  Marco jurídico vigente</w:t>
            </w:r>
          </w:p>
        </w:tc>
        <w:tc>
          <w:tcPr>
            <w:tcW w:w="877" w:type="pct"/>
            <w:gridSpan w:val="3"/>
            <w:shd w:val="clear" w:color="auto" w:fill="auto"/>
            <w:tcMar>
              <w:top w:w="110" w:type="dxa"/>
            </w:tcMar>
          </w:tcPr>
          <w:p w:rsidR="00B45FC3" w:rsidRPr="00526311" w:rsidRDefault="00B45FC3" w:rsidP="0063039A">
            <w:pPr>
              <w:widowControl w:val="0"/>
              <w:autoSpaceDE w:val="0"/>
              <w:autoSpaceDN w:val="0"/>
              <w:adjustRightInd w:val="0"/>
              <w:rPr>
                <w:sz w:val="16"/>
                <w:szCs w:val="16"/>
              </w:rPr>
            </w:pPr>
            <w:r w:rsidRPr="00526311">
              <w:rPr>
                <w:sz w:val="16"/>
                <w:szCs w:val="16"/>
              </w:rPr>
              <w:t>Modificaciones del Reglamento del Arreglo de La Haya y de las Instrucciones Administrativas, y nuevos mecanismos introducidos a raíz de las adhesiones de nuevas Partes Contratantes.</w:t>
            </w:r>
          </w:p>
        </w:tc>
        <w:tc>
          <w:tcPr>
            <w:tcW w:w="1082" w:type="pct"/>
            <w:shd w:val="clear" w:color="auto" w:fill="FFFFFF"/>
            <w:tcMar>
              <w:top w:w="110" w:type="dxa"/>
            </w:tcMar>
          </w:tcPr>
          <w:p w:rsidR="00B45FC3" w:rsidRPr="00526311" w:rsidRDefault="00B45FC3" w:rsidP="0063039A">
            <w:pPr>
              <w:widowControl w:val="0"/>
              <w:rPr>
                <w:sz w:val="16"/>
                <w:szCs w:val="16"/>
              </w:rPr>
            </w:pPr>
            <w:r w:rsidRPr="00526311">
              <w:rPr>
                <w:sz w:val="16"/>
                <w:szCs w:val="16"/>
              </w:rPr>
              <w:t>Modificaciones del Reglamento Común adoptadas por la Asamblea de la Unión de La Haya en 2014, que entrarán en vigor el 1 de enero de 2015, entre otras, la introducción de un “mecanismo de información”. Modificaciones de las Instrucciones Administrativas, entre otras, suavizar en cierto grado algunos requisitos relativos a las reproducciones y las representaciones, que entraron en vigor el 1 de julio de 2014.</w:t>
            </w:r>
          </w:p>
          <w:p w:rsidR="00B45FC3" w:rsidRPr="00526311" w:rsidRDefault="00B45FC3" w:rsidP="0063039A">
            <w:pPr>
              <w:widowControl w:val="0"/>
              <w:rPr>
                <w:sz w:val="16"/>
                <w:szCs w:val="16"/>
              </w:rPr>
            </w:pPr>
          </w:p>
        </w:tc>
        <w:tc>
          <w:tcPr>
            <w:tcW w:w="677" w:type="pct"/>
            <w:shd w:val="clear" w:color="auto" w:fill="auto"/>
            <w:tcMar>
              <w:top w:w="110" w:type="dxa"/>
            </w:tcMar>
          </w:tcPr>
          <w:p w:rsidR="00B45FC3" w:rsidRPr="00526311" w:rsidRDefault="00B45FC3" w:rsidP="0063039A">
            <w:pPr>
              <w:widowControl w:val="0"/>
              <w:jc w:val="center"/>
              <w:rPr>
                <w:b/>
                <w:bCs/>
                <w:color w:val="808080"/>
                <w:sz w:val="16"/>
                <w:szCs w:val="16"/>
              </w:rPr>
            </w:pPr>
            <w:r w:rsidRPr="00526311">
              <w:rPr>
                <w:b/>
                <w:color w:val="00B050"/>
                <w:sz w:val="16"/>
                <w:szCs w:val="16"/>
              </w:rPr>
              <w:t>Avanza</w:t>
            </w:r>
          </w:p>
        </w:tc>
      </w:tr>
      <w:tr w:rsidR="00B45FC3" w:rsidRPr="00526311" w:rsidTr="0063039A">
        <w:trPr>
          <w:cantSplit/>
        </w:trPr>
        <w:tc>
          <w:tcPr>
            <w:tcW w:w="1139" w:type="pct"/>
            <w:gridSpan w:val="2"/>
            <w:tcBorders>
              <w:bottom w:val="nil"/>
            </w:tcBorders>
            <w:shd w:val="clear" w:color="auto" w:fill="auto"/>
          </w:tcPr>
          <w:p w:rsidR="00B45FC3" w:rsidRPr="00526311" w:rsidRDefault="00B45FC3" w:rsidP="0063039A">
            <w:pPr>
              <w:widowControl w:val="0"/>
              <w:rPr>
                <w:sz w:val="16"/>
                <w:szCs w:val="16"/>
              </w:rPr>
            </w:pPr>
            <w:r w:rsidRPr="00526311">
              <w:rPr>
                <w:sz w:val="16"/>
                <w:szCs w:val="16"/>
              </w:rPr>
              <w:t>Flexibilidad de los datos inscritos en el Registro Internacional</w:t>
            </w:r>
          </w:p>
        </w:tc>
        <w:tc>
          <w:tcPr>
            <w:tcW w:w="1225" w:type="pct"/>
            <w:gridSpan w:val="3"/>
            <w:tcBorders>
              <w:bottom w:val="nil"/>
            </w:tcBorders>
            <w:shd w:val="clear" w:color="auto" w:fill="auto"/>
          </w:tcPr>
          <w:p w:rsidR="00B45FC3" w:rsidRPr="00526311" w:rsidRDefault="00B45FC3" w:rsidP="0063039A">
            <w:pPr>
              <w:widowControl w:val="0"/>
              <w:rPr>
                <w:sz w:val="16"/>
                <w:szCs w:val="16"/>
              </w:rPr>
            </w:pPr>
            <w:r w:rsidRPr="00526311">
              <w:rPr>
                <w:i/>
                <w:sz w:val="16"/>
                <w:szCs w:val="16"/>
              </w:rPr>
              <w:t>Referencia original en el presupuesto de 2014/15:  Incapacidad de inscribir información detallada sobre los dibujos y modelos.</w:t>
            </w:r>
          </w:p>
        </w:tc>
        <w:tc>
          <w:tcPr>
            <w:tcW w:w="877" w:type="pct"/>
            <w:gridSpan w:val="3"/>
            <w:tcBorders>
              <w:bottom w:val="nil"/>
            </w:tcBorders>
            <w:shd w:val="clear" w:color="auto" w:fill="auto"/>
            <w:tcMar>
              <w:top w:w="110" w:type="dxa"/>
            </w:tcMar>
          </w:tcPr>
          <w:p w:rsidR="00B45FC3" w:rsidRPr="00526311" w:rsidRDefault="00B45FC3" w:rsidP="0063039A">
            <w:pPr>
              <w:widowControl w:val="0"/>
              <w:rPr>
                <w:sz w:val="16"/>
                <w:szCs w:val="16"/>
              </w:rPr>
            </w:pPr>
            <w:r w:rsidRPr="00526311">
              <w:rPr>
                <w:sz w:val="16"/>
                <w:szCs w:val="16"/>
              </w:rPr>
              <w:t>Capacidad de inscribir información detallada sobre los dibujos y modelos.</w:t>
            </w:r>
          </w:p>
        </w:tc>
        <w:tc>
          <w:tcPr>
            <w:tcW w:w="1082" w:type="pct"/>
            <w:tcBorders>
              <w:bottom w:val="nil"/>
            </w:tcBorders>
            <w:shd w:val="clear" w:color="auto" w:fill="FFFFFF"/>
            <w:tcMar>
              <w:top w:w="110" w:type="dxa"/>
            </w:tcMar>
          </w:tcPr>
          <w:p w:rsidR="00B45FC3" w:rsidRPr="00526311" w:rsidRDefault="00B45FC3" w:rsidP="0063039A">
            <w:pPr>
              <w:widowControl w:val="0"/>
              <w:rPr>
                <w:sz w:val="16"/>
                <w:szCs w:val="16"/>
              </w:rPr>
            </w:pPr>
            <w:r w:rsidRPr="00526311">
              <w:rPr>
                <w:sz w:val="16"/>
                <w:szCs w:val="16"/>
              </w:rPr>
              <w:t>Aplazamiento debido a las modificaciones que se introducen en el sistema existente para las nuevas adhesiones, y retraso en la ejecución del programa de modernización.</w:t>
            </w:r>
          </w:p>
        </w:tc>
        <w:tc>
          <w:tcPr>
            <w:tcW w:w="677" w:type="pct"/>
            <w:tcBorders>
              <w:bottom w:val="nil"/>
            </w:tcBorders>
            <w:shd w:val="clear" w:color="auto" w:fill="auto"/>
            <w:tcMar>
              <w:top w:w="110" w:type="dxa"/>
            </w:tcMar>
          </w:tcPr>
          <w:p w:rsidR="00B45FC3" w:rsidRPr="00526311" w:rsidRDefault="00B45FC3" w:rsidP="0063039A">
            <w:pPr>
              <w:widowControl w:val="0"/>
              <w:jc w:val="center"/>
              <w:rPr>
                <w:b/>
                <w:bCs/>
                <w:color w:val="FF0000"/>
                <w:sz w:val="16"/>
                <w:szCs w:val="16"/>
              </w:rPr>
            </w:pPr>
            <w:r w:rsidRPr="00526311">
              <w:rPr>
                <w:rStyle w:val="Style5"/>
                <w:rFonts w:ascii="Arial" w:hAnsi="Arial"/>
                <w:b/>
                <w:color w:val="FF0000"/>
                <w:sz w:val="16"/>
                <w:szCs w:val="16"/>
              </w:rPr>
              <w:t>No avanza</w:t>
            </w:r>
          </w:p>
        </w:tc>
      </w:tr>
      <w:tr w:rsidR="00B45FC3" w:rsidRPr="00526311" w:rsidTr="0063039A">
        <w:trPr>
          <w:cantSplit/>
        </w:trPr>
        <w:tc>
          <w:tcPr>
            <w:tcW w:w="1158" w:type="pct"/>
            <w:gridSpan w:val="3"/>
            <w:tcBorders>
              <w:top w:val="nil"/>
              <w:bottom w:val="single" w:sz="4" w:space="0" w:color="auto"/>
            </w:tcBorders>
            <w:shd w:val="clear" w:color="auto" w:fill="auto"/>
          </w:tcPr>
          <w:p w:rsidR="00B45FC3" w:rsidRPr="00526311" w:rsidRDefault="00B45FC3" w:rsidP="0063039A">
            <w:pPr>
              <w:widowControl w:val="0"/>
              <w:rPr>
                <w:sz w:val="16"/>
                <w:szCs w:val="16"/>
              </w:rPr>
            </w:pPr>
            <w:r w:rsidRPr="00526311">
              <w:rPr>
                <w:sz w:val="16"/>
                <w:szCs w:val="16"/>
              </w:rPr>
              <w:t>Número de procedimientos automatizados</w:t>
            </w:r>
          </w:p>
        </w:tc>
        <w:tc>
          <w:tcPr>
            <w:tcW w:w="1157" w:type="pct"/>
            <w:tcBorders>
              <w:top w:val="nil"/>
              <w:bottom w:val="single" w:sz="4" w:space="0" w:color="auto"/>
            </w:tcBorders>
            <w:shd w:val="clear" w:color="auto" w:fill="auto"/>
          </w:tcPr>
          <w:p w:rsidR="00B45FC3" w:rsidRPr="00526311" w:rsidRDefault="00B45FC3" w:rsidP="0063039A">
            <w:pPr>
              <w:rPr>
                <w:i/>
                <w:color w:val="002060"/>
                <w:sz w:val="16"/>
                <w:szCs w:val="16"/>
                <w:vertAlign w:val="superscript"/>
              </w:rPr>
            </w:pPr>
            <w:r w:rsidRPr="00526311">
              <w:rPr>
                <w:i/>
                <w:color w:val="002060"/>
                <w:sz w:val="16"/>
                <w:szCs w:val="16"/>
              </w:rPr>
              <w:t>Referencia actualizada a fines de 2013:  Dos (presentación y renovación electrónicas)</w:t>
            </w:r>
            <w:r w:rsidRPr="00526311">
              <w:rPr>
                <w:i/>
                <w:color w:val="002060"/>
                <w:sz w:val="16"/>
                <w:szCs w:val="16"/>
                <w:vertAlign w:val="superscript"/>
              </w:rPr>
              <w:footnoteReference w:id="17"/>
            </w:r>
            <w:r w:rsidRPr="00526311">
              <w:rPr>
                <w:i/>
                <w:color w:val="002060"/>
                <w:sz w:val="16"/>
                <w:szCs w:val="16"/>
                <w:vertAlign w:val="superscript"/>
              </w:rPr>
              <w:t xml:space="preserve">  </w:t>
            </w:r>
          </w:p>
          <w:p w:rsidR="00B45FC3" w:rsidRPr="00526311" w:rsidRDefault="00B45FC3" w:rsidP="0063039A">
            <w:pPr>
              <w:widowControl w:val="0"/>
              <w:rPr>
                <w:i/>
                <w:sz w:val="16"/>
                <w:szCs w:val="16"/>
              </w:rPr>
            </w:pPr>
          </w:p>
          <w:p w:rsidR="00B45FC3" w:rsidRPr="00526311" w:rsidRDefault="00B45FC3" w:rsidP="0063039A">
            <w:pPr>
              <w:widowControl w:val="0"/>
              <w:rPr>
                <w:i/>
                <w:sz w:val="16"/>
                <w:szCs w:val="16"/>
              </w:rPr>
            </w:pPr>
            <w:r w:rsidRPr="00526311">
              <w:rPr>
                <w:i/>
                <w:sz w:val="16"/>
                <w:szCs w:val="16"/>
              </w:rPr>
              <w:t>Referencia original en el presupuesto de 2014/15: 2</w:t>
            </w:r>
          </w:p>
          <w:p w:rsidR="00B45FC3" w:rsidRPr="00526311" w:rsidRDefault="00B45FC3" w:rsidP="0063039A">
            <w:pPr>
              <w:widowControl w:val="0"/>
              <w:rPr>
                <w:sz w:val="16"/>
                <w:szCs w:val="16"/>
              </w:rPr>
            </w:pPr>
          </w:p>
        </w:tc>
        <w:tc>
          <w:tcPr>
            <w:tcW w:w="926" w:type="pct"/>
            <w:gridSpan w:val="4"/>
            <w:tcBorders>
              <w:top w:val="nil"/>
              <w:bottom w:val="single" w:sz="4" w:space="0" w:color="auto"/>
            </w:tcBorders>
            <w:shd w:val="clear" w:color="auto" w:fill="auto"/>
            <w:tcMar>
              <w:top w:w="110" w:type="dxa"/>
            </w:tcMar>
          </w:tcPr>
          <w:p w:rsidR="00B45FC3" w:rsidRPr="00526311" w:rsidRDefault="00B45FC3" w:rsidP="0063039A">
            <w:pPr>
              <w:widowControl w:val="0"/>
              <w:autoSpaceDE w:val="0"/>
              <w:autoSpaceDN w:val="0"/>
              <w:adjustRightInd w:val="0"/>
              <w:rPr>
                <w:sz w:val="16"/>
                <w:szCs w:val="16"/>
              </w:rPr>
            </w:pPr>
            <w:r w:rsidRPr="00526311">
              <w:rPr>
                <w:sz w:val="16"/>
                <w:szCs w:val="16"/>
              </w:rPr>
              <w:t>4</w:t>
            </w:r>
          </w:p>
        </w:tc>
        <w:tc>
          <w:tcPr>
            <w:tcW w:w="1082" w:type="pct"/>
            <w:tcBorders>
              <w:top w:val="nil"/>
              <w:bottom w:val="single" w:sz="4" w:space="0" w:color="auto"/>
            </w:tcBorders>
            <w:shd w:val="clear" w:color="auto" w:fill="FFFFFF"/>
            <w:tcMar>
              <w:top w:w="110" w:type="dxa"/>
            </w:tcMar>
          </w:tcPr>
          <w:p w:rsidR="00B45FC3" w:rsidRPr="00526311" w:rsidRDefault="00B45FC3" w:rsidP="0063039A">
            <w:pPr>
              <w:widowControl w:val="0"/>
              <w:rPr>
                <w:sz w:val="16"/>
                <w:szCs w:val="16"/>
              </w:rPr>
            </w:pPr>
            <w:r w:rsidRPr="00526311">
              <w:rPr>
                <w:sz w:val="16"/>
                <w:szCs w:val="16"/>
              </w:rPr>
              <w:t xml:space="preserve">1 nuevo proceso automatizado (declaración de concesión de la protección) </w:t>
            </w:r>
          </w:p>
          <w:p w:rsidR="00B45FC3" w:rsidRPr="00526311" w:rsidRDefault="00B45FC3" w:rsidP="0063039A">
            <w:pPr>
              <w:widowControl w:val="0"/>
              <w:rPr>
                <w:sz w:val="16"/>
                <w:szCs w:val="16"/>
              </w:rPr>
            </w:pPr>
            <w:r w:rsidRPr="00526311">
              <w:rPr>
                <w:sz w:val="16"/>
                <w:szCs w:val="16"/>
              </w:rPr>
              <w:t>(</w:t>
            </w:r>
            <w:r w:rsidR="002B55A2" w:rsidRPr="00526311">
              <w:rPr>
                <w:sz w:val="16"/>
                <w:szCs w:val="16"/>
              </w:rPr>
              <w:t xml:space="preserve">3 </w:t>
            </w:r>
            <w:r w:rsidRPr="00526311">
              <w:rPr>
                <w:sz w:val="16"/>
                <w:szCs w:val="16"/>
              </w:rPr>
              <w:t>en total)</w:t>
            </w:r>
          </w:p>
        </w:tc>
        <w:tc>
          <w:tcPr>
            <w:tcW w:w="677" w:type="pct"/>
            <w:tcBorders>
              <w:top w:val="nil"/>
              <w:bottom w:val="single" w:sz="4" w:space="0" w:color="auto"/>
            </w:tcBorders>
            <w:shd w:val="clear" w:color="auto" w:fill="auto"/>
            <w:tcMar>
              <w:top w:w="110" w:type="dxa"/>
            </w:tcMar>
          </w:tcPr>
          <w:p w:rsidR="00B45FC3" w:rsidRPr="00526311" w:rsidRDefault="00B45FC3" w:rsidP="0063039A">
            <w:pPr>
              <w:widowControl w:val="0"/>
              <w:jc w:val="center"/>
              <w:rPr>
                <w:b/>
                <w:bCs/>
                <w:color w:val="00B050"/>
                <w:sz w:val="16"/>
                <w:szCs w:val="16"/>
              </w:rPr>
            </w:pPr>
            <w:r w:rsidRPr="00526311">
              <w:rPr>
                <w:b/>
                <w:color w:val="00B050"/>
                <w:sz w:val="16"/>
                <w:szCs w:val="16"/>
              </w:rPr>
              <w:t>Avanza</w:t>
            </w:r>
          </w:p>
        </w:tc>
      </w:tr>
    </w:tbl>
    <w:p w:rsidR="00B45FC3" w:rsidRPr="00526311" w:rsidRDefault="00B45FC3" w:rsidP="0063039A">
      <w:pPr>
        <w:widowControl w:val="0"/>
        <w:rPr>
          <w:szCs w:val="22"/>
        </w:rPr>
      </w:pPr>
    </w:p>
    <w:p w:rsidR="00B45FC3" w:rsidRPr="00526311" w:rsidRDefault="00B45FC3" w:rsidP="0063039A">
      <w:pPr>
        <w:widowControl w:val="0"/>
        <w:rPr>
          <w:szCs w:val="22"/>
        </w:rPr>
      </w:pPr>
    </w:p>
    <w:p w:rsidR="00B45FC3" w:rsidRPr="00526311" w:rsidRDefault="00B45FC3" w:rsidP="0063039A">
      <w:pPr>
        <w:widowControl w:val="0"/>
        <w:rPr>
          <w:b/>
          <w:sz w:val="18"/>
          <w:szCs w:val="18"/>
        </w:rPr>
      </w:pPr>
      <w:r w:rsidRPr="00526311">
        <w:rPr>
          <w:szCs w:val="22"/>
        </w:rPr>
        <w:t>UTILIZACIÓN DE LOS RECURSOS</w:t>
      </w:r>
    </w:p>
    <w:p w:rsidR="00B45FC3" w:rsidRPr="00526311" w:rsidRDefault="00B45FC3" w:rsidP="0063039A">
      <w:pPr>
        <w:widowControl w:val="0"/>
      </w:pPr>
    </w:p>
    <w:p w:rsidR="00B45FC3" w:rsidRPr="00526311" w:rsidRDefault="00B45FC3" w:rsidP="0063039A">
      <w:pPr>
        <w:pStyle w:val="NormalWeb"/>
        <w:widowControl w:val="0"/>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B45FC3" w:rsidRPr="00526311" w:rsidRDefault="00B45FC3" w:rsidP="0063039A">
      <w:pPr>
        <w:pStyle w:val="NormalWeb"/>
        <w:widowControl w:val="0"/>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widowControl w:val="0"/>
      </w:pPr>
    </w:p>
    <w:p w:rsidR="00B45FC3" w:rsidRPr="00526311" w:rsidRDefault="00480C52" w:rsidP="0063039A">
      <w:pPr>
        <w:widowControl w:val="0"/>
        <w:jc w:val="center"/>
      </w:pPr>
      <w:r w:rsidRPr="00526311">
        <w:rPr>
          <w:noProof/>
          <w:lang w:val="en-US" w:eastAsia="en-US"/>
        </w:rPr>
        <w:drawing>
          <wp:inline distT="0" distB="0" distL="0" distR="0" wp14:anchorId="13129948" wp14:editId="4B8F1BFF">
            <wp:extent cx="5762625" cy="1447800"/>
            <wp:effectExtent l="0" t="0" r="9525"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2625" cy="1447800"/>
                    </a:xfrm>
                    <a:prstGeom prst="rect">
                      <a:avLst/>
                    </a:prstGeom>
                    <a:noFill/>
                    <a:ln>
                      <a:noFill/>
                    </a:ln>
                  </pic:spPr>
                </pic:pic>
              </a:graphicData>
            </a:graphic>
          </wp:inline>
        </w:drawing>
      </w:r>
    </w:p>
    <w:p w:rsidR="00B45FC3" w:rsidRPr="00526311" w:rsidRDefault="00B45FC3" w:rsidP="0063039A">
      <w:pPr>
        <w:widowControl w:val="0"/>
      </w:pPr>
    </w:p>
    <w:p w:rsidR="00B45FC3" w:rsidRPr="00526311" w:rsidRDefault="00B45FC3">
      <w:pPr>
        <w:rPr>
          <w:color w:val="000000"/>
        </w:rPr>
      </w:pPr>
      <w:r w:rsidRPr="00526311">
        <w:rPr>
          <w:color w:val="000000"/>
        </w:rPr>
        <w:br w:type="page"/>
      </w:r>
    </w:p>
    <w:p w:rsidR="00B45FC3" w:rsidRPr="00526311" w:rsidRDefault="00B45FC3" w:rsidP="0063039A">
      <w:pPr>
        <w:pStyle w:val="NormalWeb"/>
        <w:widowControl w:val="0"/>
        <w:spacing w:before="0" w:beforeAutospacing="0" w:after="0" w:afterAutospacing="0"/>
        <w:jc w:val="center"/>
        <w:rPr>
          <w:color w:val="000000"/>
          <w:sz w:val="20"/>
          <w:szCs w:val="20"/>
          <w:lang w:val="es-ES"/>
        </w:rPr>
      </w:pPr>
    </w:p>
    <w:p w:rsidR="00B45FC3" w:rsidRPr="00526311" w:rsidRDefault="00B45FC3" w:rsidP="0063039A">
      <w:pPr>
        <w:pStyle w:val="NormalWeb"/>
        <w:widowControl w:val="0"/>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B45FC3" w:rsidRPr="00526311" w:rsidRDefault="00B45FC3" w:rsidP="0063039A">
      <w:pPr>
        <w:pStyle w:val="NormalWeb"/>
        <w:widowControl w:val="0"/>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pStyle w:val="NormalWeb"/>
        <w:widowControl w:val="0"/>
        <w:spacing w:before="0" w:beforeAutospacing="0" w:after="0" w:afterAutospacing="0"/>
        <w:jc w:val="center"/>
        <w:rPr>
          <w:color w:val="808080"/>
          <w:lang w:val="es-ES"/>
        </w:rPr>
      </w:pPr>
    </w:p>
    <w:p w:rsidR="00B45FC3" w:rsidRPr="00526311" w:rsidRDefault="00FF6E74" w:rsidP="0063039A">
      <w:pPr>
        <w:widowControl w:val="0"/>
        <w:jc w:val="center"/>
      </w:pPr>
      <w:bookmarkStart w:id="31" w:name="Punto31"/>
      <w:r w:rsidRPr="00526311">
        <w:rPr>
          <w:noProof/>
          <w:lang w:val="en-US" w:eastAsia="en-US"/>
        </w:rPr>
        <w:drawing>
          <wp:inline distT="0" distB="0" distL="0" distR="0" wp14:anchorId="4C31F25B" wp14:editId="332B7C67">
            <wp:extent cx="5940425" cy="1254724"/>
            <wp:effectExtent l="0" t="0" r="3175" b="317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0425" cy="1254724"/>
                    </a:xfrm>
                    <a:prstGeom prst="rect">
                      <a:avLst/>
                    </a:prstGeom>
                    <a:noFill/>
                    <a:ln>
                      <a:noFill/>
                    </a:ln>
                  </pic:spPr>
                </pic:pic>
              </a:graphicData>
            </a:graphic>
          </wp:inline>
        </w:drawing>
      </w:r>
      <w:bookmarkEnd w:id="31"/>
    </w:p>
    <w:p w:rsidR="00B45FC3" w:rsidRPr="00526311" w:rsidRDefault="00B45FC3" w:rsidP="0063039A">
      <w:pPr>
        <w:widowControl w:val="0"/>
        <w:autoSpaceDE w:val="0"/>
        <w:autoSpaceDN w:val="0"/>
        <w:rPr>
          <w:sz w:val="20"/>
        </w:rPr>
      </w:pPr>
      <w:r w:rsidRPr="00526311">
        <w:rPr>
          <w:i/>
          <w:iCs/>
          <w:sz w:val="16"/>
          <w:szCs w:val="16"/>
        </w:rPr>
        <w:t xml:space="preserve">NOTA:  El presupuesto de 2014/15 tras las transferencias refleja las transferencias efectuadas al 31 de marzo de 2015 para hacer </w:t>
      </w:r>
      <w:r w:rsidRPr="00526311">
        <w:rPr>
          <w:i/>
          <w:iCs/>
          <w:sz w:val="20"/>
        </w:rPr>
        <w:t>frente a las necesidades durante el bienio 2014/15, según lo previsto en el artículo 5.5 del Reglamento Financiero.</w:t>
      </w:r>
    </w:p>
    <w:p w:rsidR="00B45FC3" w:rsidRPr="00526311" w:rsidRDefault="00B45FC3" w:rsidP="0063039A">
      <w:pPr>
        <w:widowControl w:val="0"/>
        <w:autoSpaceDE w:val="0"/>
        <w:autoSpaceDN w:val="0"/>
        <w:adjustRightInd w:val="0"/>
        <w:rPr>
          <w:sz w:val="20"/>
        </w:rPr>
      </w:pPr>
    </w:p>
    <w:p w:rsidR="00B45FC3" w:rsidRPr="00526311" w:rsidRDefault="00B45FC3" w:rsidP="0063039A">
      <w:pPr>
        <w:widowControl w:val="0"/>
        <w:rPr>
          <w:sz w:val="20"/>
          <w:u w:val="single"/>
        </w:rPr>
      </w:pPr>
      <w:r w:rsidRPr="00526311">
        <w:rPr>
          <w:sz w:val="20"/>
        </w:rPr>
        <w:t>A.</w:t>
      </w:r>
      <w:r w:rsidRPr="00526311">
        <w:rPr>
          <w:sz w:val="20"/>
        </w:rPr>
        <w:tab/>
      </w:r>
      <w:r w:rsidRPr="00526311">
        <w:rPr>
          <w:sz w:val="20"/>
          <w:u w:val="single"/>
        </w:rPr>
        <w:t>Presupuesto de 2014/15 tras las transferencias</w:t>
      </w:r>
    </w:p>
    <w:p w:rsidR="00B45FC3" w:rsidRPr="00526311" w:rsidRDefault="00B45FC3" w:rsidP="0063039A">
      <w:pPr>
        <w:pStyle w:val="ListParagraph"/>
        <w:widowControl w:val="0"/>
        <w:tabs>
          <w:tab w:val="left" w:pos="709"/>
        </w:tabs>
        <w:ind w:left="0"/>
        <w:jc w:val="both"/>
        <w:rPr>
          <w:lang w:val="es-ES"/>
        </w:rPr>
      </w:pPr>
    </w:p>
    <w:p w:rsidR="00B45FC3" w:rsidRPr="00526311" w:rsidRDefault="00B45FC3" w:rsidP="00B45FC3">
      <w:pPr>
        <w:pStyle w:val="ListParagraph"/>
        <w:widowControl w:val="0"/>
        <w:numPr>
          <w:ilvl w:val="0"/>
          <w:numId w:val="37"/>
        </w:numPr>
        <w:tabs>
          <w:tab w:val="left" w:pos="709"/>
        </w:tabs>
        <w:ind w:left="0" w:firstLine="0"/>
        <w:jc w:val="both"/>
        <w:rPr>
          <w:lang w:val="es-ES"/>
        </w:rPr>
      </w:pPr>
      <w:r w:rsidRPr="00526311">
        <w:rPr>
          <w:color w:val="000000"/>
          <w:lang w:val="es-ES"/>
        </w:rPr>
        <w:t xml:space="preserve">El presupuesto </w:t>
      </w:r>
      <w:r w:rsidR="00011744" w:rsidRPr="00526311">
        <w:rPr>
          <w:color w:val="000000"/>
          <w:lang w:val="es-ES"/>
        </w:rPr>
        <w:t xml:space="preserve">de </w:t>
      </w:r>
      <w:r w:rsidRPr="00526311">
        <w:rPr>
          <w:color w:val="000000"/>
          <w:lang w:val="es-ES"/>
        </w:rPr>
        <w:t>2014/15 tras las transferencias refleja un incremento neto de los recursos de personal debido, principalmente, a la transferencia temporal de un</w:t>
      </w:r>
      <w:r w:rsidRPr="00526311">
        <w:rPr>
          <w:color w:val="0000FF"/>
          <w:lang w:val="es-ES"/>
        </w:rPr>
        <w:t xml:space="preserve"> </w:t>
      </w:r>
      <w:r w:rsidRPr="00526311">
        <w:rPr>
          <w:lang w:val="es-ES"/>
        </w:rPr>
        <w:t xml:space="preserve">funcionario </w:t>
      </w:r>
      <w:r w:rsidRPr="00526311">
        <w:rPr>
          <w:color w:val="000000"/>
          <w:lang w:val="es-ES"/>
        </w:rPr>
        <w:t xml:space="preserve">del programa 10 al programa 31 para brindar mayor apoyo durante las reuniones del Grupo de Trabajo y las actividades de promoción. </w:t>
      </w:r>
      <w:r w:rsidRPr="00526311">
        <w:rPr>
          <w:lang w:val="es-ES"/>
        </w:rPr>
        <w:t xml:space="preserve"> </w:t>
      </w:r>
      <w:r w:rsidRPr="00526311">
        <w:rPr>
          <w:color w:val="000000"/>
          <w:lang w:val="es-ES"/>
        </w:rPr>
        <w:t>Esto se refleja en el resultado II.5 (Mejora de la productividad y de la calidad de los servicios en las operaciones del Sistema de La Haya).</w:t>
      </w:r>
    </w:p>
    <w:p w:rsidR="00B45FC3" w:rsidRPr="00526311" w:rsidRDefault="00B45FC3" w:rsidP="0063039A">
      <w:pPr>
        <w:pStyle w:val="ListParagraph"/>
        <w:widowControl w:val="0"/>
        <w:tabs>
          <w:tab w:val="left" w:pos="709"/>
        </w:tabs>
        <w:ind w:left="0"/>
        <w:jc w:val="both"/>
        <w:rPr>
          <w:lang w:val="es-ES"/>
        </w:rPr>
      </w:pPr>
    </w:p>
    <w:p w:rsidR="00B45FC3" w:rsidRPr="00526311" w:rsidRDefault="00B45FC3" w:rsidP="00B45FC3">
      <w:pPr>
        <w:pStyle w:val="ListParagraph"/>
        <w:widowControl w:val="0"/>
        <w:numPr>
          <w:ilvl w:val="0"/>
          <w:numId w:val="37"/>
        </w:numPr>
        <w:tabs>
          <w:tab w:val="left" w:pos="709"/>
        </w:tabs>
        <w:ind w:left="0" w:firstLine="0"/>
        <w:jc w:val="both"/>
        <w:rPr>
          <w:lang w:val="es-ES"/>
        </w:rPr>
      </w:pPr>
      <w:r w:rsidRPr="00526311">
        <w:rPr>
          <w:color w:val="000000"/>
          <w:lang w:val="es-ES"/>
        </w:rPr>
        <w:t>La disminución neta de los recursos no relativos a personal se debe principalmente a: i) la transferencia de recursos no relativos a personal correspondientes a un pasante (al programa 23 que gestiona las pasantías) a fin de ayudar en el trabajo relativo a las nuevas adhesiones, a tenor del resultado II.4 (Ampliación y mejora del uso del Sistema de La Haya); y ii) un leve ajuste a la baja efectuado para aumentar la eficacia en función de los costos.</w:t>
      </w:r>
    </w:p>
    <w:p w:rsidR="00B45FC3" w:rsidRPr="00526311" w:rsidRDefault="00B45FC3" w:rsidP="0063039A">
      <w:pPr>
        <w:widowControl w:val="0"/>
        <w:autoSpaceDE w:val="0"/>
        <w:autoSpaceDN w:val="0"/>
        <w:jc w:val="both"/>
        <w:rPr>
          <w:sz w:val="20"/>
          <w:lang w:eastAsia="ko-KR"/>
        </w:rPr>
      </w:pPr>
    </w:p>
    <w:p w:rsidR="00B45FC3" w:rsidRPr="00526311" w:rsidRDefault="00B45FC3" w:rsidP="0063039A">
      <w:pPr>
        <w:widowControl w:val="0"/>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B45FC3" w:rsidRPr="00526311" w:rsidRDefault="00B45FC3" w:rsidP="0063039A">
      <w:pPr>
        <w:widowControl w:val="0"/>
        <w:tabs>
          <w:tab w:val="left" w:pos="709"/>
        </w:tabs>
        <w:jc w:val="both"/>
        <w:rPr>
          <w:sz w:val="20"/>
          <w:u w:val="single"/>
          <w:lang w:eastAsia="ko-KR"/>
        </w:rPr>
      </w:pPr>
    </w:p>
    <w:p w:rsidR="00B45FC3" w:rsidRPr="00526311" w:rsidRDefault="00B45FC3" w:rsidP="00B45FC3">
      <w:pPr>
        <w:pStyle w:val="ListParagraph"/>
        <w:widowControl w:val="0"/>
        <w:numPr>
          <w:ilvl w:val="0"/>
          <w:numId w:val="37"/>
        </w:numPr>
        <w:tabs>
          <w:tab w:val="left" w:pos="709"/>
        </w:tabs>
        <w:ind w:left="0" w:firstLine="0"/>
        <w:jc w:val="both"/>
        <w:rPr>
          <w:lang w:val="es-ES"/>
        </w:rPr>
      </w:pPr>
      <w:r w:rsidRPr="00526311">
        <w:rPr>
          <w:rFonts w:cs="Arial"/>
          <w:lang w:val="es-ES" w:eastAsia="ko-KR"/>
        </w:rPr>
        <w:t>La utilización del presupuesto no relativo a personal correspondió al 29%</w:t>
      </w:r>
      <w:r w:rsidRPr="00526311">
        <w:rPr>
          <w:lang w:val="es-ES"/>
        </w:rPr>
        <w:t xml:space="preserve"> del presupuesto de 2014/15 tras las transferencias.  </w:t>
      </w:r>
      <w:r w:rsidRPr="00526311">
        <w:rPr>
          <w:color w:val="000000"/>
          <w:lang w:val="es-ES"/>
        </w:rPr>
        <w:t>Esto se debió principalmente al retraso de la labor en materia de T.I. como consecuencia del aplazamiento de las adhesiones de determinadas Partes Contratantes, a tenor del resultado II.4 (Ampliación y mejora del uso del Sistema de La Haya).</w:t>
      </w:r>
    </w:p>
    <w:p w:rsidR="00B45FC3" w:rsidRPr="00526311" w:rsidRDefault="00B45FC3" w:rsidP="0063039A">
      <w:pPr>
        <w:pStyle w:val="ListParagraph"/>
        <w:widowControl w:val="0"/>
        <w:tabs>
          <w:tab w:val="left" w:pos="709"/>
        </w:tabs>
        <w:ind w:left="0"/>
        <w:jc w:val="both"/>
        <w:rPr>
          <w:lang w:val="es-ES"/>
        </w:rPr>
      </w:pPr>
    </w:p>
    <w:p w:rsidR="00B45FC3" w:rsidRPr="00526311" w:rsidRDefault="00B45FC3">
      <w:pPr>
        <w:rPr>
          <w:sz w:val="20"/>
        </w:rPr>
      </w:pPr>
      <w:r w:rsidRPr="00526311">
        <w:rPr>
          <w:sz w:val="20"/>
        </w:rPr>
        <w:br w:type="page"/>
      </w:r>
    </w:p>
    <w:p w:rsidR="00B45FC3" w:rsidRPr="00526311" w:rsidRDefault="00B45FC3" w:rsidP="0063039A">
      <w:pPr>
        <w:pStyle w:val="StyleHeading3BoldNounderline"/>
        <w:rPr>
          <w:b/>
          <w:lang w:val="es-ES"/>
        </w:rPr>
      </w:pPr>
      <w:bookmarkStart w:id="32" w:name="_Toc422927412"/>
      <w:r w:rsidRPr="00526311">
        <w:rPr>
          <w:b/>
          <w:lang w:val="es-ES"/>
        </w:rPr>
        <w:lastRenderedPageBreak/>
        <w:t>Programa 31, Anexo:  Indicadores de las operaciones del Sistema de La Haya</w:t>
      </w:r>
      <w:bookmarkEnd w:id="32"/>
    </w:p>
    <w:p w:rsidR="00B45FC3" w:rsidRPr="00526311" w:rsidRDefault="00B45FC3" w:rsidP="0063039A">
      <w:pPr>
        <w:rPr>
          <w:b/>
          <w:sz w:val="20"/>
        </w:rPr>
      </w:pPr>
    </w:p>
    <w:p w:rsidR="00B45FC3" w:rsidRPr="00526311" w:rsidRDefault="00B45FC3" w:rsidP="0063039A">
      <w:pPr>
        <w:rPr>
          <w:sz w:val="20"/>
        </w:rPr>
      </w:pPr>
    </w:p>
    <w:p w:rsidR="00B45FC3" w:rsidRPr="00526311" w:rsidRDefault="00B45FC3" w:rsidP="0063039A">
      <w:pPr>
        <w:rPr>
          <w:sz w:val="20"/>
        </w:rPr>
      </w:pPr>
      <w:r w:rsidRPr="00526311">
        <w:rPr>
          <w:sz w:val="20"/>
        </w:rPr>
        <w:t>INDICADORES DE RENDIMIENTO CON RESPECTO AL RESULTADO PREVISTO</w:t>
      </w:r>
    </w:p>
    <w:p w:rsidR="00B45FC3" w:rsidRPr="00526311" w:rsidRDefault="00B45FC3" w:rsidP="0063039A">
      <w:pPr>
        <w:rPr>
          <w:sz w:val="20"/>
        </w:rPr>
      </w:pPr>
      <w:r w:rsidRPr="00526311">
        <w:rPr>
          <w:sz w:val="20"/>
        </w:rPr>
        <w:t>“MEJORA DE LA PRODUCTIVIDAD Y DE LA CALIDAD DE LOS SERVICIOS EN LAS OPERACIONES DEL SISTEMA DE LA HAYA”</w:t>
      </w:r>
    </w:p>
    <w:p w:rsidR="00B45FC3" w:rsidRPr="00526311" w:rsidRDefault="00B45FC3" w:rsidP="0063039A">
      <w:pPr>
        <w:rPr>
          <w:b/>
          <w:sz w:val="20"/>
        </w:rPr>
      </w:pPr>
    </w:p>
    <w:p w:rsidR="00B45FC3" w:rsidRPr="00526311" w:rsidRDefault="00B45FC3" w:rsidP="0063039A">
      <w:pPr>
        <w:rPr>
          <w:sz w:val="20"/>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 xml:space="preserve">Como referencia de los indicadores de rendimiento en lo que respecta al resultado previsto “Mejora de la productividad y de la calidad de los servicios en las operaciones del </w:t>
      </w:r>
      <w:r w:rsidR="00DF7826" w:rsidRPr="00526311">
        <w:rPr>
          <w:rFonts w:cs="Arial"/>
          <w:lang w:val="es-ES"/>
        </w:rPr>
        <w:t>Sistema de La Haya</w:t>
      </w:r>
      <w:r w:rsidRPr="00526311">
        <w:rPr>
          <w:rFonts w:cs="Arial"/>
          <w:lang w:val="es-ES"/>
        </w:rPr>
        <w:t>”, es necesario considerar la evolución de los siguientes factores:</w:t>
      </w:r>
    </w:p>
    <w:p w:rsidR="00B45FC3" w:rsidRPr="00526311" w:rsidRDefault="00B45FC3" w:rsidP="0063039A">
      <w:pPr>
        <w:pStyle w:val="ListParagraph"/>
        <w:tabs>
          <w:tab w:val="left" w:pos="0"/>
          <w:tab w:val="left" w:pos="567"/>
        </w:tabs>
        <w:ind w:left="0"/>
        <w:jc w:val="both"/>
        <w:rPr>
          <w:rFonts w:cs="Arial"/>
          <w:lang w:val="es-ES"/>
        </w:rPr>
      </w:pPr>
    </w:p>
    <w:p w:rsidR="00B45FC3" w:rsidRPr="00526311" w:rsidRDefault="00B45FC3" w:rsidP="00B45FC3">
      <w:pPr>
        <w:numPr>
          <w:ilvl w:val="0"/>
          <w:numId w:val="29"/>
        </w:numPr>
        <w:spacing w:after="120"/>
        <w:ind w:left="1134" w:firstLine="0"/>
        <w:jc w:val="both"/>
        <w:rPr>
          <w:sz w:val="20"/>
        </w:rPr>
      </w:pPr>
      <w:r w:rsidRPr="00526311">
        <w:rPr>
          <w:sz w:val="20"/>
        </w:rPr>
        <w:t xml:space="preserve">volúmenes de trabajo del </w:t>
      </w:r>
      <w:r w:rsidR="00DF7826" w:rsidRPr="00526311">
        <w:rPr>
          <w:sz w:val="20"/>
        </w:rPr>
        <w:t>Sistema de La Haya</w:t>
      </w:r>
      <w:r w:rsidRPr="00526311">
        <w:rPr>
          <w:sz w:val="20"/>
        </w:rPr>
        <w:t>;</w:t>
      </w:r>
    </w:p>
    <w:p w:rsidR="00B45FC3" w:rsidRPr="00526311" w:rsidRDefault="00B45FC3" w:rsidP="00B45FC3">
      <w:pPr>
        <w:numPr>
          <w:ilvl w:val="0"/>
          <w:numId w:val="29"/>
        </w:numPr>
        <w:spacing w:after="120"/>
        <w:ind w:left="1134" w:firstLine="0"/>
        <w:jc w:val="both"/>
        <w:rPr>
          <w:sz w:val="20"/>
        </w:rPr>
      </w:pPr>
      <w:r w:rsidRPr="00526311">
        <w:rPr>
          <w:sz w:val="20"/>
        </w:rPr>
        <w:t>composición de esos volúmenes;</w:t>
      </w:r>
    </w:p>
    <w:p w:rsidR="00B45FC3" w:rsidRPr="00526311" w:rsidRDefault="00B45FC3" w:rsidP="00B45FC3">
      <w:pPr>
        <w:numPr>
          <w:ilvl w:val="0"/>
          <w:numId w:val="29"/>
        </w:numPr>
        <w:spacing w:after="120"/>
        <w:ind w:left="1134" w:firstLine="0"/>
        <w:jc w:val="both"/>
        <w:rPr>
          <w:sz w:val="20"/>
        </w:rPr>
      </w:pPr>
      <w:r w:rsidRPr="00526311">
        <w:rPr>
          <w:sz w:val="20"/>
        </w:rPr>
        <w:t>nivel de automatización;  y</w:t>
      </w:r>
    </w:p>
    <w:p w:rsidR="00B45FC3" w:rsidRPr="00526311" w:rsidRDefault="00B45FC3" w:rsidP="00B45FC3">
      <w:pPr>
        <w:numPr>
          <w:ilvl w:val="0"/>
          <w:numId w:val="29"/>
        </w:numPr>
        <w:ind w:left="1134" w:firstLine="0"/>
        <w:jc w:val="both"/>
        <w:rPr>
          <w:sz w:val="20"/>
        </w:rPr>
      </w:pPr>
      <w:r w:rsidRPr="00526311">
        <w:rPr>
          <w:sz w:val="20"/>
        </w:rPr>
        <w:t>recursos asignados para hacer frente al volumen de trabajo.</w:t>
      </w:r>
    </w:p>
    <w:p w:rsidR="00B45FC3" w:rsidRPr="00526311" w:rsidRDefault="00B45FC3" w:rsidP="0063039A">
      <w:pPr>
        <w:jc w:val="both"/>
        <w:rPr>
          <w:sz w:val="20"/>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 xml:space="preserve">La Oficina Internacional recibe principalmente cuatro tipos de documentos, a saber solicitudes internacionales, renovaciones, cambios y decisiones.  Se presentan, </w:t>
      </w:r>
      <w:r w:rsidRPr="00526311">
        <w:rPr>
          <w:rFonts w:cs="Arial"/>
          <w:i/>
          <w:lang w:val="es-ES"/>
        </w:rPr>
        <w:t>infra</w:t>
      </w:r>
      <w:r w:rsidRPr="00526311">
        <w:rPr>
          <w:rFonts w:cs="Arial"/>
          <w:lang w:val="es-ES"/>
        </w:rPr>
        <w:t>, las tendencias más recientes para cada uno de esos documentos.  También se proporciona otra información sobre las solicitudes recibidas, por ejemplo, el número medio de dibujos o modelos correspondiente a cada una.  Por motivos técnicos, el indicador relativo a las irregularidades declaradas presenta datos basados en documentos tramitados antes que en documentos recibidos.</w:t>
      </w:r>
    </w:p>
    <w:p w:rsidR="00B45FC3" w:rsidRPr="00526311" w:rsidRDefault="00B45FC3" w:rsidP="0063039A">
      <w:pPr>
        <w:pStyle w:val="ListParagraph"/>
        <w:tabs>
          <w:tab w:val="left" w:pos="0"/>
          <w:tab w:val="left" w:pos="567"/>
        </w:tabs>
        <w:ind w:left="0"/>
        <w:jc w:val="both"/>
        <w:rPr>
          <w:rFonts w:cs="Arial"/>
          <w:lang w:val="es-ES"/>
        </w:rPr>
      </w:pPr>
    </w:p>
    <w:p w:rsidR="00B45FC3" w:rsidRPr="00526311" w:rsidRDefault="00B45FC3" w:rsidP="0063039A">
      <w:pPr>
        <w:tabs>
          <w:tab w:val="left" w:pos="567"/>
        </w:tabs>
        <w:spacing w:before="120" w:after="240"/>
        <w:rPr>
          <w:b/>
          <w:sz w:val="20"/>
        </w:rPr>
      </w:pPr>
      <w:r w:rsidRPr="00526311">
        <w:rPr>
          <w:b/>
          <w:sz w:val="20"/>
        </w:rPr>
        <w:t>I.</w:t>
      </w:r>
      <w:r w:rsidRPr="00526311">
        <w:rPr>
          <w:b/>
          <w:sz w:val="20"/>
        </w:rPr>
        <w:tab/>
        <w:t>Documentos recibidos</w:t>
      </w:r>
    </w:p>
    <w:p w:rsidR="00B45FC3" w:rsidRPr="00526311" w:rsidRDefault="00B45FC3" w:rsidP="0063039A">
      <w:pPr>
        <w:spacing w:before="120" w:after="240"/>
        <w:rPr>
          <w:sz w:val="20"/>
          <w:u w:val="single"/>
        </w:rPr>
      </w:pPr>
      <w:r w:rsidRPr="00526311">
        <w:rPr>
          <w:sz w:val="20"/>
          <w:u w:val="single"/>
        </w:rPr>
        <w:t>Solicitudes recibidas</w:t>
      </w:r>
    </w:p>
    <w:p w:rsidR="00B45FC3" w:rsidRPr="00526311" w:rsidRDefault="00B45FC3" w:rsidP="0063039A">
      <w:pPr>
        <w:spacing w:before="120" w:after="240"/>
        <w:jc w:val="center"/>
      </w:pPr>
      <w:r w:rsidRPr="00526311">
        <w:rPr>
          <w:noProof/>
          <w:lang w:val="en-US" w:eastAsia="en-US"/>
        </w:rPr>
        <w:drawing>
          <wp:inline distT="0" distB="0" distL="0" distR="0" wp14:anchorId="2650521D" wp14:editId="726ADC14">
            <wp:extent cx="4690756" cy="2925439"/>
            <wp:effectExtent l="0" t="0" r="0" b="889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697422" cy="2929596"/>
                    </a:xfrm>
                    <a:prstGeom prst="rect">
                      <a:avLst/>
                    </a:prstGeom>
                    <a:noFill/>
                    <a:ln>
                      <a:noFill/>
                    </a:ln>
                  </pic:spPr>
                </pic:pic>
              </a:graphicData>
            </a:graphic>
          </wp:inline>
        </w:drawing>
      </w:r>
    </w:p>
    <w:p w:rsidR="00B45FC3" w:rsidRPr="00526311" w:rsidRDefault="00B45FC3" w:rsidP="00B45FC3">
      <w:pPr>
        <w:pStyle w:val="ListParagraph"/>
        <w:numPr>
          <w:ilvl w:val="0"/>
          <w:numId w:val="38"/>
        </w:numPr>
        <w:spacing w:after="120"/>
        <w:ind w:left="992" w:hanging="425"/>
        <w:jc w:val="both"/>
        <w:rPr>
          <w:rFonts w:cs="Arial"/>
          <w:lang w:val="es-ES"/>
        </w:rPr>
      </w:pPr>
      <w:r w:rsidRPr="00526311">
        <w:rPr>
          <w:rFonts w:cs="Arial"/>
          <w:lang w:val="es-ES"/>
        </w:rPr>
        <w:t>En 2014, la Oficina Internacional recibió 2.924 solicitudes internacionales, lo que representa una disminución el 2,2% con respecto a 2013.  En 2013, se produjo un aumento marcado de las solicitudes recibidas, a saber, del 15%.</w:t>
      </w:r>
    </w:p>
    <w:p w:rsidR="00B45FC3" w:rsidRPr="00526311" w:rsidRDefault="00B45FC3" w:rsidP="00B45FC3">
      <w:pPr>
        <w:pStyle w:val="ListParagraph"/>
        <w:numPr>
          <w:ilvl w:val="0"/>
          <w:numId w:val="38"/>
        </w:numPr>
        <w:spacing w:after="200"/>
        <w:ind w:left="993" w:hanging="426"/>
        <w:contextualSpacing/>
        <w:jc w:val="both"/>
        <w:rPr>
          <w:rFonts w:cs="Arial"/>
          <w:lang w:val="es-ES"/>
        </w:rPr>
      </w:pPr>
      <w:r w:rsidRPr="00526311">
        <w:rPr>
          <w:rFonts w:cs="Arial"/>
          <w:lang w:val="es-ES"/>
        </w:rPr>
        <w:t>En 2014, el 89% de las solicitudes se presentó por medios electrónicos.  La proporción de presentación electrónica de solicitudes aumentó de 10 puntos porcentuales entre 2011 y 2014, pasando del 79% en 2011 al 89% en 2014.</w:t>
      </w:r>
    </w:p>
    <w:p w:rsidR="00B45FC3" w:rsidRPr="00526311" w:rsidRDefault="00B45FC3" w:rsidP="0063039A"/>
    <w:p w:rsidR="00B45FC3" w:rsidRPr="00526311" w:rsidRDefault="00B45FC3" w:rsidP="0063039A">
      <w:pPr>
        <w:pStyle w:val="ListParagraph"/>
        <w:keepNext/>
        <w:keepLines/>
        <w:ind w:left="567"/>
        <w:rPr>
          <w:rFonts w:cs="Arial"/>
          <w:i/>
          <w:lang w:val="es-ES"/>
        </w:rPr>
      </w:pPr>
      <w:r w:rsidRPr="00526311">
        <w:rPr>
          <w:rFonts w:cs="Arial"/>
          <w:i/>
          <w:lang w:val="es-ES"/>
        </w:rPr>
        <w:lastRenderedPageBreak/>
        <w:t>Número medio de dibujos o modelos por solicitud</w:t>
      </w:r>
    </w:p>
    <w:p w:rsidR="00B45FC3" w:rsidRPr="00526311" w:rsidRDefault="00B45FC3" w:rsidP="0063039A">
      <w:pPr>
        <w:keepNext/>
        <w:keepLines/>
        <w:spacing w:before="120" w:after="240"/>
        <w:jc w:val="center"/>
      </w:pPr>
      <w:r w:rsidRPr="00526311">
        <w:rPr>
          <w:noProof/>
          <w:lang w:val="en-US" w:eastAsia="en-US"/>
        </w:rPr>
        <w:drawing>
          <wp:inline distT="0" distB="0" distL="0" distR="0" wp14:anchorId="0889D84A" wp14:editId="2B3B4D73">
            <wp:extent cx="4688556" cy="2924067"/>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97112" cy="2929403"/>
                    </a:xfrm>
                    <a:prstGeom prst="rect">
                      <a:avLst/>
                    </a:prstGeom>
                    <a:noFill/>
                    <a:ln>
                      <a:noFill/>
                    </a:ln>
                  </pic:spPr>
                </pic:pic>
              </a:graphicData>
            </a:graphic>
          </wp:inline>
        </w:drawing>
      </w:r>
    </w:p>
    <w:p w:rsidR="00B45FC3" w:rsidRPr="00526311" w:rsidRDefault="00B45FC3" w:rsidP="00B45FC3">
      <w:pPr>
        <w:pStyle w:val="ListParagraph"/>
        <w:numPr>
          <w:ilvl w:val="0"/>
          <w:numId w:val="39"/>
        </w:numPr>
        <w:spacing w:after="200"/>
        <w:ind w:left="993" w:hanging="426"/>
        <w:contextualSpacing/>
        <w:jc w:val="both"/>
        <w:rPr>
          <w:rFonts w:cs="Arial"/>
          <w:lang w:val="es-ES"/>
        </w:rPr>
      </w:pPr>
      <w:r w:rsidRPr="00526311">
        <w:rPr>
          <w:rFonts w:cs="Arial"/>
          <w:lang w:val="es-ES"/>
        </w:rPr>
        <w:t>En 2014, cada solicitud contuvo una media de cinco dibujos o modelos, aproximadamente.  De  2011 a 2014, el número medio de dibujos o modelos por solicitud osciló entre 4,5 y 5.</w:t>
      </w:r>
    </w:p>
    <w:p w:rsidR="00B45FC3" w:rsidRPr="00526311" w:rsidRDefault="00B45FC3" w:rsidP="0063039A">
      <w:pPr>
        <w:pStyle w:val="ListParagraph"/>
        <w:ind w:left="567"/>
        <w:jc w:val="both"/>
        <w:rPr>
          <w:rFonts w:cs="Arial"/>
          <w:lang w:val="es-ES"/>
        </w:rPr>
      </w:pPr>
    </w:p>
    <w:p w:rsidR="00B45FC3" w:rsidRPr="00526311" w:rsidRDefault="00B45FC3" w:rsidP="0063039A">
      <w:pPr>
        <w:pStyle w:val="ListParagraph"/>
        <w:ind w:left="567"/>
        <w:jc w:val="both"/>
        <w:rPr>
          <w:rFonts w:cs="Arial"/>
          <w:lang w:val="es-ES"/>
        </w:rPr>
      </w:pPr>
    </w:p>
    <w:p w:rsidR="00B45FC3" w:rsidRPr="00526311" w:rsidRDefault="00B45FC3" w:rsidP="0063039A">
      <w:pPr>
        <w:pStyle w:val="ListParagraph"/>
        <w:keepNext/>
        <w:keepLines/>
        <w:ind w:left="567"/>
        <w:rPr>
          <w:rFonts w:cs="Arial"/>
          <w:i/>
          <w:lang w:val="es-ES"/>
        </w:rPr>
      </w:pPr>
      <w:r w:rsidRPr="00526311">
        <w:rPr>
          <w:rFonts w:cs="Arial"/>
          <w:i/>
          <w:lang w:val="es-ES"/>
        </w:rPr>
        <w:t>Número medio de designaciones por solicitud</w:t>
      </w:r>
    </w:p>
    <w:p w:rsidR="00B45FC3" w:rsidRPr="00526311" w:rsidRDefault="00B45FC3" w:rsidP="0063039A">
      <w:pPr>
        <w:spacing w:before="120" w:after="240"/>
        <w:jc w:val="center"/>
      </w:pPr>
      <w:r w:rsidRPr="00526311">
        <w:rPr>
          <w:noProof/>
          <w:lang w:val="en-US" w:eastAsia="en-US"/>
        </w:rPr>
        <w:drawing>
          <wp:inline distT="0" distB="0" distL="0" distR="0" wp14:anchorId="1D1701F5" wp14:editId="16B2CAEE">
            <wp:extent cx="4550735" cy="2838114"/>
            <wp:effectExtent l="0" t="0" r="2540" b="63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554779" cy="2840636"/>
                    </a:xfrm>
                    <a:prstGeom prst="rect">
                      <a:avLst/>
                    </a:prstGeom>
                    <a:noFill/>
                    <a:ln>
                      <a:noFill/>
                    </a:ln>
                  </pic:spPr>
                </pic:pic>
              </a:graphicData>
            </a:graphic>
          </wp:inline>
        </w:drawing>
      </w:r>
    </w:p>
    <w:p w:rsidR="00B45FC3" w:rsidRPr="00526311" w:rsidRDefault="00B45FC3" w:rsidP="00B45FC3">
      <w:pPr>
        <w:pStyle w:val="ListParagraph"/>
        <w:numPr>
          <w:ilvl w:val="0"/>
          <w:numId w:val="39"/>
        </w:numPr>
        <w:spacing w:after="200"/>
        <w:ind w:left="993" w:hanging="426"/>
        <w:contextualSpacing/>
        <w:jc w:val="both"/>
        <w:rPr>
          <w:rFonts w:cs="Arial"/>
          <w:lang w:val="es-ES"/>
        </w:rPr>
      </w:pPr>
      <w:r w:rsidRPr="00526311">
        <w:rPr>
          <w:rFonts w:cs="Arial"/>
          <w:lang w:val="es-ES"/>
        </w:rPr>
        <w:t>En 2014, cada solicitud contuvo una media de cinco designaciones, aproximadamente.</w:t>
      </w:r>
    </w:p>
    <w:p w:rsidR="00B45FC3" w:rsidRPr="00526311" w:rsidRDefault="00B45FC3" w:rsidP="0063039A">
      <w:pPr>
        <w:jc w:val="both"/>
      </w:pPr>
    </w:p>
    <w:p w:rsidR="00B45FC3" w:rsidRPr="00526311" w:rsidRDefault="00B45FC3" w:rsidP="0063039A">
      <w:pPr>
        <w:pStyle w:val="ListParagraph"/>
        <w:keepNext/>
        <w:keepLines/>
        <w:spacing w:before="120" w:after="240"/>
        <w:ind w:left="567"/>
        <w:rPr>
          <w:rFonts w:cs="Arial"/>
          <w:i/>
          <w:lang w:val="es-ES"/>
        </w:rPr>
      </w:pPr>
      <w:r w:rsidRPr="00526311">
        <w:rPr>
          <w:rFonts w:cs="Arial"/>
          <w:i/>
          <w:lang w:val="es-ES"/>
        </w:rPr>
        <w:lastRenderedPageBreak/>
        <w:t>Tendencia observada en las irregularidades en solicitudes</w:t>
      </w:r>
    </w:p>
    <w:p w:rsidR="00B45FC3" w:rsidRPr="00526311" w:rsidRDefault="00B45FC3" w:rsidP="00B45FC3">
      <w:pPr>
        <w:pStyle w:val="ListParagraph"/>
        <w:keepNext/>
        <w:keepLines/>
        <w:numPr>
          <w:ilvl w:val="0"/>
          <w:numId w:val="46"/>
        </w:numPr>
        <w:tabs>
          <w:tab w:val="left" w:pos="0"/>
          <w:tab w:val="left" w:pos="567"/>
        </w:tabs>
        <w:ind w:left="0" w:firstLine="0"/>
        <w:contextualSpacing/>
        <w:jc w:val="both"/>
        <w:rPr>
          <w:rFonts w:cs="Arial"/>
          <w:lang w:val="es-ES"/>
        </w:rPr>
      </w:pPr>
      <w:r w:rsidRPr="00526311">
        <w:rPr>
          <w:rFonts w:cs="Arial"/>
          <w:lang w:val="es-ES"/>
        </w:rPr>
        <w:t xml:space="preserve">Las irregularidades en las solicitudes se agrupan en las 10 categorías indicadas </w:t>
      </w:r>
      <w:r w:rsidRPr="00526311">
        <w:rPr>
          <w:rFonts w:cs="Arial"/>
          <w:i/>
          <w:lang w:val="es-ES"/>
        </w:rPr>
        <w:t>infra</w:t>
      </w:r>
      <w:r w:rsidRPr="00526311">
        <w:rPr>
          <w:rFonts w:cs="Arial"/>
          <w:lang w:val="es-ES"/>
        </w:rPr>
        <w:t>.</w:t>
      </w:r>
    </w:p>
    <w:p w:rsidR="00B45FC3" w:rsidRPr="00526311" w:rsidRDefault="00B45FC3" w:rsidP="0063039A">
      <w:pPr>
        <w:keepNext/>
        <w:keepLines/>
        <w:spacing w:before="120" w:after="240"/>
        <w:jc w:val="center"/>
      </w:pPr>
      <w:r w:rsidRPr="00526311">
        <w:rPr>
          <w:noProof/>
          <w:lang w:val="en-US" w:eastAsia="en-US"/>
        </w:rPr>
        <w:drawing>
          <wp:inline distT="0" distB="0" distL="0" distR="0" wp14:anchorId="641FC568" wp14:editId="31E5026B">
            <wp:extent cx="4707377" cy="2807749"/>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26025" cy="2818872"/>
                    </a:xfrm>
                    <a:prstGeom prst="rect">
                      <a:avLst/>
                    </a:prstGeom>
                    <a:noFill/>
                    <a:ln>
                      <a:noFill/>
                    </a:ln>
                  </pic:spPr>
                </pic:pic>
              </a:graphicData>
            </a:graphic>
          </wp:inline>
        </w:drawing>
      </w:r>
    </w:p>
    <w:p w:rsidR="00B45FC3" w:rsidRPr="00526311" w:rsidRDefault="00B45FC3" w:rsidP="00B45FC3">
      <w:pPr>
        <w:pStyle w:val="ListParagraph"/>
        <w:numPr>
          <w:ilvl w:val="0"/>
          <w:numId w:val="39"/>
        </w:numPr>
        <w:spacing w:after="120"/>
        <w:ind w:left="992" w:hanging="425"/>
        <w:jc w:val="both"/>
        <w:rPr>
          <w:rFonts w:cs="Arial"/>
          <w:lang w:val="es-ES"/>
        </w:rPr>
      </w:pPr>
      <w:r w:rsidRPr="00526311">
        <w:rPr>
          <w:rFonts w:cs="Arial"/>
          <w:lang w:val="es-ES"/>
        </w:rPr>
        <w:t>En 2014, la Oficina Internacional encontró 1.557 irregularidades en solicitudes, lo que equivale a una disminución del 14% con respecto a 2013.</w:t>
      </w:r>
    </w:p>
    <w:p w:rsidR="00B45FC3" w:rsidRPr="00526311" w:rsidRDefault="00B45FC3" w:rsidP="00B45FC3">
      <w:pPr>
        <w:pStyle w:val="ListParagraph"/>
        <w:numPr>
          <w:ilvl w:val="0"/>
          <w:numId w:val="39"/>
        </w:numPr>
        <w:spacing w:after="200"/>
        <w:ind w:left="993" w:hanging="426"/>
        <w:contextualSpacing/>
        <w:jc w:val="both"/>
        <w:rPr>
          <w:rFonts w:cs="Arial"/>
          <w:lang w:val="es-ES"/>
        </w:rPr>
      </w:pPr>
      <w:r w:rsidRPr="00526311">
        <w:rPr>
          <w:rFonts w:cs="Arial"/>
          <w:lang w:val="es-ES"/>
        </w:rPr>
        <w:t>A pesar de ese marcado descenso, las irregularidades relacionadas con indicaciones de los productos aumentaron por tercer año consecutivo.  Junto con las irregularidades relativas al pago, les correspondió cerca de la mitad del total de irregularidades en 2014.</w:t>
      </w:r>
    </w:p>
    <w:p w:rsidR="00B45FC3" w:rsidRPr="00526311" w:rsidRDefault="00B45FC3" w:rsidP="0063039A">
      <w:pPr>
        <w:spacing w:before="120"/>
        <w:rPr>
          <w:sz w:val="20"/>
        </w:rPr>
      </w:pPr>
    </w:p>
    <w:p w:rsidR="00B45FC3" w:rsidRPr="00526311" w:rsidRDefault="00B45FC3" w:rsidP="0063039A">
      <w:pPr>
        <w:spacing w:before="120"/>
        <w:rPr>
          <w:sz w:val="20"/>
          <w:u w:val="single"/>
        </w:rPr>
      </w:pPr>
      <w:r w:rsidRPr="00526311">
        <w:rPr>
          <w:sz w:val="20"/>
          <w:u w:val="single"/>
        </w:rPr>
        <w:t>Renovaciones</w:t>
      </w:r>
    </w:p>
    <w:p w:rsidR="00B45FC3" w:rsidRPr="00526311" w:rsidRDefault="00B45FC3" w:rsidP="0063039A">
      <w:pPr>
        <w:spacing w:before="120" w:after="240"/>
        <w:jc w:val="center"/>
        <w:rPr>
          <w:sz w:val="20"/>
        </w:rPr>
      </w:pPr>
      <w:r w:rsidRPr="00526311">
        <w:rPr>
          <w:noProof/>
          <w:sz w:val="20"/>
          <w:lang w:val="en-US" w:eastAsia="en-US"/>
        </w:rPr>
        <w:drawing>
          <wp:inline distT="0" distB="0" distL="0" distR="0" wp14:anchorId="399AA255" wp14:editId="7C525A16">
            <wp:extent cx="4202299" cy="2785730"/>
            <wp:effectExtent l="0" t="0" r="8255"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229547" cy="2803793"/>
                    </a:xfrm>
                    <a:prstGeom prst="rect">
                      <a:avLst/>
                    </a:prstGeom>
                    <a:noFill/>
                    <a:ln>
                      <a:noFill/>
                    </a:ln>
                  </pic:spPr>
                </pic:pic>
              </a:graphicData>
            </a:graphic>
          </wp:inline>
        </w:drawing>
      </w:r>
    </w:p>
    <w:p w:rsidR="00B45FC3" w:rsidRPr="00526311" w:rsidRDefault="00B45FC3" w:rsidP="00B45FC3">
      <w:pPr>
        <w:pStyle w:val="ListParagraph"/>
        <w:numPr>
          <w:ilvl w:val="0"/>
          <w:numId w:val="40"/>
        </w:numPr>
        <w:spacing w:after="120"/>
        <w:ind w:left="992" w:hanging="425"/>
        <w:jc w:val="both"/>
        <w:rPr>
          <w:rFonts w:cs="Arial"/>
          <w:lang w:val="es-ES"/>
        </w:rPr>
      </w:pPr>
      <w:r w:rsidRPr="00526311">
        <w:rPr>
          <w:rFonts w:cs="Arial"/>
          <w:lang w:val="es-ES"/>
        </w:rPr>
        <w:t>El número de renovaciones disminuyó por segundo año consecutivo, totalizando 2.703 renovaciones en 2014.  Ello representó una caída del 5% con respecto a 2013.</w:t>
      </w:r>
    </w:p>
    <w:p w:rsidR="00B45FC3" w:rsidRPr="00526311" w:rsidRDefault="00B45FC3" w:rsidP="00B45FC3">
      <w:pPr>
        <w:pStyle w:val="ListParagraph"/>
        <w:numPr>
          <w:ilvl w:val="0"/>
          <w:numId w:val="40"/>
        </w:numPr>
        <w:spacing w:after="200"/>
        <w:ind w:left="993" w:hanging="426"/>
        <w:contextualSpacing/>
        <w:jc w:val="both"/>
        <w:rPr>
          <w:rFonts w:cs="Arial"/>
          <w:lang w:val="es-ES"/>
        </w:rPr>
      </w:pPr>
      <w:r w:rsidRPr="00526311">
        <w:rPr>
          <w:rFonts w:cs="Arial"/>
          <w:lang w:val="es-ES"/>
        </w:rPr>
        <w:t>Desde 2013, se tramita automáticamente la mayoría de las renovaciones, es decir, el 60% del total de renovaciones en 2014.</w:t>
      </w:r>
    </w:p>
    <w:p w:rsidR="00B45FC3" w:rsidRPr="00526311" w:rsidRDefault="00B45FC3" w:rsidP="0063039A">
      <w:pPr>
        <w:jc w:val="both"/>
      </w:pPr>
    </w:p>
    <w:p w:rsidR="00B45FC3" w:rsidRPr="00526311" w:rsidRDefault="00B45FC3" w:rsidP="0063039A">
      <w:pPr>
        <w:rPr>
          <w:u w:val="single"/>
        </w:rPr>
      </w:pPr>
      <w:r w:rsidRPr="00526311">
        <w:rPr>
          <w:u w:val="single"/>
        </w:rPr>
        <w:br w:type="page"/>
      </w:r>
    </w:p>
    <w:p w:rsidR="00B45FC3" w:rsidRPr="00526311" w:rsidRDefault="00B45FC3" w:rsidP="0063039A">
      <w:pPr>
        <w:spacing w:before="120"/>
        <w:rPr>
          <w:sz w:val="20"/>
          <w:u w:val="single"/>
        </w:rPr>
      </w:pPr>
      <w:r w:rsidRPr="00526311">
        <w:rPr>
          <w:sz w:val="20"/>
          <w:u w:val="single"/>
        </w:rPr>
        <w:lastRenderedPageBreak/>
        <w:t>Cambios</w:t>
      </w:r>
    </w:p>
    <w:p w:rsidR="00B45FC3" w:rsidRPr="00526311" w:rsidRDefault="00B45FC3" w:rsidP="0063039A">
      <w:pPr>
        <w:spacing w:before="120" w:after="240"/>
        <w:jc w:val="center"/>
        <w:rPr>
          <w:sz w:val="20"/>
        </w:rPr>
      </w:pPr>
      <w:r w:rsidRPr="00526311">
        <w:rPr>
          <w:noProof/>
          <w:sz w:val="20"/>
          <w:lang w:val="en-US" w:eastAsia="en-US"/>
        </w:rPr>
        <w:drawing>
          <wp:inline distT="0" distB="0" distL="0" distR="0" wp14:anchorId="7E56FB92" wp14:editId="69FDFA5C">
            <wp:extent cx="4362690" cy="2892056"/>
            <wp:effectExtent l="0" t="0" r="0" b="381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373878" cy="2899473"/>
                    </a:xfrm>
                    <a:prstGeom prst="rect">
                      <a:avLst/>
                    </a:prstGeom>
                    <a:noFill/>
                    <a:ln>
                      <a:noFill/>
                    </a:ln>
                  </pic:spPr>
                </pic:pic>
              </a:graphicData>
            </a:graphic>
          </wp:inline>
        </w:drawing>
      </w:r>
    </w:p>
    <w:p w:rsidR="00B45FC3" w:rsidRPr="00526311" w:rsidRDefault="00B45FC3" w:rsidP="00B45FC3">
      <w:pPr>
        <w:pStyle w:val="ListParagraph"/>
        <w:numPr>
          <w:ilvl w:val="0"/>
          <w:numId w:val="40"/>
        </w:numPr>
        <w:ind w:left="992" w:hanging="425"/>
        <w:jc w:val="both"/>
        <w:rPr>
          <w:rFonts w:cs="Arial"/>
          <w:lang w:val="es-ES"/>
        </w:rPr>
      </w:pPr>
      <w:r w:rsidRPr="00526311">
        <w:rPr>
          <w:rFonts w:cs="Arial"/>
          <w:lang w:val="es-ES"/>
        </w:rPr>
        <w:t>En 2014, los solicitantes pidieron 1.063 cambios en registros internacionales, lo que equivale a un aumento del 8% con respecto a 2013.</w:t>
      </w:r>
    </w:p>
    <w:p w:rsidR="00B45FC3" w:rsidRPr="00526311" w:rsidRDefault="00B45FC3" w:rsidP="0063039A">
      <w:pPr>
        <w:spacing w:before="120"/>
        <w:rPr>
          <w:sz w:val="20"/>
        </w:rPr>
      </w:pPr>
    </w:p>
    <w:p w:rsidR="00B45FC3" w:rsidRPr="00526311" w:rsidRDefault="00B45FC3" w:rsidP="0063039A">
      <w:pPr>
        <w:spacing w:before="120"/>
        <w:rPr>
          <w:sz w:val="20"/>
          <w:u w:val="single"/>
        </w:rPr>
      </w:pPr>
      <w:r w:rsidRPr="00526311">
        <w:rPr>
          <w:sz w:val="20"/>
          <w:u w:val="single"/>
        </w:rPr>
        <w:t>Decisiones</w:t>
      </w:r>
    </w:p>
    <w:p w:rsidR="00B45FC3" w:rsidRPr="00526311" w:rsidRDefault="00B45FC3" w:rsidP="0063039A">
      <w:pPr>
        <w:spacing w:before="120" w:after="240"/>
        <w:jc w:val="center"/>
        <w:rPr>
          <w:sz w:val="18"/>
        </w:rPr>
      </w:pPr>
      <w:r w:rsidRPr="00526311">
        <w:rPr>
          <w:noProof/>
          <w:lang w:val="en-US" w:eastAsia="en-US"/>
        </w:rPr>
        <w:drawing>
          <wp:inline distT="0" distB="0" distL="0" distR="0" wp14:anchorId="4F7A9208" wp14:editId="2C412B5A">
            <wp:extent cx="4146697" cy="2748872"/>
            <wp:effectExtent l="0" t="0" r="635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56648" cy="2755469"/>
                    </a:xfrm>
                    <a:prstGeom prst="rect">
                      <a:avLst/>
                    </a:prstGeom>
                    <a:noFill/>
                    <a:ln>
                      <a:noFill/>
                    </a:ln>
                  </pic:spPr>
                </pic:pic>
              </a:graphicData>
            </a:graphic>
          </wp:inline>
        </w:drawing>
      </w:r>
    </w:p>
    <w:p w:rsidR="00B45FC3" w:rsidRPr="00526311" w:rsidRDefault="00B45FC3" w:rsidP="00B45FC3">
      <w:pPr>
        <w:pStyle w:val="ListParagraph"/>
        <w:numPr>
          <w:ilvl w:val="0"/>
          <w:numId w:val="44"/>
        </w:numPr>
        <w:spacing w:after="120"/>
        <w:ind w:left="992" w:hanging="425"/>
        <w:rPr>
          <w:rFonts w:cs="Arial"/>
          <w:lang w:val="es-ES"/>
        </w:rPr>
      </w:pPr>
      <w:r w:rsidRPr="00526311">
        <w:rPr>
          <w:rFonts w:cs="Arial"/>
          <w:lang w:val="es-ES"/>
        </w:rPr>
        <w:t>El número de decisiones recibidas en 2014 aumentó del 10%, totalizando 3.169.</w:t>
      </w:r>
    </w:p>
    <w:p w:rsidR="00B45FC3" w:rsidRPr="00526311" w:rsidRDefault="00B45FC3" w:rsidP="00B45FC3">
      <w:pPr>
        <w:pStyle w:val="ListParagraph"/>
        <w:numPr>
          <w:ilvl w:val="0"/>
          <w:numId w:val="44"/>
        </w:numPr>
        <w:spacing w:after="200"/>
        <w:ind w:left="993" w:hanging="426"/>
        <w:contextualSpacing/>
        <w:rPr>
          <w:rFonts w:cs="Arial"/>
          <w:lang w:val="es-ES"/>
        </w:rPr>
      </w:pPr>
      <w:r w:rsidRPr="00526311">
        <w:rPr>
          <w:rFonts w:cs="Arial"/>
          <w:lang w:val="es-ES"/>
        </w:rPr>
        <w:t>Desde 2011, se ha tramitado automáticamente entre el 68% y el 72% de las decisiones.</w:t>
      </w:r>
    </w:p>
    <w:p w:rsidR="00B45FC3" w:rsidRPr="00526311" w:rsidRDefault="00B45FC3" w:rsidP="0063039A">
      <w:pPr>
        <w:pStyle w:val="ListParagraph"/>
        <w:rPr>
          <w:rFonts w:cs="Arial"/>
          <w:lang w:val="es-ES"/>
        </w:rPr>
      </w:pPr>
    </w:p>
    <w:p w:rsidR="00B45FC3" w:rsidRPr="00526311" w:rsidRDefault="00B45FC3" w:rsidP="0063039A">
      <w:pPr>
        <w:pStyle w:val="ListParagraph"/>
        <w:rPr>
          <w:rFonts w:cs="Arial"/>
          <w:lang w:val="es-ES"/>
        </w:rPr>
      </w:pPr>
    </w:p>
    <w:p w:rsidR="00B45FC3" w:rsidRPr="00526311" w:rsidRDefault="00B45FC3" w:rsidP="0063039A">
      <w:pPr>
        <w:tabs>
          <w:tab w:val="left" w:pos="567"/>
        </w:tabs>
        <w:rPr>
          <w:b/>
          <w:sz w:val="20"/>
        </w:rPr>
      </w:pPr>
      <w:r w:rsidRPr="00526311">
        <w:rPr>
          <w:b/>
          <w:sz w:val="20"/>
        </w:rPr>
        <w:t>II.</w:t>
      </w:r>
      <w:r w:rsidRPr="00526311">
        <w:rPr>
          <w:b/>
          <w:sz w:val="20"/>
        </w:rPr>
        <w:tab/>
        <w:t>Volumen total de trabajo</w:t>
      </w:r>
    </w:p>
    <w:p w:rsidR="00B45FC3" w:rsidRPr="00526311" w:rsidRDefault="00B45FC3" w:rsidP="0063039A">
      <w:pPr>
        <w:pStyle w:val="ListParagraph"/>
        <w:ind w:left="1080"/>
        <w:jc w:val="both"/>
        <w:rPr>
          <w:rFonts w:cs="Arial"/>
          <w:lang w:val="es-ES"/>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El volumen total de trabajo representa el número total ponderado de documentos recibidos en la Oficina Internacional.  Están incluidas las cuatro categorías de documentos (solicitudes, renovaciones, cambios y decisiones).</w:t>
      </w:r>
    </w:p>
    <w:p w:rsidR="00B45FC3" w:rsidRPr="00526311" w:rsidRDefault="00B45FC3" w:rsidP="0063039A">
      <w:pPr>
        <w:jc w:val="both"/>
        <w:rPr>
          <w:sz w:val="20"/>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 xml:space="preserve">Habida cuenta de que los recursos necesarios para tramitar esos tipos de documentos son diferentes, cada uno de ellos se pondera de forma distinta.  Conforme a ello, en el tiempo necesario para tramitar una solicitud internacional, un examinador puede tramitar ocho renovaciones, cuatro cambios y cuatro decisiones.  De manera similar, puede considerarse que en el tiempo necesario para tramitar una </w:t>
      </w:r>
      <w:r w:rsidRPr="00526311">
        <w:rPr>
          <w:rFonts w:cs="Arial"/>
          <w:lang w:val="es-ES"/>
        </w:rPr>
        <w:lastRenderedPageBreak/>
        <w:t>solicitud internacional, un empleado que interviene en el proceso de automatización puede tramitar 13 documentos.</w:t>
      </w:r>
    </w:p>
    <w:p w:rsidR="00B45FC3" w:rsidRPr="00526311" w:rsidRDefault="00B45FC3" w:rsidP="0063039A">
      <w:pPr>
        <w:jc w:val="center"/>
      </w:pPr>
      <w:r w:rsidRPr="00526311">
        <w:rPr>
          <w:noProof/>
          <w:lang w:val="en-US" w:eastAsia="en-US"/>
        </w:rPr>
        <w:drawing>
          <wp:inline distT="0" distB="0" distL="0" distR="0" wp14:anchorId="5B28EB7E" wp14:editId="4BDF2BC5">
            <wp:extent cx="5178055" cy="2307965"/>
            <wp:effectExtent l="0" t="0" r="381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175574" cy="2306859"/>
                    </a:xfrm>
                    <a:prstGeom prst="rect">
                      <a:avLst/>
                    </a:prstGeom>
                    <a:noFill/>
                    <a:ln>
                      <a:noFill/>
                    </a:ln>
                  </pic:spPr>
                </pic:pic>
              </a:graphicData>
            </a:graphic>
          </wp:inline>
        </w:drawing>
      </w:r>
    </w:p>
    <w:p w:rsidR="00B45FC3" w:rsidRPr="00526311" w:rsidRDefault="00B45FC3" w:rsidP="00B45FC3">
      <w:pPr>
        <w:pStyle w:val="ListParagraph"/>
        <w:numPr>
          <w:ilvl w:val="0"/>
          <w:numId w:val="41"/>
        </w:numPr>
        <w:spacing w:after="120"/>
        <w:ind w:left="992" w:hanging="425"/>
        <w:jc w:val="both"/>
        <w:rPr>
          <w:rFonts w:cs="Arial"/>
          <w:lang w:val="es-ES"/>
        </w:rPr>
      </w:pPr>
      <w:r w:rsidRPr="00526311">
        <w:rPr>
          <w:rFonts w:cs="Arial"/>
          <w:lang w:val="es-ES"/>
        </w:rPr>
        <w:t>En 2014, el volumen total de trabajo permaneció estable en comparación con 2013.  En 2014, las solicitudes por sí solas representaron el 76% del volumen total de trabajo.</w:t>
      </w:r>
    </w:p>
    <w:p w:rsidR="00B45FC3" w:rsidRPr="00526311" w:rsidRDefault="00B45FC3" w:rsidP="00B45FC3">
      <w:pPr>
        <w:pStyle w:val="ListParagraph"/>
        <w:numPr>
          <w:ilvl w:val="0"/>
          <w:numId w:val="41"/>
        </w:numPr>
        <w:spacing w:after="200"/>
        <w:ind w:left="993" w:hanging="426"/>
        <w:contextualSpacing/>
        <w:jc w:val="both"/>
        <w:rPr>
          <w:rFonts w:cs="Arial"/>
          <w:lang w:val="es-ES"/>
        </w:rPr>
      </w:pPr>
      <w:r w:rsidRPr="00526311">
        <w:rPr>
          <w:rFonts w:cs="Arial"/>
          <w:lang w:val="es-ES"/>
        </w:rPr>
        <w:t>Entre 2011 y 2013, el aumento en el volumen de trabajo se debió principalmente al incremento en el número de solicitudes recibidas.</w:t>
      </w:r>
    </w:p>
    <w:p w:rsidR="00B45FC3" w:rsidRPr="00526311" w:rsidRDefault="00B45FC3" w:rsidP="0063039A">
      <w:pPr>
        <w:rPr>
          <w:sz w:val="20"/>
        </w:rPr>
      </w:pPr>
    </w:p>
    <w:p w:rsidR="00B45FC3" w:rsidRPr="00526311" w:rsidRDefault="00B45FC3" w:rsidP="0063039A">
      <w:pPr>
        <w:tabs>
          <w:tab w:val="left" w:pos="567"/>
        </w:tabs>
        <w:rPr>
          <w:b/>
          <w:sz w:val="20"/>
        </w:rPr>
      </w:pPr>
      <w:r w:rsidRPr="00526311">
        <w:rPr>
          <w:b/>
          <w:sz w:val="20"/>
        </w:rPr>
        <w:t>III.</w:t>
      </w:r>
      <w:r w:rsidRPr="00526311">
        <w:rPr>
          <w:b/>
          <w:sz w:val="20"/>
        </w:rPr>
        <w:tab/>
        <w:t>Costo de tramitación</w:t>
      </w:r>
    </w:p>
    <w:p w:rsidR="00B45FC3" w:rsidRPr="00526311" w:rsidRDefault="00B45FC3" w:rsidP="0063039A">
      <w:pPr>
        <w:pStyle w:val="ListParagraph"/>
        <w:ind w:left="0"/>
        <w:rPr>
          <w:rFonts w:cs="Arial"/>
          <w:lang w:val="es-ES"/>
        </w:rPr>
      </w:pPr>
    </w:p>
    <w:p w:rsidR="00B45FC3" w:rsidRPr="00526311" w:rsidRDefault="00B45FC3" w:rsidP="0063039A">
      <w:pPr>
        <w:rPr>
          <w:sz w:val="20"/>
          <w:u w:val="single"/>
        </w:rPr>
      </w:pPr>
      <w:r w:rsidRPr="00526311">
        <w:rPr>
          <w:sz w:val="20"/>
          <w:u w:val="single"/>
        </w:rPr>
        <w:t>Costo total de producción</w:t>
      </w:r>
    </w:p>
    <w:p w:rsidR="00B45FC3" w:rsidRPr="00526311" w:rsidRDefault="00B45FC3" w:rsidP="0063039A">
      <w:pPr>
        <w:pStyle w:val="ListParagraph"/>
        <w:ind w:left="0"/>
        <w:jc w:val="both"/>
        <w:rPr>
          <w:rFonts w:cs="Arial"/>
          <w:lang w:val="es-ES"/>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El costo total de producción se determina sumando el gasto total del Sistema de La Haya a una proporción del gasto en concepto de actividades de apoyo y gestión.  Consta de componentes directos e indirectos.  Los costos directos reflejan el gasto en que ha incurrido la Oficina Internacional por la administración del Sistema de La Haya</w:t>
      </w:r>
      <w:r w:rsidRPr="00526311">
        <w:rPr>
          <w:rStyle w:val="FootnoteReference"/>
          <w:rFonts w:cs="Arial"/>
          <w:lang w:val="es-ES"/>
        </w:rPr>
        <w:footnoteReference w:id="18"/>
      </w:r>
      <w:r w:rsidRPr="00526311">
        <w:rPr>
          <w:rFonts w:cs="Arial"/>
          <w:lang w:val="es-ES"/>
        </w:rPr>
        <w:t xml:space="preserve">.  Los costos indirectos reflejan el gasto de las actividades de apoyo (por ejemplo, edificios y tecnología de la información).  Estos últimos se ponderan para tener en cuenta únicamente la proporción imputable al </w:t>
      </w:r>
      <w:r w:rsidR="00DF7826" w:rsidRPr="00526311">
        <w:rPr>
          <w:rFonts w:cs="Arial"/>
          <w:lang w:val="es-ES"/>
        </w:rPr>
        <w:t>Sistema de La Haya</w:t>
      </w:r>
      <w:r w:rsidRPr="00526311">
        <w:rPr>
          <w:rFonts w:cs="Arial"/>
          <w:lang w:val="es-ES"/>
        </w:rPr>
        <w:t>.</w:t>
      </w:r>
    </w:p>
    <w:p w:rsidR="00B45FC3" w:rsidRPr="00526311" w:rsidRDefault="00B45FC3" w:rsidP="0063039A">
      <w:pPr>
        <w:pStyle w:val="ListParagraph"/>
        <w:ind w:left="1080"/>
        <w:jc w:val="both"/>
        <w:rPr>
          <w:rFonts w:cs="Arial"/>
          <w:lang w:val="es-ES"/>
        </w:rPr>
      </w:pPr>
    </w:p>
    <w:p w:rsidR="00B45FC3" w:rsidRPr="00526311" w:rsidRDefault="00B45FC3" w:rsidP="0063039A">
      <w:pPr>
        <w:pStyle w:val="ListParagraph"/>
        <w:ind w:left="1080"/>
        <w:rPr>
          <w:rFonts w:cs="Arial"/>
          <w:lang w:val="es-ES"/>
        </w:rPr>
      </w:pPr>
      <w:r w:rsidRPr="00526311">
        <w:rPr>
          <w:noProof/>
        </w:rPr>
        <w:drawing>
          <wp:inline distT="0" distB="0" distL="0" distR="0" wp14:anchorId="4B9F0D17" wp14:editId="2FC6141B">
            <wp:extent cx="4212369" cy="2670553"/>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219358" cy="2674984"/>
                    </a:xfrm>
                    <a:prstGeom prst="rect">
                      <a:avLst/>
                    </a:prstGeom>
                    <a:noFill/>
                    <a:ln>
                      <a:noFill/>
                    </a:ln>
                  </pic:spPr>
                </pic:pic>
              </a:graphicData>
            </a:graphic>
          </wp:inline>
        </w:drawing>
      </w:r>
    </w:p>
    <w:p w:rsidR="00B45FC3" w:rsidRPr="00526311" w:rsidRDefault="00B45FC3" w:rsidP="00B45FC3">
      <w:pPr>
        <w:pStyle w:val="ListParagraph"/>
        <w:keepNext/>
        <w:keepLines/>
        <w:numPr>
          <w:ilvl w:val="0"/>
          <w:numId w:val="42"/>
        </w:numPr>
        <w:spacing w:after="120"/>
        <w:ind w:left="992" w:hanging="425"/>
        <w:jc w:val="both"/>
        <w:rPr>
          <w:rFonts w:cs="Arial"/>
          <w:lang w:val="es-ES"/>
        </w:rPr>
      </w:pPr>
      <w:r w:rsidRPr="00526311">
        <w:rPr>
          <w:rFonts w:cs="Arial"/>
          <w:lang w:val="es-ES"/>
        </w:rPr>
        <w:t>El gasto total relacionado con la tramitación en el Sistema de La Haya se estima en 5,7 millones de francos suizos en 2014.  Ello representa una disminución del 5,7% con respecto a 2013.  Los costos directos e indirectos disminuyeron, respectivamente, del 8,1% y del 2%.</w:t>
      </w:r>
    </w:p>
    <w:p w:rsidR="00B45FC3" w:rsidRPr="00526311" w:rsidRDefault="00B45FC3" w:rsidP="00B45FC3">
      <w:pPr>
        <w:pStyle w:val="ListParagraph"/>
        <w:numPr>
          <w:ilvl w:val="0"/>
          <w:numId w:val="42"/>
        </w:numPr>
        <w:spacing w:after="200"/>
        <w:ind w:left="993" w:hanging="426"/>
        <w:contextualSpacing/>
        <w:jc w:val="both"/>
        <w:rPr>
          <w:rFonts w:cs="Arial"/>
          <w:lang w:val="es-ES"/>
        </w:rPr>
      </w:pPr>
      <w:r w:rsidRPr="00526311">
        <w:rPr>
          <w:rFonts w:cs="Arial"/>
          <w:lang w:val="es-ES"/>
        </w:rPr>
        <w:t>En 2014, correspondió a los costos directos el 60% del gasto total.</w:t>
      </w:r>
    </w:p>
    <w:p w:rsidR="00B45FC3" w:rsidRPr="00526311" w:rsidRDefault="00B45FC3" w:rsidP="0063039A">
      <w:pPr>
        <w:pStyle w:val="ListParagraph"/>
        <w:ind w:left="993" w:hanging="426"/>
        <w:rPr>
          <w:rFonts w:cs="Arial"/>
          <w:lang w:val="es-ES"/>
        </w:rPr>
      </w:pPr>
    </w:p>
    <w:p w:rsidR="00B45FC3" w:rsidRPr="00526311" w:rsidRDefault="00B45FC3" w:rsidP="0063039A">
      <w:pPr>
        <w:rPr>
          <w:sz w:val="20"/>
          <w:u w:val="single"/>
        </w:rPr>
      </w:pPr>
      <w:r w:rsidRPr="00526311">
        <w:rPr>
          <w:sz w:val="20"/>
          <w:u w:val="single"/>
        </w:rPr>
        <w:t>Costo unitario</w:t>
      </w:r>
    </w:p>
    <w:p w:rsidR="00B45FC3" w:rsidRPr="00526311" w:rsidRDefault="00B45FC3" w:rsidP="0063039A">
      <w:pPr>
        <w:rPr>
          <w:sz w:val="20"/>
          <w:u w:val="single"/>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La eficiencia de la Oficina Internacional en cuanto a la tramitación de transacciones puede medirse por el costo unitario, definido como el costo medio de producción de una unidad de producto.</w:t>
      </w:r>
    </w:p>
    <w:p w:rsidR="00B45FC3" w:rsidRPr="00526311" w:rsidRDefault="00B45FC3" w:rsidP="0063039A">
      <w:pPr>
        <w:contextualSpacing/>
        <w:jc w:val="both"/>
        <w:rPr>
          <w:sz w:val="20"/>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 xml:space="preserve">Habida cuenta de que la Oficina Internacional crea registros a partir de nuevas solicitudes y mantiene los registros existentes, resulta pertinente contar con una unidad de producto que incluya un conjunto de transacciones.  Se presentan </w:t>
      </w:r>
      <w:r w:rsidRPr="00526311">
        <w:rPr>
          <w:rFonts w:cs="Arial"/>
          <w:i/>
          <w:lang w:val="es-ES"/>
        </w:rPr>
        <w:t>infra</w:t>
      </w:r>
      <w:r w:rsidRPr="00526311">
        <w:rPr>
          <w:rFonts w:cs="Arial"/>
          <w:lang w:val="es-ES"/>
        </w:rPr>
        <w:t xml:space="preserve"> dos indicadores de costo unitario, utilizando dos unidades de producto diferentes.</w:t>
      </w:r>
    </w:p>
    <w:p w:rsidR="00B45FC3" w:rsidRPr="00526311" w:rsidRDefault="00B45FC3" w:rsidP="0063039A">
      <w:pPr>
        <w:pStyle w:val="ListParagraph"/>
        <w:tabs>
          <w:tab w:val="left" w:pos="0"/>
          <w:tab w:val="left" w:pos="567"/>
        </w:tabs>
        <w:ind w:left="0"/>
        <w:jc w:val="both"/>
        <w:rPr>
          <w:rFonts w:cs="Arial"/>
          <w:lang w:val="es-ES"/>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En el marco de los esfuerzos de la Oficina Internacional por seguir refinando la metodología de cálculo de los costos unitarios, en el presupuesto por programas se ha revisado esa metodología para reflejar con mayor exactitud el costo de tramitación del volumen de trabajo correspondiente al Sistema de La Haya en la Oficina Internacional.</w:t>
      </w:r>
    </w:p>
    <w:p w:rsidR="00B45FC3" w:rsidRPr="00526311" w:rsidRDefault="00B45FC3" w:rsidP="0063039A">
      <w:pPr>
        <w:pStyle w:val="ListParagraph"/>
        <w:tabs>
          <w:tab w:val="left" w:pos="0"/>
          <w:tab w:val="left" w:pos="567"/>
        </w:tabs>
        <w:ind w:left="0"/>
        <w:jc w:val="both"/>
        <w:rPr>
          <w:rFonts w:cs="Arial"/>
          <w:lang w:val="es-ES"/>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La revisión en cuestión incluye lo siguiente:</w:t>
      </w:r>
    </w:p>
    <w:p w:rsidR="00B45FC3" w:rsidRPr="00526311" w:rsidRDefault="00B45FC3" w:rsidP="0063039A">
      <w:pPr>
        <w:pStyle w:val="ListParagraph"/>
        <w:tabs>
          <w:tab w:val="left" w:pos="0"/>
          <w:tab w:val="left" w:pos="567"/>
        </w:tabs>
        <w:spacing w:after="120"/>
        <w:ind w:left="0"/>
        <w:jc w:val="both"/>
        <w:rPr>
          <w:rFonts w:cs="Arial"/>
          <w:lang w:val="es-ES"/>
        </w:rPr>
      </w:pPr>
    </w:p>
    <w:p w:rsidR="00B45FC3" w:rsidRPr="00526311" w:rsidRDefault="00B45FC3" w:rsidP="00B45FC3">
      <w:pPr>
        <w:pStyle w:val="ListParagraph"/>
        <w:numPr>
          <w:ilvl w:val="0"/>
          <w:numId w:val="45"/>
        </w:numPr>
        <w:spacing w:after="120"/>
        <w:ind w:left="1134" w:hanging="567"/>
        <w:jc w:val="both"/>
        <w:rPr>
          <w:rFonts w:cs="Arial"/>
          <w:lang w:val="es-ES"/>
        </w:rPr>
      </w:pPr>
      <w:r w:rsidRPr="00526311">
        <w:rPr>
          <w:rFonts w:cs="Arial"/>
          <w:lang w:val="es-ES"/>
        </w:rPr>
        <w:t>La metodología de cálculo de los costos directos e indirectos correspondientes al Sistema de La Haya se ha puesto en sintonía con las metodologías de cálculo de los costos unitarios correspondientes al Sistema del PCT y al de Madrid.</w:t>
      </w:r>
    </w:p>
    <w:p w:rsidR="00B45FC3" w:rsidRPr="00526311" w:rsidRDefault="00B45FC3" w:rsidP="00B45FC3">
      <w:pPr>
        <w:pStyle w:val="ListParagraph"/>
        <w:numPr>
          <w:ilvl w:val="0"/>
          <w:numId w:val="30"/>
        </w:numPr>
        <w:spacing w:after="120"/>
        <w:ind w:left="1134" w:hanging="567"/>
        <w:jc w:val="both"/>
        <w:rPr>
          <w:rFonts w:cs="Arial"/>
          <w:lang w:val="es-ES"/>
        </w:rPr>
      </w:pPr>
      <w:r w:rsidRPr="00526311">
        <w:rPr>
          <w:rFonts w:cs="Arial"/>
          <w:lang w:val="es-ES"/>
        </w:rPr>
        <w:t>Se ha introducido un sistema ponderado para reflejar con mayor precisión el trabajo necesario para tramitar las cuatro categorías de documentos, teniendo en cuenta que algunos de esos documentos suponen una carga de trabajo mayor</w:t>
      </w:r>
      <w:r w:rsidRPr="00526311">
        <w:rPr>
          <w:rStyle w:val="FootnoteReference"/>
          <w:rFonts w:cs="Arial"/>
          <w:lang w:val="es-ES"/>
        </w:rPr>
        <w:footnoteReference w:id="19"/>
      </w:r>
      <w:r w:rsidRPr="00526311">
        <w:rPr>
          <w:rFonts w:cs="Arial"/>
          <w:lang w:val="es-ES"/>
        </w:rPr>
        <w:t>.</w:t>
      </w:r>
    </w:p>
    <w:p w:rsidR="00B45FC3" w:rsidRPr="00526311" w:rsidRDefault="00B45FC3" w:rsidP="00B45FC3">
      <w:pPr>
        <w:pStyle w:val="ListParagraph"/>
        <w:numPr>
          <w:ilvl w:val="0"/>
          <w:numId w:val="30"/>
        </w:numPr>
        <w:spacing w:after="120"/>
        <w:ind w:left="1134" w:hanging="567"/>
        <w:jc w:val="both"/>
        <w:rPr>
          <w:rFonts w:cs="Arial"/>
          <w:lang w:val="es-ES"/>
        </w:rPr>
      </w:pPr>
      <w:r w:rsidRPr="00526311">
        <w:rPr>
          <w:rFonts w:cs="Arial"/>
          <w:lang w:val="es-ES"/>
        </w:rPr>
        <w:t>El primer costo unitario ha sido redefinido para incluir los dibujos o modelos contenidos tanto en nuevos registros internacionales como en renovaciones (en el presupuesto por programas de 2014/15, el costo unitario incluía solo los dibujos o modelos contenidos en registros internacionales).  El motivo por el que se añaden los dibujos o modelos contenidos en renovaciones como componente de este costo unitario es centrar más la atención en los productos centrales del Sistema de La Haya, a saber, el registro internacional y su renovación.</w:t>
      </w:r>
    </w:p>
    <w:p w:rsidR="00B45FC3" w:rsidRPr="00526311" w:rsidRDefault="00B45FC3" w:rsidP="00B45FC3">
      <w:pPr>
        <w:pStyle w:val="ListParagraph"/>
        <w:numPr>
          <w:ilvl w:val="0"/>
          <w:numId w:val="30"/>
        </w:numPr>
        <w:spacing w:after="200"/>
        <w:ind w:left="1134" w:hanging="567"/>
        <w:contextualSpacing/>
        <w:jc w:val="both"/>
        <w:rPr>
          <w:rFonts w:cs="Arial"/>
          <w:lang w:val="es-ES"/>
        </w:rPr>
      </w:pPr>
      <w:r w:rsidRPr="00526311">
        <w:rPr>
          <w:rFonts w:cs="Arial"/>
          <w:lang w:val="es-ES"/>
        </w:rPr>
        <w:t>El segundo costo unitario se basa en el número de documentos tramitados e inscritos en el Registro, antes que en el número de inscripciones, debido a los diferentes niveles de esfuerzo necesarios para tramitar los distintos documentos.</w:t>
      </w:r>
    </w:p>
    <w:p w:rsidR="00B45FC3" w:rsidRPr="00526311" w:rsidRDefault="00B45FC3" w:rsidP="0063039A">
      <w:pPr>
        <w:pStyle w:val="ListParagraph"/>
        <w:ind w:left="0"/>
        <w:jc w:val="both"/>
        <w:rPr>
          <w:rFonts w:cs="Arial"/>
          <w:lang w:val="es-ES"/>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 xml:space="preserve">Para facilitar la comparación, se ilustra en los gráficos que figuran </w:t>
      </w:r>
      <w:r w:rsidRPr="00526311">
        <w:rPr>
          <w:rFonts w:cs="Arial"/>
          <w:i/>
          <w:lang w:val="es-ES"/>
        </w:rPr>
        <w:t>infra</w:t>
      </w:r>
      <w:r w:rsidRPr="00526311">
        <w:rPr>
          <w:rFonts w:cs="Arial"/>
          <w:lang w:val="es-ES"/>
        </w:rPr>
        <w:t xml:space="preserve"> la evolución de los dos costos unitarios entre 2008 y 2014, utilizando la vieja metodología, y entre 2012 y 2014, utilizando la nueva, y se incluye un desglose de la parte correspondientes a los costos directos e indirectos.</w:t>
      </w:r>
    </w:p>
    <w:p w:rsidR="00B45FC3" w:rsidRPr="00526311" w:rsidRDefault="00B45FC3" w:rsidP="0063039A">
      <w:pPr>
        <w:pStyle w:val="ListParagraph"/>
        <w:tabs>
          <w:tab w:val="left" w:pos="0"/>
          <w:tab w:val="left" w:pos="567"/>
        </w:tabs>
        <w:ind w:left="0"/>
        <w:jc w:val="both"/>
        <w:rPr>
          <w:rFonts w:cs="Arial"/>
          <w:lang w:val="es-ES"/>
        </w:rPr>
      </w:pPr>
    </w:p>
    <w:p w:rsidR="00B45FC3" w:rsidRPr="00526311" w:rsidRDefault="00B45FC3" w:rsidP="0063039A">
      <w:pPr>
        <w:jc w:val="both"/>
        <w:rPr>
          <w:i/>
          <w:sz w:val="20"/>
        </w:rPr>
      </w:pPr>
      <w:r w:rsidRPr="00526311">
        <w:rPr>
          <w:i/>
          <w:sz w:val="20"/>
        </w:rPr>
        <w:t>Costo unitario por dibujo o modelo nuevo/renovado</w:t>
      </w:r>
    </w:p>
    <w:p w:rsidR="00B45FC3" w:rsidRPr="00526311" w:rsidRDefault="00B45FC3" w:rsidP="0063039A">
      <w:pPr>
        <w:jc w:val="both"/>
        <w:rPr>
          <w:sz w:val="20"/>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Los dibujos o modelos nuevos son los que están contenidos en solicitudes internacionales que dan lugar a registros en un año determinado, y los dibujos o modelos renovados son los que ya existen en registros internacionales y son objeto de renovación en un año determinado.  Combinados, los dibujos o modelos contenidos en esos dos tipos de transacción reflejan las actividades principales de la Oficina Internacional en este contexto.</w:t>
      </w:r>
    </w:p>
    <w:p w:rsidR="00B45FC3" w:rsidRPr="00526311" w:rsidRDefault="00B45FC3" w:rsidP="0063039A">
      <w:pPr>
        <w:jc w:val="both"/>
        <w:rPr>
          <w:sz w:val="20"/>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Habida cuenta de que los recursos necesarios para tramitar los dibujos o modelos contenidos en esos dos tipos de documentos son diferentes, cada uno de ellos se pondera de forma distinta</w:t>
      </w:r>
      <w:r w:rsidRPr="00526311">
        <w:rPr>
          <w:rStyle w:val="FootnoteReference"/>
          <w:rFonts w:cs="Arial"/>
          <w:lang w:val="es-ES"/>
        </w:rPr>
        <w:footnoteReference w:id="20"/>
      </w:r>
      <w:r w:rsidRPr="00526311">
        <w:rPr>
          <w:rFonts w:cs="Arial"/>
          <w:lang w:val="es-ES"/>
        </w:rPr>
        <w:t>.  El costo unitario se calcula dividiendo el costo total de producción por el número de dibujos o modelos nuevos/renovados.</w:t>
      </w:r>
    </w:p>
    <w:p w:rsidR="00B45FC3" w:rsidRPr="00526311" w:rsidRDefault="00B45FC3" w:rsidP="0063039A">
      <w:pPr>
        <w:spacing w:before="120" w:after="120"/>
        <w:jc w:val="both"/>
        <w:rPr>
          <w:sz w:val="20"/>
        </w:rPr>
      </w:pPr>
    </w:p>
    <w:tbl>
      <w:tblPr>
        <w:tblStyle w:val="TableGrid"/>
        <w:tblW w:w="0" w:type="auto"/>
        <w:tblLook w:val="04A0" w:firstRow="1" w:lastRow="0" w:firstColumn="1" w:lastColumn="0" w:noHBand="0" w:noVBand="1"/>
      </w:tblPr>
      <w:tblGrid>
        <w:gridCol w:w="4614"/>
        <w:gridCol w:w="4957"/>
      </w:tblGrid>
      <w:tr w:rsidR="00B45FC3" w:rsidRPr="00526311" w:rsidTr="0063039A">
        <w:tc>
          <w:tcPr>
            <w:tcW w:w="4788" w:type="dxa"/>
          </w:tcPr>
          <w:p w:rsidR="00B45FC3" w:rsidRPr="00526311" w:rsidRDefault="00B45FC3" w:rsidP="0063039A">
            <w:pPr>
              <w:keepNext/>
              <w:keepLines/>
              <w:spacing w:after="200" w:line="276" w:lineRule="auto"/>
              <w:jc w:val="center"/>
              <w:rPr>
                <w:sz w:val="20"/>
              </w:rPr>
            </w:pPr>
            <w:r w:rsidRPr="00526311">
              <w:rPr>
                <w:sz w:val="20"/>
              </w:rPr>
              <w:lastRenderedPageBreak/>
              <w:t>Método antiguo</w:t>
            </w:r>
          </w:p>
        </w:tc>
        <w:tc>
          <w:tcPr>
            <w:tcW w:w="4788" w:type="dxa"/>
          </w:tcPr>
          <w:p w:rsidR="00B45FC3" w:rsidRPr="00526311" w:rsidRDefault="00B45FC3" w:rsidP="0063039A">
            <w:pPr>
              <w:keepNext/>
              <w:keepLines/>
              <w:spacing w:after="200" w:line="276" w:lineRule="auto"/>
              <w:jc w:val="center"/>
              <w:rPr>
                <w:sz w:val="20"/>
              </w:rPr>
            </w:pPr>
            <w:r w:rsidRPr="00526311">
              <w:rPr>
                <w:sz w:val="20"/>
              </w:rPr>
              <w:t>Método nuevo</w:t>
            </w:r>
          </w:p>
        </w:tc>
      </w:tr>
      <w:tr w:rsidR="00B45FC3" w:rsidRPr="00526311" w:rsidTr="0063039A">
        <w:tc>
          <w:tcPr>
            <w:tcW w:w="4788" w:type="dxa"/>
          </w:tcPr>
          <w:p w:rsidR="00B45FC3" w:rsidRPr="00526311" w:rsidRDefault="00B45FC3" w:rsidP="0063039A">
            <w:pPr>
              <w:keepNext/>
              <w:keepLines/>
              <w:spacing w:after="200" w:line="276" w:lineRule="auto"/>
              <w:jc w:val="center"/>
            </w:pPr>
            <w:r w:rsidRPr="00526311">
              <w:rPr>
                <w:noProof/>
                <w:lang w:val="en-US" w:eastAsia="en-US"/>
              </w:rPr>
              <w:drawing>
                <wp:inline distT="0" distB="0" distL="0" distR="0" wp14:anchorId="5CFE2719" wp14:editId="1D2EDB60">
                  <wp:extent cx="2631514" cy="1942459"/>
                  <wp:effectExtent l="0" t="0" r="0" b="127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42803" cy="1950792"/>
                          </a:xfrm>
                          <a:prstGeom prst="rect">
                            <a:avLst/>
                          </a:prstGeom>
                          <a:noFill/>
                          <a:ln>
                            <a:noFill/>
                          </a:ln>
                        </pic:spPr>
                      </pic:pic>
                    </a:graphicData>
                  </a:graphic>
                </wp:inline>
              </w:drawing>
            </w:r>
          </w:p>
        </w:tc>
        <w:tc>
          <w:tcPr>
            <w:tcW w:w="4788" w:type="dxa"/>
          </w:tcPr>
          <w:p w:rsidR="00B45FC3" w:rsidRPr="00526311" w:rsidRDefault="00B45FC3" w:rsidP="0063039A">
            <w:pPr>
              <w:keepNext/>
              <w:keepLines/>
              <w:spacing w:after="200" w:line="276" w:lineRule="auto"/>
              <w:jc w:val="center"/>
            </w:pPr>
            <w:r w:rsidRPr="00526311">
              <w:rPr>
                <w:noProof/>
                <w:lang w:val="en-US" w:eastAsia="en-US"/>
              </w:rPr>
              <w:drawing>
                <wp:inline distT="0" distB="0" distL="0" distR="0" wp14:anchorId="29A2BDEE" wp14:editId="635D14F2">
                  <wp:extent cx="3011038" cy="2017762"/>
                  <wp:effectExtent l="0" t="0" r="0" b="1905"/>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11993" cy="2018402"/>
                          </a:xfrm>
                          <a:prstGeom prst="rect">
                            <a:avLst/>
                          </a:prstGeom>
                          <a:noFill/>
                          <a:ln>
                            <a:noFill/>
                          </a:ln>
                        </pic:spPr>
                      </pic:pic>
                    </a:graphicData>
                  </a:graphic>
                </wp:inline>
              </w:drawing>
            </w:r>
          </w:p>
        </w:tc>
      </w:tr>
    </w:tbl>
    <w:p w:rsidR="00B45FC3" w:rsidRPr="00526311" w:rsidRDefault="00B45FC3" w:rsidP="0063039A">
      <w:pPr>
        <w:pStyle w:val="ListParagraph"/>
        <w:spacing w:before="120" w:after="120"/>
        <w:ind w:left="1080"/>
        <w:jc w:val="center"/>
        <w:rPr>
          <w:rFonts w:cs="Arial"/>
          <w:lang w:val="es-ES"/>
        </w:rPr>
      </w:pPr>
    </w:p>
    <w:p w:rsidR="00B45FC3" w:rsidRPr="00526311" w:rsidRDefault="00B45FC3" w:rsidP="00B45FC3">
      <w:pPr>
        <w:pStyle w:val="ListParagraph"/>
        <w:numPr>
          <w:ilvl w:val="0"/>
          <w:numId w:val="43"/>
        </w:numPr>
        <w:ind w:left="993" w:hanging="426"/>
        <w:contextualSpacing/>
        <w:jc w:val="both"/>
        <w:rPr>
          <w:rFonts w:cs="Arial"/>
          <w:lang w:val="es-ES"/>
        </w:rPr>
      </w:pPr>
      <w:r w:rsidRPr="00526311">
        <w:rPr>
          <w:rFonts w:cs="Arial"/>
          <w:lang w:val="es-ES"/>
        </w:rPr>
        <w:t>En 2014, el costo medio de tramitación de un dibujo o modelo nuevo/renovado fue de 366 francos suizos, es decir que se produjo una disminución del 12,8% con respecto a 2013.  Esa disminución se debió principalmente a una baja del 5,7% en el costo de producción combinada con un aumento del 8,2% en el número de dibujos o modelos nuevos/renovados.</w:t>
      </w:r>
    </w:p>
    <w:p w:rsidR="00B45FC3" w:rsidRPr="00526311" w:rsidRDefault="00B45FC3" w:rsidP="0063039A">
      <w:pPr>
        <w:jc w:val="center"/>
        <w:rPr>
          <w:sz w:val="20"/>
        </w:rPr>
      </w:pPr>
    </w:p>
    <w:p w:rsidR="00B45FC3" w:rsidRPr="00526311" w:rsidRDefault="00B45FC3" w:rsidP="0063039A">
      <w:pPr>
        <w:jc w:val="both"/>
        <w:rPr>
          <w:i/>
          <w:sz w:val="20"/>
        </w:rPr>
      </w:pPr>
      <w:r w:rsidRPr="00526311">
        <w:rPr>
          <w:i/>
          <w:sz w:val="20"/>
        </w:rPr>
        <w:t>Costo unitario por documento inscrito en el Registro</w:t>
      </w:r>
    </w:p>
    <w:p w:rsidR="00B45FC3" w:rsidRPr="00526311" w:rsidRDefault="00B45FC3" w:rsidP="0063039A">
      <w:pPr>
        <w:jc w:val="both"/>
        <w:rPr>
          <w:sz w:val="20"/>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 xml:space="preserve">Los documentos inscritos en el Registro corresponden al volumen total de trabajo (véase “Volumen total de trabajo” </w:t>
      </w:r>
      <w:r w:rsidRPr="00526311">
        <w:rPr>
          <w:rFonts w:cs="Arial"/>
          <w:i/>
          <w:lang w:val="es-ES"/>
        </w:rPr>
        <w:t>supra</w:t>
      </w:r>
      <w:r w:rsidRPr="00526311">
        <w:rPr>
          <w:rFonts w:cs="Arial"/>
          <w:lang w:val="es-ES"/>
        </w:rPr>
        <w:t>).</w:t>
      </w:r>
    </w:p>
    <w:p w:rsidR="00B45FC3" w:rsidRPr="00526311" w:rsidRDefault="00B45FC3" w:rsidP="0063039A">
      <w:pPr>
        <w:jc w:val="both"/>
        <w:rPr>
          <w:sz w:val="20"/>
        </w:rPr>
      </w:pPr>
    </w:p>
    <w:tbl>
      <w:tblPr>
        <w:tblStyle w:val="TableGrid"/>
        <w:tblW w:w="0" w:type="auto"/>
        <w:tblLook w:val="04A0" w:firstRow="1" w:lastRow="0" w:firstColumn="1" w:lastColumn="0" w:noHBand="0" w:noVBand="1"/>
      </w:tblPr>
      <w:tblGrid>
        <w:gridCol w:w="4784"/>
        <w:gridCol w:w="4787"/>
      </w:tblGrid>
      <w:tr w:rsidR="00B45FC3" w:rsidRPr="00526311" w:rsidTr="0063039A">
        <w:tc>
          <w:tcPr>
            <w:tcW w:w="4788" w:type="dxa"/>
          </w:tcPr>
          <w:p w:rsidR="00B45FC3" w:rsidRPr="00526311" w:rsidRDefault="00B45FC3" w:rsidP="0063039A">
            <w:pPr>
              <w:spacing w:after="200" w:line="276" w:lineRule="auto"/>
              <w:jc w:val="center"/>
              <w:rPr>
                <w:sz w:val="20"/>
              </w:rPr>
            </w:pPr>
            <w:r w:rsidRPr="00526311">
              <w:rPr>
                <w:sz w:val="20"/>
              </w:rPr>
              <w:t>Método antiguo</w:t>
            </w:r>
          </w:p>
        </w:tc>
        <w:tc>
          <w:tcPr>
            <w:tcW w:w="4788" w:type="dxa"/>
          </w:tcPr>
          <w:p w:rsidR="00B45FC3" w:rsidRPr="00526311" w:rsidRDefault="00B45FC3" w:rsidP="0063039A">
            <w:pPr>
              <w:spacing w:after="200" w:line="276" w:lineRule="auto"/>
              <w:jc w:val="center"/>
              <w:rPr>
                <w:sz w:val="20"/>
              </w:rPr>
            </w:pPr>
            <w:r w:rsidRPr="00526311">
              <w:rPr>
                <w:sz w:val="20"/>
              </w:rPr>
              <w:t>Método nuevo</w:t>
            </w:r>
          </w:p>
        </w:tc>
      </w:tr>
      <w:tr w:rsidR="00B45FC3" w:rsidRPr="00526311" w:rsidTr="0063039A">
        <w:tc>
          <w:tcPr>
            <w:tcW w:w="4788" w:type="dxa"/>
          </w:tcPr>
          <w:p w:rsidR="00B45FC3" w:rsidRPr="00526311" w:rsidRDefault="00B45FC3" w:rsidP="0063039A">
            <w:pPr>
              <w:spacing w:after="200" w:line="276" w:lineRule="auto"/>
              <w:jc w:val="center"/>
              <w:rPr>
                <w:sz w:val="20"/>
              </w:rPr>
            </w:pPr>
            <w:r w:rsidRPr="00526311">
              <w:rPr>
                <w:noProof/>
                <w:sz w:val="20"/>
                <w:lang w:val="en-US" w:eastAsia="en-US"/>
              </w:rPr>
              <w:drawing>
                <wp:inline distT="0" distB="0" distL="0" distR="0" wp14:anchorId="04F97EAE" wp14:editId="727D88DD">
                  <wp:extent cx="2683848" cy="1968441"/>
                  <wp:effectExtent l="0" t="0" r="254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86740" cy="1970562"/>
                          </a:xfrm>
                          <a:prstGeom prst="rect">
                            <a:avLst/>
                          </a:prstGeom>
                          <a:noFill/>
                          <a:ln>
                            <a:noFill/>
                          </a:ln>
                        </pic:spPr>
                      </pic:pic>
                    </a:graphicData>
                  </a:graphic>
                </wp:inline>
              </w:drawing>
            </w:r>
          </w:p>
        </w:tc>
        <w:tc>
          <w:tcPr>
            <w:tcW w:w="4788" w:type="dxa"/>
          </w:tcPr>
          <w:p w:rsidR="00B45FC3" w:rsidRPr="00526311" w:rsidRDefault="00B45FC3" w:rsidP="0063039A">
            <w:pPr>
              <w:spacing w:after="200" w:line="276" w:lineRule="auto"/>
              <w:jc w:val="center"/>
              <w:rPr>
                <w:sz w:val="20"/>
              </w:rPr>
            </w:pPr>
            <w:r w:rsidRPr="00526311">
              <w:rPr>
                <w:noProof/>
                <w:sz w:val="20"/>
                <w:lang w:val="en-US" w:eastAsia="en-US"/>
              </w:rPr>
              <w:drawing>
                <wp:inline distT="0" distB="0" distL="0" distR="0" wp14:anchorId="54F87434" wp14:editId="5A8EDAB6">
                  <wp:extent cx="2828138" cy="1959428"/>
                  <wp:effectExtent l="0" t="0" r="0" b="317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28138" cy="1959428"/>
                          </a:xfrm>
                          <a:prstGeom prst="rect">
                            <a:avLst/>
                          </a:prstGeom>
                          <a:noFill/>
                          <a:ln>
                            <a:noFill/>
                          </a:ln>
                        </pic:spPr>
                      </pic:pic>
                    </a:graphicData>
                  </a:graphic>
                </wp:inline>
              </w:drawing>
            </w:r>
          </w:p>
        </w:tc>
      </w:tr>
    </w:tbl>
    <w:p w:rsidR="00B45FC3" w:rsidRPr="00526311" w:rsidRDefault="00B45FC3" w:rsidP="0063039A">
      <w:pPr>
        <w:jc w:val="center"/>
      </w:pPr>
    </w:p>
    <w:p w:rsidR="00B45FC3" w:rsidRPr="00526311" w:rsidRDefault="00B45FC3" w:rsidP="00B45FC3">
      <w:pPr>
        <w:pStyle w:val="ListParagraph"/>
        <w:numPr>
          <w:ilvl w:val="0"/>
          <w:numId w:val="43"/>
        </w:numPr>
        <w:ind w:left="993" w:hanging="426"/>
        <w:contextualSpacing/>
        <w:jc w:val="both"/>
        <w:rPr>
          <w:rFonts w:cs="Arial"/>
          <w:lang w:val="es-ES"/>
        </w:rPr>
      </w:pPr>
      <w:r w:rsidRPr="00526311">
        <w:rPr>
          <w:rFonts w:cs="Arial"/>
          <w:lang w:val="es-ES"/>
        </w:rPr>
        <w:t>El costo medio de la inscripción de un documento en el Registro disminuyó, pasando a 1.483 francos suizos en 2014.  Ello se debe a la baja del 5,7% en el costo de producción.</w:t>
      </w:r>
    </w:p>
    <w:p w:rsidR="00B45FC3" w:rsidRPr="00526311" w:rsidRDefault="00B45FC3" w:rsidP="0063039A">
      <w:pPr>
        <w:pStyle w:val="ListParagraph"/>
        <w:ind w:left="0"/>
        <w:jc w:val="both"/>
        <w:rPr>
          <w:rFonts w:cs="Arial"/>
          <w:lang w:val="es-ES"/>
        </w:rPr>
      </w:pPr>
    </w:p>
    <w:p w:rsidR="00B45FC3" w:rsidRPr="00526311" w:rsidRDefault="00B45FC3" w:rsidP="0063039A">
      <w:pPr>
        <w:pStyle w:val="ListParagraph"/>
        <w:ind w:left="0"/>
        <w:rPr>
          <w:rFonts w:cs="Arial"/>
          <w:lang w:val="es-ES"/>
        </w:rPr>
      </w:pPr>
    </w:p>
    <w:p w:rsidR="00B45FC3" w:rsidRPr="00526311" w:rsidRDefault="00B45FC3" w:rsidP="0063039A">
      <w:pPr>
        <w:keepNext/>
        <w:keepLines/>
        <w:tabs>
          <w:tab w:val="left" w:pos="567"/>
        </w:tabs>
        <w:spacing w:before="120" w:after="240"/>
        <w:rPr>
          <w:b/>
          <w:sz w:val="20"/>
        </w:rPr>
      </w:pPr>
      <w:r w:rsidRPr="00526311">
        <w:rPr>
          <w:b/>
          <w:sz w:val="20"/>
        </w:rPr>
        <w:lastRenderedPageBreak/>
        <w:t>III.</w:t>
      </w:r>
      <w:r w:rsidRPr="00526311">
        <w:rPr>
          <w:b/>
          <w:sz w:val="20"/>
        </w:rPr>
        <w:tab/>
        <w:t>Tiempo necesario para tramitar las solicitudes internacionales</w:t>
      </w:r>
    </w:p>
    <w:p w:rsidR="00B45FC3" w:rsidRPr="00526311" w:rsidRDefault="00B45FC3" w:rsidP="00B45FC3">
      <w:pPr>
        <w:pStyle w:val="ListParagraph"/>
        <w:keepNext/>
        <w:keepLines/>
        <w:numPr>
          <w:ilvl w:val="0"/>
          <w:numId w:val="46"/>
        </w:numPr>
        <w:tabs>
          <w:tab w:val="left" w:pos="0"/>
          <w:tab w:val="left" w:pos="567"/>
        </w:tabs>
        <w:ind w:left="0" w:firstLine="0"/>
        <w:contextualSpacing/>
        <w:jc w:val="both"/>
        <w:rPr>
          <w:rFonts w:cs="Arial"/>
          <w:lang w:val="es-ES"/>
        </w:rPr>
      </w:pPr>
      <w:r w:rsidRPr="00526311">
        <w:rPr>
          <w:rFonts w:cs="Arial"/>
          <w:lang w:val="es-ES"/>
        </w:rPr>
        <w:t>Este indicador refleja el tiempo que la Oficina Internacional necesita para tramitar las solicitudes regulares.  El tiempo necesario se calcula según el tiempo transcurrido entre la fecha de recepción de una solicitud y la fecha de su registro.</w:t>
      </w:r>
    </w:p>
    <w:p w:rsidR="00B45FC3" w:rsidRPr="00526311" w:rsidRDefault="00B45FC3" w:rsidP="0063039A">
      <w:pPr>
        <w:spacing w:before="120" w:after="240"/>
        <w:jc w:val="center"/>
      </w:pPr>
      <w:r w:rsidRPr="00526311">
        <w:rPr>
          <w:noProof/>
          <w:lang w:val="en-US" w:eastAsia="en-US"/>
        </w:rPr>
        <w:drawing>
          <wp:inline distT="0" distB="0" distL="0" distR="0" wp14:anchorId="35696091" wp14:editId="26AA7C76">
            <wp:extent cx="4944139" cy="2934586"/>
            <wp:effectExtent l="0" t="0" r="889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56163" cy="2941723"/>
                    </a:xfrm>
                    <a:prstGeom prst="rect">
                      <a:avLst/>
                    </a:prstGeom>
                    <a:noFill/>
                    <a:ln>
                      <a:noFill/>
                    </a:ln>
                  </pic:spPr>
                </pic:pic>
              </a:graphicData>
            </a:graphic>
          </wp:inline>
        </w:drawing>
      </w:r>
      <w:r w:rsidRPr="00526311">
        <w:t xml:space="preserve"> </w:t>
      </w:r>
    </w:p>
    <w:p w:rsidR="00B45FC3" w:rsidRPr="00526311" w:rsidRDefault="00B45FC3" w:rsidP="00B45FC3">
      <w:pPr>
        <w:pStyle w:val="ListParagraph"/>
        <w:numPr>
          <w:ilvl w:val="0"/>
          <w:numId w:val="43"/>
        </w:numPr>
        <w:spacing w:after="120"/>
        <w:ind w:left="992" w:hanging="425"/>
        <w:jc w:val="both"/>
        <w:rPr>
          <w:rFonts w:cs="Arial"/>
          <w:lang w:val="es-ES"/>
        </w:rPr>
      </w:pPr>
      <w:r w:rsidRPr="00526311">
        <w:rPr>
          <w:rFonts w:cs="Arial"/>
          <w:lang w:val="es-ES"/>
        </w:rPr>
        <w:t>La proporción de solicitudes tramitadas en un lapso inferior a una semana ha aumentado sin cesar desde 2011, pasando a ser el 45% de las solicitudes en 2014.</w:t>
      </w:r>
    </w:p>
    <w:p w:rsidR="00B45FC3" w:rsidRPr="00526311" w:rsidRDefault="00B45FC3" w:rsidP="00B45FC3">
      <w:pPr>
        <w:pStyle w:val="ListParagraph"/>
        <w:numPr>
          <w:ilvl w:val="0"/>
          <w:numId w:val="43"/>
        </w:numPr>
        <w:spacing w:after="120"/>
        <w:ind w:left="993" w:hanging="426"/>
        <w:jc w:val="both"/>
        <w:rPr>
          <w:rFonts w:cs="Arial"/>
          <w:lang w:val="es-ES"/>
        </w:rPr>
      </w:pPr>
      <w:r w:rsidRPr="00526311">
        <w:rPr>
          <w:rFonts w:cs="Arial"/>
          <w:lang w:val="es-ES"/>
        </w:rPr>
        <w:t>En 2014, el 85% de las solicitudes se tramitó en un lapso de dos semanas a partir de su fecha de recepción en la Oficina Internacional.</w:t>
      </w:r>
    </w:p>
    <w:p w:rsidR="00B45FC3" w:rsidRPr="00526311" w:rsidRDefault="00B45FC3" w:rsidP="0063039A">
      <w:pPr>
        <w:jc w:val="both"/>
      </w:pPr>
    </w:p>
    <w:p w:rsidR="00B45FC3" w:rsidRPr="00526311" w:rsidRDefault="00B45FC3" w:rsidP="0063039A">
      <w:pPr>
        <w:pStyle w:val="ListParagraph"/>
        <w:widowControl w:val="0"/>
        <w:tabs>
          <w:tab w:val="left" w:pos="709"/>
        </w:tabs>
        <w:ind w:left="0"/>
        <w:jc w:val="both"/>
        <w:rPr>
          <w:lang w:val="es-ES"/>
        </w:rPr>
      </w:pPr>
    </w:p>
    <w:p w:rsidR="00B45FC3" w:rsidRPr="00526311" w:rsidRDefault="00B45FC3">
      <w:pPr>
        <w:rPr>
          <w:bCs/>
          <w:iCs/>
          <w:caps/>
          <w:szCs w:val="28"/>
        </w:rPr>
      </w:pPr>
      <w:r w:rsidRPr="00526311">
        <w:br w:type="page"/>
      </w:r>
    </w:p>
    <w:p w:rsidR="00B45FC3" w:rsidRPr="00526311" w:rsidRDefault="00B45FC3" w:rsidP="0063039A">
      <w:pPr>
        <w:pStyle w:val="Heading2"/>
        <w:tabs>
          <w:tab w:val="left" w:pos="2410"/>
        </w:tabs>
        <w:rPr>
          <w:b/>
        </w:rPr>
      </w:pPr>
      <w:bookmarkStart w:id="33" w:name="_Toc422927413"/>
      <w:r w:rsidRPr="00526311">
        <w:rPr>
          <w:b/>
        </w:rPr>
        <w:lastRenderedPageBreak/>
        <w:t>PROGRAMA 7</w:t>
      </w:r>
      <w:r w:rsidRPr="00526311">
        <w:rPr>
          <w:b/>
        </w:rPr>
        <w:tab/>
        <w:t>ARBITRAJE, MEDIACIÓN Y NOMBRES DE DOMINIO</w:t>
      </w:r>
      <w:bookmarkEnd w:id="33"/>
    </w:p>
    <w:p w:rsidR="00B45FC3" w:rsidRPr="00526311" w:rsidRDefault="00B45FC3" w:rsidP="0063039A">
      <w:pPr>
        <w:tabs>
          <w:tab w:val="left" w:pos="2552"/>
        </w:tabs>
        <w:rPr>
          <w:sz w:val="20"/>
        </w:rPr>
      </w:pPr>
    </w:p>
    <w:p w:rsidR="00B45FC3" w:rsidRPr="00526311" w:rsidRDefault="00B45FC3" w:rsidP="0063039A">
      <w:pPr>
        <w:tabs>
          <w:tab w:val="left" w:pos="2410"/>
        </w:tabs>
        <w:rPr>
          <w:b/>
          <w:sz w:val="20"/>
        </w:rPr>
      </w:pPr>
      <w:r w:rsidRPr="00526311">
        <w:rPr>
          <w:b/>
          <w:sz w:val="20"/>
        </w:rPr>
        <w:t>Director de programa</w:t>
      </w:r>
      <w:r w:rsidRPr="00526311">
        <w:rPr>
          <w:sz w:val="20"/>
        </w:rPr>
        <w:tab/>
      </w:r>
      <w:r w:rsidRPr="00526311">
        <w:rPr>
          <w:b/>
          <w:sz w:val="20"/>
        </w:rPr>
        <w:t>Sr. J. Sandage</w:t>
      </w:r>
    </w:p>
    <w:p w:rsidR="00B45FC3" w:rsidRPr="00526311" w:rsidRDefault="00B45FC3" w:rsidP="0063039A">
      <w:pPr>
        <w:rPr>
          <w:sz w:val="20"/>
        </w:rPr>
      </w:pPr>
    </w:p>
    <w:p w:rsidR="00B45FC3" w:rsidRPr="00526311" w:rsidRDefault="00B45FC3" w:rsidP="0063039A">
      <w:pPr>
        <w:rPr>
          <w:sz w:val="20"/>
        </w:rPr>
      </w:pPr>
    </w:p>
    <w:p w:rsidR="00B45FC3" w:rsidRPr="00526311" w:rsidRDefault="00B45FC3" w:rsidP="0063039A">
      <w:pPr>
        <w:rPr>
          <w:bCs/>
          <w:szCs w:val="22"/>
        </w:rPr>
      </w:pPr>
      <w:r w:rsidRPr="00526311">
        <w:rPr>
          <w:bCs/>
          <w:szCs w:val="22"/>
        </w:rPr>
        <w:t>RESEÑA DE LOS AVANCES LOGRADOS EN 2014</w:t>
      </w:r>
    </w:p>
    <w:p w:rsidR="00B45FC3" w:rsidRPr="00526311" w:rsidRDefault="00B45FC3" w:rsidP="0063039A">
      <w:pPr>
        <w:pStyle w:val="ListParagraph"/>
        <w:tabs>
          <w:tab w:val="left" w:pos="709"/>
        </w:tabs>
        <w:ind w:left="0"/>
        <w:jc w:val="both"/>
        <w:rPr>
          <w:rFonts w:cs="Arial"/>
          <w:lang w:val="es-ES"/>
        </w:rPr>
      </w:pPr>
    </w:p>
    <w:p w:rsidR="00B45FC3" w:rsidRPr="00526311" w:rsidRDefault="00B45FC3" w:rsidP="00B45FC3">
      <w:pPr>
        <w:pStyle w:val="ListParagraph"/>
        <w:numPr>
          <w:ilvl w:val="0"/>
          <w:numId w:val="47"/>
        </w:numPr>
        <w:tabs>
          <w:tab w:val="left" w:pos="709"/>
        </w:tabs>
        <w:ind w:left="0" w:firstLine="0"/>
        <w:jc w:val="both"/>
        <w:rPr>
          <w:rFonts w:cs="Arial"/>
          <w:lang w:val="es-ES"/>
        </w:rPr>
      </w:pPr>
      <w:r w:rsidRPr="00526311">
        <w:rPr>
          <w:rFonts w:cs="Arial"/>
          <w:lang w:val="es-ES"/>
        </w:rPr>
        <w:t>El Centro de Arbitraje y Mediación de la OMPI (“el Centro”) es reconocido como centro de recursos a nivel mundial que ofrece alternativas puntuales y eficaces en función de los costos a los procedimientos judiciales de controversias sobre P.I., presta asesoramiento en cuestiones jurídicas y de organización y se ocupa de administrar las demandas.  Entre sus tareas figura también la prestación de servicios en casos de controversias sobre nombres de dominio de Internet.</w:t>
      </w:r>
    </w:p>
    <w:p w:rsidR="00B45FC3" w:rsidRPr="00526311" w:rsidRDefault="00B45FC3" w:rsidP="0063039A">
      <w:pPr>
        <w:pStyle w:val="ListParagraph"/>
        <w:tabs>
          <w:tab w:val="left" w:pos="709"/>
        </w:tabs>
        <w:ind w:left="0"/>
        <w:jc w:val="both"/>
        <w:rPr>
          <w:rFonts w:cs="Arial"/>
          <w:lang w:val="es-ES"/>
        </w:rPr>
      </w:pPr>
    </w:p>
    <w:p w:rsidR="00B45FC3" w:rsidRPr="00526311" w:rsidRDefault="00B45FC3" w:rsidP="00B45FC3">
      <w:pPr>
        <w:pStyle w:val="ListParagraph"/>
        <w:numPr>
          <w:ilvl w:val="0"/>
          <w:numId w:val="47"/>
        </w:numPr>
        <w:tabs>
          <w:tab w:val="left" w:pos="709"/>
        </w:tabs>
        <w:ind w:left="0" w:firstLine="0"/>
        <w:jc w:val="both"/>
        <w:rPr>
          <w:rFonts w:cs="Arial"/>
          <w:lang w:val="es-ES"/>
        </w:rPr>
      </w:pPr>
      <w:r w:rsidRPr="00526311">
        <w:rPr>
          <w:rFonts w:cs="Arial"/>
          <w:lang w:val="es-ES"/>
        </w:rPr>
        <w:t>Sobre la base de las conclusiones de la Encuesta internacional sobre solución de controversias en el ámbito de las transacciones de tecnología efectuada por el Centro en 2013, el Centro procuró optimizar en 2014 el potencial de sus procedimientos para satisfacer las necesidades de los titulares y los usuarios de derechos de P.I.  Asimismo, llevó a cabo de forma periódica talleres de arbitraje y mediación adaptados específicamente a los destinatarios.</w:t>
      </w:r>
    </w:p>
    <w:p w:rsidR="00B45FC3" w:rsidRPr="00526311" w:rsidRDefault="00B45FC3" w:rsidP="0063039A"/>
    <w:p w:rsidR="00B45FC3" w:rsidRPr="00526311" w:rsidRDefault="00B45FC3" w:rsidP="00B45FC3">
      <w:pPr>
        <w:pStyle w:val="ListParagraph"/>
        <w:numPr>
          <w:ilvl w:val="0"/>
          <w:numId w:val="47"/>
        </w:numPr>
        <w:tabs>
          <w:tab w:val="left" w:pos="709"/>
        </w:tabs>
        <w:ind w:left="0" w:firstLine="0"/>
        <w:jc w:val="both"/>
        <w:rPr>
          <w:rFonts w:cs="Arial"/>
          <w:lang w:val="es-ES"/>
        </w:rPr>
      </w:pPr>
      <w:r w:rsidRPr="00526311">
        <w:rPr>
          <w:rFonts w:cs="Arial"/>
          <w:lang w:val="es-ES"/>
        </w:rPr>
        <w:t>El Centro gestionó de forma activa las demandas presentadas ante la OMPI utilizando una infraestructura actualizada de administración de los procedimientos, en particular el mecanismo de la OMPI para la gestión electrónica de las demandas (ECAF).  Tras varias consultas internacionales, el Centro elaboró y puso en marcha la versión revisada del Reglamento de Arbitraje y Mediación de la OMPI.</w:t>
      </w:r>
      <w:r w:rsidRPr="00526311">
        <w:rPr>
          <w:rStyle w:val="FootnoteReference"/>
          <w:rFonts w:cs="Arial"/>
          <w:lang w:val="es-ES"/>
        </w:rPr>
        <w:footnoteReference w:id="21"/>
      </w:r>
      <w:r w:rsidRPr="00526311">
        <w:rPr>
          <w:rFonts w:cs="Arial"/>
          <w:lang w:val="es-ES"/>
        </w:rPr>
        <w:t xml:space="preserve">  En estas normas, en vigor a partir del 1 de enero de 2014, se incorporaron novedades recientes en la solución extrajudicial de controversias, sentando unas bases más adecuadas para los procedimientos que permiten ahorrar tiempo y dinero.</w:t>
      </w:r>
    </w:p>
    <w:p w:rsidR="00B45FC3" w:rsidRPr="00526311" w:rsidRDefault="00B45FC3" w:rsidP="0063039A">
      <w:pPr>
        <w:pStyle w:val="ListParagraph"/>
        <w:tabs>
          <w:tab w:val="left" w:pos="709"/>
        </w:tabs>
        <w:ind w:left="0"/>
        <w:jc w:val="both"/>
        <w:rPr>
          <w:rFonts w:cs="Arial"/>
          <w:lang w:val="es-ES"/>
        </w:rPr>
      </w:pPr>
    </w:p>
    <w:p w:rsidR="00B45FC3" w:rsidRPr="00526311" w:rsidRDefault="00B45FC3" w:rsidP="00794E04">
      <w:pPr>
        <w:pStyle w:val="ListParagraph"/>
        <w:numPr>
          <w:ilvl w:val="0"/>
          <w:numId w:val="47"/>
        </w:numPr>
        <w:tabs>
          <w:tab w:val="left" w:pos="709"/>
        </w:tabs>
        <w:ind w:left="0" w:firstLine="0"/>
        <w:jc w:val="both"/>
        <w:rPr>
          <w:rFonts w:cs="Arial"/>
          <w:lang w:val="es-ES"/>
        </w:rPr>
      </w:pPr>
      <w:r w:rsidRPr="00526311">
        <w:rPr>
          <w:rFonts w:cs="Arial"/>
          <w:lang w:val="es-ES"/>
        </w:rPr>
        <w:t>Los tribunales nacionales y las autoridades en materia de competencia de algunas jurisdicciones han alentado a las partes involucradas en controversias relativas a normas técnicas que guardan relación con las patentes de telecomunicaciones en varias jurisdicciones a que resuelvan dichas controversias mediante el arbitraje y la mediación.  En consecuencia, en 2014 se produjo un aumento del número de consultas de las partes en relación con el uso de acuerdos tipo de la OMPI que sirven de referencia para controversias relativas a la aplicación de condiciones justas, razonables y no discriminatorias que se sometan conforme al Reglamento de Mediación y al Reglamento de Arbitraje de la OMPI</w:t>
      </w:r>
    </w:p>
    <w:p w:rsidR="00B45FC3" w:rsidRPr="00526311" w:rsidRDefault="00B45FC3" w:rsidP="0063039A"/>
    <w:p w:rsidR="00B45FC3" w:rsidRPr="00526311" w:rsidRDefault="00B45FC3" w:rsidP="00794E04">
      <w:pPr>
        <w:pStyle w:val="ListParagraph"/>
        <w:numPr>
          <w:ilvl w:val="0"/>
          <w:numId w:val="47"/>
        </w:numPr>
        <w:tabs>
          <w:tab w:val="left" w:pos="709"/>
        </w:tabs>
        <w:ind w:left="0" w:firstLine="0"/>
        <w:jc w:val="both"/>
        <w:rPr>
          <w:rFonts w:cs="Arial"/>
          <w:lang w:val="es-ES"/>
        </w:rPr>
      </w:pPr>
      <w:r w:rsidRPr="00526311">
        <w:rPr>
          <w:rFonts w:cs="Arial"/>
          <w:lang w:val="es-ES"/>
        </w:rPr>
        <w:t>En 2014, el Centro suscribió memorandos de entendimiento con la Asociación Española de Franquiciadores (AEF), la Dirección Nacional de Derecho de Autor de Colombia (DNDA), la Dirección General de Derechos de Propiedad Intelectual de Indonesia (DGIPR), el Instituto Mexicano de Propiedad Industrial (IMPI) y la Oficina de Propiedad Intelectual de Filipinas (IPOPHL), que se añaden a la lista existente de colaboraciones con Estados miembros.  Esas colaboraciones tienen que ver con el desarrollo de marcos facultativos de solución extrajudicial de controversias que proporcionan a las partes opciones flexibles y eficaces en función de los costos para resolver sus controversias ante dichas Oficinas en relación con solicitudes pendientes o derechos concedidos.</w:t>
      </w:r>
    </w:p>
    <w:p w:rsidR="00B45FC3" w:rsidRPr="00526311" w:rsidRDefault="00B45FC3" w:rsidP="0063039A"/>
    <w:p w:rsidR="00B45FC3" w:rsidRPr="00526311" w:rsidRDefault="00B45FC3" w:rsidP="00794E04">
      <w:pPr>
        <w:pStyle w:val="ListParagraph"/>
        <w:numPr>
          <w:ilvl w:val="0"/>
          <w:numId w:val="47"/>
        </w:numPr>
        <w:tabs>
          <w:tab w:val="left" w:pos="709"/>
        </w:tabs>
        <w:ind w:left="0" w:firstLine="0"/>
        <w:jc w:val="both"/>
        <w:rPr>
          <w:rFonts w:cs="Arial"/>
          <w:lang w:val="es-ES"/>
        </w:rPr>
      </w:pPr>
      <w:r w:rsidRPr="00526311">
        <w:rPr>
          <w:rFonts w:cs="Arial"/>
          <w:lang w:val="es-ES"/>
        </w:rPr>
        <w:t>El Centro siguió desempeñando una función de liderazgo en la elaboración de mecanismos de solución extrajudicial de controversias en relación con el uso no autorizado de la P.I. en Internet.  La OMPI siguió participando en la actividad de políticas relativas a la P.I. en relación con los hasta 1.400 nuevos dominios genéricos de nivel superior (gTLD) que introdujo la Corporación para la Asignación de Nombres y Números en Internet (ICANN) en 2013.  En 2014, el Centro aplicó el procedimiento de la ICANN de solución de controversias para la etapa posterior a la adjudicación, un mecanismo centrado en las marcas que tiene por fin fomentar una actitud responsable por parte del administrador del registro una vez que el dominio de que se trate pase a estar operativo.</w:t>
      </w:r>
    </w:p>
    <w:p w:rsidR="00B45FC3" w:rsidRPr="00526311" w:rsidRDefault="00B45FC3" w:rsidP="0063039A">
      <w:pPr>
        <w:pStyle w:val="ListParagraph"/>
        <w:tabs>
          <w:tab w:val="left" w:pos="709"/>
        </w:tabs>
        <w:ind w:left="0"/>
        <w:jc w:val="both"/>
        <w:rPr>
          <w:rFonts w:cs="Arial"/>
          <w:lang w:val="es-ES"/>
        </w:rPr>
      </w:pPr>
    </w:p>
    <w:p w:rsidR="00B45FC3" w:rsidRPr="00526311" w:rsidRDefault="00B45FC3" w:rsidP="00B45FC3">
      <w:pPr>
        <w:pStyle w:val="ListParagraph"/>
        <w:numPr>
          <w:ilvl w:val="0"/>
          <w:numId w:val="47"/>
        </w:numPr>
        <w:tabs>
          <w:tab w:val="left" w:pos="709"/>
        </w:tabs>
        <w:ind w:left="0" w:firstLine="0"/>
        <w:jc w:val="both"/>
        <w:rPr>
          <w:rFonts w:cs="Arial"/>
          <w:lang w:val="es-ES"/>
        </w:rPr>
      </w:pPr>
      <w:r w:rsidRPr="00526311">
        <w:rPr>
          <w:rFonts w:cs="Arial"/>
          <w:lang w:val="es-ES"/>
        </w:rPr>
        <w:t xml:space="preserve">En el año 2014 se celebró el 15º aniversario de la Política Uniforme de Solución de Controversias en materia de Nombres de Dominio (Política Uniforme) elaborada por la OMPI.  Desde que el Centro administrara en 1999 el primer procedimiento con arreglo a la Política Uniforme, el total de demandas presentadas ante la OMPI en 2014 sobrepasó la cifra de las 30.000 (27.189 demandas en los gTLD y 3.134 en los ccTLD), que comprendían casi 57.000 nombres de dominio.  En 2014, las </w:t>
      </w:r>
      <w:r w:rsidRPr="00526311">
        <w:rPr>
          <w:rFonts w:cs="Arial"/>
          <w:lang w:val="es-ES"/>
        </w:rPr>
        <w:lastRenderedPageBreak/>
        <w:t>demandas por ciberocupación presentadas ante la OMPI aumentaron en un 2% en relación con 2103, y los propietarios de marcas presentaron 2.634 demandas en relación con 5.591 nombres de dominio que infringían supuestamente sus marcas.  Entre ellas figuraban las primeras demandas presentadas en virtud de la Política Uniforme en relación con los registros efectuados en los nuevos gTLD.</w:t>
      </w:r>
    </w:p>
    <w:p w:rsidR="00B45FC3" w:rsidRPr="00526311" w:rsidRDefault="00B45FC3" w:rsidP="0063039A"/>
    <w:p w:rsidR="00B45FC3" w:rsidRPr="00526311" w:rsidRDefault="00B45FC3" w:rsidP="00B45FC3">
      <w:pPr>
        <w:pStyle w:val="ListParagraph"/>
        <w:numPr>
          <w:ilvl w:val="0"/>
          <w:numId w:val="47"/>
        </w:numPr>
        <w:tabs>
          <w:tab w:val="left" w:pos="709"/>
        </w:tabs>
        <w:ind w:left="0" w:firstLine="0"/>
        <w:jc w:val="both"/>
        <w:rPr>
          <w:rFonts w:cs="Arial"/>
          <w:lang w:val="es-ES"/>
        </w:rPr>
      </w:pPr>
      <w:r w:rsidRPr="00526311">
        <w:rPr>
          <w:rFonts w:cs="Arial"/>
          <w:lang w:val="es-ES"/>
        </w:rPr>
        <w:t>El Centro estableció contactos con los administradores de dominios de nivel superior correspondientes a códigos de países (ccTLD) en diferentes regiones en relación con las políticas de solución de controversias.  En 2014, el Centro pasó a ser proveedor de servicios para los espacios de dominios .VG (Islas Vírgenes (británicas)) y .GQ (Guinea Ecuatorial), con lo que se eleva a 72 el número de ccTLD respecto de los que la OMPI ofrece dichos servicios.</w:t>
      </w:r>
    </w:p>
    <w:p w:rsidR="00B45FC3" w:rsidRPr="00526311" w:rsidRDefault="00B45FC3" w:rsidP="0063039A"/>
    <w:p w:rsidR="00B45FC3" w:rsidRPr="00526311" w:rsidRDefault="00B45FC3" w:rsidP="00B45FC3">
      <w:pPr>
        <w:pStyle w:val="ListParagraph"/>
        <w:numPr>
          <w:ilvl w:val="0"/>
          <w:numId w:val="47"/>
        </w:numPr>
        <w:tabs>
          <w:tab w:val="left" w:pos="709"/>
        </w:tabs>
        <w:ind w:left="0" w:firstLine="0"/>
        <w:jc w:val="both"/>
        <w:rPr>
          <w:rFonts w:cs="Arial"/>
          <w:lang w:val="es-ES"/>
        </w:rPr>
      </w:pPr>
      <w:r w:rsidRPr="00526311">
        <w:rPr>
          <w:rFonts w:cs="Arial"/>
          <w:lang w:val="es-ES"/>
        </w:rPr>
        <w:t xml:space="preserve">El diseño, la planificación y la ejecución de las actividades del Centro se basaron y se guiaron por las recomendaciones pertinentes de la Agenda para el Desarrollo, en particular por las recomendaciones 1, 6 y 10.  A este respecto, el Centro organizó programas de arbitraje y mediación diseñados  específicamente para funcionarios y profesionales del ámbito de la P.I., brindó asistencia a las oficinas de P.I. para establecer marcos optativos de solución extrajudicial de controversias para casos de controversias pendientes, y también ayudó a los administradores de registros de ccTLD a establecer las mejores prácticas de registro y los mecanismos más eficaces de solución de controversias, aplicables a los países en desarrollo y países con economías en transición. </w:t>
      </w:r>
    </w:p>
    <w:p w:rsidR="00B45FC3" w:rsidRPr="00526311" w:rsidRDefault="00B45FC3" w:rsidP="0063039A">
      <w:pPr>
        <w:tabs>
          <w:tab w:val="left" w:pos="709"/>
        </w:tabs>
        <w:jc w:val="both"/>
      </w:pPr>
    </w:p>
    <w:p w:rsidR="00B45FC3" w:rsidRPr="00526311" w:rsidRDefault="00B45FC3" w:rsidP="0063039A">
      <w:pPr>
        <w:tabs>
          <w:tab w:val="left" w:pos="709"/>
        </w:tabs>
        <w:jc w:val="both"/>
      </w:pPr>
    </w:p>
    <w:p w:rsidR="00B45FC3" w:rsidRPr="00526311" w:rsidRDefault="00B45FC3" w:rsidP="0063039A">
      <w:pPr>
        <w:jc w:val="both"/>
      </w:pPr>
      <w:r w:rsidRPr="00526311">
        <w:t>DATOS SOBRE EL RENDIMIENTO</w:t>
      </w:r>
    </w:p>
    <w:p w:rsidR="00B45FC3" w:rsidRPr="00526311" w:rsidRDefault="00B45FC3" w:rsidP="0063039A">
      <w:pPr>
        <w:jc w:val="both"/>
      </w:pPr>
    </w:p>
    <w:tbl>
      <w:tblPr>
        <w:tblW w:w="488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4"/>
        <w:gridCol w:w="2264"/>
        <w:gridCol w:w="1703"/>
        <w:gridCol w:w="2122"/>
        <w:gridCol w:w="1126"/>
      </w:tblGrid>
      <w:tr w:rsidR="00B45FC3" w:rsidRPr="00526311" w:rsidTr="0063039A">
        <w:trPr>
          <w:cantSplit/>
          <w:trHeight w:val="549"/>
        </w:trPr>
        <w:tc>
          <w:tcPr>
            <w:tcW w:w="5000" w:type="pct"/>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ind w:left="1701" w:hanging="1701"/>
              <w:rPr>
                <w:b/>
                <w:bCs/>
                <w:sz w:val="16"/>
                <w:szCs w:val="16"/>
              </w:rPr>
            </w:pPr>
            <w:r w:rsidRPr="00526311">
              <w:rPr>
                <w:b/>
                <w:bCs/>
                <w:sz w:val="16"/>
                <w:szCs w:val="16"/>
              </w:rPr>
              <w:t>Resultado previsto:</w:t>
            </w:r>
            <w:r w:rsidRPr="00526311">
              <w:rPr>
                <w:bCs/>
                <w:sz w:val="16"/>
                <w:szCs w:val="16"/>
              </w:rPr>
              <w:tab/>
              <w:t>II.8 Las controversias nacionales e internacionales en materia de P.I. se evitan o resuelven cada vez con más frecuencia mediante procedimientos de mediación, arbitraje y demás métodos de solución extrajudicial de controversias</w:t>
            </w:r>
          </w:p>
        </w:tc>
      </w:tr>
      <w:tr w:rsidR="00B45FC3" w:rsidRPr="00526311" w:rsidTr="0063039A">
        <w:trPr>
          <w:cantSplit/>
        </w:trPr>
        <w:tc>
          <w:tcPr>
            <w:tcW w:w="1141" w:type="pct"/>
            <w:tcBorders>
              <w:top w:val="single" w:sz="4" w:space="0" w:color="auto"/>
            </w:tcBorders>
            <w:shd w:val="clear" w:color="auto" w:fill="auto"/>
            <w:vAlign w:val="center"/>
          </w:tcPr>
          <w:p w:rsidR="00B45FC3" w:rsidRPr="00526311" w:rsidRDefault="00B45FC3" w:rsidP="0063039A">
            <w:pPr>
              <w:rPr>
                <w:sz w:val="16"/>
                <w:szCs w:val="16"/>
              </w:rPr>
            </w:pPr>
            <w:r w:rsidRPr="00526311">
              <w:rPr>
                <w:b/>
                <w:sz w:val="16"/>
                <w:szCs w:val="16"/>
              </w:rPr>
              <w:t>Indicadores de rendimiento</w:t>
            </w:r>
          </w:p>
        </w:tc>
        <w:tc>
          <w:tcPr>
            <w:tcW w:w="1211"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911" w:type="pct"/>
            <w:tcBorders>
              <w:top w:val="single" w:sz="4" w:space="0" w:color="auto"/>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135" w:type="pct"/>
            <w:tcBorders>
              <w:top w:val="single" w:sz="4" w:space="0" w:color="auto"/>
            </w:tcBorders>
            <w:shd w:val="clear" w:color="auto" w:fill="auto"/>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603" w:type="pct"/>
            <w:tcBorders>
              <w:top w:val="single" w:sz="4" w:space="0" w:color="auto"/>
            </w:tcBorders>
            <w:shd w:val="clear" w:color="auto" w:fill="auto"/>
            <w:tcMar>
              <w:top w:w="110" w:type="dxa"/>
            </w:tcMar>
            <w:vAlign w:val="center"/>
          </w:tcPr>
          <w:p w:rsidR="00B45FC3" w:rsidRPr="00526311" w:rsidRDefault="00B45FC3" w:rsidP="0063039A">
            <w:pPr>
              <w:keepNext/>
              <w:keepLines/>
              <w:ind w:left="-112"/>
              <w:jc w:val="center"/>
              <w:rPr>
                <w:b/>
                <w:bCs/>
                <w:sz w:val="16"/>
                <w:szCs w:val="16"/>
              </w:rPr>
            </w:pPr>
            <w:r w:rsidRPr="00526311">
              <w:rPr>
                <w:b/>
                <w:bCs/>
                <w:sz w:val="16"/>
                <w:szCs w:val="16"/>
              </w:rPr>
              <w:t>Clave de colores</w:t>
            </w:r>
          </w:p>
        </w:tc>
      </w:tr>
      <w:tr w:rsidR="00B45FC3" w:rsidRPr="00526311" w:rsidTr="0063039A">
        <w:trPr>
          <w:cantSplit/>
          <w:trHeight w:val="5461"/>
        </w:trPr>
        <w:tc>
          <w:tcPr>
            <w:tcW w:w="1141" w:type="pct"/>
            <w:shd w:val="clear" w:color="auto" w:fill="auto"/>
          </w:tcPr>
          <w:p w:rsidR="00B45FC3" w:rsidRPr="00526311" w:rsidRDefault="00B45FC3" w:rsidP="0063039A">
            <w:pPr>
              <w:rPr>
                <w:sz w:val="16"/>
                <w:szCs w:val="16"/>
              </w:rPr>
            </w:pPr>
            <w:r w:rsidRPr="00526311">
              <w:rPr>
                <w:sz w:val="16"/>
                <w:szCs w:val="16"/>
              </w:rPr>
              <w:t>Cada vez más se considera la posibilidad de utilizar servicios extrajudiciales de solución de controversias en las transacciones sobre P.I., entre otras cosas, valiéndose de los procedimientos de la OMPI</w:t>
            </w:r>
          </w:p>
        </w:tc>
        <w:tc>
          <w:tcPr>
            <w:tcW w:w="1211" w:type="pct"/>
            <w:shd w:val="clear" w:color="auto" w:fill="auto"/>
          </w:tcPr>
          <w:p w:rsidR="00B45FC3" w:rsidRPr="00526311" w:rsidRDefault="001A4F69" w:rsidP="0063039A">
            <w:pPr>
              <w:rPr>
                <w:color w:val="002060"/>
                <w:sz w:val="16"/>
                <w:szCs w:val="16"/>
              </w:rPr>
            </w:pPr>
            <w:r w:rsidRPr="00526311">
              <w:rPr>
                <w:i/>
                <w:color w:val="002060"/>
                <w:sz w:val="16"/>
                <w:szCs w:val="16"/>
              </w:rPr>
              <w:t>Referencia actualizada a fines de</w:t>
            </w:r>
            <w:r w:rsidR="00B45FC3" w:rsidRPr="00526311">
              <w:rPr>
                <w:i/>
                <w:color w:val="002060"/>
                <w:sz w:val="16"/>
                <w:szCs w:val="16"/>
              </w:rPr>
              <w:t xml:space="preserve"> 2013:  </w:t>
            </w:r>
            <w:r w:rsidR="00B45FC3" w:rsidRPr="00526311">
              <w:rPr>
                <w:color w:val="002060"/>
                <w:sz w:val="16"/>
                <w:szCs w:val="16"/>
              </w:rPr>
              <w:t xml:space="preserve">375 controversias y 95 buenos oficios (en total al final de 2013) </w:t>
            </w:r>
          </w:p>
          <w:p w:rsidR="00B45FC3" w:rsidRPr="00526311" w:rsidRDefault="00B45FC3" w:rsidP="0063039A">
            <w:pPr>
              <w:rPr>
                <w:color w:val="002060"/>
                <w:sz w:val="16"/>
                <w:szCs w:val="16"/>
              </w:rPr>
            </w:pPr>
            <w:r w:rsidRPr="00526311">
              <w:rPr>
                <w:color w:val="002060"/>
                <w:sz w:val="16"/>
                <w:szCs w:val="16"/>
              </w:rPr>
              <w:t>4.000 consultas recibidas (2012/13)</w:t>
            </w:r>
          </w:p>
          <w:p w:rsidR="00B45FC3" w:rsidRPr="00526311" w:rsidRDefault="00B45FC3" w:rsidP="0063039A">
            <w:pPr>
              <w:rPr>
                <w:color w:val="002060"/>
                <w:sz w:val="16"/>
                <w:szCs w:val="16"/>
              </w:rPr>
            </w:pPr>
            <w:r w:rsidRPr="00526311">
              <w:rPr>
                <w:color w:val="002060"/>
                <w:sz w:val="16"/>
                <w:szCs w:val="16"/>
              </w:rPr>
              <w:t xml:space="preserve">3,5 millones de visitas al sitio web (2012/13) </w:t>
            </w:r>
          </w:p>
          <w:p w:rsidR="00B45FC3" w:rsidRPr="00526311" w:rsidRDefault="00B45FC3" w:rsidP="0063039A">
            <w:pPr>
              <w:rPr>
                <w:color w:val="002060"/>
                <w:sz w:val="16"/>
                <w:szCs w:val="16"/>
              </w:rPr>
            </w:pPr>
            <w:r w:rsidRPr="00526311">
              <w:rPr>
                <w:color w:val="002060"/>
                <w:sz w:val="16"/>
                <w:szCs w:val="16"/>
              </w:rPr>
              <w:t>408 participantes en actividades corrientes del Centro (2012/13)</w:t>
            </w:r>
          </w:p>
          <w:p w:rsidR="00B45FC3" w:rsidRPr="00526311" w:rsidRDefault="00B45FC3" w:rsidP="0063039A">
            <w:pPr>
              <w:rPr>
                <w:color w:val="002060"/>
                <w:sz w:val="16"/>
                <w:szCs w:val="16"/>
                <w:lang w:bidi="th-TH"/>
              </w:rPr>
            </w:pPr>
            <w:r w:rsidRPr="00526311">
              <w:rPr>
                <w:color w:val="002060"/>
                <w:sz w:val="16"/>
                <w:szCs w:val="16"/>
              </w:rPr>
              <w:t>4.000 participantes en reuniones externas del Centro (2012/13)</w:t>
            </w:r>
          </w:p>
          <w:p w:rsidR="00B45FC3" w:rsidRPr="00526311" w:rsidRDefault="00B45FC3" w:rsidP="0063039A">
            <w:pPr>
              <w:rPr>
                <w:i/>
                <w:sz w:val="8"/>
                <w:szCs w:val="8"/>
              </w:rPr>
            </w:pPr>
          </w:p>
          <w:p w:rsidR="00B45FC3" w:rsidRPr="00526311" w:rsidRDefault="00542D75" w:rsidP="0063039A">
            <w:pPr>
              <w:rPr>
                <w:sz w:val="16"/>
                <w:szCs w:val="16"/>
              </w:rPr>
            </w:pPr>
            <w:r w:rsidRPr="00526311">
              <w:rPr>
                <w:i/>
                <w:sz w:val="16"/>
                <w:szCs w:val="16"/>
              </w:rPr>
              <w:t>Referencia original en el presupuesto de 2014/15</w:t>
            </w:r>
            <w:r w:rsidR="00B45FC3" w:rsidRPr="00526311">
              <w:rPr>
                <w:i/>
                <w:sz w:val="16"/>
                <w:szCs w:val="16"/>
              </w:rPr>
              <w:t xml:space="preserve">:  </w:t>
            </w:r>
            <w:r w:rsidR="00B45FC3" w:rsidRPr="00526311">
              <w:rPr>
                <w:sz w:val="16"/>
                <w:szCs w:val="16"/>
              </w:rPr>
              <w:t xml:space="preserve">284 controversias y 79 buenos oficios (en total al final de 2012) </w:t>
            </w:r>
          </w:p>
          <w:p w:rsidR="00B45FC3" w:rsidRPr="00526311" w:rsidRDefault="00B45FC3" w:rsidP="0063039A">
            <w:pPr>
              <w:rPr>
                <w:sz w:val="16"/>
                <w:szCs w:val="16"/>
              </w:rPr>
            </w:pPr>
            <w:r w:rsidRPr="00526311">
              <w:rPr>
                <w:sz w:val="16"/>
                <w:szCs w:val="16"/>
              </w:rPr>
              <w:t xml:space="preserve">4.000 consultas recibidas (2010/11) </w:t>
            </w:r>
          </w:p>
          <w:p w:rsidR="00B45FC3" w:rsidRPr="00526311" w:rsidRDefault="00B45FC3" w:rsidP="0063039A">
            <w:pPr>
              <w:rPr>
                <w:sz w:val="16"/>
                <w:szCs w:val="16"/>
              </w:rPr>
            </w:pPr>
            <w:r w:rsidRPr="00526311">
              <w:rPr>
                <w:sz w:val="16"/>
                <w:szCs w:val="16"/>
              </w:rPr>
              <w:t xml:space="preserve">30 millones de visitas al sitio web (en total al final de 2012) </w:t>
            </w:r>
          </w:p>
          <w:p w:rsidR="00B45FC3" w:rsidRPr="00526311" w:rsidRDefault="00B45FC3" w:rsidP="0063039A">
            <w:pPr>
              <w:rPr>
                <w:sz w:val="16"/>
                <w:szCs w:val="16"/>
              </w:rPr>
            </w:pPr>
            <w:r w:rsidRPr="00526311">
              <w:rPr>
                <w:sz w:val="16"/>
                <w:szCs w:val="16"/>
              </w:rPr>
              <w:t xml:space="preserve">276 participantes en actividades corrientes del Centro (2010/11); </w:t>
            </w:r>
          </w:p>
          <w:p w:rsidR="00B45FC3" w:rsidRPr="00526311" w:rsidRDefault="00B45FC3" w:rsidP="0063039A">
            <w:pPr>
              <w:rPr>
                <w:sz w:val="16"/>
                <w:szCs w:val="16"/>
              </w:rPr>
            </w:pPr>
            <w:r w:rsidRPr="00526311">
              <w:rPr>
                <w:sz w:val="16"/>
                <w:szCs w:val="16"/>
              </w:rPr>
              <w:t>3.000 participantes en reuniones externas del Centro (2010/11).</w:t>
            </w:r>
          </w:p>
        </w:tc>
        <w:tc>
          <w:tcPr>
            <w:tcW w:w="911" w:type="pct"/>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 xml:space="preserve">Otras 40 controversias y buenos oficios </w:t>
            </w:r>
          </w:p>
          <w:p w:rsidR="00B45FC3" w:rsidRPr="00526311" w:rsidRDefault="00B45FC3" w:rsidP="0063039A">
            <w:pPr>
              <w:autoSpaceDE w:val="0"/>
              <w:autoSpaceDN w:val="0"/>
              <w:adjustRightInd w:val="0"/>
              <w:rPr>
                <w:sz w:val="16"/>
                <w:szCs w:val="16"/>
              </w:rPr>
            </w:pPr>
          </w:p>
          <w:p w:rsidR="00B45FC3" w:rsidRPr="00526311" w:rsidRDefault="00B45FC3" w:rsidP="0063039A">
            <w:pPr>
              <w:autoSpaceDE w:val="0"/>
              <w:autoSpaceDN w:val="0"/>
              <w:adjustRightInd w:val="0"/>
              <w:rPr>
                <w:sz w:val="16"/>
                <w:szCs w:val="16"/>
              </w:rPr>
            </w:pPr>
            <w:r w:rsidRPr="00526311">
              <w:rPr>
                <w:sz w:val="16"/>
                <w:szCs w:val="16"/>
              </w:rPr>
              <w:t>Otras 4.000 consultas recibidas</w:t>
            </w:r>
          </w:p>
          <w:p w:rsidR="00B45FC3" w:rsidRPr="00526311" w:rsidRDefault="00B45FC3" w:rsidP="0063039A">
            <w:pPr>
              <w:autoSpaceDE w:val="0"/>
              <w:autoSpaceDN w:val="0"/>
              <w:adjustRightInd w:val="0"/>
              <w:rPr>
                <w:sz w:val="16"/>
                <w:szCs w:val="16"/>
              </w:rPr>
            </w:pPr>
          </w:p>
          <w:p w:rsidR="00B45FC3" w:rsidRPr="00526311" w:rsidRDefault="00B45FC3" w:rsidP="0063039A">
            <w:pPr>
              <w:autoSpaceDE w:val="0"/>
              <w:autoSpaceDN w:val="0"/>
              <w:adjustRightInd w:val="0"/>
              <w:rPr>
                <w:sz w:val="16"/>
                <w:szCs w:val="16"/>
              </w:rPr>
            </w:pPr>
            <w:r w:rsidRPr="00526311">
              <w:rPr>
                <w:sz w:val="16"/>
                <w:szCs w:val="16"/>
              </w:rPr>
              <w:t xml:space="preserve">Otros 3,5 millones de visitas </w:t>
            </w:r>
          </w:p>
          <w:p w:rsidR="00B45FC3" w:rsidRPr="00526311" w:rsidRDefault="00B45FC3" w:rsidP="0063039A">
            <w:pPr>
              <w:autoSpaceDE w:val="0"/>
              <w:autoSpaceDN w:val="0"/>
              <w:adjustRightInd w:val="0"/>
              <w:rPr>
                <w:sz w:val="16"/>
                <w:szCs w:val="16"/>
              </w:rPr>
            </w:pPr>
          </w:p>
          <w:p w:rsidR="00B45FC3" w:rsidRPr="00526311" w:rsidRDefault="00B45FC3" w:rsidP="0063039A">
            <w:pPr>
              <w:autoSpaceDE w:val="0"/>
              <w:autoSpaceDN w:val="0"/>
              <w:adjustRightInd w:val="0"/>
              <w:rPr>
                <w:sz w:val="16"/>
                <w:szCs w:val="16"/>
              </w:rPr>
            </w:pPr>
            <w:r w:rsidRPr="00526311">
              <w:rPr>
                <w:sz w:val="16"/>
                <w:szCs w:val="16"/>
              </w:rPr>
              <w:t xml:space="preserve">250 participantes en actividades corrientes del Centro  </w:t>
            </w:r>
          </w:p>
          <w:p w:rsidR="00B45FC3" w:rsidRPr="00526311" w:rsidRDefault="00B45FC3" w:rsidP="0063039A">
            <w:pPr>
              <w:autoSpaceDE w:val="0"/>
              <w:autoSpaceDN w:val="0"/>
              <w:adjustRightInd w:val="0"/>
              <w:rPr>
                <w:sz w:val="16"/>
                <w:szCs w:val="16"/>
              </w:rPr>
            </w:pPr>
          </w:p>
          <w:p w:rsidR="00B45FC3" w:rsidRPr="00526311" w:rsidRDefault="00B45FC3" w:rsidP="0063039A">
            <w:pPr>
              <w:autoSpaceDE w:val="0"/>
              <w:autoSpaceDN w:val="0"/>
              <w:adjustRightInd w:val="0"/>
              <w:rPr>
                <w:sz w:val="16"/>
                <w:szCs w:val="16"/>
              </w:rPr>
            </w:pPr>
            <w:r w:rsidRPr="00526311">
              <w:rPr>
                <w:sz w:val="16"/>
                <w:szCs w:val="16"/>
              </w:rPr>
              <w:t xml:space="preserve">6.000 participantes en reuniones externas del Centro </w:t>
            </w:r>
          </w:p>
        </w:tc>
        <w:tc>
          <w:tcPr>
            <w:tcW w:w="1135" w:type="pct"/>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Otras 18 controversias y 53 buenos oficios (2014)</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Otras 3.725 consultas recibidas (2014)</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1.553 millones de visitas (2014)</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138 participantes en actividades corrientes del Centro de Arbitraje (2014)</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rPr>
            </w:pPr>
            <w:r w:rsidRPr="00526311">
              <w:rPr>
                <w:sz w:val="16"/>
                <w:szCs w:val="16"/>
                <w:lang w:bidi="th-TH"/>
              </w:rPr>
              <w:t>4.300 participantes en actividades  en las que está representado el Centro (2014)</w:t>
            </w:r>
          </w:p>
        </w:tc>
        <w:tc>
          <w:tcPr>
            <w:tcW w:w="603" w:type="pct"/>
            <w:shd w:val="clear" w:color="auto" w:fill="auto"/>
            <w:tcMar>
              <w:top w:w="110" w:type="dxa"/>
            </w:tcMar>
          </w:tcPr>
          <w:p w:rsidR="00B45FC3" w:rsidRPr="00526311" w:rsidRDefault="00B45FC3" w:rsidP="0063039A">
            <w:pPr>
              <w:keepNext/>
              <w:keepLines/>
              <w:ind w:left="-112" w:right="-115"/>
              <w:jc w:val="center"/>
              <w:rPr>
                <w:b/>
                <w:bCs/>
                <w:color w:val="00B050"/>
                <w:sz w:val="16"/>
                <w:szCs w:val="16"/>
              </w:rPr>
            </w:pPr>
            <w:r w:rsidRPr="00526311">
              <w:rPr>
                <w:b/>
                <w:bCs/>
                <w:color w:val="00B050"/>
                <w:sz w:val="16"/>
                <w:szCs w:val="16"/>
              </w:rPr>
              <w:t>Avanza</w:t>
            </w:r>
          </w:p>
        </w:tc>
      </w:tr>
    </w:tbl>
    <w:p w:rsidR="00B45FC3" w:rsidRPr="00526311" w:rsidRDefault="00B45FC3">
      <w:r w:rsidRPr="00526311">
        <w:br w:type="page"/>
      </w:r>
    </w:p>
    <w:tbl>
      <w:tblPr>
        <w:tblW w:w="488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4"/>
        <w:gridCol w:w="2264"/>
        <w:gridCol w:w="1703"/>
        <w:gridCol w:w="2122"/>
        <w:gridCol w:w="1126"/>
      </w:tblGrid>
      <w:tr w:rsidR="00B45FC3" w:rsidRPr="00526311" w:rsidTr="0063039A">
        <w:trPr>
          <w:cantSplit/>
        </w:trPr>
        <w:tc>
          <w:tcPr>
            <w:tcW w:w="1141" w:type="pct"/>
            <w:shd w:val="clear" w:color="auto" w:fill="auto"/>
            <w:vAlign w:val="center"/>
          </w:tcPr>
          <w:p w:rsidR="00B45FC3" w:rsidRPr="00526311" w:rsidRDefault="00B45FC3" w:rsidP="0063039A">
            <w:pPr>
              <w:rPr>
                <w:sz w:val="16"/>
                <w:szCs w:val="16"/>
              </w:rPr>
            </w:pPr>
            <w:r w:rsidRPr="00526311">
              <w:rPr>
                <w:b/>
                <w:sz w:val="16"/>
                <w:szCs w:val="16"/>
              </w:rPr>
              <w:lastRenderedPageBreak/>
              <w:t>Indicadores de rendimiento</w:t>
            </w:r>
          </w:p>
        </w:tc>
        <w:tc>
          <w:tcPr>
            <w:tcW w:w="1211" w:type="pct"/>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911" w:type="pct"/>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135" w:type="pct"/>
            <w:shd w:val="clear" w:color="auto" w:fill="auto"/>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602" w:type="pct"/>
            <w:shd w:val="clear" w:color="auto" w:fill="auto"/>
            <w:tcMar>
              <w:top w:w="110" w:type="dxa"/>
            </w:tcMar>
            <w:vAlign w:val="center"/>
          </w:tcPr>
          <w:p w:rsidR="00B45FC3" w:rsidRPr="00526311" w:rsidRDefault="00B45FC3" w:rsidP="0063039A">
            <w:pPr>
              <w:keepNext/>
              <w:keepLines/>
              <w:ind w:left="-112"/>
              <w:jc w:val="center"/>
              <w:rPr>
                <w:b/>
                <w:bCs/>
                <w:sz w:val="16"/>
                <w:szCs w:val="16"/>
              </w:rPr>
            </w:pPr>
            <w:r w:rsidRPr="00526311">
              <w:rPr>
                <w:b/>
                <w:bCs/>
                <w:sz w:val="16"/>
                <w:szCs w:val="16"/>
              </w:rPr>
              <w:t>Clave de colores</w:t>
            </w:r>
          </w:p>
        </w:tc>
      </w:tr>
      <w:tr w:rsidR="00B45FC3" w:rsidRPr="00526311" w:rsidTr="0063039A">
        <w:trPr>
          <w:cantSplit/>
        </w:trPr>
        <w:tc>
          <w:tcPr>
            <w:tcW w:w="1141" w:type="pct"/>
            <w:shd w:val="clear" w:color="auto" w:fill="auto"/>
          </w:tcPr>
          <w:p w:rsidR="00B45FC3" w:rsidRPr="00526311" w:rsidRDefault="00B45FC3" w:rsidP="0063039A">
            <w:pPr>
              <w:rPr>
                <w:sz w:val="16"/>
                <w:szCs w:val="16"/>
              </w:rPr>
            </w:pPr>
            <w:r w:rsidRPr="00526311">
              <w:rPr>
                <w:sz w:val="16"/>
                <w:szCs w:val="16"/>
              </w:rPr>
              <w:t>Políticas de solución extrajudicial de controversias a cuyo desarrollo y aplicación ha contribuido el Centro de Arbitraje y Mediación de la OMPI</w:t>
            </w:r>
          </w:p>
        </w:tc>
        <w:tc>
          <w:tcPr>
            <w:tcW w:w="1211" w:type="pct"/>
            <w:shd w:val="clear" w:color="auto" w:fill="auto"/>
          </w:tcPr>
          <w:p w:rsidR="00B45FC3" w:rsidRPr="00526311" w:rsidRDefault="001A4F69" w:rsidP="0063039A">
            <w:pPr>
              <w:rPr>
                <w:color w:val="002060"/>
                <w:sz w:val="16"/>
                <w:szCs w:val="16"/>
              </w:rPr>
            </w:pPr>
            <w:r w:rsidRPr="00526311">
              <w:rPr>
                <w:i/>
                <w:color w:val="002060"/>
                <w:sz w:val="16"/>
                <w:szCs w:val="16"/>
              </w:rPr>
              <w:t>Referencia actualizada a fines de</w:t>
            </w:r>
            <w:r w:rsidR="00B45FC3" w:rsidRPr="00526311">
              <w:rPr>
                <w:i/>
                <w:color w:val="002060"/>
                <w:sz w:val="16"/>
                <w:szCs w:val="16"/>
              </w:rPr>
              <w:t xml:space="preserve"> 2013:</w:t>
            </w:r>
            <w:r w:rsidR="00B45FC3" w:rsidRPr="00526311">
              <w:rPr>
                <w:color w:val="002060"/>
                <w:sz w:val="16"/>
                <w:szCs w:val="16"/>
              </w:rPr>
              <w:t xml:space="preserve">  10 regímenes adoptados (AGICOA, EGEDA, ETSI, Film and Media, ICOM, INPI-BR, IPAG, IPOS(M), IPOS(ED), ITPGRFA) (en total al final de 2013)</w:t>
            </w:r>
          </w:p>
          <w:p w:rsidR="00B45FC3" w:rsidRPr="00526311" w:rsidRDefault="00B45FC3" w:rsidP="0063039A">
            <w:pPr>
              <w:rPr>
                <w:sz w:val="8"/>
                <w:szCs w:val="8"/>
              </w:rPr>
            </w:pPr>
          </w:p>
          <w:p w:rsidR="00B45FC3" w:rsidRPr="00526311" w:rsidRDefault="00542D75" w:rsidP="0063039A">
            <w:pPr>
              <w:rPr>
                <w:sz w:val="16"/>
                <w:szCs w:val="16"/>
              </w:rPr>
            </w:pPr>
            <w:r w:rsidRPr="00526311">
              <w:rPr>
                <w:sz w:val="16"/>
                <w:szCs w:val="16"/>
              </w:rPr>
              <w:t>Referencia original en el presupuesto de 2014/15</w:t>
            </w:r>
            <w:r w:rsidR="00B45FC3" w:rsidRPr="00526311">
              <w:rPr>
                <w:sz w:val="16"/>
                <w:szCs w:val="16"/>
              </w:rPr>
              <w:t>:  6 regímenes adoptados (AGICOA, EGEDA, Film and Media, ICOM, IPOS, ITPGRFA) (en total al final de 2012)</w:t>
            </w:r>
            <w:r w:rsidR="00B45FC3" w:rsidRPr="00526311">
              <w:rPr>
                <w:sz w:val="16"/>
                <w:szCs w:val="16"/>
              </w:rPr>
              <w:br/>
            </w:r>
          </w:p>
        </w:tc>
        <w:tc>
          <w:tcPr>
            <w:tcW w:w="911" w:type="pct"/>
            <w:shd w:val="clear" w:color="auto" w:fill="auto"/>
            <w:tcMar>
              <w:top w:w="110" w:type="dxa"/>
            </w:tcMar>
          </w:tcPr>
          <w:p w:rsidR="00B45FC3" w:rsidRPr="00526311" w:rsidRDefault="00B45FC3" w:rsidP="0063039A">
            <w:pPr>
              <w:rPr>
                <w:i/>
                <w:sz w:val="16"/>
                <w:szCs w:val="16"/>
              </w:rPr>
            </w:pPr>
            <w:r w:rsidRPr="00526311">
              <w:rPr>
                <w:sz w:val="16"/>
                <w:szCs w:val="16"/>
              </w:rPr>
              <w:t>De 1 a 3 regímenes especiales</w:t>
            </w:r>
          </w:p>
        </w:tc>
        <w:tc>
          <w:tcPr>
            <w:tcW w:w="1135" w:type="pct"/>
            <w:shd w:val="clear" w:color="auto" w:fill="auto"/>
            <w:tcMar>
              <w:top w:w="110" w:type="dxa"/>
            </w:tcMar>
          </w:tcPr>
          <w:p w:rsidR="00B45FC3" w:rsidRPr="00526311" w:rsidRDefault="00B45FC3" w:rsidP="0063039A">
            <w:pPr>
              <w:rPr>
                <w:sz w:val="16"/>
                <w:szCs w:val="16"/>
              </w:rPr>
            </w:pPr>
            <w:r w:rsidRPr="00526311">
              <w:rPr>
                <w:sz w:val="16"/>
                <w:szCs w:val="16"/>
                <w:lang w:bidi="th-TH"/>
              </w:rPr>
              <w:t>Otros 5 regímenes especiales adoptados (AEF, DGIPR, DNDA, IMPI, IPOPHL)</w:t>
            </w:r>
          </w:p>
        </w:tc>
        <w:tc>
          <w:tcPr>
            <w:tcW w:w="602" w:type="pct"/>
            <w:shd w:val="clear" w:color="auto" w:fill="auto"/>
            <w:tcMar>
              <w:top w:w="110" w:type="dxa"/>
            </w:tcMar>
          </w:tcPr>
          <w:p w:rsidR="00B45FC3" w:rsidRPr="00526311" w:rsidRDefault="00B45FC3" w:rsidP="0063039A">
            <w:pPr>
              <w:keepNext/>
              <w:keepLines/>
              <w:ind w:right="-115"/>
              <w:jc w:val="center"/>
              <w:rPr>
                <w:bCs/>
                <w:color w:val="808080"/>
                <w:sz w:val="16"/>
                <w:szCs w:val="16"/>
              </w:rPr>
            </w:pPr>
            <w:r w:rsidRPr="00526311">
              <w:rPr>
                <w:b/>
                <w:bCs/>
                <w:color w:val="00B050"/>
                <w:sz w:val="16"/>
                <w:szCs w:val="16"/>
              </w:rPr>
              <w:t>Avanza</w:t>
            </w:r>
          </w:p>
        </w:tc>
      </w:tr>
      <w:tr w:rsidR="00B45FC3" w:rsidRPr="00526311" w:rsidTr="0063039A">
        <w:trPr>
          <w:cantSplit/>
          <w:trHeight w:val="399"/>
        </w:trPr>
        <w:tc>
          <w:tcPr>
            <w:tcW w:w="5000" w:type="pct"/>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ind w:left="1452" w:hanging="1452"/>
              <w:rPr>
                <w:b/>
                <w:bCs/>
                <w:sz w:val="16"/>
                <w:szCs w:val="16"/>
              </w:rPr>
            </w:pPr>
            <w:r w:rsidRPr="00526311">
              <w:rPr>
                <w:b/>
                <w:bCs/>
                <w:sz w:val="16"/>
                <w:szCs w:val="16"/>
              </w:rPr>
              <w:t>Resultado previsto:</w:t>
            </w:r>
            <w:r w:rsidRPr="00526311">
              <w:rPr>
                <w:bCs/>
                <w:sz w:val="16"/>
                <w:szCs w:val="16"/>
              </w:rPr>
              <w:tab/>
              <w:t>II.9 Protección eficaz de la propiedad intelectual en los gTLD y los ccTLD</w:t>
            </w:r>
          </w:p>
        </w:tc>
      </w:tr>
      <w:tr w:rsidR="00B45FC3" w:rsidRPr="00526311" w:rsidTr="0063039A">
        <w:trPr>
          <w:cantSplit/>
        </w:trPr>
        <w:tc>
          <w:tcPr>
            <w:tcW w:w="1141" w:type="pct"/>
            <w:tcBorders>
              <w:top w:val="single" w:sz="4" w:space="0" w:color="auto"/>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11" w:type="pct"/>
            <w:tcBorders>
              <w:top w:val="single" w:sz="4" w:space="0" w:color="auto"/>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911" w:type="pct"/>
            <w:tcBorders>
              <w:top w:val="single" w:sz="4" w:space="0" w:color="auto"/>
            </w:tcBorders>
            <w:shd w:val="clear" w:color="auto" w:fill="auto"/>
            <w:tcMar>
              <w:top w:w="110" w:type="dxa"/>
            </w:tcMar>
            <w:vAlign w:val="center"/>
          </w:tcPr>
          <w:p w:rsidR="00B45FC3" w:rsidRPr="00526311" w:rsidRDefault="00B45FC3" w:rsidP="0063039A">
            <w:pPr>
              <w:keepNext/>
              <w:keepLines/>
              <w:rPr>
                <w:b/>
                <w:sz w:val="16"/>
                <w:szCs w:val="16"/>
              </w:rPr>
            </w:pPr>
            <w:r w:rsidRPr="00526311">
              <w:rPr>
                <w:b/>
                <w:sz w:val="16"/>
                <w:szCs w:val="16"/>
              </w:rPr>
              <w:t>Objetivos</w:t>
            </w:r>
          </w:p>
        </w:tc>
        <w:tc>
          <w:tcPr>
            <w:tcW w:w="1135" w:type="pct"/>
            <w:tcBorders>
              <w:top w:val="single" w:sz="4" w:space="0" w:color="auto"/>
            </w:tcBorders>
            <w:shd w:val="clear" w:color="auto" w:fill="auto"/>
            <w:tcMar>
              <w:top w:w="110" w:type="dxa"/>
            </w:tcMar>
            <w:vAlign w:val="center"/>
          </w:tcPr>
          <w:p w:rsidR="00B45FC3" w:rsidRPr="00526311" w:rsidRDefault="00B45FC3" w:rsidP="0063039A">
            <w:pPr>
              <w:keepNext/>
              <w:keepLines/>
              <w:rPr>
                <w:sz w:val="16"/>
                <w:szCs w:val="16"/>
              </w:rPr>
            </w:pPr>
            <w:r w:rsidRPr="00526311">
              <w:rPr>
                <w:b/>
                <w:sz w:val="16"/>
                <w:szCs w:val="16"/>
              </w:rPr>
              <w:t>Datos sobre el rendimiento</w:t>
            </w:r>
          </w:p>
        </w:tc>
        <w:tc>
          <w:tcPr>
            <w:tcW w:w="602" w:type="pct"/>
            <w:tcBorders>
              <w:top w:val="single" w:sz="4" w:space="0" w:color="auto"/>
            </w:tcBorders>
            <w:shd w:val="clear" w:color="auto" w:fill="auto"/>
            <w:tcMar>
              <w:top w:w="110" w:type="dxa"/>
            </w:tcMar>
            <w:vAlign w:val="center"/>
          </w:tcPr>
          <w:p w:rsidR="00B45FC3" w:rsidRPr="00526311" w:rsidRDefault="00B45FC3" w:rsidP="0063039A">
            <w:pPr>
              <w:keepNext/>
              <w:keepLines/>
              <w:ind w:left="-112"/>
              <w:jc w:val="center"/>
              <w:rPr>
                <w:b/>
                <w:bCs/>
                <w:sz w:val="16"/>
                <w:szCs w:val="16"/>
              </w:rPr>
            </w:pPr>
            <w:r w:rsidRPr="00526311">
              <w:rPr>
                <w:b/>
                <w:bCs/>
                <w:sz w:val="16"/>
                <w:szCs w:val="16"/>
              </w:rPr>
              <w:t>Clave de colores</w:t>
            </w:r>
          </w:p>
        </w:tc>
      </w:tr>
      <w:tr w:rsidR="00B45FC3" w:rsidRPr="00526311" w:rsidTr="0063039A">
        <w:trPr>
          <w:cantSplit/>
        </w:trPr>
        <w:tc>
          <w:tcPr>
            <w:tcW w:w="1141" w:type="pct"/>
            <w:shd w:val="clear" w:color="auto" w:fill="auto"/>
          </w:tcPr>
          <w:p w:rsidR="00B45FC3" w:rsidRPr="00526311" w:rsidRDefault="00B45FC3" w:rsidP="0063039A">
            <w:pPr>
              <w:rPr>
                <w:sz w:val="16"/>
                <w:szCs w:val="16"/>
                <w:lang w:bidi="th-TH"/>
              </w:rPr>
            </w:pPr>
            <w:r w:rsidRPr="00526311">
              <w:rPr>
                <w:sz w:val="16"/>
                <w:szCs w:val="16"/>
                <w:lang w:bidi="th-TH"/>
              </w:rPr>
              <w:t>Número de procedimientos relativos a los gTLD administrados en virtud de la Política Uniforme</w:t>
            </w:r>
          </w:p>
        </w:tc>
        <w:tc>
          <w:tcPr>
            <w:tcW w:w="1211" w:type="pct"/>
            <w:shd w:val="clear" w:color="auto" w:fill="auto"/>
          </w:tcPr>
          <w:p w:rsidR="00B45FC3" w:rsidRPr="00526311" w:rsidRDefault="001A4F69" w:rsidP="0063039A">
            <w:pPr>
              <w:rPr>
                <w:i/>
                <w:color w:val="002060"/>
                <w:sz w:val="16"/>
                <w:szCs w:val="16"/>
              </w:rPr>
            </w:pPr>
            <w:r w:rsidRPr="00526311">
              <w:rPr>
                <w:i/>
                <w:color w:val="002060"/>
                <w:sz w:val="16"/>
                <w:szCs w:val="16"/>
              </w:rPr>
              <w:t>Referencia actualizada a fines de</w:t>
            </w:r>
            <w:r w:rsidR="00B45FC3" w:rsidRPr="00526311">
              <w:rPr>
                <w:i/>
                <w:color w:val="002060"/>
                <w:sz w:val="16"/>
                <w:szCs w:val="16"/>
              </w:rPr>
              <w:t xml:space="preserve"> 2013:</w:t>
            </w:r>
            <w:r w:rsidR="00B45FC3" w:rsidRPr="00526311">
              <w:rPr>
                <w:color w:val="002060"/>
                <w:sz w:val="16"/>
                <w:szCs w:val="16"/>
              </w:rPr>
              <w:t xml:space="preserve">  24.901 procedimientos relativos a los gTLD administrados por el Centro (en total al final de 2013) </w:t>
            </w:r>
          </w:p>
          <w:p w:rsidR="00B45FC3" w:rsidRPr="00526311" w:rsidRDefault="00B45FC3" w:rsidP="0063039A">
            <w:pPr>
              <w:rPr>
                <w:i/>
                <w:sz w:val="8"/>
                <w:szCs w:val="8"/>
              </w:rPr>
            </w:pPr>
          </w:p>
          <w:p w:rsidR="00B45FC3" w:rsidRPr="00526311" w:rsidRDefault="00542D75" w:rsidP="0063039A">
            <w:pPr>
              <w:rPr>
                <w:sz w:val="16"/>
                <w:szCs w:val="16"/>
              </w:rPr>
            </w:pPr>
            <w:r w:rsidRPr="00526311">
              <w:rPr>
                <w:i/>
                <w:sz w:val="16"/>
                <w:szCs w:val="16"/>
              </w:rPr>
              <w:t>Referencia original en el presupuesto de 2014/15</w:t>
            </w:r>
            <w:r w:rsidR="00B45FC3" w:rsidRPr="00526311">
              <w:rPr>
                <w:i/>
                <w:sz w:val="16"/>
                <w:szCs w:val="16"/>
              </w:rPr>
              <w:t xml:space="preserve">:  </w:t>
            </w:r>
            <w:r w:rsidR="00B45FC3" w:rsidRPr="00526311">
              <w:rPr>
                <w:sz w:val="16"/>
                <w:szCs w:val="16"/>
              </w:rPr>
              <w:t>22.644 procedimientos relativos a los gTLD administrados por el Centro (en total al final de 2012)</w:t>
            </w:r>
          </w:p>
          <w:p w:rsidR="00B45FC3" w:rsidRPr="00526311" w:rsidRDefault="00B45FC3" w:rsidP="0063039A">
            <w:pPr>
              <w:rPr>
                <w:sz w:val="16"/>
                <w:szCs w:val="16"/>
              </w:rPr>
            </w:pPr>
          </w:p>
        </w:tc>
        <w:tc>
          <w:tcPr>
            <w:tcW w:w="911" w:type="pct"/>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Otros 3.000 procedimientos</w:t>
            </w:r>
          </w:p>
        </w:tc>
        <w:tc>
          <w:tcPr>
            <w:tcW w:w="1135" w:type="pct"/>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Otros 2.288 procedimientos relacionados con los gTLD (2014) (27.189 procedimientos en total relacionados con los gTLD)</w:t>
            </w:r>
          </w:p>
        </w:tc>
        <w:tc>
          <w:tcPr>
            <w:tcW w:w="602" w:type="pct"/>
            <w:shd w:val="clear" w:color="auto" w:fill="auto"/>
            <w:tcMar>
              <w:top w:w="110" w:type="dxa"/>
            </w:tcMar>
          </w:tcPr>
          <w:p w:rsidR="00B45FC3" w:rsidRPr="00526311" w:rsidRDefault="00B45FC3" w:rsidP="0063039A">
            <w:pPr>
              <w:keepNext/>
              <w:keepLines/>
              <w:ind w:right="-115"/>
              <w:jc w:val="center"/>
              <w:rPr>
                <w:bCs/>
                <w:color w:val="00B050"/>
                <w:sz w:val="16"/>
                <w:szCs w:val="16"/>
              </w:rPr>
            </w:pPr>
            <w:r w:rsidRPr="00526311">
              <w:rPr>
                <w:b/>
                <w:bCs/>
                <w:color w:val="00B050"/>
                <w:sz w:val="16"/>
                <w:szCs w:val="16"/>
              </w:rPr>
              <w:t>Avanza</w:t>
            </w:r>
          </w:p>
        </w:tc>
      </w:tr>
      <w:tr w:rsidR="00B45FC3" w:rsidRPr="00526311" w:rsidTr="0063039A">
        <w:trPr>
          <w:cantSplit/>
        </w:trPr>
        <w:tc>
          <w:tcPr>
            <w:tcW w:w="1141" w:type="pct"/>
            <w:shd w:val="clear" w:color="auto" w:fill="auto"/>
          </w:tcPr>
          <w:p w:rsidR="00B45FC3" w:rsidRPr="00526311" w:rsidRDefault="00B45FC3" w:rsidP="0063039A">
            <w:pPr>
              <w:rPr>
                <w:sz w:val="16"/>
                <w:szCs w:val="16"/>
                <w:lang w:bidi="th-TH"/>
              </w:rPr>
            </w:pPr>
            <w:r w:rsidRPr="00526311">
              <w:rPr>
                <w:sz w:val="16"/>
                <w:szCs w:val="16"/>
                <w:lang w:bidi="th-TH"/>
              </w:rPr>
              <w:t>Número de procedimientos relativos a los ccTLD administrados en virtud de la Política Uniforme</w:t>
            </w:r>
          </w:p>
        </w:tc>
        <w:tc>
          <w:tcPr>
            <w:tcW w:w="1211" w:type="pct"/>
            <w:shd w:val="clear" w:color="auto" w:fill="auto"/>
          </w:tcPr>
          <w:p w:rsidR="00B45FC3" w:rsidRPr="00526311" w:rsidRDefault="001A4F69" w:rsidP="0063039A">
            <w:pPr>
              <w:rPr>
                <w:i/>
                <w:color w:val="002060"/>
                <w:sz w:val="16"/>
                <w:szCs w:val="16"/>
              </w:rPr>
            </w:pPr>
            <w:r w:rsidRPr="00526311">
              <w:rPr>
                <w:i/>
                <w:color w:val="002060"/>
                <w:sz w:val="16"/>
                <w:szCs w:val="16"/>
              </w:rPr>
              <w:t>Referencia actualizada a fines de</w:t>
            </w:r>
            <w:r w:rsidR="00B45FC3" w:rsidRPr="00526311">
              <w:rPr>
                <w:i/>
                <w:color w:val="002060"/>
                <w:sz w:val="16"/>
                <w:szCs w:val="16"/>
              </w:rPr>
              <w:t xml:space="preserve"> 2013:</w:t>
            </w:r>
            <w:r w:rsidR="00B45FC3" w:rsidRPr="00526311">
              <w:rPr>
                <w:color w:val="002060"/>
                <w:sz w:val="16"/>
                <w:szCs w:val="16"/>
              </w:rPr>
              <w:t xml:space="preserve">  2.788 procedimientos relativos a los ccTLD administrados por el Centro (en total al final de 2013)</w:t>
            </w:r>
          </w:p>
          <w:p w:rsidR="00B45FC3" w:rsidRPr="00526311" w:rsidRDefault="00B45FC3" w:rsidP="0063039A">
            <w:pPr>
              <w:rPr>
                <w:i/>
                <w:sz w:val="8"/>
                <w:szCs w:val="8"/>
              </w:rPr>
            </w:pPr>
          </w:p>
          <w:p w:rsidR="00B45FC3" w:rsidRPr="00526311" w:rsidRDefault="00542D75" w:rsidP="0063039A">
            <w:pPr>
              <w:rPr>
                <w:sz w:val="16"/>
                <w:szCs w:val="16"/>
              </w:rPr>
            </w:pPr>
            <w:r w:rsidRPr="00526311">
              <w:rPr>
                <w:i/>
                <w:sz w:val="16"/>
                <w:szCs w:val="16"/>
              </w:rPr>
              <w:t>Referencia original en el presupuesto de 2014/15</w:t>
            </w:r>
            <w:r w:rsidR="00B45FC3" w:rsidRPr="00526311">
              <w:rPr>
                <w:i/>
                <w:sz w:val="16"/>
                <w:szCs w:val="16"/>
              </w:rPr>
              <w:t xml:space="preserve">:  </w:t>
            </w:r>
            <w:r w:rsidR="00B45FC3" w:rsidRPr="00526311">
              <w:rPr>
                <w:sz w:val="16"/>
                <w:szCs w:val="16"/>
              </w:rPr>
              <w:t>2.470 procedimientos relativos a los ccTLD administrados por el Centro (en total al final de 2012)</w:t>
            </w:r>
          </w:p>
          <w:p w:rsidR="00B45FC3" w:rsidRPr="00526311" w:rsidRDefault="00B45FC3" w:rsidP="0063039A">
            <w:pPr>
              <w:rPr>
                <w:sz w:val="16"/>
                <w:szCs w:val="16"/>
              </w:rPr>
            </w:pPr>
          </w:p>
        </w:tc>
        <w:tc>
          <w:tcPr>
            <w:tcW w:w="911" w:type="pct"/>
            <w:shd w:val="clear" w:color="auto" w:fill="auto"/>
            <w:tcMar>
              <w:top w:w="110" w:type="dxa"/>
            </w:tcMar>
          </w:tcPr>
          <w:p w:rsidR="00B45FC3" w:rsidRPr="00526311" w:rsidRDefault="00B45FC3" w:rsidP="0063039A">
            <w:pPr>
              <w:rPr>
                <w:sz w:val="16"/>
                <w:szCs w:val="16"/>
              </w:rPr>
            </w:pPr>
            <w:r w:rsidRPr="00526311">
              <w:rPr>
                <w:sz w:val="16"/>
                <w:szCs w:val="16"/>
              </w:rPr>
              <w:t>Otros 350 procedimientos</w:t>
            </w:r>
          </w:p>
        </w:tc>
        <w:tc>
          <w:tcPr>
            <w:tcW w:w="1135" w:type="pct"/>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Otros 346 procedimientos relacionados con los ccTLD (2014)</w:t>
            </w:r>
          </w:p>
          <w:p w:rsidR="00B45FC3" w:rsidRPr="00526311" w:rsidRDefault="00B45FC3" w:rsidP="0063039A">
            <w:pPr>
              <w:rPr>
                <w:sz w:val="16"/>
                <w:szCs w:val="16"/>
                <w:lang w:bidi="th-TH"/>
              </w:rPr>
            </w:pPr>
            <w:r w:rsidRPr="00526311">
              <w:rPr>
                <w:sz w:val="16"/>
                <w:szCs w:val="16"/>
                <w:lang w:bidi="th-TH"/>
              </w:rPr>
              <w:t>3.134 (en total).</w:t>
            </w:r>
          </w:p>
        </w:tc>
        <w:tc>
          <w:tcPr>
            <w:tcW w:w="602" w:type="pct"/>
            <w:shd w:val="clear" w:color="auto" w:fill="auto"/>
          </w:tcPr>
          <w:p w:rsidR="00B45FC3" w:rsidRPr="00526311" w:rsidRDefault="00B45FC3" w:rsidP="0063039A">
            <w:pPr>
              <w:keepNext/>
              <w:keepLines/>
              <w:ind w:right="-115"/>
              <w:jc w:val="center"/>
              <w:rPr>
                <w:b/>
                <w:bCs/>
                <w:color w:val="00B050"/>
                <w:sz w:val="16"/>
                <w:szCs w:val="16"/>
              </w:rPr>
            </w:pPr>
            <w:r w:rsidRPr="00526311">
              <w:rPr>
                <w:b/>
                <w:bCs/>
                <w:color w:val="00B050"/>
                <w:sz w:val="16"/>
                <w:szCs w:val="16"/>
              </w:rPr>
              <w:t>Avanza</w:t>
            </w:r>
          </w:p>
        </w:tc>
      </w:tr>
      <w:tr w:rsidR="00B45FC3" w:rsidRPr="00526311" w:rsidTr="0063039A">
        <w:trPr>
          <w:cantSplit/>
        </w:trPr>
        <w:tc>
          <w:tcPr>
            <w:tcW w:w="1141" w:type="pct"/>
            <w:shd w:val="clear" w:color="auto" w:fill="auto"/>
          </w:tcPr>
          <w:p w:rsidR="00B45FC3" w:rsidRPr="00526311" w:rsidRDefault="00B45FC3" w:rsidP="0063039A">
            <w:pPr>
              <w:rPr>
                <w:sz w:val="16"/>
                <w:szCs w:val="16"/>
                <w:lang w:bidi="th-TH"/>
              </w:rPr>
            </w:pPr>
            <w:r w:rsidRPr="00526311">
              <w:rPr>
                <w:sz w:val="16"/>
                <w:szCs w:val="16"/>
                <w:lang w:bidi="th-TH"/>
              </w:rPr>
              <w:t>Políticas de solución de controversias en el sistema de nombres de dominio a cuyo desarrollo y aplicación ha contribuido el Centro de Arbitraje y Mediación de la OMPI</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tc>
        <w:tc>
          <w:tcPr>
            <w:tcW w:w="1211" w:type="pct"/>
            <w:shd w:val="clear" w:color="auto" w:fill="auto"/>
          </w:tcPr>
          <w:p w:rsidR="00B45FC3" w:rsidRPr="00526311" w:rsidRDefault="001A4F69" w:rsidP="0063039A">
            <w:pPr>
              <w:rPr>
                <w:i/>
                <w:color w:val="002060"/>
                <w:sz w:val="16"/>
                <w:szCs w:val="16"/>
              </w:rPr>
            </w:pPr>
            <w:r w:rsidRPr="00526311">
              <w:rPr>
                <w:i/>
                <w:color w:val="002060"/>
                <w:sz w:val="16"/>
                <w:szCs w:val="16"/>
              </w:rPr>
              <w:t>Referencia actualizada a fines de</w:t>
            </w:r>
            <w:r w:rsidR="00B45FC3" w:rsidRPr="00526311">
              <w:rPr>
                <w:i/>
                <w:color w:val="002060"/>
                <w:sz w:val="16"/>
                <w:szCs w:val="16"/>
              </w:rPr>
              <w:t xml:space="preserve"> 2013:</w:t>
            </w:r>
            <w:r w:rsidR="00B45FC3" w:rsidRPr="00526311">
              <w:rPr>
                <w:color w:val="002060"/>
                <w:sz w:val="16"/>
                <w:szCs w:val="16"/>
              </w:rPr>
              <w:t xml:space="preserve">  Política Uniforme, Política de solución de controversias para la etapa previa a la adjudicación (en total al final de 2013)</w:t>
            </w:r>
          </w:p>
          <w:p w:rsidR="00B45FC3" w:rsidRPr="00526311" w:rsidRDefault="00B45FC3" w:rsidP="0063039A">
            <w:pPr>
              <w:rPr>
                <w:i/>
                <w:sz w:val="8"/>
                <w:szCs w:val="8"/>
              </w:rPr>
            </w:pPr>
          </w:p>
          <w:p w:rsidR="00B45FC3" w:rsidRPr="00526311" w:rsidRDefault="00542D75" w:rsidP="0063039A">
            <w:pPr>
              <w:rPr>
                <w:sz w:val="16"/>
                <w:szCs w:val="16"/>
              </w:rPr>
            </w:pPr>
            <w:r w:rsidRPr="00526311">
              <w:rPr>
                <w:i/>
                <w:sz w:val="16"/>
                <w:szCs w:val="16"/>
              </w:rPr>
              <w:t>Referencia original en el presupuesto de 2014/15</w:t>
            </w:r>
            <w:r w:rsidR="00B45FC3" w:rsidRPr="00526311">
              <w:rPr>
                <w:i/>
                <w:sz w:val="16"/>
                <w:szCs w:val="16"/>
              </w:rPr>
              <w:t xml:space="preserve">:  </w:t>
            </w:r>
            <w:r w:rsidR="00B45FC3" w:rsidRPr="00526311">
              <w:rPr>
                <w:sz w:val="16"/>
                <w:szCs w:val="16"/>
              </w:rPr>
              <w:t>Política Uniforme, Política de solución de</w:t>
            </w:r>
          </w:p>
          <w:p w:rsidR="00B45FC3" w:rsidRPr="00526311" w:rsidRDefault="00B45FC3" w:rsidP="0063039A">
            <w:pPr>
              <w:rPr>
                <w:sz w:val="16"/>
                <w:szCs w:val="16"/>
              </w:rPr>
            </w:pPr>
            <w:r w:rsidRPr="00526311">
              <w:rPr>
                <w:sz w:val="16"/>
                <w:szCs w:val="16"/>
              </w:rPr>
              <w:t>controversias para la etapa</w:t>
            </w:r>
          </w:p>
          <w:p w:rsidR="00B45FC3" w:rsidRPr="00526311" w:rsidRDefault="00B45FC3" w:rsidP="0063039A">
            <w:pPr>
              <w:rPr>
                <w:sz w:val="16"/>
                <w:szCs w:val="16"/>
              </w:rPr>
            </w:pPr>
            <w:r w:rsidRPr="00526311">
              <w:rPr>
                <w:sz w:val="16"/>
                <w:szCs w:val="16"/>
              </w:rPr>
              <w:t>previa a la adjudicación (en total al final de 2012)</w:t>
            </w:r>
          </w:p>
          <w:p w:rsidR="00B45FC3" w:rsidRPr="00526311" w:rsidRDefault="00B45FC3" w:rsidP="0063039A">
            <w:pPr>
              <w:rPr>
                <w:sz w:val="16"/>
                <w:szCs w:val="16"/>
              </w:rPr>
            </w:pPr>
          </w:p>
        </w:tc>
        <w:tc>
          <w:tcPr>
            <w:tcW w:w="911" w:type="pct"/>
            <w:shd w:val="clear" w:color="auto" w:fill="auto"/>
            <w:tcMar>
              <w:top w:w="110" w:type="dxa"/>
            </w:tcMar>
          </w:tcPr>
          <w:p w:rsidR="00B45FC3" w:rsidRPr="00526311" w:rsidRDefault="00B45FC3" w:rsidP="0063039A">
            <w:pPr>
              <w:rPr>
                <w:sz w:val="16"/>
                <w:szCs w:val="16"/>
              </w:rPr>
            </w:pPr>
            <w:r w:rsidRPr="00526311">
              <w:rPr>
                <w:sz w:val="16"/>
                <w:szCs w:val="16"/>
              </w:rPr>
              <w:t>Aplicación en el Sistema de Nombres de Dominio de las recomendaciones de la OMPI sobre políticas y procedimientos.</w:t>
            </w:r>
          </w:p>
          <w:p w:rsidR="00B45FC3" w:rsidRPr="00526311" w:rsidRDefault="00B45FC3" w:rsidP="0063039A">
            <w:pPr>
              <w:rPr>
                <w:sz w:val="16"/>
                <w:szCs w:val="16"/>
              </w:rPr>
            </w:pPr>
          </w:p>
          <w:p w:rsidR="00B45FC3" w:rsidRPr="00526311" w:rsidRDefault="00B45FC3" w:rsidP="0063039A">
            <w:pPr>
              <w:rPr>
                <w:sz w:val="16"/>
                <w:szCs w:val="16"/>
              </w:rPr>
            </w:pPr>
          </w:p>
          <w:p w:rsidR="00B45FC3" w:rsidRPr="00526311" w:rsidRDefault="00B45FC3" w:rsidP="0063039A">
            <w:pPr>
              <w:rPr>
                <w:sz w:val="16"/>
                <w:szCs w:val="16"/>
              </w:rPr>
            </w:pPr>
          </w:p>
          <w:p w:rsidR="00B45FC3" w:rsidRPr="00526311" w:rsidRDefault="00B45FC3" w:rsidP="0063039A">
            <w:pPr>
              <w:rPr>
                <w:sz w:val="16"/>
                <w:szCs w:val="16"/>
              </w:rPr>
            </w:pPr>
          </w:p>
          <w:p w:rsidR="00B45FC3" w:rsidRPr="00526311" w:rsidRDefault="00B45FC3" w:rsidP="0063039A">
            <w:pPr>
              <w:rPr>
                <w:sz w:val="16"/>
                <w:szCs w:val="16"/>
              </w:rPr>
            </w:pPr>
          </w:p>
          <w:p w:rsidR="00B45FC3" w:rsidRPr="00526311" w:rsidRDefault="00B45FC3" w:rsidP="0063039A">
            <w:pPr>
              <w:rPr>
                <w:sz w:val="16"/>
                <w:szCs w:val="16"/>
              </w:rPr>
            </w:pPr>
          </w:p>
        </w:tc>
        <w:tc>
          <w:tcPr>
            <w:tcW w:w="1135" w:type="pct"/>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 xml:space="preserve">Se sigue aplicando la Política Uniforme, la Política de la ICANN de solución de controversias para la etapa previa a la adjudicación, el procedimiento de la ICANN de solución de controversias para la etapa posterior a la adjudicación (en total al final de 2014);  no se aplicarán nuevas políticas o recomendaciones. </w:t>
            </w:r>
          </w:p>
        </w:tc>
        <w:tc>
          <w:tcPr>
            <w:tcW w:w="602" w:type="pct"/>
            <w:shd w:val="clear" w:color="auto" w:fill="auto"/>
            <w:tcMar>
              <w:top w:w="110" w:type="dxa"/>
            </w:tcMar>
          </w:tcPr>
          <w:p w:rsidR="00B45FC3" w:rsidRPr="00526311" w:rsidRDefault="00B45FC3" w:rsidP="0063039A">
            <w:pPr>
              <w:keepNext/>
              <w:keepLines/>
              <w:ind w:right="-115"/>
              <w:jc w:val="center"/>
              <w:rPr>
                <w:b/>
                <w:bCs/>
                <w:color w:val="00B050"/>
                <w:sz w:val="16"/>
                <w:szCs w:val="16"/>
              </w:rPr>
            </w:pPr>
            <w:r w:rsidRPr="00526311">
              <w:rPr>
                <w:b/>
                <w:bCs/>
                <w:color w:val="00B050"/>
                <w:sz w:val="16"/>
                <w:szCs w:val="16"/>
              </w:rPr>
              <w:t>Avanza</w:t>
            </w:r>
          </w:p>
        </w:tc>
      </w:tr>
    </w:tbl>
    <w:p w:rsidR="00B45FC3" w:rsidRPr="00526311" w:rsidRDefault="00B45FC3">
      <w:r w:rsidRPr="00526311">
        <w:br w:type="page"/>
      </w:r>
    </w:p>
    <w:tbl>
      <w:tblPr>
        <w:tblW w:w="488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4"/>
        <w:gridCol w:w="2264"/>
        <w:gridCol w:w="1703"/>
        <w:gridCol w:w="2122"/>
        <w:gridCol w:w="1126"/>
      </w:tblGrid>
      <w:tr w:rsidR="00B45FC3" w:rsidRPr="00526311" w:rsidTr="0063039A">
        <w:trPr>
          <w:cantSplit/>
        </w:trPr>
        <w:tc>
          <w:tcPr>
            <w:tcW w:w="1141" w:type="pct"/>
            <w:shd w:val="clear" w:color="auto" w:fill="auto"/>
            <w:vAlign w:val="center"/>
          </w:tcPr>
          <w:p w:rsidR="00B45FC3" w:rsidRPr="00526311" w:rsidRDefault="00B45FC3" w:rsidP="0063039A">
            <w:pPr>
              <w:keepNext/>
              <w:keepLines/>
              <w:rPr>
                <w:sz w:val="16"/>
                <w:szCs w:val="16"/>
              </w:rPr>
            </w:pPr>
            <w:r w:rsidRPr="00526311">
              <w:rPr>
                <w:b/>
                <w:sz w:val="16"/>
                <w:szCs w:val="16"/>
              </w:rPr>
              <w:lastRenderedPageBreak/>
              <w:t>Indicadores de rendimiento</w:t>
            </w:r>
          </w:p>
        </w:tc>
        <w:tc>
          <w:tcPr>
            <w:tcW w:w="1211" w:type="pct"/>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911" w:type="pct"/>
            <w:shd w:val="clear" w:color="auto" w:fill="auto"/>
            <w:tcMar>
              <w:top w:w="110" w:type="dxa"/>
            </w:tcMar>
            <w:vAlign w:val="center"/>
          </w:tcPr>
          <w:p w:rsidR="00B45FC3" w:rsidRPr="00526311" w:rsidRDefault="00B45FC3" w:rsidP="0063039A">
            <w:pPr>
              <w:keepNext/>
              <w:keepLines/>
              <w:rPr>
                <w:b/>
                <w:sz w:val="16"/>
                <w:szCs w:val="16"/>
              </w:rPr>
            </w:pPr>
            <w:r w:rsidRPr="00526311">
              <w:rPr>
                <w:b/>
                <w:sz w:val="16"/>
                <w:szCs w:val="16"/>
              </w:rPr>
              <w:t>Objetivos</w:t>
            </w:r>
          </w:p>
        </w:tc>
        <w:tc>
          <w:tcPr>
            <w:tcW w:w="1135" w:type="pct"/>
            <w:shd w:val="clear" w:color="auto" w:fill="auto"/>
            <w:tcMar>
              <w:top w:w="110" w:type="dxa"/>
            </w:tcMar>
            <w:vAlign w:val="center"/>
          </w:tcPr>
          <w:p w:rsidR="00B45FC3" w:rsidRPr="00526311" w:rsidRDefault="00B45FC3" w:rsidP="0063039A">
            <w:pPr>
              <w:keepNext/>
              <w:keepLines/>
              <w:rPr>
                <w:sz w:val="16"/>
                <w:szCs w:val="16"/>
              </w:rPr>
            </w:pPr>
            <w:r w:rsidRPr="00526311">
              <w:rPr>
                <w:b/>
                <w:sz w:val="16"/>
                <w:szCs w:val="16"/>
              </w:rPr>
              <w:t>Datos sobre el rendimiento</w:t>
            </w:r>
          </w:p>
        </w:tc>
        <w:tc>
          <w:tcPr>
            <w:tcW w:w="602" w:type="pct"/>
            <w:shd w:val="clear" w:color="auto" w:fill="auto"/>
            <w:tcMar>
              <w:top w:w="110" w:type="dxa"/>
            </w:tcMar>
            <w:vAlign w:val="center"/>
          </w:tcPr>
          <w:p w:rsidR="00B45FC3" w:rsidRPr="00526311" w:rsidRDefault="00B45FC3" w:rsidP="0063039A">
            <w:pPr>
              <w:keepNext/>
              <w:keepLines/>
              <w:ind w:left="-112"/>
              <w:jc w:val="center"/>
              <w:rPr>
                <w:b/>
                <w:bCs/>
                <w:sz w:val="16"/>
                <w:szCs w:val="16"/>
              </w:rPr>
            </w:pPr>
            <w:r w:rsidRPr="00526311">
              <w:rPr>
                <w:b/>
                <w:bCs/>
                <w:sz w:val="16"/>
                <w:szCs w:val="16"/>
              </w:rPr>
              <w:t>Clave de colores</w:t>
            </w:r>
          </w:p>
        </w:tc>
      </w:tr>
      <w:tr w:rsidR="00B45FC3" w:rsidRPr="00526311" w:rsidTr="0063039A">
        <w:trPr>
          <w:cantSplit/>
        </w:trPr>
        <w:tc>
          <w:tcPr>
            <w:tcW w:w="1141" w:type="pct"/>
            <w:shd w:val="clear" w:color="auto" w:fill="auto"/>
          </w:tcPr>
          <w:p w:rsidR="00B45FC3" w:rsidRPr="00526311" w:rsidRDefault="00B45FC3" w:rsidP="0063039A">
            <w:pPr>
              <w:rPr>
                <w:sz w:val="16"/>
                <w:szCs w:val="16"/>
              </w:rPr>
            </w:pPr>
            <w:r w:rsidRPr="00526311">
              <w:rPr>
                <w:sz w:val="16"/>
                <w:szCs w:val="16"/>
              </w:rPr>
              <w:t>Número de administradores de ccTLD que disponen de mecanismos de protección de P.I. concebidos o administrados por la OMPI de conformidad con las normas internacionales</w:t>
            </w:r>
          </w:p>
        </w:tc>
        <w:tc>
          <w:tcPr>
            <w:tcW w:w="1211" w:type="pct"/>
            <w:shd w:val="clear" w:color="auto" w:fill="auto"/>
          </w:tcPr>
          <w:p w:rsidR="00B45FC3" w:rsidRPr="00526311" w:rsidRDefault="001A4F69" w:rsidP="0063039A">
            <w:pPr>
              <w:rPr>
                <w:i/>
                <w:color w:val="002060"/>
                <w:sz w:val="16"/>
                <w:szCs w:val="16"/>
              </w:rPr>
            </w:pPr>
            <w:r w:rsidRPr="00526311">
              <w:rPr>
                <w:i/>
                <w:color w:val="002060"/>
                <w:sz w:val="16"/>
                <w:szCs w:val="16"/>
              </w:rPr>
              <w:t>Referencia actualizada a fines de</w:t>
            </w:r>
            <w:r w:rsidR="00B45FC3" w:rsidRPr="00526311">
              <w:rPr>
                <w:i/>
                <w:color w:val="002060"/>
                <w:sz w:val="16"/>
                <w:szCs w:val="16"/>
              </w:rPr>
              <w:t xml:space="preserve"> 2013:</w:t>
            </w:r>
            <w:r w:rsidR="00B45FC3" w:rsidRPr="00526311">
              <w:rPr>
                <w:color w:val="002060"/>
                <w:sz w:val="16"/>
                <w:szCs w:val="16"/>
              </w:rPr>
              <w:t xml:space="preserve">  70 administradores de ccTLD (en total al final de 2013)</w:t>
            </w:r>
          </w:p>
          <w:p w:rsidR="00B45FC3" w:rsidRPr="00526311" w:rsidRDefault="00B45FC3" w:rsidP="0063039A">
            <w:pPr>
              <w:rPr>
                <w:i/>
                <w:sz w:val="8"/>
                <w:szCs w:val="8"/>
              </w:rPr>
            </w:pPr>
          </w:p>
          <w:p w:rsidR="00B45FC3" w:rsidRPr="00526311" w:rsidRDefault="00542D75" w:rsidP="0063039A">
            <w:pPr>
              <w:rPr>
                <w:i/>
                <w:color w:val="002060"/>
                <w:sz w:val="16"/>
                <w:szCs w:val="16"/>
              </w:rPr>
            </w:pPr>
            <w:r w:rsidRPr="00526311">
              <w:rPr>
                <w:i/>
                <w:sz w:val="16"/>
                <w:szCs w:val="16"/>
              </w:rPr>
              <w:t>Referencia original en el presupuesto de 2014/15</w:t>
            </w:r>
            <w:r w:rsidR="00B45FC3" w:rsidRPr="00526311">
              <w:rPr>
                <w:i/>
                <w:sz w:val="16"/>
                <w:szCs w:val="16"/>
              </w:rPr>
              <w:t xml:space="preserve">:  </w:t>
            </w:r>
            <w:r w:rsidR="00B45FC3" w:rsidRPr="00526311">
              <w:rPr>
                <w:sz w:val="16"/>
                <w:szCs w:val="16"/>
              </w:rPr>
              <w:t>67 administradores de ccTLD (en total al final de 2012)</w:t>
            </w:r>
          </w:p>
        </w:tc>
        <w:tc>
          <w:tcPr>
            <w:tcW w:w="911" w:type="pct"/>
            <w:shd w:val="clear" w:color="auto" w:fill="auto"/>
            <w:tcMar>
              <w:top w:w="110" w:type="dxa"/>
            </w:tcMar>
          </w:tcPr>
          <w:p w:rsidR="00B45FC3" w:rsidRPr="00526311" w:rsidRDefault="00B45FC3" w:rsidP="0063039A">
            <w:pPr>
              <w:rPr>
                <w:sz w:val="16"/>
                <w:szCs w:val="16"/>
              </w:rPr>
            </w:pPr>
            <w:r w:rsidRPr="00526311">
              <w:rPr>
                <w:sz w:val="16"/>
                <w:szCs w:val="16"/>
              </w:rPr>
              <w:t>Cuatro nuevos administradores.</w:t>
            </w:r>
          </w:p>
        </w:tc>
        <w:tc>
          <w:tcPr>
            <w:tcW w:w="1135" w:type="pct"/>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2 nuevos administradores (.GQ, .VG) (2014)</w:t>
            </w:r>
          </w:p>
          <w:p w:rsidR="00B45FC3" w:rsidRPr="00526311" w:rsidRDefault="00B45FC3" w:rsidP="0063039A">
            <w:pPr>
              <w:rPr>
                <w:sz w:val="16"/>
                <w:szCs w:val="16"/>
                <w:lang w:bidi="th-TH"/>
              </w:rPr>
            </w:pPr>
            <w:r w:rsidRPr="00526311">
              <w:rPr>
                <w:sz w:val="16"/>
                <w:szCs w:val="16"/>
                <w:lang w:bidi="th-TH"/>
              </w:rPr>
              <w:t>72 (en total).</w:t>
            </w:r>
          </w:p>
        </w:tc>
        <w:tc>
          <w:tcPr>
            <w:tcW w:w="602" w:type="pct"/>
            <w:shd w:val="clear" w:color="auto" w:fill="auto"/>
            <w:tcMar>
              <w:top w:w="110" w:type="dxa"/>
            </w:tcMar>
          </w:tcPr>
          <w:p w:rsidR="00B45FC3" w:rsidRPr="00526311" w:rsidRDefault="00B45FC3" w:rsidP="0063039A">
            <w:pPr>
              <w:keepNext/>
              <w:keepLines/>
              <w:ind w:right="-115"/>
              <w:jc w:val="center"/>
              <w:rPr>
                <w:rStyle w:val="Style5"/>
                <w:b/>
                <w:color w:val="00B050"/>
                <w:sz w:val="16"/>
                <w:szCs w:val="16"/>
              </w:rPr>
            </w:pPr>
            <w:r w:rsidRPr="00526311">
              <w:rPr>
                <w:b/>
                <w:bCs/>
                <w:color w:val="00B050"/>
                <w:sz w:val="16"/>
                <w:szCs w:val="16"/>
              </w:rPr>
              <w:t>Avanza</w:t>
            </w:r>
          </w:p>
        </w:tc>
      </w:tr>
    </w:tbl>
    <w:p w:rsidR="00B45FC3" w:rsidRPr="00526311" w:rsidRDefault="00B45FC3" w:rsidP="0063039A">
      <w:pPr>
        <w:jc w:val="both"/>
      </w:pPr>
    </w:p>
    <w:p w:rsidR="00B45FC3" w:rsidRPr="00526311" w:rsidRDefault="00B45FC3" w:rsidP="0063039A">
      <w:pPr>
        <w:rPr>
          <w:color w:val="000000"/>
          <w:szCs w:val="22"/>
        </w:rPr>
      </w:pPr>
    </w:p>
    <w:p w:rsidR="00B45FC3" w:rsidRPr="00526311" w:rsidRDefault="00B45FC3" w:rsidP="0063039A">
      <w:pPr>
        <w:keepNext/>
        <w:keepLines/>
        <w:rPr>
          <w:b/>
          <w:sz w:val="18"/>
          <w:szCs w:val="18"/>
        </w:rPr>
      </w:pPr>
      <w:r w:rsidRPr="00526311">
        <w:rPr>
          <w:szCs w:val="22"/>
        </w:rPr>
        <w:t>UTILIZACIÓN DE LOS RECURSOS</w:t>
      </w:r>
    </w:p>
    <w:p w:rsidR="00B45FC3" w:rsidRPr="00526311" w:rsidRDefault="00B45FC3" w:rsidP="0063039A">
      <w:pPr>
        <w:keepNext/>
        <w:keepLines/>
      </w:pPr>
    </w:p>
    <w:p w:rsidR="00B45FC3" w:rsidRPr="00526311" w:rsidRDefault="00B45FC3" w:rsidP="0063039A">
      <w:pPr>
        <w:pStyle w:val="NormalWeb"/>
        <w:keepNext/>
        <w:widowControl w:val="0"/>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B45FC3" w:rsidRPr="00526311" w:rsidRDefault="00B45FC3" w:rsidP="0063039A">
      <w:pPr>
        <w:pStyle w:val="NormalWeb"/>
        <w:keepNext/>
        <w:widowControl w:val="0"/>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pStyle w:val="NormalWeb"/>
        <w:keepNext/>
        <w:widowControl w:val="0"/>
        <w:spacing w:before="0" w:beforeAutospacing="0" w:after="0" w:afterAutospacing="0"/>
        <w:jc w:val="center"/>
        <w:rPr>
          <w:sz w:val="20"/>
          <w:szCs w:val="20"/>
          <w:lang w:val="es-ES"/>
        </w:rPr>
      </w:pPr>
    </w:p>
    <w:p w:rsidR="00B45FC3" w:rsidRPr="00526311" w:rsidRDefault="00DD7B62" w:rsidP="0063039A">
      <w:pPr>
        <w:widowControl w:val="0"/>
        <w:jc w:val="center"/>
      </w:pPr>
      <w:r w:rsidRPr="00526311">
        <w:rPr>
          <w:noProof/>
          <w:lang w:val="en-US" w:eastAsia="en-US"/>
        </w:rPr>
        <w:drawing>
          <wp:inline distT="0" distB="0" distL="0" distR="0" wp14:anchorId="75756FEA" wp14:editId="355354ED">
            <wp:extent cx="5762625" cy="1866900"/>
            <wp:effectExtent l="0" t="0" r="9525"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2625" cy="1866900"/>
                    </a:xfrm>
                    <a:prstGeom prst="rect">
                      <a:avLst/>
                    </a:prstGeom>
                    <a:noFill/>
                    <a:ln>
                      <a:noFill/>
                    </a:ln>
                  </pic:spPr>
                </pic:pic>
              </a:graphicData>
            </a:graphic>
          </wp:inline>
        </w:drawing>
      </w:r>
    </w:p>
    <w:p w:rsidR="00B45FC3" w:rsidRPr="00526311" w:rsidRDefault="00B45FC3" w:rsidP="0063039A">
      <w:pPr>
        <w:widowControl w:val="0"/>
      </w:pPr>
    </w:p>
    <w:p w:rsidR="00B45FC3" w:rsidRPr="00526311" w:rsidRDefault="00B45FC3" w:rsidP="0063039A">
      <w:pPr>
        <w:pStyle w:val="NormalWeb"/>
        <w:widowControl w:val="0"/>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B45FC3" w:rsidRPr="00526311" w:rsidRDefault="00B45FC3" w:rsidP="0063039A">
      <w:pPr>
        <w:pStyle w:val="NormalWeb"/>
        <w:widowControl w:val="0"/>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pStyle w:val="NormalWeb"/>
        <w:widowControl w:val="0"/>
        <w:spacing w:before="0" w:beforeAutospacing="0" w:after="0" w:afterAutospacing="0"/>
        <w:jc w:val="center"/>
        <w:rPr>
          <w:lang w:val="es-ES"/>
        </w:rPr>
      </w:pPr>
    </w:p>
    <w:p w:rsidR="00B45FC3" w:rsidRPr="00526311" w:rsidRDefault="00FF6E74" w:rsidP="0063039A">
      <w:pPr>
        <w:widowControl w:val="0"/>
        <w:jc w:val="center"/>
      </w:pPr>
      <w:bookmarkStart w:id="34" w:name="Punto7"/>
      <w:r w:rsidRPr="00526311">
        <w:rPr>
          <w:noProof/>
          <w:lang w:val="en-US" w:eastAsia="en-US"/>
        </w:rPr>
        <w:drawing>
          <wp:inline distT="0" distB="0" distL="0" distR="0" wp14:anchorId="58EDD7BF" wp14:editId="377A9773">
            <wp:extent cx="5940425" cy="1224261"/>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0425" cy="1224261"/>
                    </a:xfrm>
                    <a:prstGeom prst="rect">
                      <a:avLst/>
                    </a:prstGeom>
                    <a:noFill/>
                    <a:ln>
                      <a:noFill/>
                    </a:ln>
                  </pic:spPr>
                </pic:pic>
              </a:graphicData>
            </a:graphic>
          </wp:inline>
        </w:drawing>
      </w:r>
      <w:bookmarkEnd w:id="34"/>
    </w:p>
    <w:p w:rsidR="00B45FC3" w:rsidRPr="00526311" w:rsidRDefault="00B45FC3" w:rsidP="0063039A">
      <w:pPr>
        <w:widowControl w:val="0"/>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B45FC3" w:rsidRPr="00526311" w:rsidRDefault="00B45FC3" w:rsidP="0063039A">
      <w:pPr>
        <w:widowControl w:val="0"/>
        <w:autoSpaceDE w:val="0"/>
        <w:autoSpaceDN w:val="0"/>
        <w:adjustRightInd w:val="0"/>
        <w:rPr>
          <w:sz w:val="20"/>
        </w:rPr>
      </w:pPr>
    </w:p>
    <w:p w:rsidR="00B45FC3" w:rsidRPr="00526311" w:rsidRDefault="00B45FC3" w:rsidP="0063039A">
      <w:pPr>
        <w:widowControl w:val="0"/>
        <w:rPr>
          <w:sz w:val="20"/>
          <w:u w:val="single"/>
        </w:rPr>
      </w:pPr>
      <w:r w:rsidRPr="00526311">
        <w:rPr>
          <w:sz w:val="20"/>
        </w:rPr>
        <w:t>A.</w:t>
      </w:r>
      <w:r w:rsidRPr="00526311">
        <w:rPr>
          <w:sz w:val="20"/>
        </w:rPr>
        <w:tab/>
      </w:r>
      <w:r w:rsidRPr="00526311">
        <w:rPr>
          <w:sz w:val="20"/>
          <w:u w:val="single"/>
        </w:rPr>
        <w:t>Presupuesto de 2014/15 tras las transferencias</w:t>
      </w:r>
    </w:p>
    <w:p w:rsidR="00B45FC3" w:rsidRPr="00526311" w:rsidRDefault="00B45FC3" w:rsidP="0063039A">
      <w:pPr>
        <w:widowControl w:val="0"/>
        <w:rPr>
          <w:sz w:val="20"/>
          <w:u w:val="single"/>
        </w:rPr>
      </w:pPr>
    </w:p>
    <w:p w:rsidR="00B45FC3" w:rsidRPr="00526311" w:rsidRDefault="00B45FC3" w:rsidP="00B45FC3">
      <w:pPr>
        <w:pStyle w:val="ListParagraph"/>
        <w:widowControl w:val="0"/>
        <w:numPr>
          <w:ilvl w:val="0"/>
          <w:numId w:val="47"/>
        </w:numPr>
        <w:tabs>
          <w:tab w:val="left" w:pos="709"/>
        </w:tabs>
        <w:ind w:left="0" w:firstLine="0"/>
        <w:jc w:val="both"/>
        <w:rPr>
          <w:rFonts w:cs="Arial"/>
          <w:lang w:val="es-ES"/>
        </w:rPr>
      </w:pPr>
      <w:r w:rsidRPr="00526311">
        <w:rPr>
          <w:rFonts w:cs="Arial"/>
          <w:lang w:val="es-ES"/>
        </w:rPr>
        <w:t>El ajuste al alza reflejado en el resultado</w:t>
      </w:r>
      <w:r w:rsidR="002B55A2" w:rsidRPr="00526311">
        <w:rPr>
          <w:rFonts w:cs="Arial"/>
          <w:lang w:val="es-ES"/>
        </w:rPr>
        <w:t xml:space="preserve"> previsto</w:t>
      </w:r>
      <w:r w:rsidRPr="00526311">
        <w:rPr>
          <w:rFonts w:cs="Arial"/>
          <w:lang w:val="es-ES"/>
        </w:rPr>
        <w:t xml:space="preserve"> II.8 (controversias nacionales e internacionales en materia de P.I.) responde al cambio producido en los recursos de personal del Centro a fin de gestionar mejor la demanda de servicios de solución extrajudicial de controversias de la OMPI.</w:t>
      </w:r>
    </w:p>
    <w:p w:rsidR="00B45FC3" w:rsidRPr="00526311" w:rsidRDefault="00B45FC3" w:rsidP="0063039A">
      <w:pPr>
        <w:pStyle w:val="ListParagraph"/>
        <w:widowControl w:val="0"/>
        <w:tabs>
          <w:tab w:val="left" w:pos="709"/>
        </w:tabs>
        <w:ind w:left="0"/>
        <w:jc w:val="both"/>
        <w:rPr>
          <w:rFonts w:cs="Arial"/>
          <w:lang w:val="es-ES"/>
        </w:rPr>
      </w:pPr>
    </w:p>
    <w:p w:rsidR="00B45FC3" w:rsidRPr="00526311" w:rsidRDefault="00B45FC3" w:rsidP="0063039A">
      <w:pPr>
        <w:widowControl w:val="0"/>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B45FC3" w:rsidRPr="00526311" w:rsidRDefault="00B45FC3" w:rsidP="0063039A">
      <w:pPr>
        <w:widowControl w:val="0"/>
        <w:jc w:val="both"/>
        <w:rPr>
          <w:sz w:val="20"/>
          <w:u w:val="single"/>
          <w:lang w:eastAsia="ko-KR"/>
        </w:rPr>
      </w:pPr>
    </w:p>
    <w:p w:rsidR="00B45FC3" w:rsidRPr="00526311" w:rsidRDefault="00B45FC3" w:rsidP="00B45FC3">
      <w:pPr>
        <w:pStyle w:val="ListParagraph"/>
        <w:numPr>
          <w:ilvl w:val="0"/>
          <w:numId w:val="47"/>
        </w:numPr>
        <w:tabs>
          <w:tab w:val="left" w:pos="709"/>
        </w:tabs>
        <w:ind w:left="0" w:firstLine="0"/>
        <w:jc w:val="both"/>
        <w:rPr>
          <w:rFonts w:cs="Arial"/>
          <w:lang w:val="es-ES" w:eastAsia="ko-KR"/>
        </w:rPr>
      </w:pPr>
      <w:r w:rsidRPr="00526311">
        <w:rPr>
          <w:rFonts w:cs="Arial"/>
          <w:lang w:val="es-ES" w:eastAsia="ko-KR"/>
        </w:rPr>
        <w:t>La utilización del presupuesto se ha mantenido dentro de los límites establecidos (40-60%) durante el primer año del bienio y está bien encaminada.</w:t>
      </w:r>
    </w:p>
    <w:p w:rsidR="00B45FC3" w:rsidRPr="00526311" w:rsidRDefault="00B45FC3" w:rsidP="0063039A">
      <w:pPr>
        <w:tabs>
          <w:tab w:val="left" w:pos="709"/>
        </w:tabs>
        <w:jc w:val="both"/>
        <w:rPr>
          <w:sz w:val="20"/>
          <w:lang w:eastAsia="ko-KR"/>
        </w:rPr>
      </w:pPr>
    </w:p>
    <w:p w:rsidR="00B45FC3" w:rsidRPr="00526311" w:rsidRDefault="00B45FC3" w:rsidP="0063039A">
      <w:pPr>
        <w:tabs>
          <w:tab w:val="left" w:pos="709"/>
        </w:tabs>
        <w:jc w:val="both"/>
        <w:rPr>
          <w:sz w:val="20"/>
          <w:lang w:eastAsia="ko-KR"/>
        </w:rPr>
      </w:pPr>
    </w:p>
    <w:p w:rsidR="00B45FC3" w:rsidRPr="00526311" w:rsidRDefault="00B45FC3">
      <w:pPr>
        <w:rPr>
          <w:rFonts w:eastAsia="Times New Roman" w:cs="Times New Roman"/>
          <w:b/>
          <w:iCs/>
          <w:sz w:val="20"/>
          <w:lang w:eastAsia="en-US"/>
        </w:rPr>
      </w:pPr>
      <w:r w:rsidRPr="00526311">
        <w:rPr>
          <w:bCs/>
          <w:caps/>
          <w:sz w:val="20"/>
          <w:lang w:eastAsia="en-US"/>
        </w:rPr>
        <w:br w:type="page"/>
      </w:r>
    </w:p>
    <w:p w:rsidR="00B45FC3" w:rsidRPr="00526311" w:rsidRDefault="00B45FC3" w:rsidP="0063039A">
      <w:pPr>
        <w:pStyle w:val="StyleHeading214ptAuto"/>
        <w:rPr>
          <w:rFonts w:ascii="Arial" w:hAnsi="Arial"/>
          <w:bCs w:val="0"/>
          <w:caps w:val="0"/>
          <w:sz w:val="20"/>
          <w:szCs w:val="24"/>
          <w:lang w:val="es-ES" w:eastAsia="en-US"/>
        </w:rPr>
      </w:pPr>
      <w:bookmarkStart w:id="35" w:name="_Toc422927414"/>
      <w:r w:rsidRPr="00526311">
        <w:rPr>
          <w:rFonts w:ascii="Arial" w:hAnsi="Arial"/>
          <w:bCs w:val="0"/>
          <w:caps w:val="0"/>
          <w:sz w:val="20"/>
          <w:szCs w:val="24"/>
          <w:lang w:val="es-ES" w:eastAsia="en-US"/>
        </w:rPr>
        <w:lastRenderedPageBreak/>
        <w:t>META ESTRATÉGICA III</w:t>
      </w:r>
      <w:bookmarkEnd w:id="35"/>
    </w:p>
    <w:p w:rsidR="00B45FC3" w:rsidRPr="00526311" w:rsidRDefault="00B45FC3" w:rsidP="0063039A">
      <w:pPr>
        <w:jc w:val="center"/>
        <w:rPr>
          <w:sz w:val="20"/>
        </w:rPr>
      </w:pPr>
    </w:p>
    <w:p w:rsidR="00B45FC3" w:rsidRPr="00526311" w:rsidRDefault="00B45FC3" w:rsidP="0063039A">
      <w:pPr>
        <w:jc w:val="center"/>
        <w:rPr>
          <w:b/>
          <w:sz w:val="20"/>
          <w:szCs w:val="24"/>
        </w:rPr>
      </w:pPr>
      <w:r w:rsidRPr="00526311">
        <w:rPr>
          <w:b/>
          <w:sz w:val="20"/>
          <w:szCs w:val="24"/>
        </w:rPr>
        <w:t>FACILITAR EL USO DE LA P.I. EN ARAS DEL DESARROLLO</w:t>
      </w:r>
    </w:p>
    <w:p w:rsidR="00B45FC3" w:rsidRPr="00526311" w:rsidRDefault="00B45FC3" w:rsidP="0063039A">
      <w:pPr>
        <w:jc w:val="center"/>
        <w:rPr>
          <w:sz w:val="20"/>
        </w:rPr>
      </w:pPr>
    </w:p>
    <w:p w:rsidR="00B45FC3" w:rsidRPr="00526311" w:rsidRDefault="00B45FC3" w:rsidP="0063039A">
      <w:pPr>
        <w:jc w:val="center"/>
        <w:rPr>
          <w:b/>
          <w:sz w:val="20"/>
        </w:rPr>
      </w:pPr>
      <w:r w:rsidRPr="00526311">
        <w:rPr>
          <w:b/>
          <w:sz w:val="20"/>
        </w:rPr>
        <w:t>Tablero de control del rendimiento a mediano plazo (2014)</w:t>
      </w:r>
    </w:p>
    <w:p w:rsidR="00B45FC3" w:rsidRPr="00526311" w:rsidRDefault="00B45FC3" w:rsidP="0063039A">
      <w:pPr>
        <w:jc w:val="center"/>
        <w:rPr>
          <w:b/>
          <w:sz w:val="20"/>
        </w:rPr>
      </w:pPr>
    </w:p>
    <w:p w:rsidR="00B45FC3" w:rsidRPr="00526311" w:rsidRDefault="00B45FC3" w:rsidP="0063039A">
      <w:pPr>
        <w:jc w:val="both"/>
        <w:rPr>
          <w:sz w:val="20"/>
        </w:rPr>
      </w:pPr>
      <w:r w:rsidRPr="00526311">
        <w:rPr>
          <w:sz w:val="20"/>
        </w:rPr>
        <w:t>En el siguiente tablero de control se reseñan los avances realizados hacia la consecución de los resultados en 2014, medidos con arreglo a los indicadores del programa o programas que contribuyen al logro de esta meta estratégica.</w:t>
      </w:r>
    </w:p>
    <w:p w:rsidR="00B45FC3" w:rsidRPr="00526311" w:rsidRDefault="00B45FC3" w:rsidP="0063039A"/>
    <w:p w:rsidR="00B45FC3" w:rsidRPr="00526311" w:rsidRDefault="002B55A2" w:rsidP="0063039A">
      <w:pPr>
        <w:jc w:val="center"/>
      </w:pPr>
      <w:r w:rsidRPr="00526311">
        <w:rPr>
          <w:noProof/>
          <w:lang w:val="en-US" w:eastAsia="en-US"/>
        </w:rPr>
        <w:drawing>
          <wp:inline distT="0" distB="0" distL="0" distR="0" wp14:anchorId="7510E12E" wp14:editId="239B89B7">
            <wp:extent cx="5743575" cy="3057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43575" cy="3057525"/>
                    </a:xfrm>
                    <a:prstGeom prst="rect">
                      <a:avLst/>
                    </a:prstGeom>
                    <a:noFill/>
                    <a:ln>
                      <a:noFill/>
                    </a:ln>
                  </pic:spPr>
                </pic:pic>
              </a:graphicData>
            </a:graphic>
          </wp:inline>
        </w:drawing>
      </w:r>
    </w:p>
    <w:p w:rsidR="00B45FC3" w:rsidRPr="00526311" w:rsidRDefault="00B45FC3" w:rsidP="0063039A">
      <w:pPr>
        <w:jc w:val="both"/>
      </w:pPr>
    </w:p>
    <w:tbl>
      <w:tblPr>
        <w:tblW w:w="4941"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21"/>
        <w:gridCol w:w="3798"/>
        <w:gridCol w:w="1606"/>
        <w:gridCol w:w="1133"/>
      </w:tblGrid>
      <w:tr w:rsidR="00B45FC3" w:rsidRPr="00526311" w:rsidTr="0063039A">
        <w:trPr>
          <w:cantSplit/>
          <w:tblHeader/>
        </w:trPr>
        <w:tc>
          <w:tcPr>
            <w:tcW w:w="1544" w:type="pct"/>
            <w:tcBorders>
              <w:top w:val="single" w:sz="4" w:space="0" w:color="auto"/>
              <w:bottom w:val="single" w:sz="4" w:space="0" w:color="auto"/>
            </w:tcBorders>
            <w:shd w:val="clear" w:color="auto" w:fill="CCFFFF"/>
            <w:tcMar>
              <w:top w:w="113" w:type="dxa"/>
              <w:bottom w:w="57" w:type="dxa"/>
            </w:tcMar>
            <w:vAlign w:val="center"/>
          </w:tcPr>
          <w:p w:rsidR="00B45FC3" w:rsidRPr="00526311" w:rsidRDefault="00B45FC3" w:rsidP="0063039A">
            <w:pPr>
              <w:spacing w:after="120"/>
              <w:jc w:val="center"/>
              <w:rPr>
                <w:b/>
                <w:bCs/>
                <w:sz w:val="16"/>
                <w:szCs w:val="16"/>
              </w:rPr>
            </w:pPr>
            <w:r w:rsidRPr="00526311">
              <w:rPr>
                <w:b/>
                <w:bCs/>
                <w:sz w:val="16"/>
                <w:szCs w:val="16"/>
              </w:rPr>
              <w:t>Resultados previstos</w:t>
            </w:r>
          </w:p>
        </w:tc>
        <w:tc>
          <w:tcPr>
            <w:tcW w:w="2008" w:type="pct"/>
            <w:tcBorders>
              <w:top w:val="single" w:sz="4" w:space="0" w:color="auto"/>
              <w:bottom w:val="single" w:sz="4" w:space="0" w:color="auto"/>
            </w:tcBorders>
            <w:shd w:val="clear" w:color="auto" w:fill="CCFFFF"/>
            <w:tcMar>
              <w:top w:w="113" w:type="dxa"/>
              <w:bottom w:w="57" w:type="dxa"/>
            </w:tcMar>
            <w:vAlign w:val="center"/>
          </w:tcPr>
          <w:p w:rsidR="00B45FC3" w:rsidRPr="00526311" w:rsidRDefault="00B45FC3" w:rsidP="0063039A">
            <w:pPr>
              <w:spacing w:after="120"/>
              <w:jc w:val="center"/>
              <w:rPr>
                <w:b/>
                <w:bCs/>
                <w:sz w:val="16"/>
                <w:szCs w:val="16"/>
              </w:rPr>
            </w:pPr>
            <w:r w:rsidRPr="00526311">
              <w:rPr>
                <w:b/>
                <w:bCs/>
                <w:sz w:val="16"/>
                <w:szCs w:val="16"/>
              </w:rPr>
              <w:t>Indicadores de rendimiento</w:t>
            </w:r>
          </w:p>
        </w:tc>
        <w:tc>
          <w:tcPr>
            <w:tcW w:w="849" w:type="pct"/>
            <w:tcBorders>
              <w:top w:val="single" w:sz="4" w:space="0" w:color="auto"/>
              <w:bottom w:val="single" w:sz="4" w:space="0" w:color="auto"/>
            </w:tcBorders>
            <w:shd w:val="clear" w:color="auto" w:fill="CCFFFF"/>
            <w:tcMar>
              <w:top w:w="113" w:type="dxa"/>
              <w:bottom w:w="57" w:type="dxa"/>
            </w:tcMar>
            <w:vAlign w:val="center"/>
          </w:tcPr>
          <w:p w:rsidR="00B45FC3" w:rsidRPr="00526311" w:rsidRDefault="00B45FC3" w:rsidP="0063039A">
            <w:pPr>
              <w:spacing w:after="120"/>
              <w:ind w:left="85"/>
              <w:jc w:val="center"/>
              <w:rPr>
                <w:b/>
                <w:bCs/>
                <w:sz w:val="16"/>
                <w:szCs w:val="16"/>
              </w:rPr>
            </w:pPr>
            <w:r w:rsidRPr="00526311">
              <w:rPr>
                <w:b/>
                <w:bCs/>
                <w:sz w:val="16"/>
                <w:szCs w:val="16"/>
              </w:rPr>
              <w:t>Programas responsables</w:t>
            </w:r>
          </w:p>
        </w:tc>
        <w:tc>
          <w:tcPr>
            <w:tcW w:w="599" w:type="pct"/>
            <w:tcBorders>
              <w:top w:val="single" w:sz="4" w:space="0" w:color="auto"/>
              <w:bottom w:val="single" w:sz="4" w:space="0" w:color="auto"/>
            </w:tcBorders>
            <w:shd w:val="clear" w:color="auto" w:fill="CCFFFF"/>
            <w:vAlign w:val="center"/>
          </w:tcPr>
          <w:p w:rsidR="00B45FC3" w:rsidRPr="00526311" w:rsidRDefault="00B45FC3" w:rsidP="0063039A">
            <w:pPr>
              <w:spacing w:after="120"/>
              <w:ind w:left="85"/>
              <w:jc w:val="center"/>
              <w:rPr>
                <w:b/>
                <w:bCs/>
                <w:sz w:val="16"/>
                <w:szCs w:val="16"/>
              </w:rPr>
            </w:pPr>
            <w:r w:rsidRPr="00526311">
              <w:rPr>
                <w:b/>
                <w:bCs/>
                <w:sz w:val="16"/>
                <w:szCs w:val="16"/>
              </w:rPr>
              <w:t>Clave de colores</w:t>
            </w:r>
          </w:p>
        </w:tc>
      </w:tr>
      <w:tr w:rsidR="00B45FC3" w:rsidRPr="00526311" w:rsidTr="0063039A">
        <w:trPr>
          <w:cantSplit/>
        </w:trPr>
        <w:tc>
          <w:tcPr>
            <w:tcW w:w="1544" w:type="pct"/>
            <w:tcBorders>
              <w:top w:val="single" w:sz="4" w:space="0" w:color="auto"/>
            </w:tcBorders>
            <w:shd w:val="clear" w:color="auto" w:fill="auto"/>
            <w:tcMar>
              <w:top w:w="113" w:type="dxa"/>
              <w:bottom w:w="57" w:type="dxa"/>
            </w:tcMar>
          </w:tcPr>
          <w:p w:rsidR="00B45FC3" w:rsidRPr="00526311" w:rsidRDefault="00B45FC3" w:rsidP="0063039A">
            <w:pPr>
              <w:rPr>
                <w:sz w:val="16"/>
                <w:szCs w:val="16"/>
              </w:rPr>
            </w:pPr>
            <w:r w:rsidRPr="00526311">
              <w:rPr>
                <w:sz w:val="15"/>
                <w:szCs w:val="15"/>
              </w:rPr>
              <w:t>III.1 Estrategias y planes nacionales de innovación y de P.I. que estén en sintonía con los objetivos nacionales de desarrollo</w:t>
            </w:r>
          </w:p>
        </w:tc>
        <w:tc>
          <w:tcPr>
            <w:tcW w:w="2008" w:type="pct"/>
            <w:tcBorders>
              <w:top w:val="single" w:sz="4" w:space="0" w:color="auto"/>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países que están en proceso de formular/adoptar estrategias o planes de desarrollo nacionales de P.I.</w:t>
            </w:r>
          </w:p>
        </w:tc>
        <w:tc>
          <w:tcPr>
            <w:tcW w:w="849" w:type="pct"/>
            <w:tcBorders>
              <w:top w:val="single" w:sz="4" w:space="0" w:color="auto"/>
            </w:tcBorders>
            <w:shd w:val="clear" w:color="auto" w:fill="FFFFFF"/>
            <w:tcMar>
              <w:top w:w="113" w:type="dxa"/>
              <w:bottom w:w="57" w:type="dxa"/>
            </w:tcMar>
          </w:tcPr>
          <w:p w:rsidR="00B45FC3" w:rsidRPr="00526311" w:rsidRDefault="00B45FC3" w:rsidP="0063039A">
            <w:pPr>
              <w:ind w:left="441"/>
              <w:jc w:val="right"/>
              <w:rPr>
                <w:sz w:val="16"/>
                <w:szCs w:val="16"/>
                <w:lang w:bidi="th-TH"/>
              </w:rPr>
            </w:pPr>
            <w:r w:rsidRPr="00526311">
              <w:rPr>
                <w:sz w:val="16"/>
                <w:szCs w:val="16"/>
                <w:lang w:bidi="th-TH"/>
              </w:rPr>
              <w:t>Programa 9</w:t>
            </w:r>
          </w:p>
        </w:tc>
        <w:tc>
          <w:tcPr>
            <w:tcW w:w="599" w:type="pct"/>
            <w:tcBorders>
              <w:top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r w:rsidR="002B55A2" w:rsidRPr="00526311">
              <w:rPr>
                <w:color w:val="008000"/>
                <w:szCs w:val="22"/>
              </w:rPr>
              <w:br/>
            </w:r>
            <w:r w:rsidRPr="00526311">
              <w:rPr>
                <w:color w:val="008000"/>
                <w:szCs w:val="22"/>
              </w:rPr>
              <w:sym w:font="Wingdings" w:char="F06C"/>
            </w:r>
          </w:p>
        </w:tc>
      </w:tr>
      <w:tr w:rsidR="00B45FC3" w:rsidRPr="00526311" w:rsidTr="0063039A">
        <w:trPr>
          <w:cantSplit/>
          <w:trHeight w:val="556"/>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países que han adoptado o aplicado estrategias o planes de desarrollo nacionales de P.I.</w:t>
            </w:r>
          </w:p>
        </w:tc>
        <w:tc>
          <w:tcPr>
            <w:tcW w:w="849" w:type="pct"/>
            <w:shd w:val="clear" w:color="auto" w:fill="FFFFFF"/>
            <w:tcMar>
              <w:top w:w="113" w:type="dxa"/>
              <w:bottom w:w="57" w:type="dxa"/>
            </w:tcMar>
          </w:tcPr>
          <w:p w:rsidR="00B45FC3" w:rsidRPr="00526311" w:rsidRDefault="00B45FC3" w:rsidP="0063039A">
            <w:pPr>
              <w:ind w:left="441"/>
              <w:jc w:val="right"/>
              <w:rPr>
                <w:sz w:val="16"/>
                <w:szCs w:val="16"/>
                <w:lang w:bidi="th-TH"/>
              </w:rPr>
            </w:pPr>
            <w:r w:rsidRPr="00526311">
              <w:rPr>
                <w:sz w:val="16"/>
                <w:szCs w:val="16"/>
                <w:lang w:bidi="th-TH"/>
              </w:rPr>
              <w:t>Programa 9</w:t>
            </w:r>
          </w:p>
        </w:tc>
        <w:tc>
          <w:tcPr>
            <w:tcW w:w="599" w:type="pct"/>
            <w:shd w:val="clear" w:color="auto" w:fill="FFFFFF"/>
          </w:tcPr>
          <w:p w:rsidR="00B45FC3" w:rsidRPr="00526311" w:rsidRDefault="00B45FC3" w:rsidP="0063039A">
            <w:pPr>
              <w:jc w:val="center"/>
              <w:rPr>
                <w:color w:val="FF0000"/>
                <w:szCs w:val="22"/>
              </w:rPr>
            </w:pPr>
            <w:r w:rsidRPr="00526311">
              <w:rPr>
                <w:color w:val="008000"/>
                <w:szCs w:val="22"/>
              </w:rPr>
              <w:sym w:font="Wingdings" w:char="F06C"/>
            </w:r>
            <w:r w:rsidRPr="00526311">
              <w:rPr>
                <w:color w:val="FF0000"/>
                <w:szCs w:val="22"/>
              </w:rPr>
              <w:sym w:font="Wingdings" w:char="F06C"/>
            </w:r>
            <w:r w:rsidRPr="00526311">
              <w:rPr>
                <w:color w:val="008000"/>
                <w:szCs w:val="22"/>
              </w:rPr>
              <w:sym w:font="Wingdings" w:char="F06C"/>
            </w:r>
            <w:r w:rsidRPr="00526311">
              <w:rPr>
                <w:color w:val="008000"/>
                <w:szCs w:val="22"/>
              </w:rPr>
              <w:sym w:font="Wingdings" w:char="F06C"/>
            </w:r>
            <w:r w:rsidR="002B55A2" w:rsidRPr="00526311">
              <w:rPr>
                <w:color w:val="008000"/>
                <w:szCs w:val="22"/>
              </w:rPr>
              <w:br/>
            </w:r>
            <w:r w:rsidRPr="00526311">
              <w:rPr>
                <w:color w:val="008000"/>
                <w:szCs w:val="22"/>
              </w:rPr>
              <w:sym w:font="Wingdings" w:char="F06C"/>
            </w:r>
          </w:p>
          <w:p w:rsidR="00B45FC3" w:rsidRPr="00526311" w:rsidRDefault="00B45FC3" w:rsidP="0063039A">
            <w:pPr>
              <w:jc w:val="center"/>
            </w:pPr>
          </w:p>
        </w:tc>
      </w:tr>
      <w:tr w:rsidR="00B45FC3" w:rsidRPr="00526311" w:rsidTr="0063039A">
        <w:trPr>
          <w:cantSplit/>
          <w:trHeight w:val="368"/>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universidades que han elaborado políticas de P.I.</w:t>
            </w:r>
          </w:p>
        </w:tc>
        <w:tc>
          <w:tcPr>
            <w:tcW w:w="849" w:type="pct"/>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10</w:t>
            </w:r>
          </w:p>
        </w:tc>
        <w:tc>
          <w:tcPr>
            <w:tcW w:w="599" w:type="pct"/>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539"/>
        </w:trPr>
        <w:tc>
          <w:tcPr>
            <w:tcW w:w="1544" w:type="pct"/>
            <w:vMerge w:val="restar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países que han elaborado estrategias/planes nacionales de P.I.</w:t>
            </w:r>
          </w:p>
        </w:tc>
        <w:tc>
          <w:tcPr>
            <w:tcW w:w="849" w:type="pct"/>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10</w:t>
            </w:r>
          </w:p>
        </w:tc>
        <w:tc>
          <w:tcPr>
            <w:tcW w:w="599" w:type="pct"/>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538"/>
        </w:trPr>
        <w:tc>
          <w:tcPr>
            <w:tcW w:w="1544" w:type="pct"/>
            <w:vMerge/>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países con políticas nacionales de innovación iniciadas, en curso o adoptadas</w:t>
            </w:r>
          </w:p>
        </w:tc>
        <w:tc>
          <w:tcPr>
            <w:tcW w:w="849" w:type="pct"/>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30</w:t>
            </w:r>
          </w:p>
        </w:tc>
        <w:tc>
          <w:tcPr>
            <w:tcW w:w="599" w:type="pct"/>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p>
        </w:tc>
      </w:tr>
      <w:tr w:rsidR="00B45FC3" w:rsidRPr="00526311" w:rsidTr="0063039A">
        <w:trPr>
          <w:cantSplit/>
          <w:trHeight w:val="850"/>
        </w:trPr>
        <w:tc>
          <w:tcPr>
            <w:tcW w:w="1544"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gobiernos y de OGC que han firmado acuerdos con la OMPI para elaborar una nueva norma de garantía de calidad en materia de transparencia, rendición de cuentas y gobernanza</w:t>
            </w:r>
          </w:p>
        </w:tc>
        <w:tc>
          <w:tcPr>
            <w:tcW w:w="849" w:type="pct"/>
            <w:shd w:val="clear" w:color="auto" w:fill="FFFFFF"/>
            <w:tcMar>
              <w:top w:w="113" w:type="dxa"/>
              <w:bottom w:w="57" w:type="dxa"/>
            </w:tcMar>
          </w:tcPr>
          <w:p w:rsidR="00B45FC3" w:rsidRPr="00526311" w:rsidRDefault="00B45FC3" w:rsidP="0063039A">
            <w:pPr>
              <w:ind w:left="441"/>
              <w:jc w:val="right"/>
              <w:rPr>
                <w:sz w:val="16"/>
                <w:szCs w:val="16"/>
                <w:lang w:bidi="th-TH"/>
              </w:rPr>
            </w:pPr>
            <w:r w:rsidRPr="00526311">
              <w:rPr>
                <w:sz w:val="16"/>
                <w:szCs w:val="16"/>
                <w:lang w:bidi="th-TH"/>
              </w:rPr>
              <w:t>Programa 3</w:t>
            </w:r>
          </w:p>
        </w:tc>
        <w:tc>
          <w:tcPr>
            <w:tcW w:w="599" w:type="pct"/>
            <w:shd w:val="clear" w:color="auto" w:fill="FFFFFF"/>
          </w:tcPr>
          <w:p w:rsidR="00B45FC3" w:rsidRPr="00526311" w:rsidRDefault="00B45FC3" w:rsidP="0063039A">
            <w:pPr>
              <w:jc w:val="center"/>
              <w:rPr>
                <w:color w:val="008000"/>
                <w:szCs w:val="22"/>
              </w:rPr>
            </w:pPr>
            <w:r w:rsidRPr="00526311">
              <w:rPr>
                <w:color w:val="008000"/>
                <w:szCs w:val="22"/>
              </w:rPr>
              <w:sym w:font="Wingdings" w:char="F06C"/>
            </w:r>
          </w:p>
        </w:tc>
      </w:tr>
      <w:tr w:rsidR="00B45FC3" w:rsidRPr="00526311" w:rsidTr="0063039A">
        <w:trPr>
          <w:cantSplit/>
          <w:trHeight w:val="702"/>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creadores satisfechos con la formación proporcionada sobre el uso de la información y los datos de derecho de autor para la gestión eficaz de sus derechos de autor</w:t>
            </w:r>
          </w:p>
        </w:tc>
        <w:tc>
          <w:tcPr>
            <w:tcW w:w="849" w:type="pct"/>
            <w:shd w:val="clear" w:color="auto" w:fill="FFFFFF"/>
            <w:tcMar>
              <w:top w:w="113" w:type="dxa"/>
              <w:bottom w:w="57" w:type="dxa"/>
            </w:tcMar>
          </w:tcPr>
          <w:p w:rsidR="00B45FC3" w:rsidRPr="00526311" w:rsidRDefault="00B45FC3" w:rsidP="0063039A">
            <w:pPr>
              <w:ind w:left="441"/>
              <w:jc w:val="right"/>
              <w:rPr>
                <w:sz w:val="16"/>
                <w:szCs w:val="16"/>
                <w:lang w:bidi="th-TH"/>
              </w:rPr>
            </w:pPr>
            <w:r w:rsidRPr="00526311">
              <w:rPr>
                <w:sz w:val="16"/>
                <w:szCs w:val="16"/>
                <w:lang w:bidi="th-TH"/>
              </w:rPr>
              <w:t>Programa 3</w:t>
            </w:r>
          </w:p>
        </w:tc>
        <w:tc>
          <w:tcPr>
            <w:tcW w:w="599" w:type="pct"/>
            <w:shd w:val="clear" w:color="auto" w:fill="FFFFFF"/>
          </w:tcPr>
          <w:p w:rsidR="00B45FC3" w:rsidRPr="00526311" w:rsidRDefault="00B45FC3" w:rsidP="0063039A">
            <w:pPr>
              <w:spacing w:before="40"/>
              <w:jc w:val="center"/>
            </w:pPr>
            <w:r w:rsidRPr="00526311">
              <w:rPr>
                <w:color w:val="008000"/>
                <w:szCs w:val="22"/>
              </w:rPr>
              <w:sym w:font="Wingdings" w:char="F06C"/>
            </w:r>
          </w:p>
        </w:tc>
      </w:tr>
      <w:tr w:rsidR="00B45FC3" w:rsidRPr="00526311" w:rsidTr="0063039A">
        <w:trPr>
          <w:cantSplit/>
          <w:trHeight w:val="540"/>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participantes en reuniones y talleres de creación de capacidad sobre cuestiones de derecho de autor que expresaron satisfacción al respecto</w:t>
            </w:r>
          </w:p>
        </w:tc>
        <w:tc>
          <w:tcPr>
            <w:tcW w:w="849" w:type="pct"/>
            <w:shd w:val="clear" w:color="auto" w:fill="FFFFFF"/>
            <w:tcMar>
              <w:top w:w="113" w:type="dxa"/>
              <w:bottom w:w="57" w:type="dxa"/>
            </w:tcMar>
          </w:tcPr>
          <w:p w:rsidR="00B45FC3" w:rsidRPr="00526311" w:rsidRDefault="00B45FC3" w:rsidP="0063039A">
            <w:pPr>
              <w:ind w:left="441"/>
              <w:jc w:val="right"/>
              <w:rPr>
                <w:sz w:val="16"/>
                <w:szCs w:val="16"/>
                <w:lang w:bidi="th-TH"/>
              </w:rPr>
            </w:pPr>
            <w:r w:rsidRPr="00526311">
              <w:rPr>
                <w:sz w:val="16"/>
                <w:szCs w:val="16"/>
                <w:lang w:bidi="th-TH"/>
              </w:rPr>
              <w:t>Programa 3</w:t>
            </w:r>
          </w:p>
        </w:tc>
        <w:tc>
          <w:tcPr>
            <w:tcW w:w="599" w:type="pct"/>
            <w:shd w:val="clear" w:color="auto" w:fill="FFFFFF"/>
          </w:tcPr>
          <w:p w:rsidR="00B45FC3" w:rsidRPr="00526311" w:rsidRDefault="00B45FC3" w:rsidP="0063039A">
            <w:pPr>
              <w:spacing w:before="40"/>
              <w:jc w:val="center"/>
            </w:pPr>
            <w:r w:rsidRPr="00526311">
              <w:rPr>
                <w:color w:val="008000"/>
                <w:szCs w:val="22"/>
              </w:rPr>
              <w:sym w:font="Wingdings" w:char="F06C"/>
            </w:r>
          </w:p>
        </w:tc>
      </w:tr>
      <w:tr w:rsidR="00B45FC3" w:rsidRPr="00526311" w:rsidTr="0063039A">
        <w:trPr>
          <w:cantSplit/>
          <w:trHeight w:val="800"/>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Estados miembros que toman iniciativas para mejorar el uso del sistema de derecho de autor a fin de explotar el potencial económico de sus obras y productos culturales</w:t>
            </w:r>
          </w:p>
        </w:tc>
        <w:tc>
          <w:tcPr>
            <w:tcW w:w="849" w:type="pct"/>
            <w:shd w:val="clear" w:color="auto" w:fill="FFFFFF"/>
            <w:tcMar>
              <w:top w:w="113" w:type="dxa"/>
              <w:bottom w:w="57" w:type="dxa"/>
            </w:tcMar>
          </w:tcPr>
          <w:p w:rsidR="00B45FC3" w:rsidRPr="00526311" w:rsidRDefault="00B45FC3" w:rsidP="0063039A">
            <w:pPr>
              <w:ind w:left="441"/>
              <w:jc w:val="right"/>
              <w:rPr>
                <w:sz w:val="16"/>
                <w:szCs w:val="16"/>
                <w:lang w:bidi="th-TH"/>
              </w:rPr>
            </w:pPr>
            <w:r w:rsidRPr="00526311">
              <w:rPr>
                <w:sz w:val="16"/>
                <w:szCs w:val="16"/>
                <w:lang w:bidi="th-TH"/>
              </w:rPr>
              <w:t>Programa 3</w:t>
            </w:r>
          </w:p>
        </w:tc>
        <w:tc>
          <w:tcPr>
            <w:tcW w:w="599" w:type="pct"/>
            <w:shd w:val="clear" w:color="auto" w:fill="FFFFFF"/>
          </w:tcPr>
          <w:p w:rsidR="00B45FC3" w:rsidRPr="00526311" w:rsidRDefault="00B45FC3" w:rsidP="0063039A">
            <w:pPr>
              <w:spacing w:before="40"/>
              <w:jc w:val="center"/>
            </w:pPr>
            <w:r w:rsidRPr="00526311">
              <w:rPr>
                <w:color w:val="008000"/>
                <w:szCs w:val="22"/>
              </w:rPr>
              <w:sym w:font="Wingdings" w:char="F06C"/>
            </w:r>
          </w:p>
        </w:tc>
      </w:tr>
      <w:tr w:rsidR="00B45FC3" w:rsidRPr="00526311" w:rsidTr="0063039A">
        <w:trPr>
          <w:cantSplit/>
          <w:trHeight w:val="800"/>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participantes en actividades de la OMPI que afirman haber fomentado la capacidad de comprender y utilizar principios, sistemas y herramientas de P.I. para la protección de los CC.TT. y las ECT, y para la gestión de la relación existente entre la P.I. y los RR.GG.</w:t>
            </w:r>
          </w:p>
        </w:tc>
        <w:tc>
          <w:tcPr>
            <w:tcW w:w="849" w:type="pct"/>
            <w:shd w:val="clear" w:color="auto" w:fill="FFFFFF"/>
            <w:tcMar>
              <w:top w:w="113" w:type="dxa"/>
              <w:bottom w:w="57" w:type="dxa"/>
            </w:tcMar>
          </w:tcPr>
          <w:p w:rsidR="00B45FC3" w:rsidRPr="00526311" w:rsidRDefault="00B45FC3" w:rsidP="0063039A">
            <w:pPr>
              <w:ind w:left="441"/>
              <w:jc w:val="right"/>
              <w:rPr>
                <w:sz w:val="16"/>
                <w:szCs w:val="16"/>
                <w:lang w:bidi="th-TH"/>
              </w:rPr>
            </w:pPr>
            <w:r w:rsidRPr="00526311">
              <w:rPr>
                <w:sz w:val="16"/>
                <w:szCs w:val="16"/>
                <w:lang w:bidi="th-TH"/>
              </w:rPr>
              <w:t>Programa 4</w:t>
            </w:r>
          </w:p>
        </w:tc>
        <w:tc>
          <w:tcPr>
            <w:tcW w:w="599" w:type="pct"/>
            <w:shd w:val="clear" w:color="auto" w:fill="FFFFFF"/>
          </w:tcPr>
          <w:p w:rsidR="00B45FC3" w:rsidRPr="00526311" w:rsidRDefault="00B45FC3" w:rsidP="0063039A">
            <w:pPr>
              <w:spacing w:before="40"/>
              <w:jc w:val="center"/>
            </w:pPr>
            <w:r w:rsidRPr="00526311">
              <w:rPr>
                <w:color w:val="008000"/>
                <w:szCs w:val="22"/>
              </w:rPr>
              <w:sym w:font="Wingdings" w:char="F06C"/>
            </w:r>
          </w:p>
        </w:tc>
      </w:tr>
      <w:tr w:rsidR="00B45FC3" w:rsidRPr="00526311" w:rsidTr="0063039A">
        <w:trPr>
          <w:cantSplit/>
          <w:trHeight w:val="550"/>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participantes en actividades de la OMPI que se muestran satisfechos del contenido y la organización de dichos actos.</w:t>
            </w:r>
          </w:p>
        </w:tc>
        <w:tc>
          <w:tcPr>
            <w:tcW w:w="849" w:type="pct"/>
            <w:shd w:val="clear" w:color="auto" w:fill="FFFFFF"/>
            <w:tcMar>
              <w:top w:w="113" w:type="dxa"/>
              <w:bottom w:w="57" w:type="dxa"/>
            </w:tcMar>
          </w:tcPr>
          <w:p w:rsidR="00B45FC3" w:rsidRPr="00526311" w:rsidRDefault="00B45FC3" w:rsidP="0063039A">
            <w:pPr>
              <w:ind w:left="441"/>
              <w:jc w:val="right"/>
              <w:rPr>
                <w:sz w:val="16"/>
                <w:szCs w:val="16"/>
                <w:lang w:bidi="th-TH"/>
              </w:rPr>
            </w:pPr>
            <w:r w:rsidRPr="00526311">
              <w:rPr>
                <w:sz w:val="16"/>
                <w:szCs w:val="16"/>
                <w:lang w:bidi="th-TH"/>
              </w:rPr>
              <w:t>Programa 9</w:t>
            </w:r>
          </w:p>
        </w:tc>
        <w:tc>
          <w:tcPr>
            <w:tcW w:w="599" w:type="pct"/>
            <w:shd w:val="clear" w:color="auto" w:fill="FFFFFF"/>
          </w:tcPr>
          <w:p w:rsidR="00B45FC3" w:rsidRPr="00526311" w:rsidRDefault="00B45FC3" w:rsidP="0063039A">
            <w:pPr>
              <w:jc w:val="center"/>
            </w:pPr>
            <w:r w:rsidRPr="00526311">
              <w:rPr>
                <w:color w:val="008000"/>
                <w:szCs w:val="22"/>
              </w:rPr>
              <w:sym w:font="Wingdings" w:char="F06C"/>
            </w:r>
            <w:r w:rsidRPr="00526311">
              <w:rPr>
                <w:color w:val="0070C0"/>
                <w:szCs w:val="22"/>
              </w:rPr>
              <w:sym w:font="Wingdings" w:char="F06C"/>
            </w:r>
            <w:r w:rsidRPr="00526311">
              <w:rPr>
                <w:color w:val="008000"/>
                <w:szCs w:val="22"/>
              </w:rPr>
              <w:sym w:font="Wingdings" w:char="F06C"/>
            </w:r>
            <w:r w:rsidRPr="00526311">
              <w:rPr>
                <w:color w:val="0070C0"/>
                <w:szCs w:val="22"/>
              </w:rPr>
              <w:sym w:font="Wingdings" w:char="F06C"/>
            </w:r>
            <w:r w:rsidR="002B55A2" w:rsidRPr="00526311">
              <w:rPr>
                <w:color w:val="0070C0"/>
                <w:szCs w:val="22"/>
              </w:rPr>
              <w:br/>
            </w:r>
            <w:r w:rsidRPr="00526311">
              <w:rPr>
                <w:color w:val="008000"/>
                <w:szCs w:val="22"/>
              </w:rPr>
              <w:sym w:font="Wingdings" w:char="F06C"/>
            </w:r>
          </w:p>
        </w:tc>
      </w:tr>
      <w:tr w:rsidR="00B45FC3" w:rsidRPr="00526311" w:rsidTr="0063039A">
        <w:trPr>
          <w:cantSplit/>
          <w:trHeight w:val="554"/>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participantes en talleres de la OMPI que aplican las capacidades adquiridas en su labor/empresa</w:t>
            </w:r>
          </w:p>
        </w:tc>
        <w:tc>
          <w:tcPr>
            <w:tcW w:w="849" w:type="pct"/>
            <w:shd w:val="clear" w:color="auto" w:fill="FFFFFF"/>
            <w:tcMar>
              <w:top w:w="113" w:type="dxa"/>
              <w:bottom w:w="57" w:type="dxa"/>
            </w:tcMar>
          </w:tcPr>
          <w:p w:rsidR="00B45FC3" w:rsidRPr="00526311" w:rsidRDefault="00B45FC3" w:rsidP="0063039A">
            <w:pPr>
              <w:ind w:left="441"/>
              <w:jc w:val="right"/>
              <w:rPr>
                <w:sz w:val="16"/>
                <w:szCs w:val="16"/>
                <w:lang w:bidi="th-TH"/>
              </w:rPr>
            </w:pPr>
            <w:r w:rsidRPr="00526311">
              <w:rPr>
                <w:sz w:val="16"/>
                <w:szCs w:val="16"/>
                <w:lang w:bidi="th-TH"/>
              </w:rPr>
              <w:t>Programa 9</w:t>
            </w:r>
          </w:p>
        </w:tc>
        <w:tc>
          <w:tcPr>
            <w:tcW w:w="599" w:type="pct"/>
            <w:shd w:val="clear" w:color="auto" w:fill="FFFFFF"/>
          </w:tcPr>
          <w:p w:rsidR="00B45FC3" w:rsidRPr="00526311" w:rsidRDefault="00B45FC3" w:rsidP="0063039A">
            <w:pPr>
              <w:jc w:val="center"/>
            </w:pPr>
            <w:r w:rsidRPr="00526311">
              <w:rPr>
                <w:color w:val="008000"/>
                <w:szCs w:val="22"/>
              </w:rPr>
              <w:sym w:font="Wingdings" w:char="F06C"/>
            </w:r>
            <w:r w:rsidRPr="00526311">
              <w:rPr>
                <w:color w:val="0070C0"/>
                <w:szCs w:val="22"/>
              </w:rPr>
              <w:sym w:font="Wingdings" w:char="F06C"/>
            </w:r>
            <w:r w:rsidRPr="00526311">
              <w:rPr>
                <w:color w:val="008000"/>
                <w:szCs w:val="22"/>
              </w:rPr>
              <w:sym w:font="Wingdings" w:char="F06C"/>
            </w:r>
            <w:r w:rsidRPr="00526311">
              <w:rPr>
                <w:color w:val="0070C0"/>
                <w:szCs w:val="22"/>
              </w:rPr>
              <w:sym w:font="Wingdings" w:char="F06C"/>
            </w:r>
            <w:r w:rsidR="002B55A2" w:rsidRPr="00526311">
              <w:rPr>
                <w:color w:val="0070C0"/>
                <w:szCs w:val="22"/>
              </w:rPr>
              <w:br/>
            </w:r>
            <w:r w:rsidRPr="00526311">
              <w:rPr>
                <w:color w:val="008000"/>
                <w:szCs w:val="22"/>
              </w:rPr>
              <w:sym w:font="Wingdings" w:char="F06C"/>
            </w:r>
          </w:p>
        </w:tc>
      </w:tr>
      <w:tr w:rsidR="00B45FC3" w:rsidRPr="00526311" w:rsidTr="0063039A">
        <w:trPr>
          <w:cantSplit/>
          <w:trHeight w:val="532"/>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expertos nacionales y regionales en P.I. utilizados como expertos en las actividades de la OMPI</w:t>
            </w:r>
          </w:p>
        </w:tc>
        <w:tc>
          <w:tcPr>
            <w:tcW w:w="849" w:type="pct"/>
            <w:shd w:val="clear" w:color="auto" w:fill="FFFFFF"/>
            <w:tcMar>
              <w:top w:w="113" w:type="dxa"/>
              <w:bottom w:w="57" w:type="dxa"/>
            </w:tcMar>
          </w:tcPr>
          <w:p w:rsidR="00B45FC3" w:rsidRPr="00526311" w:rsidRDefault="00B45FC3" w:rsidP="0063039A">
            <w:pPr>
              <w:ind w:left="441"/>
              <w:jc w:val="right"/>
              <w:rPr>
                <w:sz w:val="16"/>
                <w:szCs w:val="16"/>
                <w:lang w:bidi="th-TH"/>
              </w:rPr>
            </w:pPr>
            <w:r w:rsidRPr="00526311">
              <w:rPr>
                <w:sz w:val="16"/>
                <w:szCs w:val="16"/>
                <w:lang w:bidi="th-TH"/>
              </w:rPr>
              <w:t>Programa 9</w:t>
            </w:r>
          </w:p>
        </w:tc>
        <w:tc>
          <w:tcPr>
            <w:tcW w:w="599" w:type="pct"/>
            <w:shd w:val="clear" w:color="auto" w:fill="FFFFFF"/>
          </w:tcPr>
          <w:p w:rsidR="00B45FC3" w:rsidRPr="00526311" w:rsidRDefault="00B45FC3" w:rsidP="0063039A">
            <w:pPr>
              <w:jc w:val="center"/>
            </w:pPr>
            <w:r w:rsidRPr="00526311">
              <w:rPr>
                <w:color w:val="008000"/>
                <w:szCs w:val="22"/>
              </w:rPr>
              <w:sym w:font="Wingdings" w:char="F06C"/>
            </w:r>
            <w:r w:rsidRPr="00526311">
              <w:rPr>
                <w:color w:val="FF0000"/>
                <w:szCs w:val="22"/>
              </w:rPr>
              <w:sym w:font="Wingdings" w:char="F06C"/>
            </w:r>
            <w:r w:rsidRPr="00526311">
              <w:rPr>
                <w:color w:val="008000"/>
                <w:szCs w:val="22"/>
              </w:rPr>
              <w:sym w:font="Wingdings" w:char="F06C"/>
            </w:r>
            <w:r w:rsidRPr="00526311">
              <w:rPr>
                <w:color w:val="008000"/>
                <w:szCs w:val="22"/>
              </w:rPr>
              <w:sym w:font="Wingdings" w:char="F06C"/>
            </w:r>
            <w:r w:rsidR="002B55A2" w:rsidRPr="00526311">
              <w:rPr>
                <w:color w:val="008000"/>
                <w:szCs w:val="22"/>
              </w:rPr>
              <w:br/>
            </w:r>
            <w:r w:rsidRPr="00526311">
              <w:rPr>
                <w:color w:val="008000"/>
                <w:szCs w:val="22"/>
              </w:rPr>
              <w:sym w:font="Wingdings" w:char="F06C"/>
            </w:r>
          </w:p>
        </w:tc>
      </w:tr>
      <w:tr w:rsidR="00B45FC3" w:rsidRPr="00526311" w:rsidTr="0063039A">
        <w:trPr>
          <w:cantSplit/>
          <w:trHeight w:val="547"/>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 xml:space="preserve">Número de países con economías en transición que han establecido programas o cursos anuales de formación en P.I. para los profesionales de la P.I. </w:t>
            </w:r>
          </w:p>
        </w:tc>
        <w:tc>
          <w:tcPr>
            <w:tcW w:w="849" w:type="pct"/>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10</w:t>
            </w:r>
          </w:p>
        </w:tc>
        <w:tc>
          <w:tcPr>
            <w:tcW w:w="599" w:type="pct"/>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226"/>
        </w:trPr>
        <w:tc>
          <w:tcPr>
            <w:tcW w:w="1544" w:type="pct"/>
            <w:vMerge w:val="restart"/>
            <w:shd w:val="clear" w:color="auto" w:fill="auto"/>
            <w:tcMar>
              <w:top w:w="113" w:type="dxa"/>
              <w:bottom w:w="57" w:type="dxa"/>
            </w:tcMar>
          </w:tcPr>
          <w:p w:rsidR="00B45FC3" w:rsidRPr="00526311" w:rsidRDefault="00B45FC3" w:rsidP="0063039A">
            <w:pPr>
              <w:rPr>
                <w:sz w:val="16"/>
                <w:szCs w:val="16"/>
              </w:rPr>
            </w:pPr>
          </w:p>
        </w:tc>
        <w:tc>
          <w:tcPr>
            <w:tcW w:w="2008" w:type="pct"/>
            <w:vMerge w:val="restart"/>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profesionales de P.I. y funcionarios de oficinas de P.I. que han recibido formación y utilizan en su trabajo las nuevas aptitudes adquiridas</w:t>
            </w:r>
          </w:p>
        </w:tc>
        <w:tc>
          <w:tcPr>
            <w:tcW w:w="849" w:type="pct"/>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10</w:t>
            </w:r>
          </w:p>
        </w:tc>
        <w:tc>
          <w:tcPr>
            <w:tcW w:w="599" w:type="pct"/>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225"/>
        </w:trPr>
        <w:tc>
          <w:tcPr>
            <w:tcW w:w="1544" w:type="pct"/>
            <w:vMerge/>
            <w:shd w:val="clear" w:color="auto" w:fill="auto"/>
            <w:tcMar>
              <w:top w:w="113" w:type="dxa"/>
              <w:bottom w:w="57" w:type="dxa"/>
            </w:tcMar>
          </w:tcPr>
          <w:p w:rsidR="00B45FC3" w:rsidRPr="00526311" w:rsidRDefault="00B45FC3" w:rsidP="0063039A">
            <w:pPr>
              <w:rPr>
                <w:sz w:val="16"/>
                <w:szCs w:val="16"/>
              </w:rPr>
            </w:pPr>
          </w:p>
        </w:tc>
        <w:tc>
          <w:tcPr>
            <w:tcW w:w="2008" w:type="pct"/>
            <w:vMerge/>
            <w:shd w:val="clear" w:color="auto" w:fill="auto"/>
            <w:tcMar>
              <w:top w:w="113" w:type="dxa"/>
              <w:bottom w:w="57" w:type="dxa"/>
            </w:tcMar>
          </w:tcPr>
          <w:p w:rsidR="00B45FC3" w:rsidRPr="00526311" w:rsidRDefault="00B45FC3" w:rsidP="0063039A">
            <w:pPr>
              <w:rPr>
                <w:sz w:val="16"/>
                <w:szCs w:val="16"/>
              </w:rPr>
            </w:pPr>
          </w:p>
        </w:tc>
        <w:tc>
          <w:tcPr>
            <w:tcW w:w="849" w:type="pct"/>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30</w:t>
            </w:r>
          </w:p>
        </w:tc>
        <w:tc>
          <w:tcPr>
            <w:tcW w:w="599" w:type="pct"/>
            <w:shd w:val="clear" w:color="auto" w:fill="FFFFFF"/>
          </w:tcPr>
          <w:p w:rsidR="00B45FC3" w:rsidRPr="00526311" w:rsidRDefault="00B45FC3" w:rsidP="0063039A">
            <w:pPr>
              <w:jc w:val="center"/>
              <w:rPr>
                <w:color w:val="008000"/>
                <w:szCs w:val="22"/>
              </w:rPr>
            </w:pPr>
            <w:r w:rsidRPr="00526311">
              <w:rPr>
                <w:color w:val="008000"/>
                <w:szCs w:val="22"/>
              </w:rPr>
              <w:sym w:font="Wingdings" w:char="F06C"/>
            </w:r>
          </w:p>
        </w:tc>
      </w:tr>
      <w:tr w:rsidR="00B45FC3" w:rsidRPr="00526311" w:rsidTr="0063039A">
        <w:trPr>
          <w:cantSplit/>
          <w:trHeight w:val="800"/>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Cartera revisada de cursos de formación en P.I. para los países en desarrollo, PMA y países con economías en transición/ pertinencia del contenido de los cursos de formación para las necesidades de fortalecimiento de capacidades de los países en desarrollo, los PMA y los países con economías en transición</w:t>
            </w:r>
          </w:p>
        </w:tc>
        <w:tc>
          <w:tcPr>
            <w:tcW w:w="849" w:type="pct"/>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11</w:t>
            </w:r>
          </w:p>
        </w:tc>
        <w:tc>
          <w:tcPr>
            <w:tcW w:w="599" w:type="pct"/>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800"/>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Acceso ampliado y plurilingüe a la enseñanza a distancia de diversos aspectos de la P.I. para los países en desarrollo, los PMA y los países con economías en transición / pertinencia del contenido de la cartera de cursos de enseñanza a distancia para las necesidades de fortalecimiento de capacidades de los países en desarrollo, los PMA y los países con economías en transición</w:t>
            </w:r>
          </w:p>
        </w:tc>
        <w:tc>
          <w:tcPr>
            <w:tcW w:w="849" w:type="pct"/>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11</w:t>
            </w:r>
          </w:p>
        </w:tc>
        <w:tc>
          <w:tcPr>
            <w:tcW w:w="599" w:type="pct"/>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800"/>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Fomento del acceso a los estudios superiores en P.I. para los países en desarrollo, los PMA y los países con economías en transición / número de universidades de países en desarrollo, PMA y países con economías en transición que ofrecen nuevos programas docentes de P.I.</w:t>
            </w:r>
          </w:p>
        </w:tc>
        <w:tc>
          <w:tcPr>
            <w:tcW w:w="849" w:type="pct"/>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11</w:t>
            </w:r>
          </w:p>
        </w:tc>
        <w:tc>
          <w:tcPr>
            <w:tcW w:w="599" w:type="pct"/>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588"/>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Establecimiento progresivo de una red de expertos en P.I. en los países en desarrollo, PMA y países con economías en transición</w:t>
            </w:r>
          </w:p>
        </w:tc>
        <w:tc>
          <w:tcPr>
            <w:tcW w:w="849" w:type="pct"/>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11</w:t>
            </w:r>
          </w:p>
        </w:tc>
        <w:tc>
          <w:tcPr>
            <w:tcW w:w="599" w:type="pct"/>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588"/>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nuevas academias nacionales establecidas tras la finalización de la fase piloto</w:t>
            </w:r>
          </w:p>
        </w:tc>
        <w:tc>
          <w:tcPr>
            <w:tcW w:w="849" w:type="pct"/>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11</w:t>
            </w:r>
          </w:p>
        </w:tc>
        <w:tc>
          <w:tcPr>
            <w:tcW w:w="599" w:type="pct"/>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726"/>
        </w:trPr>
        <w:tc>
          <w:tcPr>
            <w:tcW w:w="1544" w:type="pct"/>
            <w:tcBorders>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participantes que han recibido formación y que están satisfechos de la utilidad y pertinencia de la formación recibida para su vida profesional</w:t>
            </w:r>
          </w:p>
        </w:tc>
        <w:tc>
          <w:tcPr>
            <w:tcW w:w="849" w:type="pct"/>
            <w:tcBorders>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17</w:t>
            </w:r>
          </w:p>
        </w:tc>
        <w:tc>
          <w:tcPr>
            <w:tcW w:w="599" w:type="pct"/>
            <w:tcBorders>
              <w:bottom w:val="nil"/>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543"/>
        </w:trPr>
        <w:tc>
          <w:tcPr>
            <w:tcW w:w="1544" w:type="pct"/>
            <w:tcBorders>
              <w:top w:val="nil"/>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destinatarios que han demostrado conocimientos básicos de un sistema equilibrado de P.I. tras las actividades de la OMPI</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17</w:t>
            </w:r>
          </w:p>
        </w:tc>
        <w:tc>
          <w:tcPr>
            <w:tcW w:w="599" w:type="pct"/>
            <w:tcBorders>
              <w:top w:val="nil"/>
              <w:bottom w:val="nil"/>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369"/>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países participantes en el programa de Premios de la OMPI</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17</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492"/>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acuerdos de acogida de científicos de países en desarrollo</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18</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FF0000"/>
                <w:szCs w:val="22"/>
              </w:rPr>
              <w:sym w:font="Wingdings" w:char="F06C"/>
            </w:r>
          </w:p>
        </w:tc>
      </w:tr>
      <w:tr w:rsidR="00B45FC3" w:rsidRPr="00526311" w:rsidTr="0063039A">
        <w:trPr>
          <w:cantSplit/>
          <w:trHeight w:val="770"/>
        </w:trPr>
        <w:tc>
          <w:tcPr>
            <w:tcW w:w="1544" w:type="pct"/>
            <w:vMerge w:val="restar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encargados de la adopción de políticas, funcionarios gubernamentales, profesionales de la P.I. y participantes en talleres con un mayor conocimiento de los OGC y la manera de usar eficazmente la P.I. al servicio del desarrollo</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20</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r w:rsidRPr="00526311">
              <w:rPr>
                <w:color w:val="0070C0"/>
                <w:szCs w:val="22"/>
              </w:rPr>
              <w:sym w:font="Wingdings" w:char="F06C"/>
            </w:r>
            <w:r w:rsidRPr="00526311">
              <w:rPr>
                <w:color w:val="008000"/>
                <w:szCs w:val="22"/>
              </w:rPr>
              <w:sym w:font="Wingdings" w:char="F06C"/>
            </w:r>
          </w:p>
        </w:tc>
      </w:tr>
      <w:tr w:rsidR="00B45FC3" w:rsidRPr="00526311" w:rsidTr="0063039A">
        <w:trPr>
          <w:cantSplit/>
          <w:trHeight w:val="613"/>
        </w:trPr>
        <w:tc>
          <w:tcPr>
            <w:tcW w:w="1544" w:type="pct"/>
            <w:vMerge/>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profesionales de la P.I. formados que utilizan en su trabajo las nuevas aptitudes adquiridas</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30</w:t>
            </w:r>
          </w:p>
        </w:tc>
        <w:tc>
          <w:tcPr>
            <w:tcW w:w="599" w:type="pct"/>
            <w:tcBorders>
              <w:top w:val="nil"/>
              <w:bottom w:val="nil"/>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p>
        </w:tc>
      </w:tr>
      <w:tr w:rsidR="00B45FC3" w:rsidRPr="00526311" w:rsidTr="0063039A">
        <w:trPr>
          <w:cantSplit/>
          <w:trHeight w:val="539"/>
        </w:trPr>
        <w:tc>
          <w:tcPr>
            <w:tcW w:w="1544" w:type="pct"/>
            <w:vMerge w:val="restar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III.3 Incorporación de las recomendaciones de la Agenda para el Desarrollo en la labor de la OMPI</w:t>
            </w: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recomendaciones de la A.D. que ha abordado el CDIP mediante proyectos, actividades y estudios</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8</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538"/>
        </w:trPr>
        <w:tc>
          <w:tcPr>
            <w:tcW w:w="1544" w:type="pct"/>
            <w:vMerge/>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Tasa de satisfacción de los Estados miembros con los resultados de los proyectos, actividades y estudios</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8</w:t>
            </w:r>
          </w:p>
        </w:tc>
        <w:tc>
          <w:tcPr>
            <w:tcW w:w="599" w:type="pct"/>
            <w:tcBorders>
              <w:top w:val="nil"/>
              <w:bottom w:val="nil"/>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0070C0"/>
                <w:szCs w:val="22"/>
              </w:rPr>
              <w:sym w:font="Wingdings" w:char="F06C"/>
            </w:r>
          </w:p>
        </w:tc>
      </w:tr>
      <w:tr w:rsidR="00B45FC3" w:rsidRPr="00526311" w:rsidTr="0063039A">
        <w:trPr>
          <w:cantSplit/>
          <w:trHeight w:val="547"/>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Aplicación del mecanismo de coordinación aprobado por los Estados miembros</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8</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547"/>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programas que reflejan que las recomendaciones de la A.D. han sido incorporadas en la labor corriente de la OMPI</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8</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547"/>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proyectos de la A.D. y forma en la que han sido incorporados en la labor corriente de la OMPI (fijación de normas, asistencia técnica y prestación de servicios)</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8</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464"/>
        </w:trPr>
        <w:tc>
          <w:tcPr>
            <w:tcW w:w="1544" w:type="pct"/>
            <w:vMerge w:val="restar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Sistema eficaz instalado para la planificación, el seguimiento y la evaluación de la aplicación de las recomendaciones de la A.D.</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8</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463"/>
        </w:trPr>
        <w:tc>
          <w:tcPr>
            <w:tcW w:w="1544" w:type="pct"/>
            <w:vMerge/>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proyectos de la A.D. que han sido evaluados en forma independiente</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8</w:t>
            </w:r>
          </w:p>
        </w:tc>
        <w:tc>
          <w:tcPr>
            <w:tcW w:w="599" w:type="pct"/>
            <w:tcBorders>
              <w:top w:val="nil"/>
              <w:bottom w:val="nil"/>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p>
        </w:tc>
      </w:tr>
      <w:tr w:rsidR="00B45FC3" w:rsidRPr="00526311" w:rsidTr="00053635">
        <w:trPr>
          <w:cantSplit/>
          <w:trHeight w:val="463"/>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keepNext/>
              <w:keepLines/>
              <w:tabs>
                <w:tab w:val="right" w:pos="2835"/>
              </w:tabs>
              <w:spacing w:after="60"/>
              <w:rPr>
                <w:sz w:val="15"/>
                <w:szCs w:val="15"/>
              </w:rPr>
            </w:pPr>
            <w:r w:rsidRPr="00526311">
              <w:rPr>
                <w:sz w:val="15"/>
                <w:szCs w:val="15"/>
              </w:rPr>
              <w:t>III.4 Fortalecimiento de los mecanismos y de los programas de cooperación conforme a las necesidades de los países en desarrollo y los PMA</w:t>
            </w:r>
          </w:p>
          <w:p w:rsidR="00B45FC3" w:rsidRPr="00526311" w:rsidRDefault="00B45FC3" w:rsidP="0063039A">
            <w:pPr>
              <w:keepNext/>
              <w:keepLines/>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keepNext/>
              <w:keepLines/>
              <w:rPr>
                <w:sz w:val="16"/>
                <w:szCs w:val="16"/>
              </w:rPr>
            </w:pPr>
            <w:r w:rsidRPr="00526311">
              <w:rPr>
                <w:sz w:val="16"/>
                <w:szCs w:val="16"/>
              </w:rPr>
              <w:t>Número de mecanismos de cooperación, programas y asociaciones nuevos o consolidados a los que se presta apoyo para promover/fortalecer la cooperación subregional o regional en P.I.</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9</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r w:rsidR="005502F5" w:rsidRPr="00526311">
              <w:rPr>
                <w:color w:val="008000"/>
                <w:szCs w:val="22"/>
              </w:rPr>
              <w:br/>
            </w:r>
            <w:r w:rsidRPr="00526311">
              <w:rPr>
                <w:color w:val="008000"/>
                <w:szCs w:val="22"/>
              </w:rPr>
              <w:sym w:font="Wingdings" w:char="F06C"/>
            </w:r>
            <w:r w:rsidRPr="00526311">
              <w:rPr>
                <w:color w:val="008000"/>
                <w:szCs w:val="22"/>
              </w:rPr>
              <w:sym w:font="Wingdings" w:char="F06C"/>
            </w:r>
          </w:p>
        </w:tc>
      </w:tr>
      <w:tr w:rsidR="00B45FC3" w:rsidRPr="00526311" w:rsidTr="00053635">
        <w:trPr>
          <w:cantSplit/>
          <w:trHeight w:val="463"/>
        </w:trPr>
        <w:tc>
          <w:tcPr>
            <w:tcW w:w="1544" w:type="pct"/>
            <w:tcBorders>
              <w:top w:val="nil"/>
              <w:left w:val="single" w:sz="4" w:space="0" w:color="auto"/>
              <w:bottom w:val="single" w:sz="4" w:space="0" w:color="auto"/>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single" w:sz="4" w:space="0" w:color="auto"/>
            </w:tcBorders>
            <w:shd w:val="clear" w:color="auto" w:fill="auto"/>
            <w:tcMar>
              <w:top w:w="113" w:type="dxa"/>
              <w:bottom w:w="57" w:type="dxa"/>
            </w:tcMar>
          </w:tcPr>
          <w:p w:rsidR="00B45FC3" w:rsidRPr="00526311" w:rsidRDefault="00B45FC3" w:rsidP="0063039A">
            <w:pPr>
              <w:keepNext/>
              <w:keepLines/>
              <w:rPr>
                <w:sz w:val="16"/>
                <w:szCs w:val="16"/>
              </w:rPr>
            </w:pPr>
            <w:r w:rsidRPr="00526311">
              <w:rPr>
                <w:sz w:val="16"/>
                <w:szCs w:val="16"/>
              </w:rPr>
              <w:t>Número de asociaciones establecidas en las que la parte que ofrece asistencia procede de un país desarrollado</w:t>
            </w:r>
          </w:p>
        </w:tc>
        <w:tc>
          <w:tcPr>
            <w:tcW w:w="849" w:type="pct"/>
            <w:tcBorders>
              <w:top w:val="nil"/>
              <w:bottom w:val="single" w:sz="4" w:space="0" w:color="auto"/>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10</w:t>
            </w:r>
          </w:p>
        </w:tc>
        <w:tc>
          <w:tcPr>
            <w:tcW w:w="599" w:type="pct"/>
            <w:tcBorders>
              <w:top w:val="nil"/>
              <w:bottom w:val="single" w:sz="4" w:space="0" w:color="auto"/>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r w:rsidRPr="00526311">
              <w:rPr>
                <w:color w:val="FF0000"/>
                <w:szCs w:val="22"/>
              </w:rPr>
              <w:sym w:font="Wingdings" w:char="F06C"/>
            </w:r>
          </w:p>
        </w:tc>
      </w:tr>
      <w:tr w:rsidR="00B45FC3" w:rsidRPr="00526311" w:rsidTr="00053635">
        <w:trPr>
          <w:cantSplit/>
          <w:trHeight w:val="463"/>
        </w:trPr>
        <w:tc>
          <w:tcPr>
            <w:tcW w:w="1544" w:type="pct"/>
            <w:tcBorders>
              <w:top w:val="single" w:sz="4" w:space="0" w:color="auto"/>
              <w:left w:val="single" w:sz="4" w:space="0" w:color="auto"/>
              <w:bottom w:val="nil"/>
            </w:tcBorders>
            <w:shd w:val="clear" w:color="auto" w:fill="auto"/>
            <w:tcMar>
              <w:top w:w="113" w:type="dxa"/>
              <w:bottom w:w="57" w:type="dxa"/>
            </w:tcMar>
          </w:tcPr>
          <w:p w:rsidR="00B45FC3" w:rsidRPr="00526311" w:rsidRDefault="00B45FC3" w:rsidP="0063039A">
            <w:pPr>
              <w:keepNext/>
              <w:keepLines/>
              <w:rPr>
                <w:sz w:val="16"/>
                <w:szCs w:val="16"/>
              </w:rPr>
            </w:pPr>
            <w:r w:rsidRPr="00526311">
              <w:rPr>
                <w:sz w:val="16"/>
                <w:szCs w:val="16"/>
              </w:rPr>
              <w:lastRenderedPageBreak/>
              <w:t>III.5 Mejor comprensión de la Agenda para el Desarrollo por los Estados miembros, las OIG, la sociedad civil y demás partes interesadas</w:t>
            </w:r>
          </w:p>
        </w:tc>
        <w:tc>
          <w:tcPr>
            <w:tcW w:w="2008" w:type="pct"/>
            <w:tcBorders>
              <w:top w:val="single" w:sz="4" w:space="0" w:color="auto"/>
              <w:bottom w:val="nil"/>
            </w:tcBorders>
            <w:shd w:val="clear" w:color="auto" w:fill="auto"/>
            <w:tcMar>
              <w:top w:w="113" w:type="dxa"/>
              <w:bottom w:w="57" w:type="dxa"/>
            </w:tcMar>
          </w:tcPr>
          <w:p w:rsidR="00B45FC3" w:rsidRPr="00526311" w:rsidRDefault="00B45FC3" w:rsidP="0063039A">
            <w:pPr>
              <w:keepNext/>
              <w:keepLines/>
              <w:rPr>
                <w:sz w:val="16"/>
                <w:szCs w:val="16"/>
              </w:rPr>
            </w:pPr>
            <w:r w:rsidRPr="00526311">
              <w:rPr>
                <w:sz w:val="16"/>
                <w:szCs w:val="16"/>
              </w:rPr>
              <w:t>Número de países que piden asistencia técnica por conducto de proyectos de la A.D. y que manifiestan interés en actividades relacionadas con la A.D.</w:t>
            </w:r>
          </w:p>
        </w:tc>
        <w:tc>
          <w:tcPr>
            <w:tcW w:w="849" w:type="pct"/>
            <w:tcBorders>
              <w:top w:val="single" w:sz="4" w:space="0" w:color="auto"/>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8</w:t>
            </w:r>
          </w:p>
        </w:tc>
        <w:tc>
          <w:tcPr>
            <w:tcW w:w="599" w:type="pct"/>
            <w:tcBorders>
              <w:top w:val="single" w:sz="4" w:space="0" w:color="auto"/>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053635">
        <w:trPr>
          <w:cantSplit/>
          <w:trHeight w:val="463"/>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keepNext/>
              <w:keepLines/>
              <w:rPr>
                <w:sz w:val="16"/>
                <w:szCs w:val="16"/>
              </w:rPr>
            </w:pPr>
            <w:r w:rsidRPr="00526311">
              <w:rPr>
                <w:sz w:val="16"/>
                <w:szCs w:val="16"/>
              </w:rPr>
              <w:t>Porcentaje de participantes en reuniones de la OMPI (Estados miembros, OIG, sociedad civil y demás partes interesadas) satisfechos con la información recibida sobre las recomendaciones de la A.D.</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8</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70C0"/>
                <w:szCs w:val="22"/>
              </w:rPr>
              <w:sym w:font="Wingdings" w:char="F06C"/>
            </w:r>
          </w:p>
        </w:tc>
      </w:tr>
      <w:tr w:rsidR="00B45FC3" w:rsidRPr="00526311" w:rsidTr="00053635">
        <w:trPr>
          <w:cantSplit/>
          <w:trHeight w:val="463"/>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290C00">
            <w:pPr>
              <w:rPr>
                <w:sz w:val="16"/>
                <w:szCs w:val="16"/>
              </w:rPr>
            </w:pPr>
            <w:r w:rsidRPr="00526311">
              <w:rPr>
                <w:sz w:val="16"/>
                <w:szCs w:val="16"/>
              </w:rPr>
              <w:t xml:space="preserve">III.6 </w:t>
            </w:r>
            <w:r w:rsidR="00290C00" w:rsidRPr="00526311">
              <w:t xml:space="preserve"> </w:t>
            </w:r>
            <w:r w:rsidR="00290C00" w:rsidRPr="00526311">
              <w:rPr>
                <w:sz w:val="16"/>
                <w:szCs w:val="16"/>
              </w:rPr>
              <w:t>Mayor capacidad de las pymes para utilizar con éxito la P.I. con el fin de apoyar la innovación</w:t>
            </w: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lang w:bidi="th-TH"/>
              </w:rPr>
            </w:pPr>
            <w:r w:rsidRPr="00526311">
              <w:rPr>
                <w:sz w:val="16"/>
                <w:szCs w:val="16"/>
                <w:lang w:bidi="th-TH"/>
              </w:rPr>
              <w:t>Porcentaje de participantes en programas de formación destinados a instituciones de apoyo a las pymes que manifiestan satisfacción con el contenido y la organización de esos eventos</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10</w:t>
            </w:r>
          </w:p>
        </w:tc>
        <w:tc>
          <w:tcPr>
            <w:tcW w:w="599" w:type="pct"/>
            <w:tcBorders>
              <w:top w:val="nil"/>
              <w:bottom w:val="nil"/>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p>
        </w:tc>
      </w:tr>
      <w:tr w:rsidR="00B45FC3" w:rsidRPr="00526311" w:rsidTr="0063039A">
        <w:trPr>
          <w:cantSplit/>
          <w:trHeight w:val="463"/>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instituciones de apoyo a las pymes que han recibido formación, que a su vez brindan información, apoyo y servicios de consultoría/asesoramiento en gestión de activos de P.I.</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10</w:t>
            </w:r>
          </w:p>
        </w:tc>
        <w:tc>
          <w:tcPr>
            <w:tcW w:w="599" w:type="pct"/>
            <w:tcBorders>
              <w:top w:val="nil"/>
              <w:bottom w:val="nil"/>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p>
        </w:tc>
      </w:tr>
      <w:tr w:rsidR="00B45FC3" w:rsidRPr="00526311" w:rsidTr="0063039A">
        <w:trPr>
          <w:cantSplit/>
          <w:trHeight w:val="463"/>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países que han establecido programas de formación en P.I. destinados a las pymes</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10</w:t>
            </w:r>
          </w:p>
        </w:tc>
        <w:tc>
          <w:tcPr>
            <w:tcW w:w="599" w:type="pct"/>
            <w:tcBorders>
              <w:top w:val="nil"/>
              <w:bottom w:val="nil"/>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p>
        </w:tc>
      </w:tr>
      <w:tr w:rsidR="00B45FC3" w:rsidRPr="00526311" w:rsidTr="0063039A">
        <w:trPr>
          <w:cantSplit/>
          <w:trHeight w:val="463"/>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keepNext/>
              <w:keepLines/>
              <w:rPr>
                <w:sz w:val="16"/>
                <w:szCs w:val="16"/>
              </w:rPr>
            </w:pPr>
            <w:r w:rsidRPr="00526311">
              <w:rPr>
                <w:sz w:val="16"/>
                <w:szCs w:val="16"/>
              </w:rPr>
              <w:t>Número de suscripciones al Boletín para las pymes</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30</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463"/>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keepNext/>
              <w:keepLines/>
              <w:rPr>
                <w:sz w:val="16"/>
                <w:szCs w:val="16"/>
              </w:rPr>
            </w:pPr>
            <w:r w:rsidRPr="00526311">
              <w:rPr>
                <w:sz w:val="16"/>
                <w:szCs w:val="16"/>
                <w:lang w:bidi="th-TH"/>
              </w:rPr>
              <w:t>Número de directrices y material sobre pymes descargado del sitio web</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30</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A6A6A6" w:themeColor="background1" w:themeShade="A6"/>
                <w:szCs w:val="22"/>
              </w:rPr>
              <w:sym w:font="Wingdings" w:char="F06C"/>
            </w:r>
          </w:p>
        </w:tc>
      </w:tr>
      <w:tr w:rsidR="00B45FC3" w:rsidRPr="00526311" w:rsidTr="0063039A">
        <w:trPr>
          <w:cantSplit/>
          <w:trHeight w:val="463"/>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keepNext/>
              <w:keepLines/>
              <w:rPr>
                <w:sz w:val="16"/>
                <w:szCs w:val="16"/>
              </w:rPr>
            </w:pPr>
            <w:r w:rsidRPr="00526311">
              <w:rPr>
                <w:sz w:val="16"/>
                <w:szCs w:val="16"/>
              </w:rPr>
              <w:t xml:space="preserve">Número de estudios de caso relacionados con las pymes que han sido consultados por intermedio de la base de datos </w:t>
            </w:r>
            <w:r w:rsidRPr="00526311">
              <w:rPr>
                <w:i/>
                <w:sz w:val="16"/>
                <w:szCs w:val="16"/>
              </w:rPr>
              <w:t>IP Advantage</w:t>
            </w:r>
            <w:r w:rsidRPr="00526311">
              <w:rPr>
                <w:sz w:val="16"/>
                <w:szCs w:val="16"/>
              </w:rPr>
              <w:t xml:space="preserve"> u otras bases de datos</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30</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A6A6A6" w:themeColor="background1" w:themeShade="A6"/>
                <w:szCs w:val="22"/>
              </w:rPr>
              <w:sym w:font="Wingdings" w:char="F06C"/>
            </w:r>
          </w:p>
        </w:tc>
      </w:tr>
      <w:tr w:rsidR="00B45FC3" w:rsidRPr="00526311" w:rsidTr="0063039A">
        <w:trPr>
          <w:cantSplit/>
          <w:trHeight w:val="463"/>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lang w:bidi="th-TH"/>
              </w:rPr>
            </w:pPr>
            <w:r w:rsidRPr="00526311">
              <w:rPr>
                <w:sz w:val="16"/>
                <w:szCs w:val="16"/>
                <w:lang w:bidi="th-TH"/>
              </w:rPr>
              <w:t>Porcentaje de participantes en programas de formación destinados a instituciones de apoyo a las pymes que manifiestan satisfacción con el contenido y la organización de esos eventos</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30</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463"/>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instituciones de apoyo a las pymes que han recibido formación, que a su vez brindan información, apoyo y servicios de consultoría/asesoramiento en gestión de activos de P.I.</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30</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463"/>
        </w:trPr>
        <w:tc>
          <w:tcPr>
            <w:tcW w:w="1544" w:type="pct"/>
            <w:tcBorders>
              <w:top w:val="nil"/>
              <w:left w:val="single" w:sz="4" w:space="0" w:color="auto"/>
              <w:bottom w:val="single" w:sz="4" w:space="0" w:color="auto"/>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single" w:sz="4" w:space="0" w:color="auto"/>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países que han establecido programas de formación en P.I. destinados a las pymes</w:t>
            </w:r>
          </w:p>
        </w:tc>
        <w:tc>
          <w:tcPr>
            <w:tcW w:w="849" w:type="pct"/>
            <w:tcBorders>
              <w:top w:val="nil"/>
              <w:bottom w:val="single" w:sz="4" w:space="0" w:color="auto"/>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30</w:t>
            </w:r>
          </w:p>
        </w:tc>
        <w:tc>
          <w:tcPr>
            <w:tcW w:w="599" w:type="pct"/>
            <w:tcBorders>
              <w:top w:val="nil"/>
              <w:bottom w:val="single" w:sz="4" w:space="0" w:color="auto"/>
              <w:right w:val="single" w:sz="4" w:space="0" w:color="auto"/>
            </w:tcBorders>
            <w:shd w:val="clear" w:color="auto" w:fill="FFFFFF"/>
          </w:tcPr>
          <w:p w:rsidR="00B45FC3" w:rsidRPr="00526311" w:rsidRDefault="00B45FC3" w:rsidP="0063039A">
            <w:pPr>
              <w:jc w:val="center"/>
            </w:pPr>
            <w:r w:rsidRPr="00526311">
              <w:rPr>
                <w:color w:val="A6A6A6" w:themeColor="background1" w:themeShade="A6"/>
                <w:szCs w:val="22"/>
              </w:rPr>
              <w:sym w:font="Wingdings" w:char="F06C"/>
            </w:r>
          </w:p>
        </w:tc>
      </w:tr>
    </w:tbl>
    <w:p w:rsidR="00B45FC3" w:rsidRPr="00526311" w:rsidRDefault="00B45FC3" w:rsidP="0063039A">
      <w:pPr>
        <w:rPr>
          <w:sz w:val="20"/>
        </w:rPr>
      </w:pPr>
    </w:p>
    <w:p w:rsidR="00B45FC3" w:rsidRPr="00526311" w:rsidRDefault="00B45FC3" w:rsidP="0063039A">
      <w:pPr>
        <w:rPr>
          <w:sz w:val="20"/>
        </w:rPr>
      </w:pPr>
    </w:p>
    <w:p w:rsidR="00B45FC3" w:rsidRPr="00526311" w:rsidRDefault="00B45FC3">
      <w:pPr>
        <w:rPr>
          <w:bCs/>
          <w:iCs/>
          <w:caps/>
        </w:rPr>
      </w:pPr>
      <w:r w:rsidRPr="00526311">
        <w:br w:type="page"/>
      </w:r>
    </w:p>
    <w:p w:rsidR="00B45FC3" w:rsidRPr="00526311" w:rsidRDefault="00B45FC3" w:rsidP="0063039A">
      <w:pPr>
        <w:pStyle w:val="Heading2"/>
        <w:tabs>
          <w:tab w:val="left" w:pos="2268"/>
        </w:tabs>
        <w:ind w:left="2268" w:hanging="2268"/>
        <w:jc w:val="both"/>
        <w:rPr>
          <w:b/>
          <w:szCs w:val="20"/>
        </w:rPr>
      </w:pPr>
      <w:bookmarkStart w:id="36" w:name="_Toc422927415"/>
      <w:r w:rsidRPr="00526311">
        <w:rPr>
          <w:b/>
          <w:szCs w:val="20"/>
        </w:rPr>
        <w:lastRenderedPageBreak/>
        <w:t>PROGRAMA 8</w:t>
      </w:r>
      <w:r w:rsidRPr="00526311">
        <w:rPr>
          <w:b/>
          <w:szCs w:val="20"/>
        </w:rPr>
        <w:tab/>
        <w:t>COORDINACIÓN DE LA AGENDA PARA EL DESARROLLO</w:t>
      </w:r>
      <w:bookmarkEnd w:id="36"/>
    </w:p>
    <w:p w:rsidR="00B45FC3" w:rsidRPr="00526311" w:rsidRDefault="00B45FC3" w:rsidP="0063039A">
      <w:pPr>
        <w:tabs>
          <w:tab w:val="left" w:pos="1985"/>
        </w:tabs>
        <w:jc w:val="both"/>
        <w:rPr>
          <w:sz w:val="20"/>
        </w:rPr>
      </w:pPr>
    </w:p>
    <w:p w:rsidR="00B45FC3" w:rsidRPr="00526311" w:rsidRDefault="00B45FC3" w:rsidP="0063039A">
      <w:pPr>
        <w:tabs>
          <w:tab w:val="left" w:pos="2268"/>
        </w:tabs>
        <w:jc w:val="both"/>
        <w:rPr>
          <w:b/>
          <w:sz w:val="20"/>
        </w:rPr>
      </w:pPr>
      <w:r w:rsidRPr="00526311">
        <w:rPr>
          <w:b/>
          <w:sz w:val="20"/>
        </w:rPr>
        <w:t>Director de programa</w:t>
      </w:r>
      <w:r w:rsidRPr="00526311">
        <w:rPr>
          <w:b/>
          <w:sz w:val="20"/>
        </w:rPr>
        <w:tab/>
        <w:t>Sr. M. Matus</w:t>
      </w:r>
    </w:p>
    <w:p w:rsidR="00B45FC3" w:rsidRPr="00526311" w:rsidRDefault="00B45FC3" w:rsidP="0063039A">
      <w:pPr>
        <w:jc w:val="both"/>
        <w:rPr>
          <w:sz w:val="20"/>
        </w:rPr>
      </w:pPr>
    </w:p>
    <w:p w:rsidR="00B45FC3" w:rsidRPr="00526311" w:rsidRDefault="00B45FC3" w:rsidP="0063039A">
      <w:pPr>
        <w:jc w:val="both"/>
        <w:rPr>
          <w:sz w:val="20"/>
        </w:rPr>
      </w:pPr>
    </w:p>
    <w:p w:rsidR="00B45FC3" w:rsidRPr="00526311" w:rsidRDefault="00B45FC3" w:rsidP="0063039A">
      <w:pPr>
        <w:jc w:val="both"/>
        <w:rPr>
          <w:bCs/>
        </w:rPr>
      </w:pPr>
      <w:r w:rsidRPr="00526311">
        <w:rPr>
          <w:bCs/>
        </w:rPr>
        <w:t>RESEÑA DE LOS AVANCES LOGRADOS EN 2014</w:t>
      </w:r>
    </w:p>
    <w:p w:rsidR="00B45FC3" w:rsidRPr="00526311" w:rsidRDefault="00B45FC3" w:rsidP="0063039A">
      <w:pPr>
        <w:jc w:val="both"/>
      </w:pPr>
    </w:p>
    <w:p w:rsidR="00B45FC3" w:rsidRPr="00526311" w:rsidRDefault="00B45FC3" w:rsidP="00B45FC3">
      <w:pPr>
        <w:pStyle w:val="ListParagraph"/>
        <w:numPr>
          <w:ilvl w:val="0"/>
          <w:numId w:val="49"/>
        </w:numPr>
        <w:ind w:left="0" w:firstLine="0"/>
        <w:jc w:val="both"/>
        <w:rPr>
          <w:rFonts w:cs="Arial"/>
          <w:lang w:val="es-ES"/>
        </w:rPr>
      </w:pPr>
      <w:r w:rsidRPr="00526311">
        <w:rPr>
          <w:rFonts w:cs="Arial"/>
          <w:lang w:val="es-ES"/>
        </w:rPr>
        <w:t>En el marco del programa 8, se siguió coordinando la aplicación de la Agenda para el Desarrollo de la OMPI</w:t>
      </w:r>
      <w:r w:rsidRPr="00526311">
        <w:rPr>
          <w:rFonts w:cs="Arial"/>
          <w:szCs w:val="24"/>
          <w:lang w:val="es-ES"/>
        </w:rPr>
        <w:t xml:space="preserve"> en 2014</w:t>
      </w:r>
      <w:r w:rsidRPr="00526311">
        <w:rPr>
          <w:rFonts w:cs="Arial"/>
          <w:lang w:val="es-ES"/>
        </w:rPr>
        <w:t>, en particular mediante la facilitación de la labor del Comité de Desarrollo y Propiedad Intelectual (CDIP) en sus sesiones decimotercera y decimocuarta, celebradas en 2014;  la aplicación de las recomendaciones de la A.D. mediante proyectos;  la incorporación efectiva de los principios de la A.D. en la labor de la Organización;  y la realización de diversas actividades destinadas a ayudar a los Estados miembros a obtener beneficios de la aplicación de la Agenda para el Desarrollo.</w:t>
      </w:r>
    </w:p>
    <w:p w:rsidR="00B45FC3" w:rsidRPr="00526311" w:rsidRDefault="00B45FC3" w:rsidP="0063039A">
      <w:pPr>
        <w:tabs>
          <w:tab w:val="left" w:pos="709"/>
        </w:tabs>
        <w:jc w:val="both"/>
      </w:pPr>
    </w:p>
    <w:p w:rsidR="00B45FC3" w:rsidRPr="00526311" w:rsidRDefault="00B45FC3" w:rsidP="00B45FC3">
      <w:pPr>
        <w:pStyle w:val="ListParagraph"/>
        <w:numPr>
          <w:ilvl w:val="0"/>
          <w:numId w:val="49"/>
        </w:numPr>
        <w:ind w:left="0" w:firstLine="0"/>
        <w:jc w:val="both"/>
        <w:rPr>
          <w:rFonts w:cs="Arial"/>
          <w:lang w:val="es-ES"/>
        </w:rPr>
      </w:pPr>
      <w:r w:rsidRPr="00526311">
        <w:rPr>
          <w:rFonts w:cs="Arial"/>
          <w:lang w:val="es-ES"/>
        </w:rPr>
        <w:t>En 2014 el CDIP examinó:  i) el Informe anual del Director General sobre la aplicación de la Agenda para el Desarrollo;  ii) un informe sobre la marcha de la labor relativa a las recomendaciones que deben aplicarse inmediatamente y de la ejecución de los proyectos de la Agenda para el Desarrollo;  iii) ocho informes de evaluación independiente y un informe de evaluación interna de proyectos de la A.D.; y iv) un documento sobre la Decisión de la Asamblea General de la OMPI sobre asuntos relativos al CDIP.  Además, el Comité aprobó la ejecución de la segunda fase de dos proyectos finalizados y evaluados, la realización de nuevas actividades relacionadas con la utilización del derecho de autor para promover el acceso a la información y al contenido creativo, y estudió una propuesta de proyecto presentada por la</w:t>
      </w:r>
      <w:r w:rsidRPr="00526311">
        <w:rPr>
          <w:lang w:val="es-ES"/>
        </w:rPr>
        <w:t xml:space="preserve"> </w:t>
      </w:r>
      <w:r w:rsidRPr="00526311">
        <w:rPr>
          <w:rFonts w:cs="Arial"/>
          <w:lang w:val="es-ES"/>
        </w:rPr>
        <w:t>República Árabe de Egipto sobre la propiedad intelectual y el turismo.  El Comité también examinó:  i) un documento remitido por la Asamblea General sobre la descripción de la contribución de los órganos pertinentes de la OMPI a la aplicación de las recomendaciones de la Agenda para el Desarrollo que les conciernen y ii) un informe revisado sobre la medición de los Objetivos de Desarrollo del Milenio (ODM) en otras organizaciones de las Naciones Unidas y organismos especializados, así como la contribución de la OMPI a la aplicación de esos objetivos.  El Comité prosiguió sus debates sobre las flexibilidades en materia de patentes en el marco jurídico multilateral y su aplicación legislativa en los planos nacional y regional, y llegó a un acuerdo respecto del programa de trabajo futuro sobre flexibilidades en el sistema de propiedad intelectual.  Asimismo, siguió debatiendo acerca del examen independiente sobre la asistencia técnica que presta la OMPI en el marco de la cooperación para el desarrollo, junto con la respuesta de la Administración y la propuesta conjunta del Grupo de la Agenda para el Desarrollo y el Grupo Africano.  Por otra parte, el Comité examinó y aprobó el mandato relativo al examen independiente de la aplicación de las recomendaciones de la Agenda para el Desarrollo y la posible convocatoria de una conferencia internacional sobre propiedad intelectual y desarrollo.  Asimismo, el Comité examinó:  i) siete estudios realizados en el marco del proyecto sobre propiedad intelectual y desarrollo socioeconómico;  ii) seis estudios realizados en el marco del proyecto sobre propiedad intelectual y transferencia de tecnología: desafíos comunes y búsqueda de soluciones;  iii) dos estudios realizados en el marco del Proyecto sobre los proyectos de colaboración abierta y los modelos de P.I.;  iv) cuatro estudios realizados en el marco del proyecto sobre propiedad intelectual y la economía informal;  y v) un estudio llevado a cabo en el marco del proyecto sobre el fortalecimiento y desarrollo del sector audiovisual en Burkina Faso y en determinados países de África.  El CDIP siguió beneficiándose de una creciente participación de OIG y ONG.  A fines de 2014, 59 observadores habían participado en los trabajos del Comité.</w:t>
      </w:r>
    </w:p>
    <w:p w:rsidR="00B45FC3" w:rsidRPr="00526311" w:rsidRDefault="00B45FC3" w:rsidP="0063039A">
      <w:pPr>
        <w:tabs>
          <w:tab w:val="left" w:pos="709"/>
        </w:tabs>
        <w:jc w:val="both"/>
      </w:pPr>
    </w:p>
    <w:p w:rsidR="00B45FC3" w:rsidRPr="00526311" w:rsidRDefault="00B45FC3" w:rsidP="00B45FC3">
      <w:pPr>
        <w:pStyle w:val="ListParagraph"/>
        <w:numPr>
          <w:ilvl w:val="0"/>
          <w:numId w:val="49"/>
        </w:numPr>
        <w:ind w:left="0" w:firstLine="0"/>
        <w:jc w:val="both"/>
        <w:rPr>
          <w:rFonts w:cs="Arial"/>
          <w:lang w:val="es-ES"/>
        </w:rPr>
      </w:pPr>
      <w:r w:rsidRPr="00526311">
        <w:rPr>
          <w:rFonts w:cs="Arial"/>
          <w:lang w:val="es-ES"/>
        </w:rPr>
        <w:t xml:space="preserve">En el marco del programa se siguió velando por la correcta aplicación, supervisión, evaluación y presentación de informes sobre las actividades y los proyectos relacionados con la Agenda para el Desarrollo.  A este respecto, se mantuvieron los esfuerzos para asegurar la aplicación efectiva de las 19 recomendaciones que deben aplicarse inmediatamente.  Asimismo, se siguió coordinando la supervisión, evaluación y presentación de informes sobre la ejecución de los proyectos aprobados por el CDIP y la aplicación de las 45 recomendaciones de la Agenda de la OMPI para el Desarrollo. </w:t>
      </w:r>
    </w:p>
    <w:p w:rsidR="00B45FC3" w:rsidRPr="00526311" w:rsidRDefault="00B45FC3" w:rsidP="0063039A">
      <w:pPr>
        <w:autoSpaceDE w:val="0"/>
        <w:autoSpaceDN w:val="0"/>
        <w:adjustRightInd w:val="0"/>
        <w:jc w:val="both"/>
      </w:pPr>
    </w:p>
    <w:p w:rsidR="00B45FC3" w:rsidRPr="00526311" w:rsidRDefault="00B45FC3" w:rsidP="0063039A">
      <w:pPr>
        <w:autoSpaceDE w:val="0"/>
        <w:autoSpaceDN w:val="0"/>
        <w:adjustRightInd w:val="0"/>
        <w:jc w:val="both"/>
      </w:pPr>
    </w:p>
    <w:p w:rsidR="00B45FC3" w:rsidRPr="00526311" w:rsidRDefault="00B45FC3">
      <w:r w:rsidRPr="00526311">
        <w:br w:type="page"/>
      </w:r>
    </w:p>
    <w:p w:rsidR="00B45FC3" w:rsidRPr="00526311" w:rsidRDefault="00B45FC3" w:rsidP="0063039A">
      <w:pPr>
        <w:autoSpaceDE w:val="0"/>
        <w:autoSpaceDN w:val="0"/>
        <w:adjustRightInd w:val="0"/>
        <w:jc w:val="both"/>
      </w:pPr>
      <w:r w:rsidRPr="00526311">
        <w:lastRenderedPageBreak/>
        <w:t>DATOS SOBRE EL RENDIMIENTO</w:t>
      </w:r>
    </w:p>
    <w:p w:rsidR="00B45FC3" w:rsidRPr="00526311" w:rsidRDefault="00B45FC3" w:rsidP="0063039A">
      <w:pPr>
        <w:jc w:val="both"/>
        <w:rPr>
          <w:bCs/>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1"/>
        <w:gridCol w:w="2126"/>
        <w:gridCol w:w="1984"/>
        <w:gridCol w:w="1982"/>
        <w:gridCol w:w="140"/>
        <w:gridCol w:w="994"/>
      </w:tblGrid>
      <w:tr w:rsidR="00B45FC3" w:rsidRPr="00526311" w:rsidTr="0063039A">
        <w:trPr>
          <w:cantSplit/>
        </w:trPr>
        <w:tc>
          <w:tcPr>
            <w:tcW w:w="5000" w:type="pct"/>
            <w:gridSpan w:val="6"/>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spacing w:before="120" w:after="120"/>
              <w:ind w:left="1452" w:hanging="1452"/>
              <w:jc w:val="both"/>
              <w:rPr>
                <w:b/>
                <w:bCs/>
                <w:sz w:val="16"/>
                <w:szCs w:val="16"/>
              </w:rPr>
            </w:pPr>
            <w:r w:rsidRPr="00526311">
              <w:rPr>
                <w:b/>
                <w:bCs/>
                <w:sz w:val="16"/>
                <w:szCs w:val="16"/>
              </w:rPr>
              <w:t>Resultado previsto:</w:t>
            </w:r>
            <w:r w:rsidRPr="00526311">
              <w:rPr>
                <w:b/>
                <w:bCs/>
                <w:sz w:val="16"/>
                <w:szCs w:val="16"/>
              </w:rPr>
              <w:tab/>
            </w:r>
            <w:r w:rsidRPr="00526311">
              <w:rPr>
                <w:sz w:val="16"/>
                <w:szCs w:val="16"/>
                <w:lang w:bidi="th-TH"/>
              </w:rPr>
              <w:t>III.3 Incorporación de las recomendaciones de la Agenda para el Desarrollo en la labor de la OMPI</w:t>
            </w:r>
          </w:p>
        </w:tc>
      </w:tr>
      <w:tr w:rsidR="00B45FC3" w:rsidRPr="00526311" w:rsidTr="0063039A">
        <w:trPr>
          <w:cantSplit/>
        </w:trPr>
        <w:tc>
          <w:tcPr>
            <w:tcW w:w="1139" w:type="pct"/>
            <w:tcBorders>
              <w:top w:val="single" w:sz="4" w:space="0" w:color="auto"/>
              <w:left w:val="single" w:sz="4" w:space="0" w:color="auto"/>
              <w:bottom w:val="nil"/>
            </w:tcBorders>
            <w:shd w:val="clear" w:color="auto" w:fill="auto"/>
            <w:vAlign w:val="center"/>
          </w:tcPr>
          <w:p w:rsidR="00B45FC3" w:rsidRPr="00526311" w:rsidRDefault="00B45FC3" w:rsidP="0063039A">
            <w:pPr>
              <w:jc w:val="center"/>
              <w:rPr>
                <w:sz w:val="16"/>
                <w:szCs w:val="16"/>
              </w:rPr>
            </w:pPr>
            <w:r w:rsidRPr="00526311">
              <w:rPr>
                <w:b/>
                <w:sz w:val="16"/>
                <w:szCs w:val="16"/>
              </w:rPr>
              <w:t>Indicadores de rendimiento</w:t>
            </w:r>
          </w:p>
        </w:tc>
        <w:tc>
          <w:tcPr>
            <w:tcW w:w="1136" w:type="pct"/>
            <w:tcBorders>
              <w:top w:val="single" w:sz="4" w:space="0" w:color="auto"/>
              <w:bottom w:val="nil"/>
            </w:tcBorders>
            <w:shd w:val="clear" w:color="auto" w:fill="auto"/>
            <w:vAlign w:val="center"/>
          </w:tcPr>
          <w:p w:rsidR="00B45FC3" w:rsidRPr="00526311" w:rsidRDefault="00B45FC3" w:rsidP="0063039A">
            <w:pPr>
              <w:jc w:val="center"/>
              <w:rPr>
                <w:b/>
                <w:bCs/>
                <w:sz w:val="16"/>
                <w:szCs w:val="16"/>
              </w:rPr>
            </w:pPr>
            <w:r w:rsidRPr="00526311">
              <w:rPr>
                <w:b/>
                <w:bCs/>
                <w:sz w:val="16"/>
                <w:szCs w:val="16"/>
              </w:rPr>
              <w:t>Referencia</w:t>
            </w:r>
          </w:p>
        </w:tc>
        <w:tc>
          <w:tcPr>
            <w:tcW w:w="1060" w:type="pct"/>
            <w:tcBorders>
              <w:top w:val="single" w:sz="4" w:space="0" w:color="auto"/>
              <w:bottom w:val="nil"/>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059" w:type="pct"/>
            <w:tcBorders>
              <w:top w:val="single" w:sz="4" w:space="0" w:color="auto"/>
              <w:bottom w:val="nil"/>
            </w:tcBorders>
            <w:shd w:val="clear" w:color="auto" w:fill="FFFFFF"/>
            <w:tcMar>
              <w:top w:w="110" w:type="dxa"/>
            </w:tcMar>
            <w:vAlign w:val="center"/>
          </w:tcPr>
          <w:p w:rsidR="00B45FC3" w:rsidRPr="00526311" w:rsidRDefault="00B45FC3" w:rsidP="0063039A">
            <w:pPr>
              <w:jc w:val="center"/>
              <w:rPr>
                <w:sz w:val="16"/>
                <w:szCs w:val="16"/>
              </w:rPr>
            </w:pPr>
            <w:r w:rsidRPr="00526311">
              <w:rPr>
                <w:b/>
                <w:sz w:val="16"/>
                <w:szCs w:val="16"/>
              </w:rPr>
              <w:t>Datos sobre el rendimiento</w:t>
            </w:r>
          </w:p>
        </w:tc>
        <w:tc>
          <w:tcPr>
            <w:tcW w:w="606" w:type="pct"/>
            <w:gridSpan w:val="2"/>
            <w:tcBorders>
              <w:top w:val="single" w:sz="4" w:space="0" w:color="auto"/>
              <w:bottom w:val="nil"/>
              <w:right w:val="single" w:sz="4" w:space="0" w:color="auto"/>
            </w:tcBorders>
            <w:shd w:val="clear" w:color="auto" w:fill="auto"/>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rPr>
          <w:cantSplit/>
        </w:trPr>
        <w:tc>
          <w:tcPr>
            <w:tcW w:w="1139" w:type="pct"/>
            <w:tcBorders>
              <w:top w:val="nil"/>
              <w:left w:val="single" w:sz="4" w:space="0" w:color="auto"/>
              <w:bottom w:val="nil"/>
            </w:tcBorders>
            <w:shd w:val="clear" w:color="auto" w:fill="auto"/>
          </w:tcPr>
          <w:p w:rsidR="00B45FC3" w:rsidRPr="00526311" w:rsidRDefault="00B45FC3" w:rsidP="0063039A">
            <w:pPr>
              <w:rPr>
                <w:sz w:val="16"/>
                <w:szCs w:val="16"/>
                <w:lang w:bidi="th-TH"/>
              </w:rPr>
            </w:pPr>
            <w:r w:rsidRPr="00526311">
              <w:rPr>
                <w:sz w:val="16"/>
                <w:szCs w:val="16"/>
                <w:lang w:bidi="th-TH"/>
              </w:rPr>
              <w:t>Número de recomendaciones de la A.D. de las que se ha ocupado el CDIP mediante proyectos, actividades y estudios</w:t>
            </w:r>
            <w:r w:rsidRPr="00526311">
              <w:rPr>
                <w:color w:val="808080"/>
                <w:sz w:val="16"/>
                <w:szCs w:val="16"/>
                <w:lang w:bidi="th-TH"/>
              </w:rPr>
              <w:t>.</w:t>
            </w:r>
          </w:p>
        </w:tc>
        <w:tc>
          <w:tcPr>
            <w:tcW w:w="1136" w:type="pct"/>
            <w:tcBorders>
              <w:top w:val="nil"/>
              <w:bottom w:val="nil"/>
            </w:tcBorders>
            <w:shd w:val="clear" w:color="auto" w:fill="auto"/>
          </w:tcPr>
          <w:p w:rsidR="00B45FC3" w:rsidRPr="00526311" w:rsidRDefault="00B45FC3" w:rsidP="0063039A">
            <w:pPr>
              <w:rPr>
                <w:sz w:val="16"/>
                <w:szCs w:val="16"/>
                <w:lang w:bidi="th-TH"/>
              </w:rPr>
            </w:pPr>
            <w:r w:rsidRPr="00526311">
              <w:rPr>
                <w:i/>
                <w:iCs/>
                <w:color w:val="002060"/>
                <w:sz w:val="16"/>
                <w:szCs w:val="16"/>
              </w:rPr>
              <w:t>Referencia actualizada a fines de 2013</w:t>
            </w:r>
            <w:r w:rsidRPr="00526311">
              <w:rPr>
                <w:i/>
                <w:color w:val="002060"/>
                <w:sz w:val="16"/>
                <w:szCs w:val="16"/>
              </w:rPr>
              <w:t xml:space="preserve">:  </w:t>
            </w:r>
            <w:r w:rsidRPr="00526311">
              <w:rPr>
                <w:sz w:val="16"/>
                <w:szCs w:val="16"/>
              </w:rPr>
              <w:t>45 recomendaciones</w:t>
            </w:r>
            <w:r w:rsidRPr="00526311">
              <w:rPr>
                <w:sz w:val="16"/>
                <w:szCs w:val="16"/>
                <w:lang w:bidi="th-TH"/>
              </w:rPr>
              <w:t xml:space="preserve"> de la A.D.</w:t>
            </w:r>
          </w:p>
          <w:p w:rsidR="00B45FC3" w:rsidRPr="00526311" w:rsidRDefault="00B45FC3" w:rsidP="0063039A">
            <w:pPr>
              <w:rPr>
                <w:i/>
                <w:color w:val="002060"/>
                <w:sz w:val="16"/>
                <w:szCs w:val="16"/>
              </w:rPr>
            </w:pPr>
          </w:p>
          <w:p w:rsidR="00B45FC3" w:rsidRPr="00526311" w:rsidRDefault="00B45FC3" w:rsidP="0063039A">
            <w:pPr>
              <w:rPr>
                <w:sz w:val="16"/>
                <w:szCs w:val="16"/>
              </w:rPr>
            </w:pPr>
            <w:r w:rsidRPr="00526311">
              <w:rPr>
                <w:i/>
                <w:iCs/>
                <w:sz w:val="16"/>
                <w:szCs w:val="16"/>
              </w:rPr>
              <w:t>Referencia original en el presupuesto de 2014/15</w:t>
            </w:r>
            <w:r w:rsidRPr="00526311">
              <w:rPr>
                <w:i/>
                <w:sz w:val="16"/>
                <w:szCs w:val="16"/>
              </w:rPr>
              <w:t>:</w:t>
            </w:r>
            <w:r w:rsidRPr="00526311">
              <w:rPr>
                <w:sz w:val="16"/>
                <w:szCs w:val="16"/>
              </w:rPr>
              <w:t xml:space="preserve"> El Comité se ocupó de 42 recomendaciones en diciembre de 2011</w:t>
            </w:r>
            <w:r w:rsidRPr="00526311">
              <w:t xml:space="preserve"> </w:t>
            </w:r>
          </w:p>
        </w:tc>
        <w:tc>
          <w:tcPr>
            <w:tcW w:w="1060" w:type="pct"/>
            <w:tcBorders>
              <w:top w:val="nil"/>
              <w:bottom w:val="nil"/>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El CDIP debe ocuparse de 45 recomendaciones.</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tc>
        <w:tc>
          <w:tcPr>
            <w:tcW w:w="1059" w:type="pct"/>
            <w:tcBorders>
              <w:top w:val="nil"/>
              <w:bottom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Se abordaron las 45 recomendaciones según consta en el Informe sobre la marcha de las actividades de la A.D. (documento CDIP/14/2)</w:t>
            </w:r>
          </w:p>
        </w:tc>
        <w:tc>
          <w:tcPr>
            <w:tcW w:w="606"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07"/>
              <w:jc w:val="center"/>
              <w:rPr>
                <w:b/>
                <w:bCs/>
                <w:color w:val="00B050"/>
                <w:sz w:val="16"/>
                <w:szCs w:val="16"/>
              </w:rPr>
            </w:pPr>
            <w:r w:rsidRPr="00526311">
              <w:rPr>
                <w:b/>
                <w:bCs/>
                <w:color w:val="00B050"/>
                <w:sz w:val="16"/>
                <w:szCs w:val="16"/>
              </w:rPr>
              <w:t>Avanza</w:t>
            </w:r>
          </w:p>
        </w:tc>
      </w:tr>
      <w:tr w:rsidR="00B45FC3" w:rsidRPr="00526311" w:rsidTr="0063039A">
        <w:trPr>
          <w:cantSplit/>
        </w:trPr>
        <w:tc>
          <w:tcPr>
            <w:tcW w:w="1139" w:type="pct"/>
            <w:tcBorders>
              <w:top w:val="nil"/>
              <w:left w:val="single" w:sz="4" w:space="0" w:color="auto"/>
              <w:bottom w:val="nil"/>
            </w:tcBorders>
            <w:shd w:val="clear" w:color="auto" w:fill="auto"/>
          </w:tcPr>
          <w:p w:rsidR="00B45FC3" w:rsidRPr="00526311" w:rsidRDefault="00B45FC3" w:rsidP="0063039A">
            <w:pPr>
              <w:rPr>
                <w:sz w:val="16"/>
                <w:szCs w:val="16"/>
                <w:highlight w:val="red"/>
                <w:lang w:bidi="th-TH"/>
              </w:rPr>
            </w:pPr>
            <w:r w:rsidRPr="00526311">
              <w:rPr>
                <w:sz w:val="16"/>
                <w:szCs w:val="16"/>
                <w:lang w:bidi="th-TH"/>
              </w:rPr>
              <w:t>Tasa de satisfacción de los Estados miembros con los resultados de los proyectos, actividades y estudios.</w:t>
            </w:r>
          </w:p>
        </w:tc>
        <w:tc>
          <w:tcPr>
            <w:tcW w:w="1136" w:type="pct"/>
            <w:tcBorders>
              <w:top w:val="nil"/>
              <w:bottom w:val="nil"/>
            </w:tcBorders>
            <w:shd w:val="clear" w:color="auto" w:fill="auto"/>
          </w:tcPr>
          <w:p w:rsidR="00B45FC3" w:rsidRPr="00526311" w:rsidRDefault="00B45FC3" w:rsidP="0063039A">
            <w:pPr>
              <w:rPr>
                <w:sz w:val="16"/>
                <w:szCs w:val="16"/>
              </w:rPr>
            </w:pPr>
            <w:r w:rsidRPr="00526311">
              <w:rPr>
                <w:sz w:val="16"/>
                <w:szCs w:val="16"/>
              </w:rPr>
              <w:t>80%</w:t>
            </w:r>
          </w:p>
          <w:p w:rsidR="00B45FC3" w:rsidRPr="00526311" w:rsidRDefault="00B45FC3" w:rsidP="0063039A">
            <w:pPr>
              <w:rPr>
                <w:i/>
                <w:color w:val="002060"/>
                <w:sz w:val="16"/>
                <w:szCs w:val="16"/>
              </w:rPr>
            </w:pPr>
          </w:p>
        </w:tc>
        <w:tc>
          <w:tcPr>
            <w:tcW w:w="1060" w:type="pct"/>
            <w:tcBorders>
              <w:top w:val="nil"/>
              <w:bottom w:val="nil"/>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80%</w:t>
            </w:r>
          </w:p>
        </w:tc>
        <w:tc>
          <w:tcPr>
            <w:tcW w:w="1059" w:type="pct"/>
            <w:tcBorders>
              <w:top w:val="nil"/>
              <w:bottom w:val="nil"/>
            </w:tcBorders>
            <w:shd w:val="clear" w:color="auto" w:fill="FFFFFF"/>
            <w:tcMar>
              <w:top w:w="110" w:type="dxa"/>
            </w:tcMar>
          </w:tcPr>
          <w:p w:rsidR="00B45FC3" w:rsidRPr="00526311" w:rsidRDefault="00B45FC3" w:rsidP="0063039A">
            <w:pPr>
              <w:ind w:right="33"/>
              <w:rPr>
                <w:sz w:val="16"/>
                <w:szCs w:val="16"/>
                <w:lang w:bidi="th-TH"/>
              </w:rPr>
            </w:pPr>
            <w:r w:rsidRPr="00526311">
              <w:rPr>
                <w:sz w:val="16"/>
                <w:szCs w:val="16"/>
              </w:rPr>
              <w:t>Encuesta realizada cada bienio</w:t>
            </w:r>
          </w:p>
        </w:tc>
        <w:tc>
          <w:tcPr>
            <w:tcW w:w="606"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07"/>
              <w:jc w:val="center"/>
              <w:rPr>
                <w:b/>
                <w:bCs/>
                <w:color w:val="00B0F0"/>
                <w:sz w:val="16"/>
                <w:szCs w:val="16"/>
              </w:rPr>
            </w:pPr>
            <w:r w:rsidRPr="00526311">
              <w:rPr>
                <w:b/>
                <w:bCs/>
                <w:color w:val="0070C0"/>
                <w:sz w:val="16"/>
                <w:szCs w:val="16"/>
              </w:rPr>
              <w:t>No disponible para 2014</w:t>
            </w:r>
          </w:p>
        </w:tc>
      </w:tr>
      <w:tr w:rsidR="00B45FC3" w:rsidRPr="00526311" w:rsidTr="0063039A">
        <w:trPr>
          <w:cantSplit/>
        </w:trPr>
        <w:tc>
          <w:tcPr>
            <w:tcW w:w="1139" w:type="pct"/>
            <w:tcBorders>
              <w:top w:val="nil"/>
              <w:left w:val="single" w:sz="4" w:space="0" w:color="auto"/>
              <w:bottom w:val="nil"/>
            </w:tcBorders>
            <w:shd w:val="clear" w:color="auto" w:fill="auto"/>
          </w:tcPr>
          <w:p w:rsidR="00B45FC3" w:rsidRPr="00526311" w:rsidRDefault="00B45FC3" w:rsidP="0063039A">
            <w:pPr>
              <w:rPr>
                <w:sz w:val="16"/>
                <w:szCs w:val="16"/>
                <w:lang w:bidi="th-TH"/>
              </w:rPr>
            </w:pPr>
            <w:r w:rsidRPr="00526311">
              <w:rPr>
                <w:sz w:val="16"/>
                <w:szCs w:val="16"/>
                <w:lang w:bidi="th-TH"/>
              </w:rPr>
              <w:t>Aplicación del mecanismo de coordinación aprobado por los Estados miembros.</w:t>
            </w:r>
          </w:p>
        </w:tc>
        <w:tc>
          <w:tcPr>
            <w:tcW w:w="1136" w:type="pct"/>
            <w:tcBorders>
              <w:top w:val="nil"/>
              <w:bottom w:val="nil"/>
            </w:tcBorders>
            <w:shd w:val="clear" w:color="auto" w:fill="auto"/>
          </w:tcPr>
          <w:p w:rsidR="00B45FC3" w:rsidRPr="00526311" w:rsidRDefault="00B45FC3" w:rsidP="0063039A">
            <w:pPr>
              <w:rPr>
                <w:sz w:val="16"/>
                <w:szCs w:val="16"/>
              </w:rPr>
            </w:pPr>
            <w:r w:rsidRPr="00526311">
              <w:rPr>
                <w:i/>
                <w:iCs/>
                <w:color w:val="002060"/>
                <w:sz w:val="16"/>
                <w:szCs w:val="16"/>
              </w:rPr>
              <w:t>Referencia actualizada a fines de 2013</w:t>
            </w:r>
            <w:r w:rsidRPr="00526311">
              <w:rPr>
                <w:i/>
                <w:color w:val="002060"/>
                <w:sz w:val="16"/>
                <w:szCs w:val="16"/>
              </w:rPr>
              <w:t xml:space="preserve">:  </w:t>
            </w:r>
            <w:r w:rsidRPr="00526311">
              <w:rPr>
                <w:sz w:val="16"/>
                <w:szCs w:val="16"/>
              </w:rPr>
              <w:t xml:space="preserve">Dos informes anuales presentados a las Asambleas, con una descripción de la contribución de los órganos pertinentes de la OMPI a la aplicación de las recomendaciones de la Agenda para el Desarrollo que les conciernen, fueron examinados por el CDIP </w:t>
            </w:r>
            <w:r w:rsidRPr="00526311">
              <w:rPr>
                <w:sz w:val="16"/>
                <w:szCs w:val="16"/>
                <w:lang w:bidi="th-TH"/>
              </w:rPr>
              <w:t>(</w:t>
            </w:r>
            <w:r w:rsidRPr="00526311">
              <w:rPr>
                <w:sz w:val="16"/>
                <w:szCs w:val="16"/>
              </w:rPr>
              <w:t>WO/GA/41/12 y WO/GA/43/10).</w:t>
            </w:r>
            <w:r w:rsidRPr="00526311">
              <w:rPr>
                <w:rStyle w:val="FootnoteReference"/>
                <w:sz w:val="16"/>
                <w:szCs w:val="16"/>
                <w:lang w:bidi="th-TH"/>
              </w:rPr>
              <w:footnoteReference w:id="22"/>
            </w:r>
          </w:p>
          <w:p w:rsidR="00B45FC3" w:rsidRPr="00526311" w:rsidRDefault="00B45FC3" w:rsidP="0063039A">
            <w:pPr>
              <w:rPr>
                <w:i/>
                <w:color w:val="002060"/>
                <w:sz w:val="16"/>
                <w:szCs w:val="16"/>
              </w:rPr>
            </w:pPr>
          </w:p>
          <w:p w:rsidR="00B45FC3" w:rsidRPr="00526311" w:rsidRDefault="00B45FC3" w:rsidP="0063039A">
            <w:pPr>
              <w:rPr>
                <w:sz w:val="16"/>
                <w:szCs w:val="16"/>
                <w:lang w:bidi="th-TH"/>
              </w:rPr>
            </w:pPr>
            <w:r w:rsidRPr="00526311">
              <w:rPr>
                <w:i/>
                <w:iCs/>
                <w:sz w:val="16"/>
                <w:szCs w:val="16"/>
              </w:rPr>
              <w:t>Referencia original en el presupuesto de 2014/15</w:t>
            </w:r>
            <w:r w:rsidRPr="00526311">
              <w:rPr>
                <w:i/>
                <w:sz w:val="16"/>
                <w:szCs w:val="16"/>
              </w:rPr>
              <w:t>:</w:t>
            </w:r>
            <w:r w:rsidRPr="00526311">
              <w:rPr>
                <w:sz w:val="16"/>
                <w:szCs w:val="16"/>
              </w:rPr>
              <w:t xml:space="preserve">  Mecanismos de coordinación y modalidades de supervisión, evaluación y presentación de informes aprobados por el Comité en abril de 2010</w:t>
            </w:r>
          </w:p>
        </w:tc>
        <w:tc>
          <w:tcPr>
            <w:tcW w:w="1060" w:type="pct"/>
            <w:tcBorders>
              <w:top w:val="nil"/>
              <w:bottom w:val="nil"/>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Mecanismos de coordinación aplicados conforme a la decisión de los Estados miembros.</w:t>
            </w:r>
          </w:p>
        </w:tc>
        <w:tc>
          <w:tcPr>
            <w:tcW w:w="1059" w:type="pct"/>
            <w:tcBorders>
              <w:top w:val="nil"/>
              <w:bottom w:val="nil"/>
            </w:tcBorders>
            <w:shd w:val="clear" w:color="auto" w:fill="FFFFFF"/>
            <w:tcMar>
              <w:top w:w="110" w:type="dxa"/>
            </w:tcMar>
          </w:tcPr>
          <w:p w:rsidR="00B45FC3" w:rsidRPr="00526311" w:rsidRDefault="00B45FC3" w:rsidP="0063039A">
            <w:pPr>
              <w:ind w:right="33"/>
              <w:rPr>
                <w:sz w:val="16"/>
                <w:szCs w:val="16"/>
                <w:lang w:bidi="th-TH"/>
              </w:rPr>
            </w:pPr>
            <w:r w:rsidRPr="00526311">
              <w:rPr>
                <w:sz w:val="16"/>
                <w:szCs w:val="16"/>
                <w:lang w:bidi="th-TH"/>
              </w:rPr>
              <w:t xml:space="preserve">Mecanismos de coordinación aplicados conforme a la decisión de los Estados miembros según consta en el Informe del Director General sobre la aplicación de la Agenda para el Desarrollo  (CDIP/15/2) </w:t>
            </w:r>
          </w:p>
        </w:tc>
        <w:tc>
          <w:tcPr>
            <w:tcW w:w="606"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07"/>
              <w:jc w:val="center"/>
              <w:rPr>
                <w:bCs/>
                <w:color w:val="00B050"/>
                <w:sz w:val="16"/>
                <w:szCs w:val="16"/>
              </w:rPr>
            </w:pPr>
            <w:r w:rsidRPr="00526311">
              <w:rPr>
                <w:b/>
                <w:bCs/>
                <w:color w:val="00B050"/>
                <w:sz w:val="16"/>
                <w:szCs w:val="16"/>
              </w:rPr>
              <w:t>Avanza</w:t>
            </w:r>
          </w:p>
        </w:tc>
      </w:tr>
      <w:tr w:rsidR="00B45FC3" w:rsidRPr="00526311" w:rsidTr="0063039A">
        <w:trPr>
          <w:cantSplit/>
        </w:trPr>
        <w:tc>
          <w:tcPr>
            <w:tcW w:w="1139" w:type="pct"/>
            <w:tcBorders>
              <w:top w:val="nil"/>
              <w:left w:val="single" w:sz="4" w:space="0" w:color="auto"/>
              <w:bottom w:val="single" w:sz="4" w:space="0" w:color="auto"/>
            </w:tcBorders>
            <w:shd w:val="clear" w:color="auto" w:fill="auto"/>
          </w:tcPr>
          <w:p w:rsidR="00B45FC3" w:rsidRPr="00526311" w:rsidRDefault="00B45FC3" w:rsidP="0063039A">
            <w:pPr>
              <w:rPr>
                <w:sz w:val="16"/>
                <w:szCs w:val="16"/>
                <w:lang w:bidi="th-TH"/>
              </w:rPr>
            </w:pPr>
            <w:r w:rsidRPr="00526311">
              <w:rPr>
                <w:sz w:val="16"/>
                <w:szCs w:val="16"/>
                <w:lang w:bidi="th-TH"/>
              </w:rPr>
              <w:t>Número de programas que reflejan que las recomendaciones de la A.D. han sido incorporadas en la labor corriente de la OMPI.</w:t>
            </w:r>
          </w:p>
        </w:tc>
        <w:tc>
          <w:tcPr>
            <w:tcW w:w="1136" w:type="pct"/>
            <w:tcBorders>
              <w:top w:val="nil"/>
              <w:bottom w:val="single" w:sz="4" w:space="0" w:color="auto"/>
            </w:tcBorders>
            <w:shd w:val="clear" w:color="auto" w:fill="auto"/>
          </w:tcPr>
          <w:p w:rsidR="00B45FC3" w:rsidRPr="00526311" w:rsidRDefault="00B45FC3" w:rsidP="0063039A">
            <w:pPr>
              <w:rPr>
                <w:color w:val="002060"/>
                <w:sz w:val="16"/>
                <w:szCs w:val="16"/>
                <w:lang w:bidi="th-TH"/>
              </w:rPr>
            </w:pPr>
            <w:r w:rsidRPr="00526311">
              <w:rPr>
                <w:i/>
                <w:iCs/>
                <w:color w:val="002060"/>
                <w:sz w:val="16"/>
                <w:szCs w:val="16"/>
              </w:rPr>
              <w:t>Referencia actualizada a fines de 2013</w:t>
            </w:r>
            <w:r w:rsidRPr="00526311">
              <w:rPr>
                <w:i/>
                <w:color w:val="002060"/>
                <w:sz w:val="16"/>
                <w:szCs w:val="16"/>
              </w:rPr>
              <w:t xml:space="preserve">:  </w:t>
            </w:r>
            <w:r w:rsidRPr="00526311">
              <w:rPr>
                <w:color w:val="002060"/>
                <w:sz w:val="16"/>
                <w:szCs w:val="16"/>
                <w:lang w:bidi="th-TH"/>
              </w:rPr>
              <w:t>23 programas incorporan actividades relacionadas con la A.D. (total o parcialmente)</w:t>
            </w:r>
          </w:p>
          <w:p w:rsidR="00B45FC3" w:rsidRPr="00526311" w:rsidRDefault="00B45FC3" w:rsidP="0063039A">
            <w:pPr>
              <w:rPr>
                <w:i/>
                <w:color w:val="002060"/>
                <w:sz w:val="16"/>
                <w:szCs w:val="16"/>
              </w:rPr>
            </w:pPr>
          </w:p>
          <w:p w:rsidR="00B45FC3" w:rsidRPr="00526311" w:rsidRDefault="00B45FC3" w:rsidP="0063039A">
            <w:pPr>
              <w:rPr>
                <w:i/>
                <w:iCs/>
                <w:sz w:val="16"/>
                <w:szCs w:val="16"/>
              </w:rPr>
            </w:pPr>
            <w:r w:rsidRPr="00526311">
              <w:rPr>
                <w:i/>
                <w:iCs/>
                <w:sz w:val="16"/>
                <w:szCs w:val="16"/>
              </w:rPr>
              <w:t>Referencia original en el</w:t>
            </w:r>
            <w:r w:rsidRPr="00526311">
              <w:rPr>
                <w:i/>
                <w:iCs/>
                <w:sz w:val="16"/>
                <w:szCs w:val="16"/>
              </w:rPr>
              <w:br/>
              <w:t>presupuesto de 2014/15</w:t>
            </w:r>
            <w:r w:rsidRPr="00526311">
              <w:rPr>
                <w:i/>
                <w:sz w:val="16"/>
                <w:szCs w:val="16"/>
              </w:rPr>
              <w:t>:</w:t>
            </w:r>
            <w:r w:rsidRPr="00526311">
              <w:rPr>
                <w:sz w:val="16"/>
                <w:szCs w:val="16"/>
              </w:rPr>
              <w:t xml:space="preserve">  por determinar</w:t>
            </w:r>
          </w:p>
          <w:p w:rsidR="00B45FC3" w:rsidRPr="00526311" w:rsidRDefault="00B45FC3" w:rsidP="0063039A">
            <w:pPr>
              <w:rPr>
                <w:sz w:val="16"/>
                <w:szCs w:val="16"/>
              </w:rPr>
            </w:pPr>
          </w:p>
          <w:p w:rsidR="00B45FC3" w:rsidRPr="00526311" w:rsidRDefault="00B45FC3" w:rsidP="0063039A">
            <w:pPr>
              <w:rPr>
                <w:sz w:val="16"/>
                <w:szCs w:val="16"/>
                <w:lang w:bidi="th-TH"/>
              </w:rPr>
            </w:pPr>
          </w:p>
        </w:tc>
        <w:tc>
          <w:tcPr>
            <w:tcW w:w="1060" w:type="pct"/>
            <w:tcBorders>
              <w:top w:val="nil"/>
              <w:bottom w:val="single" w:sz="4" w:space="0" w:color="auto"/>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20</w:t>
            </w:r>
          </w:p>
        </w:tc>
        <w:tc>
          <w:tcPr>
            <w:tcW w:w="1059" w:type="pct"/>
            <w:tcBorders>
              <w:top w:val="nil"/>
              <w:bottom w:val="single" w:sz="4" w:space="0" w:color="auto"/>
            </w:tcBorders>
            <w:shd w:val="clear" w:color="auto" w:fill="FFFFFF"/>
            <w:tcMar>
              <w:top w:w="110" w:type="dxa"/>
            </w:tcMar>
          </w:tcPr>
          <w:p w:rsidR="00B45FC3" w:rsidRPr="00526311" w:rsidRDefault="00B45FC3" w:rsidP="0063039A">
            <w:pPr>
              <w:ind w:right="33"/>
              <w:rPr>
                <w:sz w:val="16"/>
                <w:szCs w:val="16"/>
              </w:rPr>
            </w:pPr>
            <w:r w:rsidRPr="00526311">
              <w:rPr>
                <w:sz w:val="16"/>
                <w:szCs w:val="16"/>
              </w:rPr>
              <w:t xml:space="preserve">23 programas del </w:t>
            </w:r>
            <w:r w:rsidRPr="00526311">
              <w:rPr>
                <w:iCs/>
                <w:sz w:val="16"/>
                <w:szCs w:val="16"/>
              </w:rPr>
              <w:t>presupuesto de 2014/15</w:t>
            </w:r>
            <w:r w:rsidRPr="00526311">
              <w:rPr>
                <w:sz w:val="16"/>
                <w:szCs w:val="16"/>
              </w:rPr>
              <w:t xml:space="preserve"> reflejan la incorporación de actividades de la A.D. en la labor de la OMPI</w:t>
            </w:r>
          </w:p>
        </w:tc>
        <w:tc>
          <w:tcPr>
            <w:tcW w:w="606" w:type="pct"/>
            <w:gridSpan w:val="2"/>
            <w:tcBorders>
              <w:top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ind w:left="-107"/>
              <w:jc w:val="center"/>
              <w:rPr>
                <w:bCs/>
                <w:color w:val="00B050"/>
                <w:sz w:val="16"/>
                <w:szCs w:val="16"/>
              </w:rPr>
            </w:pPr>
            <w:r w:rsidRPr="00526311">
              <w:rPr>
                <w:b/>
                <w:bCs/>
                <w:color w:val="00B050"/>
                <w:sz w:val="16"/>
                <w:szCs w:val="16"/>
              </w:rPr>
              <w:t>Avanza</w:t>
            </w:r>
          </w:p>
        </w:tc>
      </w:tr>
      <w:tr w:rsidR="00B45FC3" w:rsidRPr="00526311" w:rsidTr="0063039A">
        <w:trPr>
          <w:cantSplit/>
        </w:trPr>
        <w:tc>
          <w:tcPr>
            <w:tcW w:w="1139" w:type="pct"/>
            <w:tcBorders>
              <w:top w:val="single" w:sz="4" w:space="0" w:color="auto"/>
              <w:left w:val="single" w:sz="4" w:space="0" w:color="auto"/>
              <w:bottom w:val="nil"/>
            </w:tcBorders>
            <w:shd w:val="clear" w:color="auto" w:fill="auto"/>
            <w:vAlign w:val="center"/>
          </w:tcPr>
          <w:p w:rsidR="00B45FC3" w:rsidRPr="00526311" w:rsidRDefault="00B45FC3" w:rsidP="0063039A">
            <w:pPr>
              <w:keepNext/>
              <w:keepLines/>
              <w:jc w:val="center"/>
              <w:rPr>
                <w:sz w:val="16"/>
                <w:szCs w:val="16"/>
              </w:rPr>
            </w:pPr>
            <w:r w:rsidRPr="00526311">
              <w:rPr>
                <w:b/>
                <w:sz w:val="16"/>
                <w:szCs w:val="16"/>
              </w:rPr>
              <w:lastRenderedPageBreak/>
              <w:t>Indicadores de rendimiento</w:t>
            </w:r>
          </w:p>
        </w:tc>
        <w:tc>
          <w:tcPr>
            <w:tcW w:w="1136" w:type="pct"/>
            <w:tcBorders>
              <w:top w:val="single" w:sz="4" w:space="0" w:color="auto"/>
              <w:bottom w:val="nil"/>
            </w:tcBorders>
            <w:shd w:val="clear" w:color="auto" w:fill="auto"/>
            <w:vAlign w:val="center"/>
          </w:tcPr>
          <w:p w:rsidR="00B45FC3" w:rsidRPr="00526311" w:rsidRDefault="00B45FC3" w:rsidP="0063039A">
            <w:pPr>
              <w:jc w:val="center"/>
              <w:rPr>
                <w:b/>
                <w:bCs/>
                <w:sz w:val="16"/>
                <w:szCs w:val="16"/>
              </w:rPr>
            </w:pPr>
            <w:r w:rsidRPr="00526311">
              <w:rPr>
                <w:b/>
                <w:bCs/>
                <w:sz w:val="16"/>
                <w:szCs w:val="16"/>
              </w:rPr>
              <w:t>Referencia</w:t>
            </w:r>
          </w:p>
        </w:tc>
        <w:tc>
          <w:tcPr>
            <w:tcW w:w="1060" w:type="pct"/>
            <w:tcBorders>
              <w:top w:val="single" w:sz="4" w:space="0" w:color="auto"/>
              <w:bottom w:val="nil"/>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059" w:type="pct"/>
            <w:tcBorders>
              <w:top w:val="single" w:sz="4" w:space="0" w:color="auto"/>
              <w:bottom w:val="nil"/>
            </w:tcBorders>
            <w:shd w:val="clear" w:color="auto" w:fill="FFFFFF"/>
            <w:tcMar>
              <w:top w:w="110" w:type="dxa"/>
            </w:tcMar>
            <w:vAlign w:val="center"/>
          </w:tcPr>
          <w:p w:rsidR="00B45FC3" w:rsidRPr="00526311" w:rsidRDefault="00B45FC3" w:rsidP="0063039A">
            <w:pPr>
              <w:jc w:val="center"/>
              <w:rPr>
                <w:sz w:val="16"/>
                <w:szCs w:val="16"/>
              </w:rPr>
            </w:pPr>
            <w:r w:rsidRPr="00526311">
              <w:rPr>
                <w:b/>
                <w:sz w:val="16"/>
                <w:szCs w:val="16"/>
              </w:rPr>
              <w:t>Datos sobre el rendimiento</w:t>
            </w:r>
          </w:p>
        </w:tc>
        <w:tc>
          <w:tcPr>
            <w:tcW w:w="606" w:type="pct"/>
            <w:gridSpan w:val="2"/>
            <w:tcBorders>
              <w:top w:val="single" w:sz="4" w:space="0" w:color="auto"/>
              <w:bottom w:val="nil"/>
              <w:right w:val="single" w:sz="4" w:space="0" w:color="auto"/>
            </w:tcBorders>
            <w:shd w:val="clear" w:color="auto" w:fill="auto"/>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rPr>
          <w:cantSplit/>
        </w:trPr>
        <w:tc>
          <w:tcPr>
            <w:tcW w:w="1139" w:type="pct"/>
            <w:tcBorders>
              <w:top w:val="nil"/>
              <w:left w:val="single" w:sz="4" w:space="0" w:color="auto"/>
              <w:bottom w:val="nil"/>
            </w:tcBorders>
            <w:shd w:val="clear" w:color="auto" w:fill="auto"/>
          </w:tcPr>
          <w:p w:rsidR="00B45FC3" w:rsidRPr="00526311" w:rsidRDefault="00B45FC3" w:rsidP="0063039A">
            <w:pPr>
              <w:keepNext/>
              <w:keepLines/>
              <w:rPr>
                <w:sz w:val="16"/>
                <w:szCs w:val="16"/>
                <w:lang w:bidi="th-TH"/>
              </w:rPr>
            </w:pPr>
            <w:r w:rsidRPr="00526311">
              <w:rPr>
                <w:sz w:val="16"/>
                <w:szCs w:val="16"/>
                <w:lang w:bidi="th-TH"/>
              </w:rPr>
              <w:t>Número de proyectos de la A.D. y forma en la que han sido incorporados en la labor corriente de la OMPI (fijación de normas, asistencia técnica y prestación de servicios)</w:t>
            </w:r>
          </w:p>
        </w:tc>
        <w:tc>
          <w:tcPr>
            <w:tcW w:w="1136" w:type="pct"/>
            <w:tcBorders>
              <w:top w:val="nil"/>
              <w:bottom w:val="nil"/>
            </w:tcBorders>
            <w:shd w:val="clear" w:color="auto" w:fill="auto"/>
          </w:tcPr>
          <w:p w:rsidR="00B45FC3" w:rsidRPr="00526311" w:rsidRDefault="00B45FC3" w:rsidP="0063039A">
            <w:pPr>
              <w:rPr>
                <w:color w:val="002060"/>
                <w:sz w:val="16"/>
                <w:szCs w:val="16"/>
                <w:lang w:bidi="th-TH"/>
              </w:rPr>
            </w:pPr>
            <w:r w:rsidRPr="00526311">
              <w:rPr>
                <w:i/>
                <w:iCs/>
                <w:color w:val="002060"/>
                <w:sz w:val="16"/>
                <w:szCs w:val="16"/>
              </w:rPr>
              <w:t>Referencia actualizada a fines de 2013</w:t>
            </w:r>
            <w:r w:rsidRPr="00526311">
              <w:rPr>
                <w:i/>
                <w:color w:val="002060"/>
                <w:sz w:val="16"/>
                <w:szCs w:val="16"/>
              </w:rPr>
              <w:t xml:space="preserve">:  </w:t>
            </w:r>
            <w:r w:rsidRPr="00526311">
              <w:rPr>
                <w:color w:val="002060"/>
                <w:sz w:val="16"/>
                <w:szCs w:val="16"/>
                <w:lang w:bidi="th-TH"/>
              </w:rPr>
              <w:t>6 proyectos de la A.D. han sido incorporados en la labor corriente de la OMPI</w:t>
            </w:r>
          </w:p>
          <w:p w:rsidR="00B45FC3" w:rsidRPr="00526311" w:rsidRDefault="00B45FC3" w:rsidP="0063039A">
            <w:pPr>
              <w:rPr>
                <w:i/>
                <w:color w:val="002060"/>
                <w:sz w:val="16"/>
                <w:szCs w:val="16"/>
              </w:rPr>
            </w:pPr>
          </w:p>
          <w:p w:rsidR="00B45FC3" w:rsidRPr="00526311" w:rsidRDefault="00B45FC3" w:rsidP="0063039A">
            <w:pPr>
              <w:rPr>
                <w:i/>
                <w:color w:val="002060"/>
                <w:sz w:val="16"/>
                <w:szCs w:val="16"/>
              </w:rPr>
            </w:pPr>
            <w:r w:rsidRPr="00526311">
              <w:rPr>
                <w:i/>
                <w:iCs/>
                <w:sz w:val="16"/>
                <w:szCs w:val="16"/>
              </w:rPr>
              <w:t>Referencia original en el</w:t>
            </w:r>
            <w:r w:rsidRPr="00526311">
              <w:rPr>
                <w:i/>
                <w:iCs/>
                <w:sz w:val="16"/>
                <w:szCs w:val="16"/>
              </w:rPr>
              <w:br/>
              <w:t>presupuesto de 2014/15</w:t>
            </w:r>
            <w:r w:rsidRPr="00526311">
              <w:rPr>
                <w:i/>
                <w:sz w:val="16"/>
                <w:szCs w:val="16"/>
              </w:rPr>
              <w:t>:</w:t>
            </w:r>
            <w:r w:rsidRPr="00526311">
              <w:rPr>
                <w:sz w:val="16"/>
                <w:szCs w:val="16"/>
              </w:rPr>
              <w:t xml:space="preserve">  por determinar</w:t>
            </w:r>
          </w:p>
        </w:tc>
        <w:tc>
          <w:tcPr>
            <w:tcW w:w="1060" w:type="pct"/>
            <w:tcBorders>
              <w:top w:val="nil"/>
              <w:bottom w:val="nil"/>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12</w:t>
            </w:r>
          </w:p>
        </w:tc>
        <w:tc>
          <w:tcPr>
            <w:tcW w:w="1059" w:type="pct"/>
            <w:tcBorders>
              <w:top w:val="nil"/>
              <w:bottom w:val="nil"/>
            </w:tcBorders>
            <w:shd w:val="clear" w:color="auto" w:fill="FFFFFF"/>
            <w:tcMar>
              <w:top w:w="110" w:type="dxa"/>
            </w:tcMar>
          </w:tcPr>
          <w:p w:rsidR="00B45FC3" w:rsidRPr="00526311" w:rsidRDefault="00B45FC3" w:rsidP="0063039A">
            <w:pPr>
              <w:rPr>
                <w:sz w:val="16"/>
                <w:szCs w:val="16"/>
              </w:rPr>
            </w:pPr>
            <w:r w:rsidRPr="00526311">
              <w:rPr>
                <w:sz w:val="16"/>
                <w:szCs w:val="16"/>
              </w:rPr>
              <w:t>4 nuevos proyectos de la A.D. fueron incorporados en la labor (10 (en total)).</w:t>
            </w:r>
          </w:p>
          <w:p w:rsidR="00B45FC3" w:rsidRPr="00526311" w:rsidRDefault="00B45FC3" w:rsidP="00B45FC3">
            <w:pPr>
              <w:pStyle w:val="ListParagraph"/>
              <w:numPr>
                <w:ilvl w:val="0"/>
                <w:numId w:val="48"/>
              </w:numPr>
              <w:ind w:left="172" w:right="-107" w:hanging="172"/>
              <w:rPr>
                <w:rFonts w:cs="Arial"/>
                <w:sz w:val="16"/>
                <w:szCs w:val="16"/>
                <w:lang w:val="es-ES"/>
              </w:rPr>
            </w:pPr>
            <w:r w:rsidRPr="00526311">
              <w:rPr>
                <w:rFonts w:cs="Arial"/>
                <w:sz w:val="16"/>
                <w:szCs w:val="16"/>
                <w:lang w:val="es-ES"/>
              </w:rPr>
              <w:t>Creación de academias nacionales, programa 11  (asistencia técnica y fortalecimiento de capacidades)</w:t>
            </w:r>
          </w:p>
          <w:p w:rsidR="00B45FC3" w:rsidRPr="00526311" w:rsidRDefault="00B45FC3" w:rsidP="00B45FC3">
            <w:pPr>
              <w:pStyle w:val="ListParagraph"/>
              <w:numPr>
                <w:ilvl w:val="0"/>
                <w:numId w:val="48"/>
              </w:numPr>
              <w:ind w:left="172" w:right="-107" w:hanging="172"/>
              <w:rPr>
                <w:rFonts w:cs="Arial"/>
                <w:sz w:val="16"/>
                <w:szCs w:val="16"/>
                <w:lang w:val="es-ES"/>
              </w:rPr>
            </w:pPr>
            <w:r w:rsidRPr="00526311">
              <w:rPr>
                <w:rFonts w:cs="Arial"/>
                <w:sz w:val="16"/>
                <w:szCs w:val="16"/>
                <w:lang w:val="es-ES"/>
              </w:rPr>
              <w:t>Acceso a bases de datos especializadas y mantenimiento, programa 14  (asistencia técnica)</w:t>
            </w:r>
          </w:p>
          <w:p w:rsidR="00B45FC3" w:rsidRPr="00526311" w:rsidRDefault="00B45FC3" w:rsidP="00B45FC3">
            <w:pPr>
              <w:pStyle w:val="ListParagraph"/>
              <w:numPr>
                <w:ilvl w:val="0"/>
                <w:numId w:val="48"/>
              </w:numPr>
              <w:ind w:left="172" w:right="-107" w:hanging="172"/>
              <w:rPr>
                <w:rFonts w:cs="Arial"/>
                <w:sz w:val="16"/>
                <w:szCs w:val="16"/>
                <w:lang w:val="es-ES"/>
              </w:rPr>
            </w:pPr>
            <w:r w:rsidRPr="00526311">
              <w:rPr>
                <w:rFonts w:cs="Arial"/>
                <w:sz w:val="16"/>
                <w:szCs w:val="16"/>
                <w:lang w:val="es-ES"/>
              </w:rPr>
              <w:t>Creación de instrumentos de acceso a la información sobre patentes, programa 14 (acceso al conocimiento)</w:t>
            </w:r>
          </w:p>
          <w:p w:rsidR="00B45FC3" w:rsidRPr="00526311" w:rsidRDefault="00B45FC3" w:rsidP="00B45FC3">
            <w:pPr>
              <w:pStyle w:val="ListParagraph"/>
              <w:numPr>
                <w:ilvl w:val="0"/>
                <w:numId w:val="48"/>
              </w:numPr>
              <w:ind w:left="172" w:right="-107" w:hanging="172"/>
              <w:rPr>
                <w:rFonts w:cs="Arial"/>
                <w:sz w:val="16"/>
                <w:szCs w:val="16"/>
                <w:lang w:val="es-ES"/>
              </w:rPr>
            </w:pPr>
            <w:r w:rsidRPr="00526311">
              <w:rPr>
                <w:rFonts w:cs="Arial"/>
                <w:sz w:val="16"/>
                <w:szCs w:val="16"/>
                <w:lang w:val="es-ES"/>
              </w:rPr>
              <w:t>La P.I. y el fomento de las marcas de producto, programa 9  (asistencia técnica y fortalecimiento de capacidades)</w:t>
            </w:r>
          </w:p>
        </w:tc>
        <w:tc>
          <w:tcPr>
            <w:tcW w:w="606"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jc w:val="center"/>
              <w:rPr>
                <w:bCs/>
                <w:color w:val="00B050"/>
                <w:sz w:val="16"/>
                <w:szCs w:val="16"/>
              </w:rPr>
            </w:pPr>
            <w:r w:rsidRPr="00526311">
              <w:rPr>
                <w:b/>
                <w:bCs/>
                <w:color w:val="00B050"/>
                <w:sz w:val="16"/>
                <w:szCs w:val="16"/>
              </w:rPr>
              <w:t>Avanza</w:t>
            </w:r>
          </w:p>
        </w:tc>
      </w:tr>
      <w:tr w:rsidR="00B45FC3" w:rsidRPr="00526311" w:rsidTr="0063039A">
        <w:trPr>
          <w:cantSplit/>
        </w:trPr>
        <w:tc>
          <w:tcPr>
            <w:tcW w:w="1139" w:type="pct"/>
            <w:tcBorders>
              <w:top w:val="nil"/>
              <w:left w:val="single" w:sz="4" w:space="0" w:color="auto"/>
              <w:bottom w:val="nil"/>
            </w:tcBorders>
            <w:shd w:val="clear" w:color="auto" w:fill="auto"/>
          </w:tcPr>
          <w:p w:rsidR="00B45FC3" w:rsidRPr="00526311" w:rsidRDefault="00B45FC3" w:rsidP="0063039A">
            <w:pPr>
              <w:rPr>
                <w:sz w:val="16"/>
                <w:szCs w:val="16"/>
                <w:lang w:bidi="th-TH"/>
              </w:rPr>
            </w:pPr>
            <w:r w:rsidRPr="00526311">
              <w:rPr>
                <w:sz w:val="16"/>
                <w:szCs w:val="16"/>
                <w:lang w:bidi="th-TH"/>
              </w:rPr>
              <w:t>Sistema eficaz instalado para la planificación, el seguimiento y la evaluación de la aplicación de las recomendaciones de la A.D.</w:t>
            </w:r>
          </w:p>
        </w:tc>
        <w:tc>
          <w:tcPr>
            <w:tcW w:w="1136" w:type="pct"/>
            <w:tcBorders>
              <w:top w:val="nil"/>
              <w:bottom w:val="nil"/>
            </w:tcBorders>
            <w:shd w:val="clear" w:color="auto" w:fill="auto"/>
          </w:tcPr>
          <w:p w:rsidR="00B45FC3" w:rsidRPr="00526311" w:rsidRDefault="00B45FC3" w:rsidP="0063039A">
            <w:pPr>
              <w:rPr>
                <w:color w:val="002060"/>
                <w:sz w:val="16"/>
                <w:szCs w:val="16"/>
              </w:rPr>
            </w:pPr>
            <w:r w:rsidRPr="00526311">
              <w:rPr>
                <w:i/>
                <w:iCs/>
                <w:color w:val="002060"/>
                <w:sz w:val="16"/>
                <w:szCs w:val="16"/>
              </w:rPr>
              <w:t>Referencia actualizada a fines de 2013</w:t>
            </w:r>
            <w:r w:rsidRPr="00526311">
              <w:rPr>
                <w:i/>
                <w:color w:val="002060"/>
                <w:sz w:val="16"/>
                <w:szCs w:val="16"/>
              </w:rPr>
              <w:t xml:space="preserve">:  </w:t>
            </w:r>
            <w:r w:rsidRPr="00526311">
              <w:rPr>
                <w:color w:val="002060"/>
                <w:sz w:val="16"/>
                <w:szCs w:val="16"/>
              </w:rPr>
              <w:t>Sistema centralizado y eficaz para la planificación, el seguimiento y la evaluación de la aplicación de las recomendaciones de la A.D.</w:t>
            </w:r>
          </w:p>
          <w:p w:rsidR="00B45FC3" w:rsidRPr="00526311" w:rsidRDefault="00B45FC3" w:rsidP="0063039A">
            <w:pPr>
              <w:rPr>
                <w:i/>
                <w:color w:val="002060"/>
                <w:sz w:val="16"/>
                <w:szCs w:val="16"/>
              </w:rPr>
            </w:pPr>
          </w:p>
          <w:p w:rsidR="00B45FC3" w:rsidRPr="00526311" w:rsidRDefault="00B45FC3" w:rsidP="0063039A">
            <w:pPr>
              <w:rPr>
                <w:sz w:val="16"/>
                <w:szCs w:val="16"/>
              </w:rPr>
            </w:pPr>
            <w:r w:rsidRPr="00526311">
              <w:rPr>
                <w:i/>
                <w:iCs/>
                <w:sz w:val="16"/>
                <w:szCs w:val="16"/>
              </w:rPr>
              <w:t>Referencia original en el presupuesto de 2014/15</w:t>
            </w:r>
            <w:r w:rsidRPr="00526311">
              <w:rPr>
                <w:i/>
                <w:sz w:val="16"/>
                <w:szCs w:val="16"/>
              </w:rPr>
              <w:t>:</w:t>
            </w:r>
            <w:r w:rsidRPr="00526311">
              <w:rPr>
                <w:sz w:val="16"/>
                <w:szCs w:val="16"/>
              </w:rPr>
              <w:t xml:space="preserve">  por determinar</w:t>
            </w:r>
          </w:p>
          <w:p w:rsidR="00B45FC3" w:rsidRPr="00526311" w:rsidRDefault="00B45FC3" w:rsidP="0063039A">
            <w:pPr>
              <w:rPr>
                <w:i/>
                <w:color w:val="002060"/>
                <w:sz w:val="16"/>
                <w:szCs w:val="16"/>
              </w:rPr>
            </w:pPr>
          </w:p>
        </w:tc>
        <w:tc>
          <w:tcPr>
            <w:tcW w:w="1060" w:type="pct"/>
            <w:tcBorders>
              <w:top w:val="nil"/>
              <w:bottom w:val="nil"/>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Todos los programas disponen de un sistema eficaz de planificación, seguimiento y evaluación de la aplicación de las recomendaciones de la A.D.</w:t>
            </w:r>
          </w:p>
        </w:tc>
        <w:tc>
          <w:tcPr>
            <w:tcW w:w="1059" w:type="pct"/>
            <w:tcBorders>
              <w:top w:val="nil"/>
              <w:bottom w:val="nil"/>
            </w:tcBorders>
            <w:shd w:val="clear" w:color="auto" w:fill="FFFFFF"/>
            <w:tcMar>
              <w:top w:w="110" w:type="dxa"/>
            </w:tcMar>
          </w:tcPr>
          <w:p w:rsidR="00B45FC3" w:rsidRPr="00526311" w:rsidRDefault="00B45FC3" w:rsidP="0063039A">
            <w:pPr>
              <w:rPr>
                <w:sz w:val="16"/>
                <w:szCs w:val="16"/>
              </w:rPr>
            </w:pPr>
            <w:r w:rsidRPr="00526311">
              <w:rPr>
                <w:sz w:val="16"/>
                <w:szCs w:val="16"/>
              </w:rPr>
              <w:t>Todos los programas pertinentes disponen de un sistema eficaz para la planificación, el seguimiento y la evaluación de la aplicación de las recomendaciones de la A.D.</w:t>
            </w:r>
          </w:p>
        </w:tc>
        <w:tc>
          <w:tcPr>
            <w:tcW w:w="606"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33"/>
              <w:jc w:val="center"/>
              <w:rPr>
                <w:bCs/>
                <w:color w:val="00B050"/>
                <w:sz w:val="16"/>
                <w:szCs w:val="16"/>
              </w:rPr>
            </w:pPr>
            <w:r w:rsidRPr="00526311">
              <w:rPr>
                <w:b/>
                <w:bCs/>
                <w:color w:val="00B050"/>
                <w:sz w:val="16"/>
                <w:szCs w:val="16"/>
              </w:rPr>
              <w:t>Avanza</w:t>
            </w:r>
          </w:p>
        </w:tc>
      </w:tr>
      <w:tr w:rsidR="00B45FC3" w:rsidRPr="00526311" w:rsidTr="0063039A">
        <w:trPr>
          <w:cantSplit/>
        </w:trPr>
        <w:tc>
          <w:tcPr>
            <w:tcW w:w="1139" w:type="pct"/>
            <w:tcBorders>
              <w:top w:val="nil"/>
              <w:left w:val="single" w:sz="4" w:space="0" w:color="auto"/>
              <w:bottom w:val="single" w:sz="4" w:space="0" w:color="auto"/>
            </w:tcBorders>
            <w:shd w:val="clear" w:color="auto" w:fill="auto"/>
          </w:tcPr>
          <w:p w:rsidR="00B45FC3" w:rsidRPr="00526311" w:rsidRDefault="00B45FC3" w:rsidP="0063039A">
            <w:pPr>
              <w:rPr>
                <w:sz w:val="16"/>
                <w:szCs w:val="16"/>
                <w:highlight w:val="yellow"/>
                <w:lang w:bidi="th-TH"/>
              </w:rPr>
            </w:pPr>
            <w:r w:rsidRPr="00526311">
              <w:rPr>
                <w:sz w:val="16"/>
                <w:szCs w:val="16"/>
                <w:lang w:bidi="th-TH"/>
              </w:rPr>
              <w:t>Porcentaje de proyectos de la A.D. que han sido evaluados en forma independiente.</w:t>
            </w:r>
          </w:p>
        </w:tc>
        <w:tc>
          <w:tcPr>
            <w:tcW w:w="1136" w:type="pct"/>
            <w:tcBorders>
              <w:top w:val="nil"/>
              <w:bottom w:val="single" w:sz="4" w:space="0" w:color="auto"/>
            </w:tcBorders>
            <w:shd w:val="clear" w:color="auto" w:fill="auto"/>
          </w:tcPr>
          <w:p w:rsidR="00B45FC3" w:rsidRPr="00526311" w:rsidRDefault="00B45FC3" w:rsidP="0063039A">
            <w:pPr>
              <w:rPr>
                <w:color w:val="002060"/>
                <w:sz w:val="16"/>
                <w:szCs w:val="16"/>
                <w:lang w:bidi="th-TH"/>
              </w:rPr>
            </w:pPr>
            <w:r w:rsidRPr="00526311">
              <w:rPr>
                <w:i/>
                <w:iCs/>
                <w:color w:val="002060"/>
                <w:sz w:val="16"/>
                <w:szCs w:val="16"/>
              </w:rPr>
              <w:t>Referencia actualizada a fines de 2013</w:t>
            </w:r>
            <w:r w:rsidRPr="00526311">
              <w:rPr>
                <w:i/>
                <w:color w:val="002060"/>
                <w:sz w:val="16"/>
                <w:szCs w:val="16"/>
              </w:rPr>
              <w:t>:</w:t>
            </w:r>
            <w:r w:rsidRPr="00526311">
              <w:rPr>
                <w:i/>
                <w:sz w:val="16"/>
                <w:szCs w:val="16"/>
              </w:rPr>
              <w:t xml:space="preserve">  </w:t>
            </w:r>
            <w:r w:rsidRPr="00526311">
              <w:rPr>
                <w:sz w:val="16"/>
                <w:szCs w:val="16"/>
              </w:rPr>
              <w:t>100%;  el CDIP examinó 14 informes de evaluación</w:t>
            </w:r>
            <w:r w:rsidRPr="00526311">
              <w:rPr>
                <w:sz w:val="16"/>
                <w:szCs w:val="16"/>
                <w:lang w:bidi="th-TH"/>
              </w:rPr>
              <w:t xml:space="preserve"> (proyectos evaluados durante el bienio 2012/13).</w:t>
            </w:r>
          </w:p>
          <w:p w:rsidR="00B45FC3" w:rsidRPr="00526311" w:rsidRDefault="00B45FC3" w:rsidP="0063039A">
            <w:pPr>
              <w:rPr>
                <w:i/>
                <w:color w:val="002060"/>
                <w:sz w:val="16"/>
                <w:szCs w:val="16"/>
              </w:rPr>
            </w:pPr>
          </w:p>
          <w:p w:rsidR="00B45FC3" w:rsidRPr="00526311" w:rsidRDefault="00B45FC3" w:rsidP="0063039A">
            <w:pPr>
              <w:rPr>
                <w:sz w:val="16"/>
                <w:szCs w:val="16"/>
              </w:rPr>
            </w:pPr>
            <w:r w:rsidRPr="00526311">
              <w:rPr>
                <w:i/>
                <w:iCs/>
                <w:sz w:val="16"/>
                <w:szCs w:val="16"/>
              </w:rPr>
              <w:t>Referencia original en el presupuesto de 2014/15</w:t>
            </w:r>
            <w:r w:rsidRPr="00526311">
              <w:rPr>
                <w:i/>
                <w:sz w:val="16"/>
                <w:szCs w:val="16"/>
              </w:rPr>
              <w:t>:</w:t>
            </w:r>
            <w:r w:rsidRPr="00526311">
              <w:rPr>
                <w:sz w:val="16"/>
                <w:szCs w:val="16"/>
              </w:rPr>
              <w:t xml:space="preserve">  100%</w:t>
            </w:r>
            <w:r w:rsidRPr="00526311">
              <w:rPr>
                <w:sz w:val="16"/>
                <w:szCs w:val="16"/>
              </w:rPr>
              <w:br/>
            </w:r>
          </w:p>
        </w:tc>
        <w:tc>
          <w:tcPr>
            <w:tcW w:w="1060" w:type="pct"/>
            <w:tcBorders>
              <w:top w:val="nil"/>
              <w:bottom w:val="single" w:sz="4" w:space="0" w:color="auto"/>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100%</w:t>
            </w:r>
          </w:p>
        </w:tc>
        <w:tc>
          <w:tcPr>
            <w:tcW w:w="1059" w:type="pct"/>
            <w:tcBorders>
              <w:top w:val="nil"/>
              <w:bottom w:val="single" w:sz="4" w:space="0" w:color="auto"/>
            </w:tcBorders>
            <w:shd w:val="clear" w:color="auto" w:fill="FFFFFF"/>
            <w:tcMar>
              <w:top w:w="110" w:type="dxa"/>
            </w:tcMar>
          </w:tcPr>
          <w:p w:rsidR="00B45FC3" w:rsidRPr="00526311" w:rsidRDefault="00B45FC3" w:rsidP="0063039A">
            <w:pPr>
              <w:rPr>
                <w:sz w:val="16"/>
                <w:szCs w:val="16"/>
              </w:rPr>
            </w:pPr>
            <w:r w:rsidRPr="00526311">
              <w:rPr>
                <w:sz w:val="16"/>
                <w:szCs w:val="16"/>
              </w:rPr>
              <w:t>100%: ocho proyectos terminados fueron evaluados en forma independiente y examinados por el CDIP en 2014.</w:t>
            </w:r>
          </w:p>
        </w:tc>
        <w:tc>
          <w:tcPr>
            <w:tcW w:w="606" w:type="pct"/>
            <w:gridSpan w:val="2"/>
            <w:tcBorders>
              <w:top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ind w:left="33"/>
              <w:jc w:val="center"/>
              <w:rPr>
                <w:b/>
                <w:bCs/>
                <w:color w:val="00B050"/>
                <w:sz w:val="16"/>
                <w:szCs w:val="16"/>
              </w:rPr>
            </w:pPr>
            <w:r w:rsidRPr="00526311">
              <w:rPr>
                <w:b/>
                <w:bCs/>
                <w:color w:val="00B050"/>
                <w:sz w:val="16"/>
                <w:szCs w:val="16"/>
              </w:rPr>
              <w:t>Avanza</w:t>
            </w:r>
          </w:p>
        </w:tc>
      </w:tr>
      <w:tr w:rsidR="00B45FC3" w:rsidRPr="00526311" w:rsidTr="0063039A">
        <w:trPr>
          <w:cantSplit/>
        </w:trPr>
        <w:tc>
          <w:tcPr>
            <w:tcW w:w="5000" w:type="pct"/>
            <w:gridSpan w:val="6"/>
            <w:tcBorders>
              <w:top w:val="single" w:sz="4" w:space="0" w:color="auto"/>
              <w:left w:val="single" w:sz="4" w:space="0" w:color="auto"/>
              <w:bottom w:val="single" w:sz="4" w:space="0" w:color="auto"/>
              <w:right w:val="single" w:sz="4" w:space="0" w:color="auto"/>
            </w:tcBorders>
            <w:shd w:val="clear" w:color="auto" w:fill="CCFFFF"/>
            <w:vAlign w:val="center"/>
          </w:tcPr>
          <w:p w:rsidR="00B45FC3" w:rsidRPr="00526311" w:rsidRDefault="00B45FC3" w:rsidP="0063039A">
            <w:pPr>
              <w:tabs>
                <w:tab w:val="left" w:pos="1735"/>
              </w:tabs>
              <w:spacing w:before="120" w:after="120"/>
              <w:ind w:left="1735" w:hanging="1735"/>
              <w:jc w:val="both"/>
              <w:rPr>
                <w:b/>
                <w:bCs/>
                <w:sz w:val="16"/>
                <w:szCs w:val="16"/>
              </w:rPr>
            </w:pPr>
            <w:r w:rsidRPr="00526311">
              <w:rPr>
                <w:b/>
                <w:bCs/>
                <w:sz w:val="16"/>
                <w:szCs w:val="16"/>
              </w:rPr>
              <w:t>Resultado previsto:</w:t>
            </w:r>
            <w:r w:rsidRPr="00526311">
              <w:rPr>
                <w:b/>
                <w:bCs/>
                <w:sz w:val="16"/>
                <w:szCs w:val="16"/>
              </w:rPr>
              <w:tab/>
            </w:r>
            <w:r w:rsidRPr="00526311">
              <w:rPr>
                <w:sz w:val="16"/>
                <w:szCs w:val="16"/>
                <w:lang w:bidi="th-TH"/>
              </w:rPr>
              <w:t xml:space="preserve">III.5 Mejor comprensión de la Agenda para el Desarrollo por los Estados miembros, las OIG, la sociedad civil y demás partes interesadas </w:t>
            </w:r>
          </w:p>
        </w:tc>
      </w:tr>
      <w:tr w:rsidR="00B45FC3" w:rsidRPr="00526311" w:rsidTr="0063039A">
        <w:trPr>
          <w:cantSplit/>
        </w:trPr>
        <w:tc>
          <w:tcPr>
            <w:tcW w:w="1139" w:type="pct"/>
            <w:tcBorders>
              <w:top w:val="single" w:sz="4" w:space="0" w:color="auto"/>
              <w:left w:val="single" w:sz="4" w:space="0" w:color="auto"/>
              <w:bottom w:val="nil"/>
            </w:tcBorders>
            <w:shd w:val="clear" w:color="auto" w:fill="auto"/>
            <w:vAlign w:val="center"/>
          </w:tcPr>
          <w:p w:rsidR="00B45FC3" w:rsidRPr="00526311" w:rsidRDefault="00B45FC3" w:rsidP="0063039A">
            <w:pPr>
              <w:spacing w:after="40"/>
              <w:rPr>
                <w:sz w:val="16"/>
                <w:szCs w:val="16"/>
              </w:rPr>
            </w:pPr>
            <w:r w:rsidRPr="00526311">
              <w:rPr>
                <w:b/>
                <w:sz w:val="16"/>
                <w:szCs w:val="16"/>
              </w:rPr>
              <w:t>Indicadores de rendimiento</w:t>
            </w:r>
          </w:p>
        </w:tc>
        <w:tc>
          <w:tcPr>
            <w:tcW w:w="1136" w:type="pct"/>
            <w:tcBorders>
              <w:top w:val="single" w:sz="4" w:space="0" w:color="auto"/>
              <w:bottom w:val="nil"/>
            </w:tcBorders>
            <w:shd w:val="clear" w:color="auto" w:fill="auto"/>
            <w:vAlign w:val="center"/>
          </w:tcPr>
          <w:p w:rsidR="00B45FC3" w:rsidRPr="00526311" w:rsidRDefault="00B45FC3" w:rsidP="0063039A">
            <w:pPr>
              <w:spacing w:after="40"/>
              <w:rPr>
                <w:b/>
                <w:bCs/>
                <w:sz w:val="16"/>
                <w:szCs w:val="16"/>
              </w:rPr>
            </w:pPr>
            <w:r w:rsidRPr="00526311">
              <w:rPr>
                <w:b/>
                <w:bCs/>
                <w:sz w:val="16"/>
                <w:szCs w:val="16"/>
              </w:rPr>
              <w:t>Referencia</w:t>
            </w:r>
          </w:p>
        </w:tc>
        <w:tc>
          <w:tcPr>
            <w:tcW w:w="1060" w:type="pct"/>
            <w:tcBorders>
              <w:top w:val="single" w:sz="4" w:space="0" w:color="auto"/>
              <w:bottom w:val="nil"/>
            </w:tcBorders>
            <w:shd w:val="clear" w:color="auto" w:fill="auto"/>
            <w:tcMar>
              <w:top w:w="110" w:type="dxa"/>
            </w:tcMar>
            <w:vAlign w:val="center"/>
          </w:tcPr>
          <w:p w:rsidR="00B45FC3" w:rsidRPr="00526311" w:rsidRDefault="00B45FC3" w:rsidP="0063039A">
            <w:pPr>
              <w:spacing w:after="40"/>
              <w:rPr>
                <w:b/>
                <w:sz w:val="16"/>
                <w:szCs w:val="16"/>
              </w:rPr>
            </w:pPr>
            <w:r w:rsidRPr="00526311">
              <w:rPr>
                <w:b/>
                <w:sz w:val="16"/>
                <w:szCs w:val="16"/>
              </w:rPr>
              <w:t>Objetivos</w:t>
            </w:r>
          </w:p>
        </w:tc>
        <w:tc>
          <w:tcPr>
            <w:tcW w:w="1134" w:type="pct"/>
            <w:gridSpan w:val="2"/>
            <w:tcBorders>
              <w:top w:val="single" w:sz="4" w:space="0" w:color="auto"/>
              <w:bottom w:val="nil"/>
            </w:tcBorders>
            <w:shd w:val="clear" w:color="auto" w:fill="FFFFFF"/>
            <w:tcMar>
              <w:top w:w="110" w:type="dxa"/>
            </w:tcMar>
            <w:vAlign w:val="center"/>
          </w:tcPr>
          <w:p w:rsidR="00B45FC3" w:rsidRPr="00526311" w:rsidRDefault="00B45FC3" w:rsidP="0063039A">
            <w:pPr>
              <w:spacing w:after="40"/>
              <w:rPr>
                <w:sz w:val="16"/>
                <w:szCs w:val="16"/>
              </w:rPr>
            </w:pPr>
            <w:r w:rsidRPr="00526311">
              <w:rPr>
                <w:b/>
                <w:sz w:val="16"/>
                <w:szCs w:val="16"/>
              </w:rPr>
              <w:t>Datos sobre el rendimiento</w:t>
            </w:r>
          </w:p>
        </w:tc>
        <w:tc>
          <w:tcPr>
            <w:tcW w:w="531" w:type="pct"/>
            <w:tcBorders>
              <w:top w:val="single" w:sz="4" w:space="0" w:color="auto"/>
              <w:bottom w:val="nil"/>
              <w:right w:val="single" w:sz="4" w:space="0" w:color="auto"/>
            </w:tcBorders>
            <w:shd w:val="clear" w:color="auto" w:fill="auto"/>
            <w:tcMar>
              <w:top w:w="110" w:type="dxa"/>
            </w:tcMar>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rPr>
          <w:cantSplit/>
        </w:trPr>
        <w:tc>
          <w:tcPr>
            <w:tcW w:w="1139" w:type="pct"/>
            <w:tcBorders>
              <w:top w:val="nil"/>
              <w:left w:val="single" w:sz="4" w:space="0" w:color="auto"/>
              <w:bottom w:val="single" w:sz="4" w:space="0" w:color="auto"/>
            </w:tcBorders>
            <w:shd w:val="clear" w:color="auto" w:fill="FFFFFF"/>
          </w:tcPr>
          <w:p w:rsidR="00B45FC3" w:rsidRPr="00526311" w:rsidRDefault="00B45FC3" w:rsidP="0063039A">
            <w:pPr>
              <w:rPr>
                <w:sz w:val="16"/>
                <w:szCs w:val="16"/>
                <w:lang w:bidi="th-TH"/>
              </w:rPr>
            </w:pPr>
            <w:r w:rsidRPr="00526311">
              <w:rPr>
                <w:sz w:val="16"/>
                <w:szCs w:val="16"/>
                <w:lang w:bidi="th-TH"/>
              </w:rPr>
              <w:t>Número de países que piden asistencia técnica por conducto de proyectos de la A.D. y que manifiestan interés en actividades relacionadas con la A.D.</w:t>
            </w:r>
          </w:p>
        </w:tc>
        <w:tc>
          <w:tcPr>
            <w:tcW w:w="1136" w:type="pct"/>
            <w:tcBorders>
              <w:top w:val="nil"/>
              <w:bottom w:val="single" w:sz="4" w:space="0" w:color="auto"/>
            </w:tcBorders>
            <w:shd w:val="clear" w:color="auto" w:fill="auto"/>
          </w:tcPr>
          <w:p w:rsidR="00B45FC3" w:rsidRPr="00526311" w:rsidRDefault="00B45FC3" w:rsidP="0063039A">
            <w:pPr>
              <w:rPr>
                <w:sz w:val="16"/>
                <w:szCs w:val="16"/>
                <w:lang w:bidi="th-TH"/>
              </w:rPr>
            </w:pPr>
            <w:r w:rsidRPr="00526311">
              <w:rPr>
                <w:i/>
                <w:color w:val="002060"/>
                <w:sz w:val="16"/>
                <w:szCs w:val="16"/>
                <w:lang w:bidi="th-TH"/>
              </w:rPr>
              <w:t>Referencia actualizada a fines de 2013</w:t>
            </w:r>
            <w:r w:rsidRPr="00526311">
              <w:rPr>
                <w:i/>
                <w:sz w:val="16"/>
                <w:szCs w:val="16"/>
                <w:lang w:bidi="th-TH"/>
              </w:rPr>
              <w:t xml:space="preserve">:  </w:t>
            </w:r>
            <w:r w:rsidRPr="00526311">
              <w:rPr>
                <w:sz w:val="16"/>
                <w:szCs w:val="16"/>
                <w:lang w:bidi="th-TH"/>
              </w:rPr>
              <w:t xml:space="preserve">Proyectos y actividades relacionados con la A.D. en </w:t>
            </w:r>
            <w:r w:rsidRPr="00526311">
              <w:rPr>
                <w:color w:val="002060"/>
                <w:sz w:val="16"/>
                <w:szCs w:val="16"/>
                <w:lang w:bidi="th-TH"/>
              </w:rPr>
              <w:t>50 países</w:t>
            </w:r>
          </w:p>
          <w:p w:rsidR="00B45FC3" w:rsidRPr="00526311" w:rsidRDefault="00B45FC3" w:rsidP="0063039A">
            <w:pPr>
              <w:rPr>
                <w:i/>
                <w:sz w:val="16"/>
                <w:szCs w:val="16"/>
              </w:rPr>
            </w:pPr>
          </w:p>
          <w:p w:rsidR="00B45FC3" w:rsidRPr="00526311" w:rsidRDefault="00B45FC3" w:rsidP="0063039A">
            <w:pPr>
              <w:rPr>
                <w:sz w:val="16"/>
                <w:szCs w:val="16"/>
                <w:lang w:bidi="th-TH"/>
              </w:rPr>
            </w:pPr>
            <w:r w:rsidRPr="00526311">
              <w:rPr>
                <w:i/>
                <w:iCs/>
                <w:sz w:val="16"/>
                <w:szCs w:val="16"/>
              </w:rPr>
              <w:t>Referencia original en el presupuesto de 2014/15</w:t>
            </w:r>
            <w:r w:rsidRPr="00526311">
              <w:rPr>
                <w:i/>
                <w:sz w:val="16"/>
                <w:szCs w:val="16"/>
              </w:rPr>
              <w:t>:</w:t>
            </w:r>
            <w:r w:rsidRPr="00526311">
              <w:rPr>
                <w:sz w:val="16"/>
                <w:szCs w:val="16"/>
              </w:rPr>
              <w:t xml:space="preserve">  Proyectos y actividades relacionados con la A.D. en 43 países (abril de 2013)</w:t>
            </w:r>
            <w:r w:rsidRPr="00526311">
              <w:rPr>
                <w:sz w:val="16"/>
                <w:szCs w:val="16"/>
              </w:rPr>
              <w:br/>
            </w:r>
          </w:p>
        </w:tc>
        <w:tc>
          <w:tcPr>
            <w:tcW w:w="1060" w:type="pct"/>
            <w:tcBorders>
              <w:top w:val="nil"/>
              <w:bottom w:val="single" w:sz="4" w:space="0" w:color="auto"/>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Proyectos y actividades relacionados con la A. D. en 50 países.</w:t>
            </w:r>
          </w:p>
        </w:tc>
        <w:tc>
          <w:tcPr>
            <w:tcW w:w="1134" w:type="pct"/>
            <w:gridSpan w:val="2"/>
            <w:tcBorders>
              <w:top w:val="nil"/>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53 países en desarrollo participaron en actividades de proyectos de la A.D. Se financió la participación de 11 personas procedentes de esos países.</w:t>
            </w:r>
          </w:p>
        </w:tc>
        <w:tc>
          <w:tcPr>
            <w:tcW w:w="531" w:type="pct"/>
            <w:tcBorders>
              <w:top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ind w:left="-107"/>
              <w:jc w:val="center"/>
              <w:rPr>
                <w:bCs/>
                <w:color w:val="808080"/>
                <w:sz w:val="16"/>
                <w:szCs w:val="16"/>
              </w:rPr>
            </w:pPr>
            <w:r w:rsidRPr="00526311">
              <w:rPr>
                <w:b/>
                <w:bCs/>
                <w:color w:val="00B050"/>
                <w:sz w:val="16"/>
                <w:szCs w:val="16"/>
              </w:rPr>
              <w:t>Avanza</w:t>
            </w:r>
          </w:p>
        </w:tc>
      </w:tr>
    </w:tbl>
    <w:p w:rsidR="00A32BA7" w:rsidRPr="00526311" w:rsidRDefault="00A32BA7">
      <w:r w:rsidRPr="00526311">
        <w:br w:type="page"/>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1"/>
        <w:gridCol w:w="2126"/>
        <w:gridCol w:w="1984"/>
        <w:gridCol w:w="2122"/>
        <w:gridCol w:w="994"/>
      </w:tblGrid>
      <w:tr w:rsidR="00B45FC3" w:rsidRPr="00526311" w:rsidTr="0063039A">
        <w:trPr>
          <w:cantSplit/>
        </w:trPr>
        <w:tc>
          <w:tcPr>
            <w:tcW w:w="1139" w:type="pct"/>
            <w:tcBorders>
              <w:top w:val="single" w:sz="4" w:space="0" w:color="auto"/>
              <w:left w:val="single" w:sz="4" w:space="0" w:color="auto"/>
              <w:bottom w:val="nil"/>
            </w:tcBorders>
            <w:shd w:val="clear" w:color="auto" w:fill="auto"/>
            <w:vAlign w:val="center"/>
          </w:tcPr>
          <w:p w:rsidR="00B45FC3" w:rsidRPr="00526311" w:rsidRDefault="00B45FC3" w:rsidP="0063039A">
            <w:pPr>
              <w:spacing w:after="40"/>
              <w:rPr>
                <w:sz w:val="16"/>
                <w:szCs w:val="16"/>
              </w:rPr>
            </w:pPr>
            <w:r w:rsidRPr="00526311">
              <w:rPr>
                <w:b/>
                <w:sz w:val="16"/>
                <w:szCs w:val="16"/>
              </w:rPr>
              <w:lastRenderedPageBreak/>
              <w:t>Indicadores de rendimiento</w:t>
            </w:r>
          </w:p>
        </w:tc>
        <w:tc>
          <w:tcPr>
            <w:tcW w:w="1136" w:type="pct"/>
            <w:tcBorders>
              <w:top w:val="single" w:sz="4" w:space="0" w:color="auto"/>
              <w:bottom w:val="nil"/>
            </w:tcBorders>
            <w:shd w:val="clear" w:color="auto" w:fill="auto"/>
            <w:vAlign w:val="center"/>
          </w:tcPr>
          <w:p w:rsidR="00B45FC3" w:rsidRPr="00526311" w:rsidRDefault="00B45FC3" w:rsidP="0063039A">
            <w:pPr>
              <w:spacing w:after="40"/>
              <w:rPr>
                <w:b/>
                <w:bCs/>
                <w:sz w:val="16"/>
                <w:szCs w:val="16"/>
              </w:rPr>
            </w:pPr>
            <w:r w:rsidRPr="00526311">
              <w:rPr>
                <w:b/>
                <w:bCs/>
                <w:sz w:val="16"/>
                <w:szCs w:val="16"/>
              </w:rPr>
              <w:t>Referencia</w:t>
            </w:r>
          </w:p>
        </w:tc>
        <w:tc>
          <w:tcPr>
            <w:tcW w:w="1060" w:type="pct"/>
            <w:tcBorders>
              <w:top w:val="single" w:sz="4" w:space="0" w:color="auto"/>
              <w:bottom w:val="nil"/>
            </w:tcBorders>
            <w:shd w:val="clear" w:color="auto" w:fill="auto"/>
            <w:tcMar>
              <w:top w:w="110" w:type="dxa"/>
            </w:tcMar>
            <w:vAlign w:val="center"/>
          </w:tcPr>
          <w:p w:rsidR="00B45FC3" w:rsidRPr="00526311" w:rsidRDefault="00B45FC3" w:rsidP="0063039A">
            <w:pPr>
              <w:spacing w:after="40"/>
              <w:rPr>
                <w:b/>
                <w:sz w:val="16"/>
                <w:szCs w:val="16"/>
              </w:rPr>
            </w:pPr>
            <w:r w:rsidRPr="00526311">
              <w:rPr>
                <w:b/>
                <w:sz w:val="16"/>
                <w:szCs w:val="16"/>
              </w:rPr>
              <w:t>Objetivos</w:t>
            </w:r>
          </w:p>
        </w:tc>
        <w:tc>
          <w:tcPr>
            <w:tcW w:w="1134" w:type="pct"/>
            <w:tcBorders>
              <w:top w:val="single" w:sz="4" w:space="0" w:color="auto"/>
              <w:bottom w:val="nil"/>
            </w:tcBorders>
            <w:shd w:val="clear" w:color="auto" w:fill="FFFFFF"/>
            <w:tcMar>
              <w:top w:w="110" w:type="dxa"/>
            </w:tcMar>
            <w:vAlign w:val="center"/>
          </w:tcPr>
          <w:p w:rsidR="00B45FC3" w:rsidRPr="00526311" w:rsidRDefault="00B45FC3" w:rsidP="0063039A">
            <w:pPr>
              <w:spacing w:after="40"/>
              <w:rPr>
                <w:sz w:val="16"/>
                <w:szCs w:val="16"/>
              </w:rPr>
            </w:pPr>
            <w:r w:rsidRPr="00526311">
              <w:rPr>
                <w:b/>
                <w:sz w:val="16"/>
                <w:szCs w:val="16"/>
              </w:rPr>
              <w:t>Datos sobre el rendimiento</w:t>
            </w:r>
          </w:p>
        </w:tc>
        <w:tc>
          <w:tcPr>
            <w:tcW w:w="531" w:type="pct"/>
            <w:tcBorders>
              <w:top w:val="single" w:sz="4" w:space="0" w:color="auto"/>
              <w:bottom w:val="nil"/>
              <w:right w:val="single" w:sz="4" w:space="0" w:color="auto"/>
            </w:tcBorders>
            <w:shd w:val="clear" w:color="auto" w:fill="auto"/>
            <w:tcMar>
              <w:top w:w="110" w:type="dxa"/>
            </w:tcMar>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rPr>
          <w:cantSplit/>
        </w:trPr>
        <w:tc>
          <w:tcPr>
            <w:tcW w:w="1139" w:type="pct"/>
            <w:tcBorders>
              <w:top w:val="nil"/>
              <w:left w:val="single" w:sz="4" w:space="0" w:color="auto"/>
              <w:bottom w:val="single" w:sz="4" w:space="0" w:color="auto"/>
            </w:tcBorders>
            <w:shd w:val="clear" w:color="auto" w:fill="auto"/>
          </w:tcPr>
          <w:p w:rsidR="00B45FC3" w:rsidRPr="00526311" w:rsidRDefault="00B45FC3" w:rsidP="0063039A">
            <w:pPr>
              <w:rPr>
                <w:sz w:val="16"/>
                <w:szCs w:val="16"/>
                <w:lang w:bidi="th-TH"/>
              </w:rPr>
            </w:pPr>
            <w:r w:rsidRPr="00526311">
              <w:rPr>
                <w:sz w:val="16"/>
                <w:szCs w:val="16"/>
                <w:lang w:bidi="th-TH"/>
              </w:rPr>
              <w:t>Porcentaje de participantes en reuniones de la OMPI (Estados miembros, OIG, sociedad civil y demás partes interesadas) satisfechos con la información recibida sobre las recomendaciones de la A.D.</w:t>
            </w:r>
            <w:r w:rsidRPr="00526311">
              <w:rPr>
                <w:sz w:val="16"/>
                <w:szCs w:val="16"/>
                <w:lang w:bidi="th-TH"/>
              </w:rPr>
              <w:br/>
            </w:r>
          </w:p>
        </w:tc>
        <w:tc>
          <w:tcPr>
            <w:tcW w:w="1136" w:type="pct"/>
            <w:tcBorders>
              <w:top w:val="nil"/>
              <w:bottom w:val="single" w:sz="4" w:space="0" w:color="auto"/>
            </w:tcBorders>
            <w:shd w:val="clear" w:color="auto" w:fill="auto"/>
          </w:tcPr>
          <w:p w:rsidR="00B45FC3" w:rsidRPr="00526311" w:rsidRDefault="00B45FC3" w:rsidP="0063039A">
            <w:pPr>
              <w:rPr>
                <w:sz w:val="16"/>
                <w:szCs w:val="16"/>
                <w:lang w:bidi="th-TH"/>
              </w:rPr>
            </w:pPr>
            <w:r w:rsidRPr="00526311">
              <w:rPr>
                <w:sz w:val="16"/>
                <w:szCs w:val="16"/>
              </w:rPr>
              <w:t xml:space="preserve"> n.d.</w:t>
            </w:r>
          </w:p>
        </w:tc>
        <w:tc>
          <w:tcPr>
            <w:tcW w:w="1060" w:type="pct"/>
            <w:tcBorders>
              <w:top w:val="nil"/>
              <w:bottom w:val="single" w:sz="4" w:space="0" w:color="auto"/>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80%</w:t>
            </w:r>
          </w:p>
        </w:tc>
        <w:tc>
          <w:tcPr>
            <w:tcW w:w="1134" w:type="pct"/>
            <w:tcBorders>
              <w:top w:val="nil"/>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sz w:val="16"/>
                <w:szCs w:val="16"/>
              </w:rPr>
              <w:t>Encuesta realizada cada bienio</w:t>
            </w:r>
          </w:p>
        </w:tc>
        <w:tc>
          <w:tcPr>
            <w:tcW w:w="531" w:type="pct"/>
            <w:tcBorders>
              <w:top w:val="nil"/>
              <w:bottom w:val="single" w:sz="4" w:space="0" w:color="auto"/>
              <w:right w:val="single" w:sz="4" w:space="0" w:color="auto"/>
            </w:tcBorders>
            <w:shd w:val="clear" w:color="auto" w:fill="auto"/>
          </w:tcPr>
          <w:p w:rsidR="00B45FC3" w:rsidRPr="00526311" w:rsidRDefault="00B45FC3" w:rsidP="0063039A">
            <w:pPr>
              <w:keepNext/>
              <w:keepLines/>
              <w:ind w:left="-107"/>
              <w:jc w:val="center"/>
              <w:rPr>
                <w:b/>
                <w:bCs/>
                <w:color w:val="808080"/>
                <w:sz w:val="16"/>
                <w:szCs w:val="16"/>
              </w:rPr>
            </w:pPr>
            <w:r w:rsidRPr="00526311">
              <w:rPr>
                <w:b/>
                <w:bCs/>
                <w:color w:val="0070C0"/>
                <w:sz w:val="16"/>
                <w:szCs w:val="16"/>
              </w:rPr>
              <w:t>No disponible para 2014</w:t>
            </w:r>
          </w:p>
        </w:tc>
      </w:tr>
    </w:tbl>
    <w:p w:rsidR="00B45FC3" w:rsidRPr="00526311" w:rsidRDefault="00B45FC3" w:rsidP="0063039A">
      <w:pPr>
        <w:jc w:val="both"/>
        <w:rPr>
          <w:color w:val="000000"/>
        </w:rPr>
      </w:pPr>
    </w:p>
    <w:p w:rsidR="00B45FC3" w:rsidRPr="00526311" w:rsidRDefault="00B45FC3" w:rsidP="0063039A">
      <w:pPr>
        <w:jc w:val="both"/>
      </w:pPr>
    </w:p>
    <w:p w:rsidR="00B45FC3" w:rsidRPr="00526311" w:rsidRDefault="00B45FC3" w:rsidP="0063039A">
      <w:pPr>
        <w:rPr>
          <w:szCs w:val="22"/>
        </w:rPr>
      </w:pPr>
      <w:r w:rsidRPr="00526311">
        <w:rPr>
          <w:szCs w:val="22"/>
        </w:rPr>
        <w:t>UTILIZACIÓN DE LOS RECURSOS</w:t>
      </w:r>
    </w:p>
    <w:p w:rsidR="00B45FC3" w:rsidRPr="00526311" w:rsidRDefault="00B45FC3" w:rsidP="0063039A">
      <w:pPr>
        <w:jc w:val="both"/>
      </w:pPr>
    </w:p>
    <w:p w:rsidR="00B45FC3" w:rsidRPr="00526311" w:rsidRDefault="00B45FC3" w:rsidP="0063039A">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B45FC3" w:rsidRPr="00526311" w:rsidRDefault="00B45FC3"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pStyle w:val="NormalWeb"/>
        <w:spacing w:before="0" w:beforeAutospacing="0" w:after="0" w:afterAutospacing="0"/>
        <w:jc w:val="both"/>
        <w:rPr>
          <w:sz w:val="20"/>
          <w:szCs w:val="20"/>
          <w:lang w:val="es-ES"/>
        </w:rPr>
      </w:pPr>
    </w:p>
    <w:p w:rsidR="00B45FC3" w:rsidRPr="00526311" w:rsidRDefault="00DD7B62" w:rsidP="0063039A">
      <w:pPr>
        <w:jc w:val="center"/>
      </w:pPr>
      <w:r w:rsidRPr="00526311">
        <w:rPr>
          <w:noProof/>
          <w:lang w:val="en-US" w:eastAsia="en-US"/>
        </w:rPr>
        <w:drawing>
          <wp:inline distT="0" distB="0" distL="0" distR="0" wp14:anchorId="20FEE974" wp14:editId="6E4ED4EA">
            <wp:extent cx="5572125" cy="1638300"/>
            <wp:effectExtent l="0" t="0" r="9525"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72125" cy="1638300"/>
                    </a:xfrm>
                    <a:prstGeom prst="rect">
                      <a:avLst/>
                    </a:prstGeom>
                    <a:noFill/>
                    <a:ln>
                      <a:noFill/>
                    </a:ln>
                  </pic:spPr>
                </pic:pic>
              </a:graphicData>
            </a:graphic>
          </wp:inline>
        </w:drawing>
      </w:r>
    </w:p>
    <w:p w:rsidR="00B45FC3" w:rsidRPr="00526311" w:rsidRDefault="00B45FC3" w:rsidP="0063039A">
      <w:pPr>
        <w:jc w:val="both"/>
      </w:pPr>
    </w:p>
    <w:p w:rsidR="00B45FC3" w:rsidRPr="00526311" w:rsidRDefault="00B45FC3" w:rsidP="0063039A">
      <w:pPr>
        <w:jc w:val="both"/>
      </w:pPr>
    </w:p>
    <w:p w:rsidR="00B45FC3" w:rsidRPr="00526311" w:rsidRDefault="00B45FC3" w:rsidP="0063039A">
      <w:pPr>
        <w:pStyle w:val="NormalWeb"/>
        <w:keepNext/>
        <w:keepLines/>
        <w:spacing w:before="0" w:beforeAutospacing="0" w:after="0" w:afterAutospacing="0"/>
        <w:jc w:val="center"/>
        <w:rPr>
          <w:sz w:val="20"/>
          <w:szCs w:val="20"/>
          <w:lang w:val="es-ES"/>
        </w:rPr>
      </w:pPr>
      <w:r w:rsidRPr="00526311">
        <w:rPr>
          <w:sz w:val="20"/>
          <w:szCs w:val="20"/>
          <w:lang w:val="es-ES"/>
        </w:rPr>
        <w:t>Presupuesto y gastos reales (de personal y no relativos a personal)</w:t>
      </w:r>
    </w:p>
    <w:p w:rsidR="00B45FC3" w:rsidRPr="00526311" w:rsidRDefault="00B45FC3"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pStyle w:val="NormalWeb"/>
        <w:keepNext/>
        <w:keepLines/>
        <w:spacing w:before="0" w:beforeAutospacing="0" w:after="0" w:afterAutospacing="0"/>
        <w:jc w:val="center"/>
        <w:rPr>
          <w:sz w:val="20"/>
          <w:szCs w:val="20"/>
          <w:lang w:val="es-ES"/>
        </w:rPr>
      </w:pPr>
    </w:p>
    <w:p w:rsidR="00B45FC3" w:rsidRPr="00526311" w:rsidRDefault="00FF6E74" w:rsidP="0063039A">
      <w:pPr>
        <w:jc w:val="center"/>
      </w:pPr>
      <w:bookmarkStart w:id="37" w:name="Punto8"/>
      <w:r w:rsidRPr="00526311">
        <w:rPr>
          <w:noProof/>
          <w:lang w:val="en-US" w:eastAsia="en-US"/>
        </w:rPr>
        <w:drawing>
          <wp:inline distT="0" distB="0" distL="0" distR="0" wp14:anchorId="614B03AD" wp14:editId="15D8E8A1">
            <wp:extent cx="5940425" cy="1247108"/>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0425" cy="1247108"/>
                    </a:xfrm>
                    <a:prstGeom prst="rect">
                      <a:avLst/>
                    </a:prstGeom>
                    <a:noFill/>
                    <a:ln>
                      <a:noFill/>
                    </a:ln>
                  </pic:spPr>
                </pic:pic>
              </a:graphicData>
            </a:graphic>
          </wp:inline>
        </w:drawing>
      </w:r>
      <w:bookmarkEnd w:id="37"/>
    </w:p>
    <w:p w:rsidR="00B45FC3" w:rsidRPr="00526311" w:rsidRDefault="00B45FC3" w:rsidP="0063039A">
      <w:pPr>
        <w:rPr>
          <w:sz w:val="16"/>
          <w:szCs w:val="16"/>
        </w:rPr>
      </w:pPr>
      <w:r w:rsidRPr="00526311">
        <w:rPr>
          <w:i/>
          <w:sz w:val="16"/>
          <w:szCs w:val="16"/>
        </w:rPr>
        <w:t xml:space="preserve">NOTA:  </w:t>
      </w:r>
      <w:r w:rsidRPr="00526311">
        <w:rPr>
          <w:i/>
          <w:iCs/>
          <w:sz w:val="16"/>
          <w:szCs w:val="16"/>
        </w:rPr>
        <w:t>El presupuesto de 2014/15 tras las transferencias refleja las transferencias efectuadas al 31 de marzo de 2015 para hacer frente a las necesidades durante el bienio 2014/15, según lo previsto en el artículo 5.5 del Reglamento Financiero</w:t>
      </w:r>
      <w:r w:rsidRPr="00526311">
        <w:rPr>
          <w:i/>
          <w:sz w:val="16"/>
          <w:szCs w:val="16"/>
        </w:rPr>
        <w:t>.</w:t>
      </w:r>
    </w:p>
    <w:p w:rsidR="00B45FC3" w:rsidRPr="00526311" w:rsidRDefault="00B45FC3" w:rsidP="0063039A">
      <w:pPr>
        <w:widowControl w:val="0"/>
        <w:autoSpaceDE w:val="0"/>
        <w:autoSpaceDN w:val="0"/>
        <w:adjustRightInd w:val="0"/>
        <w:jc w:val="both"/>
        <w:rPr>
          <w:sz w:val="20"/>
        </w:rPr>
      </w:pPr>
    </w:p>
    <w:p w:rsidR="00B45FC3" w:rsidRPr="00526311" w:rsidRDefault="00B45FC3" w:rsidP="0063039A">
      <w:pPr>
        <w:jc w:val="both"/>
        <w:rPr>
          <w:sz w:val="20"/>
          <w:u w:val="single"/>
        </w:rPr>
      </w:pPr>
      <w:r w:rsidRPr="00526311">
        <w:rPr>
          <w:sz w:val="20"/>
        </w:rPr>
        <w:t>A.</w:t>
      </w:r>
      <w:r w:rsidRPr="00526311">
        <w:rPr>
          <w:sz w:val="20"/>
        </w:rPr>
        <w:tab/>
      </w:r>
      <w:r w:rsidRPr="00526311">
        <w:rPr>
          <w:sz w:val="20"/>
          <w:u w:val="single"/>
        </w:rPr>
        <w:t>Presupuesto de 2014/15 tras las transferencias</w:t>
      </w:r>
    </w:p>
    <w:p w:rsidR="00B45FC3" w:rsidRPr="00526311" w:rsidRDefault="00B45FC3" w:rsidP="0063039A">
      <w:pPr>
        <w:jc w:val="both"/>
        <w:rPr>
          <w:sz w:val="20"/>
          <w:u w:val="single"/>
        </w:rPr>
      </w:pPr>
    </w:p>
    <w:p w:rsidR="00B45FC3" w:rsidRPr="00526311" w:rsidRDefault="00B45FC3" w:rsidP="00B45FC3">
      <w:pPr>
        <w:pStyle w:val="ListParagraph"/>
        <w:numPr>
          <w:ilvl w:val="0"/>
          <w:numId w:val="49"/>
        </w:numPr>
        <w:tabs>
          <w:tab w:val="left" w:pos="0"/>
        </w:tabs>
        <w:ind w:left="0" w:firstLine="0"/>
        <w:jc w:val="both"/>
        <w:rPr>
          <w:rFonts w:cs="Arial"/>
          <w:lang w:val="es-ES" w:eastAsia="ko-KR"/>
        </w:rPr>
      </w:pPr>
      <w:r w:rsidRPr="00526311">
        <w:rPr>
          <w:rFonts w:cs="Arial"/>
          <w:lang w:val="es-ES" w:eastAsia="ko-KR"/>
        </w:rPr>
        <w:t xml:space="preserve">El descenso del presupuesto </w:t>
      </w:r>
      <w:r w:rsidR="00011744" w:rsidRPr="00526311">
        <w:rPr>
          <w:rFonts w:cs="Arial"/>
          <w:lang w:val="es-ES" w:eastAsia="ko-KR"/>
        </w:rPr>
        <w:t xml:space="preserve">de </w:t>
      </w:r>
      <w:r w:rsidRPr="00526311">
        <w:rPr>
          <w:rFonts w:cs="Arial"/>
          <w:lang w:val="es-ES" w:eastAsia="ko-KR"/>
        </w:rPr>
        <w:t xml:space="preserve">2014/15 tras las transferencias se debe principalmente a la reasignación de recursos de personal (un puesto) a otros programas.  </w:t>
      </w:r>
    </w:p>
    <w:p w:rsidR="00B45FC3" w:rsidRPr="00526311" w:rsidRDefault="00B45FC3" w:rsidP="0063039A">
      <w:pPr>
        <w:autoSpaceDE w:val="0"/>
        <w:autoSpaceDN w:val="0"/>
        <w:adjustRightInd w:val="0"/>
        <w:jc w:val="both"/>
        <w:rPr>
          <w:sz w:val="20"/>
          <w:lang w:eastAsia="ko-KR"/>
        </w:rPr>
      </w:pPr>
    </w:p>
    <w:p w:rsidR="00B45FC3" w:rsidRPr="00526311" w:rsidRDefault="00B45FC3"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B45FC3" w:rsidRPr="00526311" w:rsidRDefault="00B45FC3" w:rsidP="0063039A">
      <w:pPr>
        <w:autoSpaceDE w:val="0"/>
        <w:autoSpaceDN w:val="0"/>
        <w:jc w:val="both"/>
        <w:rPr>
          <w:sz w:val="20"/>
        </w:rPr>
      </w:pPr>
    </w:p>
    <w:p w:rsidR="00B45FC3" w:rsidRPr="00526311" w:rsidRDefault="00B45FC3" w:rsidP="00B45FC3">
      <w:pPr>
        <w:pStyle w:val="ListParagraph"/>
        <w:numPr>
          <w:ilvl w:val="0"/>
          <w:numId w:val="49"/>
        </w:numPr>
        <w:tabs>
          <w:tab w:val="left" w:pos="0"/>
        </w:tabs>
        <w:autoSpaceDE w:val="0"/>
        <w:autoSpaceDN w:val="0"/>
        <w:ind w:left="0" w:firstLine="0"/>
        <w:jc w:val="both"/>
        <w:rPr>
          <w:rFonts w:cs="Arial"/>
          <w:lang w:val="es-ES"/>
        </w:rPr>
      </w:pPr>
      <w:r w:rsidRPr="00526311">
        <w:rPr>
          <w:rFonts w:cs="Arial"/>
          <w:lang w:val="es-ES"/>
        </w:rPr>
        <w:t>La utilización del presupuesto se ha mantenido dentro de los límites establecidos (40-60%) durante el primer año del bienio y está bien encaminada.</w:t>
      </w:r>
    </w:p>
    <w:p w:rsidR="00B45FC3" w:rsidRPr="00526311" w:rsidRDefault="00B45FC3" w:rsidP="0063039A">
      <w:pPr>
        <w:rPr>
          <w:sz w:val="20"/>
        </w:rPr>
      </w:pPr>
    </w:p>
    <w:p w:rsidR="00B45FC3" w:rsidRPr="00526311" w:rsidRDefault="00B45FC3" w:rsidP="0063039A">
      <w:pPr>
        <w:rPr>
          <w:sz w:val="20"/>
        </w:rPr>
      </w:pPr>
    </w:p>
    <w:p w:rsidR="00B45FC3" w:rsidRPr="00526311" w:rsidRDefault="00B45FC3">
      <w:pPr>
        <w:rPr>
          <w:rFonts w:eastAsia="Times New Roman"/>
          <w:b/>
          <w:bCs/>
          <w:iCs/>
          <w:sz w:val="20"/>
        </w:rPr>
      </w:pPr>
      <w:bookmarkStart w:id="38" w:name="_Toc392610038"/>
      <w:r w:rsidRPr="00526311">
        <w:rPr>
          <w:rFonts w:eastAsia="Times New Roman"/>
          <w:b/>
          <w:caps/>
          <w:sz w:val="20"/>
        </w:rPr>
        <w:br w:type="page"/>
      </w:r>
    </w:p>
    <w:p w:rsidR="00B45FC3" w:rsidRPr="00526311" w:rsidRDefault="00B45FC3" w:rsidP="0063039A">
      <w:pPr>
        <w:pStyle w:val="Heading2"/>
        <w:tabs>
          <w:tab w:val="left" w:pos="2410"/>
          <w:tab w:val="right" w:pos="9072"/>
        </w:tabs>
        <w:spacing w:before="0" w:after="0"/>
        <w:ind w:left="2410" w:hanging="2410"/>
        <w:rPr>
          <w:rFonts w:eastAsia="Times New Roman"/>
          <w:b/>
          <w:caps w:val="0"/>
        </w:rPr>
      </w:pPr>
      <w:bookmarkStart w:id="39" w:name="_Toc422927416"/>
      <w:r w:rsidRPr="00526311">
        <w:rPr>
          <w:rFonts w:eastAsia="Times New Roman"/>
          <w:b/>
          <w:caps w:val="0"/>
        </w:rPr>
        <w:lastRenderedPageBreak/>
        <w:t>PROGRAMA 9</w:t>
      </w:r>
      <w:r w:rsidRPr="00526311">
        <w:rPr>
          <w:rFonts w:eastAsia="Times New Roman"/>
          <w:b/>
          <w:caps w:val="0"/>
        </w:rPr>
        <w:tab/>
        <w:t>PAÍSES AFRICANOS, ÁRABES, DE AMÉRICA LATINA Y EL CARIBE, DE ASIA Y EL PACÍFICO Y PAÍSES MENOS ADELANTADOS</w:t>
      </w:r>
      <w:bookmarkEnd w:id="39"/>
    </w:p>
    <w:p w:rsidR="00B45FC3" w:rsidRPr="00526311" w:rsidRDefault="00B45FC3" w:rsidP="0063039A">
      <w:pPr>
        <w:tabs>
          <w:tab w:val="left" w:pos="1985"/>
          <w:tab w:val="left" w:pos="2268"/>
        </w:tabs>
        <w:ind w:left="2268" w:hanging="2268"/>
        <w:rPr>
          <w:sz w:val="20"/>
        </w:rPr>
      </w:pPr>
    </w:p>
    <w:p w:rsidR="00B45FC3" w:rsidRPr="00526311" w:rsidRDefault="00B45FC3" w:rsidP="0063039A">
      <w:pPr>
        <w:ind w:left="2410" w:hanging="2410"/>
        <w:rPr>
          <w:b/>
          <w:sz w:val="20"/>
        </w:rPr>
      </w:pPr>
      <w:r w:rsidRPr="00526311">
        <w:rPr>
          <w:b/>
          <w:sz w:val="20"/>
        </w:rPr>
        <w:t>Director de programa</w:t>
      </w:r>
      <w:r w:rsidRPr="00526311">
        <w:rPr>
          <w:b/>
          <w:sz w:val="20"/>
        </w:rPr>
        <w:tab/>
        <w:t>Sr. M. Matus</w:t>
      </w:r>
    </w:p>
    <w:p w:rsidR="00B45FC3" w:rsidRPr="00526311" w:rsidRDefault="00B45FC3" w:rsidP="0063039A">
      <w:pPr>
        <w:rPr>
          <w:sz w:val="20"/>
        </w:rPr>
      </w:pPr>
    </w:p>
    <w:p w:rsidR="00B45FC3" w:rsidRPr="00526311" w:rsidRDefault="00B45FC3" w:rsidP="0063039A">
      <w:pPr>
        <w:rPr>
          <w:sz w:val="20"/>
        </w:rPr>
      </w:pPr>
    </w:p>
    <w:p w:rsidR="00B45FC3" w:rsidRPr="00526311" w:rsidRDefault="00B45FC3" w:rsidP="0063039A">
      <w:pPr>
        <w:rPr>
          <w:bCs/>
        </w:rPr>
      </w:pPr>
      <w:r w:rsidRPr="00526311">
        <w:rPr>
          <w:bCs/>
        </w:rPr>
        <w:t>RESEÑA DE LOS AVANCES LOGRADOS EN 2014</w:t>
      </w:r>
    </w:p>
    <w:p w:rsidR="00B45FC3" w:rsidRPr="00526311" w:rsidRDefault="00B45FC3" w:rsidP="0063039A">
      <w:pPr>
        <w:rPr>
          <w:bCs/>
        </w:rPr>
      </w:pPr>
    </w:p>
    <w:p w:rsidR="00B45FC3" w:rsidRPr="00526311" w:rsidRDefault="00B45FC3" w:rsidP="00B45FC3">
      <w:pPr>
        <w:pStyle w:val="ListParagraph"/>
        <w:numPr>
          <w:ilvl w:val="0"/>
          <w:numId w:val="53"/>
        </w:numPr>
        <w:tabs>
          <w:tab w:val="left" w:pos="709"/>
        </w:tabs>
        <w:ind w:left="0" w:firstLine="0"/>
        <w:contextualSpacing/>
        <w:jc w:val="both"/>
        <w:rPr>
          <w:rFonts w:eastAsia="SimSun"/>
          <w:lang w:val="es-ES" w:eastAsia="zh-CN"/>
        </w:rPr>
      </w:pPr>
      <w:r w:rsidRPr="00526311">
        <w:rPr>
          <w:rFonts w:eastAsia="SimSun"/>
          <w:lang w:val="es-ES" w:eastAsia="zh-CN"/>
        </w:rPr>
        <w:t>Facilitar el uso de la P.I. en aras del desarrollo social, cultural y económico y potenciar a los países en desarrollo y los PMA a fin de que utilicen la P.I. para aumentar el potencial y las capacidades de innovación nacional siguieron siendo tareas prioritarias del programa en 2014, en sintonía con la meta estratégica III de la OMPI.  En el marco del programa 9, que hace las veces de interfaz principal entre los Estados miembros beneficiarios y los diversos programas de la OMPI, se siguió garantizando a lo largo del año la prestación de asistencia técnica adecuada a cada país y basada en sus necesidades, coherente y bien coordinada.  En general, la configuración, planificación y aplicación de las actividades de cooperación técnica se basaron en las recomendaciones correspondientes de la A.D., en particular, las recomendaciones de la categoría A, relativas a las actividades de asistencia técnica y fortalecimiento de capacidades que presta la OMPI.  En sintonía también con las recomendaciones de la A.D., en 2014 siguió incorporándose a los diferentes programas especializados de la Organización la ejecución de actividades orientadas a potenciar el desarrollo en los países en desarrollo y PMA a fin de seguir fortaleciendo la cooperación técnica de la OMPI.</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rFonts w:eastAsia="SimSun"/>
          <w:bCs/>
          <w:lang w:val="es-ES" w:eastAsia="zh-CN"/>
        </w:rPr>
      </w:pPr>
      <w:r w:rsidRPr="00526311">
        <w:rPr>
          <w:rFonts w:eastAsia="SimSun"/>
          <w:bCs/>
          <w:lang w:val="es-ES" w:eastAsia="zh-CN"/>
        </w:rPr>
        <w:t xml:space="preserve">En 2014, siguieron consolidándose las alianzas existentes con las instituciones subregionales y regionales y las multilaterales, además de seguir fomentándose el intercambio de experiencias entre los países de diferentes regiones y mediante la cooperación horizontal, a fin de impulsar las sinergias para obtener mejores resultados en el ámbito del desarrollo.  En mayo de 2014, se firmó un nuevo memorando de entendimiento con la </w:t>
      </w:r>
      <w:r w:rsidRPr="00526311">
        <w:rPr>
          <w:rFonts w:eastAsia="SimSun"/>
          <w:bCs/>
          <w:i/>
          <w:lang w:val="es-ES" w:eastAsia="zh-CN"/>
        </w:rPr>
        <w:t>Organisation Internationale de la Francophonie</w:t>
      </w:r>
      <w:r w:rsidRPr="00526311">
        <w:rPr>
          <w:rFonts w:eastAsia="SimSun"/>
          <w:bCs/>
          <w:lang w:val="es-ES" w:eastAsia="zh-CN"/>
        </w:rPr>
        <w:t xml:space="preserve"> (OIF).</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rFonts w:eastAsia="SimSun"/>
          <w:bCs/>
          <w:lang w:val="es-ES" w:eastAsia="zh-CN"/>
        </w:rPr>
      </w:pPr>
      <w:r w:rsidRPr="00526311">
        <w:rPr>
          <w:rFonts w:eastAsia="SimSun"/>
          <w:bCs/>
          <w:lang w:val="es-ES" w:eastAsia="zh-CN"/>
        </w:rPr>
        <w:t>La OMPI siguió prestando asistencia a los países en desarrollo y PMA en la elaboración, el desarrollo y la aplicación de estrategias nacionales de P.I. coherentes con sus planes generales de desarrollo y capaces de impulsar la innovación y la creatividad.  El proceso siguió orientándose por la aplicación de una metodología normalizada, pero flexible, y un repertorio de herramientas prácticas para la formulación de estrategias y planes nacionales de P.I., creadas en el marco del proyecto de la A.D. sobre la mejora de la capacidad de las instituciones de P.I. de ámbito nacional, subregional y regional y de los respectivos usuarios.  Como resultado de ello, a finales de 2014 nueve países (seis en África, dos en Asia y el Pacífico y uno en América Latina y el Caribe) iniciaron el proceso de formulación de estrategias y planes de desarrollo nacionales de P.I., y 18 países (seis en África, tres en la región Árabe, cuatro en Asia y el Pacífico y cinco en América Latina y el Caribe) estaban todavía en el proceso de formulación o de adopción.  A fines de 2014, se habían adoptado, o estaban en vías de aplicación, planes de desarrollo / estrategias nacionales en materia de P.I. en un total de 37 países (21 en África, dos en los países árabes, ocho en Asia y el Pacífico y seis en América Latina y el Caribe), de los que 17 eran países menos adelantados.</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rFonts w:eastAsia="SimSun"/>
          <w:bCs/>
          <w:lang w:val="es-ES" w:eastAsia="zh-CN"/>
        </w:rPr>
      </w:pPr>
      <w:r w:rsidRPr="00526311">
        <w:rPr>
          <w:rFonts w:eastAsia="SimSun"/>
          <w:bCs/>
          <w:lang w:val="es-ES" w:eastAsia="zh-CN"/>
        </w:rPr>
        <w:t>En octubre de 2014, representantes de cada uno de los países de la Asociación de Naciones del Asia Sudoriental (ASEAN) participaron en un taller de intercambio de ideas en relación con la elaboración del plan estratégico sobre derechos de P.I. de la ASEAN para 2016-2025, de conformidad con la estrategia de la Comunidad Económica de los países de la ASEAN para 2016-2025.  Dicha colaboración constituyó un hito, en el sentido de que fue la primera vez que la OMPI se involucra tanto en la prestación de asistencia a un grupo regional para formular un marco global de P.I. en el plano regional.</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rFonts w:eastAsia="SimSun"/>
          <w:lang w:val="es-ES" w:eastAsia="zh-CN"/>
        </w:rPr>
      </w:pPr>
      <w:r w:rsidRPr="00526311">
        <w:rPr>
          <w:rFonts w:eastAsia="SimSun"/>
          <w:bCs/>
          <w:lang w:val="es-ES" w:eastAsia="zh-CN"/>
        </w:rPr>
        <w:t xml:space="preserve">Se siguió coordinando y facilitando asistencia técnica a los países en desarrollo y los PMA en la formulación y la modernización de la legislación en el ámbito de la P.I., teniendo en cuenta los requisitos nacionales específicos y las flexibilidades internacionales.  Para que los Estados miembros puedan tomar decisiones mejor fundamentadas en los ámbitos prioritarios de la OMPI, en 2014 se publicó el </w:t>
      </w:r>
      <w:r w:rsidRPr="00526311">
        <w:rPr>
          <w:rFonts w:eastAsia="SimSun"/>
          <w:bCs/>
          <w:i/>
          <w:lang w:val="es-ES" w:eastAsia="zh-CN"/>
        </w:rPr>
        <w:t xml:space="preserve">Manual de la OMPI sobre prestación de asistencia técnica </w:t>
      </w:r>
      <w:r w:rsidRPr="00526311">
        <w:rPr>
          <w:rFonts w:eastAsia="SimSun"/>
          <w:bCs/>
          <w:lang w:val="es-ES" w:eastAsia="zh-CN"/>
        </w:rPr>
        <w:t xml:space="preserve">(finalizado en 2013) en los seis idiomas </w:t>
      </w:r>
      <w:r w:rsidRPr="00526311">
        <w:rPr>
          <w:rFonts w:eastAsia="SimSun"/>
          <w:bCs/>
          <w:lang w:val="es-ES" w:eastAsia="zh-CN"/>
        </w:rPr>
        <w:lastRenderedPageBreak/>
        <w:t>oficiales de las NN.UU. y se puso a disposición en Internet</w:t>
      </w:r>
      <w:r w:rsidRPr="00526311">
        <w:rPr>
          <w:rStyle w:val="FootnoteReference"/>
          <w:rFonts w:eastAsia="SimSun"/>
          <w:bCs/>
          <w:lang w:val="es-ES" w:eastAsia="zh-CN"/>
        </w:rPr>
        <w:footnoteReference w:id="23"/>
      </w:r>
      <w:r w:rsidRPr="00526311">
        <w:rPr>
          <w:rFonts w:eastAsia="SimSun"/>
          <w:bCs/>
          <w:lang w:val="es-ES" w:eastAsia="zh-CN"/>
        </w:rPr>
        <w:t xml:space="preserve"> (para obtener información más detallada, véanse los programas 1, 2, 3 y 4).</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rFonts w:eastAsia="SimSun"/>
          <w:bCs/>
          <w:lang w:val="es-ES" w:eastAsia="zh-CN"/>
        </w:rPr>
      </w:pPr>
      <w:r w:rsidRPr="00526311">
        <w:rPr>
          <w:rFonts w:eastAsia="SimSun"/>
          <w:bCs/>
          <w:lang w:val="es-ES" w:eastAsia="zh-CN"/>
        </w:rPr>
        <w:t>En 2014, siguió siendo prioritaria la tarea de mejorar las capacidades en el ámbito de los recursos humanos para hacer frente al amplio espectro de exigencias que supone la utilización eficaz de la P.I. en aras del desarrollo y potenciar la innovación y la creatividad.  Se llevaron a cabo programas específicos, en los planos nacional, subregional y regional, de fortalecimiento de capacidades y de desarrollo de aptitudes destinados a grupos específicos tales como funcionarios gubernamentales, responsables de la elaboración de políticas, profesionales de la P.I., funcionarios encargados de hacer cumplir la ley, investigadores y académicos, empresarios y miembros del sector industrial así como pymes.</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rFonts w:eastAsia="SimSun"/>
          <w:bCs/>
          <w:lang w:val="es-ES" w:eastAsia="zh-CN"/>
        </w:rPr>
      </w:pPr>
      <w:r w:rsidRPr="00526311">
        <w:rPr>
          <w:rFonts w:eastAsia="SimSun"/>
          <w:bCs/>
          <w:lang w:val="es-ES" w:eastAsia="zh-CN"/>
        </w:rPr>
        <w:t>En 2014, la OMPI siguió reforzando su asistencia a las Oficinas de P.I. de los países en desarrollo y PMA para que puedan ofrecer a los sectores interesados servicios de infraestructura técnica y modernización de la P.I. que sean costoeficaces y de calidad, creando así un entorno más favorable al uso eficaz de la información de P.I., en particular, por parte de las instituciones a cargo de la administración de derechos de P.I., el sistema nacional de innovación y el s</w:t>
      </w:r>
      <w:r w:rsidR="007E2E3C" w:rsidRPr="00526311">
        <w:rPr>
          <w:rFonts w:eastAsia="SimSun"/>
          <w:bCs/>
          <w:lang w:val="es-ES" w:eastAsia="zh-CN"/>
        </w:rPr>
        <w:t>ector productivo.  A finales de </w:t>
      </w:r>
      <w:r w:rsidRPr="00526311">
        <w:rPr>
          <w:rFonts w:eastAsia="SimSun"/>
          <w:bCs/>
          <w:lang w:val="es-ES" w:eastAsia="zh-CN"/>
        </w:rPr>
        <w:t>2014, alrededor de 62 oficinas utilizaban los sistemas de la OMPI de administración de la P.I. en diferentes regiones: 19 en África, 14 en la región árabe, 13 en Asia y el Pacífico, y 16 en América Latina y el Caribe (para obtener información más detallada, véase el programa 15).</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rFonts w:eastAsia="SimSun"/>
          <w:bCs/>
          <w:lang w:val="es-ES" w:eastAsia="zh-CN"/>
        </w:rPr>
      </w:pPr>
      <w:r w:rsidRPr="00526311">
        <w:rPr>
          <w:rFonts w:eastAsia="SimSun"/>
          <w:bCs/>
          <w:lang w:val="es-ES" w:eastAsia="zh-CN"/>
        </w:rPr>
        <w:t>Una de las principales prioridades también siguió siendo facilitar el acceso a bases de datos de información mundial sobre tecnología.  En 2014, se hizo mayor hincapié en consolidar los centros de apoyo a la tecnología y la innovación (CATI) con miras a lograr su sostenibilidad a largo plazo.  De los 39 CATI ya creados, en 2014 se consideraban sostenibles unos 19;  nueve en África (de los cuales seis en PMA);  dos en la región árabe;  tres en Asia y el Pacífico (de los cuales dos en un PMA), y cinco en América Latina y el Caribe (para obtener información más detallada, véase el programa 14).</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rFonts w:eastAsia="SimSun"/>
          <w:bCs/>
          <w:lang w:val="es-ES" w:eastAsia="zh-CN"/>
        </w:rPr>
      </w:pPr>
      <w:r w:rsidRPr="00526311">
        <w:rPr>
          <w:rFonts w:eastAsia="SimSun"/>
          <w:bCs/>
          <w:lang w:val="es-ES" w:eastAsia="zh-CN"/>
        </w:rPr>
        <w:t xml:space="preserve">En 2014, en el marco del programa, se facilitó y coordinó, a escala interna, la adhesión de diversos países y grupos regionales a tratados y convenios administrados por la OMPI:  dos en África (OAPI y Zimbabwe) y dos en la región árabe (Kuwait y los Emiratos Árabes Unidos). </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rFonts w:eastAsia="SimSun"/>
          <w:bCs/>
          <w:lang w:val="es-ES" w:eastAsia="zh-CN"/>
        </w:rPr>
      </w:pPr>
      <w:r w:rsidRPr="00526311">
        <w:rPr>
          <w:rFonts w:eastAsia="SimSun"/>
          <w:bCs/>
          <w:lang w:val="es-ES" w:eastAsia="zh-CN"/>
        </w:rPr>
        <w:t>A fin de establecer una estructura cohesiva, orientada a la potenciación del desarrollo y propicia a la innovación en los PMA, en 2014 se atribuyó mayor atención a la puesta en práctica de las Aportaciones Concretas de la OMPI, un repertorio de áreas temáticas prioritarias para impulsar la cooperación con los PMA señaladas por los ministros de los PMA con motivo de la Cuarta Conferencia de las Naciones Unidas sobre los Países Menos Adelantados (ONU PMA IV).  El 29 de julio de 2014 se llevó a la práctica un programa de alianzas para la cooperación interregional, destinado a los PMA, con la Unión Internacional de Telecomunicaciones (UIT), el Fondo de las Naciones Unidas para el Desarrollo de la Capitalización (FNUDC) y la Organización de las Naciones Unidas para el Desarrollo Industrial (ONUDI) en la Conferencia Ministerial sobre las nuevas alianzas para el fortalecimiento de la capacidad productiva de los PMA, celebrada en Cotonú (Benin), sobre el tema “Innovación, creatividad, tecnología, conectividad de banda ancha y financiación como vectores del desarrollo sostenible para los PMA”.</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rFonts w:eastAsia="SimSun"/>
          <w:bCs/>
          <w:lang w:val="es-ES" w:eastAsia="zh-CN"/>
        </w:rPr>
      </w:pPr>
      <w:r w:rsidRPr="00526311">
        <w:rPr>
          <w:rFonts w:eastAsia="SimSun"/>
          <w:bCs/>
          <w:lang w:val="es-ES" w:eastAsia="zh-CN"/>
        </w:rPr>
        <w:t>Tras la satisfactoria finalización de la fase I del proyecto de la A.D. sobre el fortalecimiento de capacidades en el uso de información técnica y científica relativa a tecnologías apropiadas para solucionar determinados problemas de desarrollo, en la decimotercera sesión del CDIP, celebrada en mayo de 2014, se aprobó la fase II (CDIP/13/9).  El resto del año se lograron importantes avances en la elaboración de memorandos de entendimiento en los que se señalan claramente las responsabilidades de los socios, esto es, la OMPI y el país destinatario (un PMA) en el proceso general de ejecución del proyecto. Se mantuvieron consultas con  los ministerios de relaciones exteriores, de justicia y de ciencia y tecnología, las misiones permanentes en Ginebra y los representantes de P.I. de los cuatros países destinatarios.  Está previsto que los memorandos de entendimiento se firmen en 2015.</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rFonts w:eastAsia="SimSun"/>
          <w:bCs/>
          <w:lang w:val="es-ES" w:eastAsia="zh-CN"/>
        </w:rPr>
      </w:pPr>
      <w:r w:rsidRPr="00526311">
        <w:rPr>
          <w:rFonts w:eastAsia="SimSun"/>
          <w:bCs/>
          <w:lang w:val="es-ES" w:eastAsia="zh-CN"/>
        </w:rPr>
        <w:t xml:space="preserve">En 2014 se llevó a término y se evaluó el proyecto relativo a la intensificación de la cooperación Sur-Sur en materia de propiedad intelectual (P.I.) y desarrollo entre los países en desarrollo y los PMA.  En su decimotercera sesión, el CDIP acordó prorrogar la duración del proyecto un año para que pudieran finalizarse las actividades pendientes en el marco del presupuesto restante.  En mayo de 2014 tuvo lugar </w:t>
      </w:r>
      <w:r w:rsidRPr="00526311">
        <w:rPr>
          <w:rFonts w:eastAsia="SimSun"/>
          <w:bCs/>
          <w:lang w:val="es-ES" w:eastAsia="zh-CN"/>
        </w:rPr>
        <w:lastRenderedPageBreak/>
        <w:t>el lanzamiento oficial del sitio web Sur-Sur</w:t>
      </w:r>
      <w:r w:rsidRPr="00526311">
        <w:rPr>
          <w:rStyle w:val="FootnoteReference"/>
          <w:rFonts w:eastAsia="SimSun"/>
          <w:bCs/>
          <w:lang w:val="es-ES" w:eastAsia="zh-CN"/>
        </w:rPr>
        <w:footnoteReference w:id="24"/>
      </w:r>
      <w:r w:rsidRPr="00526311">
        <w:rPr>
          <w:rFonts w:eastAsia="SimSun"/>
          <w:bCs/>
          <w:lang w:val="es-ES" w:eastAsia="zh-CN"/>
        </w:rPr>
        <w:t>, que había quedado ultimado a fines de 2013.  Entre otra información y herramientas de utilidad, el sitio web presenta plataformas web específicas Sur-Sur, a saber,</w:t>
      </w:r>
      <w:r w:rsidR="005502F5" w:rsidRPr="00526311">
        <w:rPr>
          <w:rFonts w:eastAsia="SimSun"/>
          <w:bCs/>
          <w:lang w:val="es-ES" w:eastAsia="zh-CN"/>
        </w:rPr>
        <w:t xml:space="preserve"> asistencia técnica Sur-Sur (IP-</w:t>
      </w:r>
      <w:r w:rsidRPr="00526311">
        <w:rPr>
          <w:rFonts w:eastAsia="SimSun"/>
          <w:bCs/>
          <w:lang w:val="es-ES" w:eastAsia="zh-CN"/>
        </w:rPr>
        <w:t>TAD Sur-Sur) y lista de consultores (IP</w:t>
      </w:r>
      <w:r w:rsidR="005502F5" w:rsidRPr="00526311">
        <w:rPr>
          <w:rFonts w:eastAsia="SimSun"/>
          <w:bCs/>
          <w:lang w:val="es-ES" w:eastAsia="zh-CN"/>
        </w:rPr>
        <w:t>-</w:t>
      </w:r>
      <w:r w:rsidRPr="00526311">
        <w:rPr>
          <w:rFonts w:eastAsia="SimSun"/>
          <w:bCs/>
          <w:lang w:val="es-ES" w:eastAsia="zh-CN"/>
        </w:rPr>
        <w:t>ROC Sur-Sur), para destacar, en relación con la primera, las actividades de asistencia técnica en las que tanto los países destinatarios como el país anfitrión/proveedor son un país en desarrollo, un PMA o un país en transición, y en relación con la segunda, los expertos y especialistas de países en desarrollo, PMA y países en transición.</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rFonts w:eastAsia="SimSun"/>
          <w:bCs/>
          <w:lang w:val="es-ES" w:eastAsia="zh-CN"/>
        </w:rPr>
      </w:pPr>
      <w:r w:rsidRPr="00526311">
        <w:rPr>
          <w:rFonts w:eastAsia="SimSun"/>
          <w:bCs/>
          <w:lang w:val="es-ES" w:eastAsia="zh-CN"/>
        </w:rPr>
        <w:t>En el marco del programa se siguió aprovechando la experiencia en la protección y el desarrollo de marcas en determinados países en desarrollo para productos con un origen específico, adquirida con la ejecución del proyecto de la A.D. sobre la P.I. y el desarrollo de marcas de producto para el fomento de la actividad empresarial de países en desarrollo y países menos adelantados, que se llevó a término en 2013.  En este contexto, en 2014 se centró la atención en impartir cursos de formación especializada encaminados a mejorar las capacidades de los sectores interesados para desarrollar todo el potencial de marcas y de mercado de los productos seleccionados vinculados con el origen.  Para complementar la labor de la OMPI en este ámbito, mediante este programa se colaboró con socios internacionales y regionales, en particular, en la región del Caribe, para hacer frente a las diversas necesidades de formación de los sectores interesados.</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bCs/>
          <w:lang w:val="es-ES"/>
        </w:rPr>
      </w:pPr>
      <w:r w:rsidRPr="00526311">
        <w:rPr>
          <w:bCs/>
          <w:lang w:val="es-ES"/>
        </w:rPr>
        <w:t>Se siguieron utilizando bases de datos especializadas para facilitar la prestación de asistencia técnica, concretamente, la base de datos sobre asistencia técnica en P.I. (IP-TAD) y la lista de consultores de P.I. (IP-ROC), incluidas las interfaces para almacenar información sobre la cooperación sur-sur, y la base de datos de vinculación para atender las necesidades de desarrollo en materia de P.I. (IP-DMD).  En 2014 también se puso en marcha la base de datos especializada relativa a las estrategias nacionales de P.I. (NIPS-D)</w:t>
      </w:r>
      <w:r w:rsidRPr="00526311">
        <w:rPr>
          <w:rStyle w:val="FootnoteReference"/>
          <w:rFonts w:eastAsia="SimSun"/>
          <w:bCs/>
          <w:lang w:val="es-ES" w:eastAsia="zh-CN"/>
        </w:rPr>
        <w:footnoteReference w:id="25"/>
      </w:r>
      <w:r w:rsidRPr="00526311">
        <w:rPr>
          <w:bCs/>
          <w:lang w:val="es-ES"/>
        </w:rPr>
        <w:t>,</w:t>
      </w:r>
      <w:r w:rsidRPr="00526311">
        <w:rPr>
          <w:rFonts w:eastAsia="SimSun"/>
          <w:bCs/>
          <w:lang w:val="es-ES" w:eastAsia="zh-CN"/>
        </w:rPr>
        <w:t xml:space="preserve"> creada en 2013 a fin de recabar datos </w:t>
      </w:r>
      <w:r w:rsidRPr="00526311">
        <w:rPr>
          <w:bCs/>
          <w:lang w:val="es-ES"/>
        </w:rPr>
        <w:t>de referencia que se puedan utilizar en procesos nacionales de formulación de estrategias en materia de P.I., según las necesidades del creciente número de países que utilizan la metodología de la OMPI para elaborar estrategias de P.I.  En el empeño por obtener el máximo rendimiento de estas bases de datos, en 2014 se llevó a cabo un intenso seguimiento de su utilización, y se recabaron comentarios de los usuarios para obtener ideas sobre cómo mejorar aún más los sistemas con miras a facilitar su utilización y a determinar enfoques más estratégicos para fomentar su uso en diferentes países.  Con respecto a la IP-DMD, en 2014 estaba asimismo en curso de elaboración un plan concreto de divulgación para impulsar el alojamiento de datos y catalizar las correspondencias en la base de datos.</w:t>
      </w:r>
    </w:p>
    <w:p w:rsidR="00B45FC3" w:rsidRPr="00526311" w:rsidRDefault="00B45FC3" w:rsidP="0063039A">
      <w:pPr>
        <w:tabs>
          <w:tab w:val="left" w:pos="709"/>
        </w:tabs>
        <w:jc w:val="both"/>
        <w:rPr>
          <w:bCs/>
        </w:rPr>
      </w:pPr>
    </w:p>
    <w:p w:rsidR="00B45FC3" w:rsidRPr="00526311" w:rsidRDefault="00B45FC3" w:rsidP="0063039A">
      <w:pPr>
        <w:tabs>
          <w:tab w:val="left" w:pos="709"/>
        </w:tabs>
        <w:jc w:val="both"/>
        <w:rPr>
          <w:bCs/>
        </w:rPr>
      </w:pPr>
    </w:p>
    <w:p w:rsidR="00B45FC3" w:rsidRPr="00526311" w:rsidRDefault="00B45FC3" w:rsidP="0063039A">
      <w:pPr>
        <w:jc w:val="both"/>
        <w:rPr>
          <w:szCs w:val="22"/>
        </w:rPr>
      </w:pPr>
      <w:r w:rsidRPr="00526311">
        <w:rPr>
          <w:szCs w:val="22"/>
        </w:rPr>
        <w:t>DATOS SOBRE EL RENDIMIENTO</w:t>
      </w:r>
    </w:p>
    <w:p w:rsidR="00B45FC3" w:rsidRPr="00526311" w:rsidRDefault="00B45FC3" w:rsidP="0063039A">
      <w:pPr>
        <w:rPr>
          <w:bCs/>
        </w:rPr>
      </w:pPr>
    </w:p>
    <w:tbl>
      <w:tblPr>
        <w:tblW w:w="94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126"/>
        <w:gridCol w:w="1560"/>
        <w:gridCol w:w="2409"/>
        <w:gridCol w:w="1230"/>
      </w:tblGrid>
      <w:tr w:rsidR="00B45FC3" w:rsidRPr="00526311" w:rsidTr="0063039A">
        <w:tc>
          <w:tcPr>
            <w:tcW w:w="9452" w:type="dxa"/>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spacing w:before="120" w:after="120"/>
              <w:ind w:left="1452" w:hanging="1452"/>
              <w:rPr>
                <w:b/>
                <w:bCs/>
                <w:sz w:val="16"/>
                <w:szCs w:val="16"/>
              </w:rPr>
            </w:pPr>
            <w:r w:rsidRPr="00526311">
              <w:rPr>
                <w:b/>
                <w:bCs/>
                <w:sz w:val="16"/>
                <w:szCs w:val="16"/>
              </w:rPr>
              <w:t>Resultado previsto:</w:t>
            </w:r>
            <w:r w:rsidRPr="00526311">
              <w:rPr>
                <w:b/>
                <w:bCs/>
                <w:sz w:val="16"/>
                <w:szCs w:val="16"/>
              </w:rPr>
              <w:tab/>
            </w:r>
            <w:r w:rsidRPr="00526311">
              <w:rPr>
                <w:sz w:val="16"/>
                <w:szCs w:val="16"/>
                <w:lang w:bidi="th-TH"/>
              </w:rPr>
              <w:t>I.2 Marcos de P.I. adaptados y equilibrados en el ámbito legislativo, reglamentario y de política</w:t>
            </w:r>
          </w:p>
        </w:tc>
      </w:tr>
      <w:tr w:rsidR="00B45FC3" w:rsidRPr="00526311" w:rsidTr="0063039A">
        <w:tc>
          <w:tcPr>
            <w:tcW w:w="2127" w:type="dxa"/>
            <w:tcBorders>
              <w:top w:val="single" w:sz="4" w:space="0" w:color="auto"/>
            </w:tcBorders>
            <w:shd w:val="clear" w:color="auto" w:fill="auto"/>
            <w:vAlign w:val="center"/>
          </w:tcPr>
          <w:p w:rsidR="00B45FC3" w:rsidRPr="00526311" w:rsidRDefault="00B45FC3" w:rsidP="0063039A">
            <w:pPr>
              <w:spacing w:before="40" w:after="40"/>
              <w:rPr>
                <w:sz w:val="16"/>
                <w:szCs w:val="16"/>
              </w:rPr>
            </w:pPr>
            <w:r w:rsidRPr="00526311">
              <w:rPr>
                <w:b/>
                <w:sz w:val="16"/>
                <w:szCs w:val="16"/>
              </w:rPr>
              <w:t>Indicadores de rendimiento</w:t>
            </w:r>
          </w:p>
        </w:tc>
        <w:tc>
          <w:tcPr>
            <w:tcW w:w="2126" w:type="dxa"/>
            <w:tcBorders>
              <w:top w:val="single" w:sz="4" w:space="0" w:color="auto"/>
            </w:tcBorders>
            <w:shd w:val="clear" w:color="auto" w:fill="auto"/>
            <w:vAlign w:val="center"/>
          </w:tcPr>
          <w:p w:rsidR="00B45FC3" w:rsidRPr="00526311" w:rsidRDefault="00B45FC3" w:rsidP="0063039A">
            <w:pPr>
              <w:spacing w:before="40" w:after="40"/>
              <w:rPr>
                <w:b/>
                <w:bCs/>
                <w:sz w:val="16"/>
                <w:szCs w:val="16"/>
              </w:rPr>
            </w:pPr>
            <w:r w:rsidRPr="00526311">
              <w:rPr>
                <w:b/>
                <w:bCs/>
                <w:sz w:val="16"/>
                <w:szCs w:val="16"/>
              </w:rPr>
              <w:t>Referencia</w:t>
            </w:r>
          </w:p>
        </w:tc>
        <w:tc>
          <w:tcPr>
            <w:tcW w:w="1560" w:type="dxa"/>
            <w:tcBorders>
              <w:top w:val="single" w:sz="4" w:space="0" w:color="auto"/>
            </w:tcBorders>
            <w:shd w:val="clear" w:color="auto" w:fill="auto"/>
            <w:tcMar>
              <w:top w:w="110" w:type="dxa"/>
            </w:tcMar>
            <w:vAlign w:val="center"/>
          </w:tcPr>
          <w:p w:rsidR="00B45FC3" w:rsidRPr="00526311" w:rsidRDefault="00B45FC3" w:rsidP="0063039A">
            <w:pPr>
              <w:spacing w:before="40" w:after="40"/>
              <w:rPr>
                <w:b/>
                <w:sz w:val="16"/>
                <w:szCs w:val="16"/>
              </w:rPr>
            </w:pPr>
            <w:r w:rsidRPr="00526311">
              <w:rPr>
                <w:b/>
                <w:sz w:val="16"/>
                <w:szCs w:val="16"/>
              </w:rPr>
              <w:t>Objetivos</w:t>
            </w:r>
          </w:p>
        </w:tc>
        <w:tc>
          <w:tcPr>
            <w:tcW w:w="2409" w:type="dxa"/>
            <w:tcBorders>
              <w:top w:val="single" w:sz="4" w:space="0" w:color="auto"/>
            </w:tcBorders>
            <w:shd w:val="clear" w:color="auto" w:fill="FFFFFF"/>
            <w:tcMar>
              <w:top w:w="110" w:type="dxa"/>
            </w:tcMar>
            <w:vAlign w:val="center"/>
          </w:tcPr>
          <w:p w:rsidR="00B45FC3" w:rsidRPr="00526311" w:rsidRDefault="00B45FC3" w:rsidP="0063039A">
            <w:pPr>
              <w:spacing w:before="40" w:after="40"/>
              <w:rPr>
                <w:sz w:val="16"/>
                <w:szCs w:val="16"/>
              </w:rPr>
            </w:pPr>
            <w:r w:rsidRPr="00526311">
              <w:rPr>
                <w:b/>
                <w:sz w:val="16"/>
                <w:szCs w:val="16"/>
              </w:rPr>
              <w:t>Datos sobre el rendimiento</w:t>
            </w:r>
          </w:p>
        </w:tc>
        <w:tc>
          <w:tcPr>
            <w:tcW w:w="1230" w:type="dxa"/>
            <w:tcBorders>
              <w:top w:val="single" w:sz="4" w:space="0" w:color="auto"/>
            </w:tcBorders>
            <w:shd w:val="clear" w:color="auto" w:fill="auto"/>
            <w:tcMar>
              <w:top w:w="110" w:type="dxa"/>
            </w:tcMar>
            <w:vAlign w:val="center"/>
          </w:tcPr>
          <w:p w:rsidR="00B45FC3" w:rsidRPr="00526311" w:rsidRDefault="00B45FC3" w:rsidP="0063039A">
            <w:pPr>
              <w:keepNext/>
              <w:keepLines/>
              <w:spacing w:before="40" w:after="40"/>
              <w:jc w:val="center"/>
              <w:rPr>
                <w:b/>
                <w:bCs/>
                <w:sz w:val="16"/>
                <w:szCs w:val="16"/>
              </w:rPr>
            </w:pPr>
            <w:r w:rsidRPr="00526311">
              <w:rPr>
                <w:b/>
                <w:bCs/>
                <w:sz w:val="16"/>
                <w:szCs w:val="16"/>
              </w:rPr>
              <w:t>Clave de colores</w:t>
            </w:r>
          </w:p>
        </w:tc>
      </w:tr>
      <w:tr w:rsidR="00B45FC3" w:rsidRPr="00526311" w:rsidTr="0063039A">
        <w:tc>
          <w:tcPr>
            <w:tcW w:w="2127" w:type="dxa"/>
            <w:shd w:val="clear" w:color="auto" w:fill="auto"/>
          </w:tcPr>
          <w:p w:rsidR="00B45FC3" w:rsidRPr="00526311" w:rsidRDefault="00B45FC3" w:rsidP="0063039A">
            <w:pPr>
              <w:rPr>
                <w:sz w:val="16"/>
                <w:szCs w:val="16"/>
              </w:rPr>
            </w:pPr>
            <w:r w:rsidRPr="00526311">
              <w:rPr>
                <w:sz w:val="16"/>
                <w:szCs w:val="16"/>
              </w:rPr>
              <w:t>Número y porcentaje de Estados miembros satisfechos con la calidad del asesoramiento jurídico sobre patentes, modelos de utilidad, secretos comerciales y circuitos integrados</w:t>
            </w:r>
          </w:p>
        </w:tc>
        <w:tc>
          <w:tcPr>
            <w:tcW w:w="2126" w:type="dxa"/>
            <w:shd w:val="clear" w:color="auto" w:fill="auto"/>
          </w:tcPr>
          <w:p w:rsidR="00B45FC3" w:rsidRPr="00526311" w:rsidRDefault="00B45FC3" w:rsidP="0063039A">
            <w:pPr>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lang w:bidi="th-TH"/>
              </w:rPr>
              <w:t>9 Estados miembros (90%), a partir de una encuesta realizada por la DASI en 2013</w:t>
            </w:r>
          </w:p>
          <w:p w:rsidR="00B45FC3" w:rsidRPr="00526311" w:rsidRDefault="00B45FC3" w:rsidP="0063039A">
            <w:pPr>
              <w:rPr>
                <w:i/>
                <w:sz w:val="8"/>
                <w:szCs w:val="8"/>
                <w:lang w:bidi="th-TH"/>
              </w:rPr>
            </w:pPr>
          </w:p>
          <w:p w:rsidR="00B45FC3" w:rsidRPr="00526311" w:rsidRDefault="00B45FC3" w:rsidP="0063039A">
            <w:pPr>
              <w:rPr>
                <w:sz w:val="16"/>
                <w:szCs w:val="16"/>
                <w:lang w:bidi="th-TH"/>
              </w:rPr>
            </w:pPr>
            <w:r w:rsidRPr="00526311">
              <w:rPr>
                <w:i/>
                <w:sz w:val="16"/>
                <w:szCs w:val="16"/>
                <w:lang w:bidi="th-TH"/>
              </w:rPr>
              <w:t xml:space="preserve">Referencia original en el presupuesto de 2014/15:  </w:t>
            </w:r>
            <w:r w:rsidRPr="00526311">
              <w:rPr>
                <w:sz w:val="16"/>
                <w:szCs w:val="16"/>
                <w:lang w:bidi="th-TH"/>
              </w:rPr>
              <w:t>encuestas 2012</w:t>
            </w:r>
            <w:r w:rsidRPr="00526311">
              <w:rPr>
                <w:sz w:val="16"/>
                <w:szCs w:val="16"/>
                <w:lang w:bidi="th-TH"/>
              </w:rPr>
              <w:br/>
            </w:r>
          </w:p>
        </w:tc>
        <w:tc>
          <w:tcPr>
            <w:tcW w:w="1560" w:type="dxa"/>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90%</w:t>
            </w:r>
          </w:p>
        </w:tc>
        <w:tc>
          <w:tcPr>
            <w:tcW w:w="2409" w:type="dxa"/>
            <w:shd w:val="clear" w:color="auto" w:fill="FFFFFF"/>
            <w:tcMar>
              <w:top w:w="110" w:type="dxa"/>
            </w:tcMar>
          </w:tcPr>
          <w:p w:rsidR="00B45FC3" w:rsidRPr="00526311" w:rsidRDefault="00B45FC3" w:rsidP="0063039A">
            <w:pPr>
              <w:pStyle w:val="ListParagraph"/>
              <w:ind w:left="0"/>
              <w:rPr>
                <w:rFonts w:cs="Arial"/>
                <w:sz w:val="16"/>
                <w:szCs w:val="16"/>
                <w:lang w:val="es-ES" w:bidi="th-TH"/>
              </w:rPr>
            </w:pPr>
            <w:r w:rsidRPr="00526311">
              <w:rPr>
                <w:rFonts w:cs="Arial"/>
                <w:sz w:val="16"/>
                <w:szCs w:val="16"/>
                <w:lang w:val="es-ES" w:bidi="th-TH"/>
              </w:rPr>
              <w:t xml:space="preserve">Cinco encuestados manifestaron de promedio un 90% de índice de satisfacción (África-2; región árabe-1; Asia y </w:t>
            </w:r>
            <w:r w:rsidR="005502F5" w:rsidRPr="00526311">
              <w:rPr>
                <w:rFonts w:cs="Arial"/>
                <w:sz w:val="16"/>
                <w:szCs w:val="16"/>
                <w:lang w:val="es-ES" w:bidi="th-TH"/>
              </w:rPr>
              <w:t xml:space="preserve">el </w:t>
            </w:r>
            <w:r w:rsidRPr="00526311">
              <w:rPr>
                <w:rFonts w:cs="Arial"/>
                <w:sz w:val="16"/>
                <w:szCs w:val="16"/>
                <w:lang w:val="es-ES" w:bidi="th-TH"/>
              </w:rPr>
              <w:t>Pacífico-1; América Latina y el Caribe-1)</w:t>
            </w:r>
          </w:p>
          <w:p w:rsidR="00B45FC3" w:rsidRPr="00526311" w:rsidRDefault="00B45FC3" w:rsidP="0063039A">
            <w:pPr>
              <w:pStyle w:val="ListParagraph"/>
              <w:ind w:left="0"/>
              <w:rPr>
                <w:rFonts w:cs="Arial"/>
                <w:sz w:val="16"/>
                <w:szCs w:val="16"/>
                <w:lang w:val="es-ES" w:bidi="th-TH"/>
              </w:rPr>
            </w:pPr>
          </w:p>
          <w:p w:rsidR="00B45FC3" w:rsidRPr="00526311" w:rsidRDefault="00B45FC3" w:rsidP="0063039A">
            <w:pPr>
              <w:pStyle w:val="ListParagraph"/>
              <w:ind w:left="0"/>
              <w:rPr>
                <w:rFonts w:cs="Arial"/>
                <w:sz w:val="16"/>
                <w:szCs w:val="16"/>
                <w:lang w:val="es-ES"/>
              </w:rPr>
            </w:pPr>
          </w:p>
        </w:tc>
        <w:tc>
          <w:tcPr>
            <w:tcW w:w="1230" w:type="dxa"/>
            <w:shd w:val="clear" w:color="auto" w:fill="auto"/>
            <w:tcMar>
              <w:top w:w="110" w:type="dxa"/>
            </w:tcMar>
          </w:tcPr>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tc>
      </w:tr>
    </w:tbl>
    <w:p w:rsidR="00B45FC3" w:rsidRPr="00526311" w:rsidRDefault="00B45FC3">
      <w:r w:rsidRPr="00526311">
        <w:br w:type="page"/>
      </w:r>
    </w:p>
    <w:tbl>
      <w:tblPr>
        <w:tblW w:w="94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985"/>
        <w:gridCol w:w="141"/>
        <w:gridCol w:w="1560"/>
        <w:gridCol w:w="2409"/>
        <w:gridCol w:w="85"/>
        <w:gridCol w:w="200"/>
        <w:gridCol w:w="945"/>
      </w:tblGrid>
      <w:tr w:rsidR="00B45FC3" w:rsidRPr="00526311" w:rsidTr="0063039A">
        <w:tc>
          <w:tcPr>
            <w:tcW w:w="2127" w:type="dxa"/>
            <w:shd w:val="clear" w:color="auto" w:fill="auto"/>
            <w:vAlign w:val="center"/>
          </w:tcPr>
          <w:p w:rsidR="00B45FC3" w:rsidRPr="00526311" w:rsidRDefault="00B45FC3" w:rsidP="0063039A">
            <w:pPr>
              <w:spacing w:after="40"/>
              <w:rPr>
                <w:sz w:val="16"/>
                <w:szCs w:val="16"/>
              </w:rPr>
            </w:pPr>
            <w:r w:rsidRPr="00526311">
              <w:rPr>
                <w:b/>
                <w:sz w:val="16"/>
                <w:szCs w:val="16"/>
              </w:rPr>
              <w:lastRenderedPageBreak/>
              <w:t>Indicadores de rendimiento</w:t>
            </w:r>
          </w:p>
        </w:tc>
        <w:tc>
          <w:tcPr>
            <w:tcW w:w="2126" w:type="dxa"/>
            <w:gridSpan w:val="2"/>
            <w:shd w:val="clear" w:color="auto" w:fill="auto"/>
            <w:vAlign w:val="center"/>
          </w:tcPr>
          <w:p w:rsidR="00B45FC3" w:rsidRPr="00526311" w:rsidRDefault="00B45FC3" w:rsidP="0063039A">
            <w:pPr>
              <w:spacing w:after="40"/>
              <w:rPr>
                <w:b/>
                <w:bCs/>
                <w:sz w:val="16"/>
                <w:szCs w:val="16"/>
              </w:rPr>
            </w:pPr>
            <w:r w:rsidRPr="00526311">
              <w:rPr>
                <w:b/>
                <w:bCs/>
                <w:sz w:val="16"/>
                <w:szCs w:val="16"/>
              </w:rPr>
              <w:t>Referencia</w:t>
            </w:r>
          </w:p>
        </w:tc>
        <w:tc>
          <w:tcPr>
            <w:tcW w:w="1560" w:type="dxa"/>
            <w:shd w:val="clear" w:color="auto" w:fill="auto"/>
            <w:tcMar>
              <w:top w:w="110" w:type="dxa"/>
            </w:tcMar>
            <w:vAlign w:val="center"/>
          </w:tcPr>
          <w:p w:rsidR="00B45FC3" w:rsidRPr="00526311" w:rsidRDefault="00B45FC3" w:rsidP="0063039A">
            <w:pPr>
              <w:spacing w:after="40"/>
              <w:rPr>
                <w:b/>
                <w:sz w:val="16"/>
                <w:szCs w:val="16"/>
              </w:rPr>
            </w:pPr>
            <w:r w:rsidRPr="00526311">
              <w:rPr>
                <w:b/>
                <w:sz w:val="16"/>
                <w:szCs w:val="16"/>
              </w:rPr>
              <w:t>Objetivos</w:t>
            </w:r>
          </w:p>
        </w:tc>
        <w:tc>
          <w:tcPr>
            <w:tcW w:w="2409" w:type="dxa"/>
            <w:shd w:val="clear" w:color="auto" w:fill="FFFFFF"/>
            <w:tcMar>
              <w:top w:w="110" w:type="dxa"/>
            </w:tcMar>
            <w:vAlign w:val="center"/>
          </w:tcPr>
          <w:p w:rsidR="00B45FC3" w:rsidRPr="00526311" w:rsidRDefault="00B45FC3" w:rsidP="0063039A">
            <w:pPr>
              <w:spacing w:after="40"/>
              <w:rPr>
                <w:sz w:val="16"/>
                <w:szCs w:val="16"/>
              </w:rPr>
            </w:pPr>
            <w:r w:rsidRPr="00526311">
              <w:rPr>
                <w:b/>
                <w:sz w:val="16"/>
                <w:szCs w:val="16"/>
              </w:rPr>
              <w:t>Datos sobre el rendimiento</w:t>
            </w:r>
          </w:p>
        </w:tc>
        <w:tc>
          <w:tcPr>
            <w:tcW w:w="1230" w:type="dxa"/>
            <w:gridSpan w:val="3"/>
            <w:shd w:val="clear" w:color="auto" w:fill="auto"/>
            <w:tcMar>
              <w:top w:w="110" w:type="dxa"/>
            </w:tcMar>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c>
          <w:tcPr>
            <w:tcW w:w="2127" w:type="dxa"/>
            <w:shd w:val="clear" w:color="auto" w:fill="auto"/>
          </w:tcPr>
          <w:p w:rsidR="00B45FC3" w:rsidRPr="00526311" w:rsidRDefault="00B45FC3" w:rsidP="0063039A">
            <w:pPr>
              <w:keepNext/>
              <w:rPr>
                <w:sz w:val="16"/>
                <w:szCs w:val="16"/>
              </w:rPr>
            </w:pPr>
            <w:r w:rsidRPr="00526311">
              <w:rPr>
                <w:sz w:val="16"/>
                <w:szCs w:val="16"/>
              </w:rPr>
              <w:t>Número y porcentaje de Estados miembros/organizaciones regionales que han formulado comentarios positivos sobre el asesoramiento legislativo proporcionado en la esfera de las marcas, los diseños industriales y las indicaciones geográficas</w:t>
            </w:r>
          </w:p>
        </w:tc>
        <w:tc>
          <w:tcPr>
            <w:tcW w:w="2126" w:type="dxa"/>
            <w:gridSpan w:val="2"/>
            <w:shd w:val="clear" w:color="auto" w:fill="auto"/>
          </w:tcPr>
          <w:p w:rsidR="00B45FC3" w:rsidRPr="00526311" w:rsidRDefault="00B45FC3" w:rsidP="0063039A">
            <w:pPr>
              <w:keepNext/>
              <w:ind w:leftChars="-6" w:left="1" w:hangingChars="9" w:hanging="14"/>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rPr>
              <w:t>9 de 13 países formularon comentarios positivos.  Cuatro países no respondieron.</w:t>
            </w:r>
          </w:p>
          <w:p w:rsidR="00B45FC3" w:rsidRPr="00526311" w:rsidRDefault="00B45FC3" w:rsidP="0063039A">
            <w:pPr>
              <w:keepNext/>
              <w:ind w:leftChars="-6" w:left="1" w:hangingChars="9" w:hanging="14"/>
              <w:rPr>
                <w:i/>
                <w:sz w:val="16"/>
                <w:szCs w:val="16"/>
                <w:lang w:bidi="th-TH"/>
              </w:rPr>
            </w:pPr>
          </w:p>
          <w:p w:rsidR="00B45FC3" w:rsidRPr="00526311" w:rsidRDefault="00B45FC3" w:rsidP="0063039A">
            <w:pPr>
              <w:keepNext/>
              <w:ind w:leftChars="-6" w:left="1" w:hangingChars="9" w:hanging="14"/>
              <w:rPr>
                <w:sz w:val="16"/>
                <w:szCs w:val="16"/>
                <w:lang w:bidi="th-TH"/>
              </w:rPr>
            </w:pPr>
            <w:r w:rsidRPr="00526311">
              <w:rPr>
                <w:i/>
                <w:sz w:val="16"/>
                <w:szCs w:val="16"/>
                <w:lang w:bidi="th-TH"/>
              </w:rPr>
              <w:t>Referencia original en el presupuesto de 2014/15: 3 </w:t>
            </w:r>
            <w:r w:rsidRPr="00526311">
              <w:rPr>
                <w:sz w:val="16"/>
                <w:szCs w:val="16"/>
                <w:lang w:bidi="th-TH"/>
              </w:rPr>
              <w:t>Estados miembros/organizaciones regionales han formulado comentarios positivos sobre el asesoramiento legislativo recibido en 2012</w:t>
            </w:r>
          </w:p>
          <w:p w:rsidR="00B45FC3" w:rsidRPr="00526311" w:rsidRDefault="00B45FC3" w:rsidP="0063039A">
            <w:pPr>
              <w:keepNext/>
              <w:ind w:leftChars="-6" w:left="1" w:hangingChars="9" w:hanging="14"/>
              <w:rPr>
                <w:sz w:val="16"/>
                <w:szCs w:val="16"/>
                <w:lang w:bidi="th-TH"/>
              </w:rPr>
            </w:pPr>
          </w:p>
        </w:tc>
        <w:tc>
          <w:tcPr>
            <w:tcW w:w="1560" w:type="dxa"/>
            <w:shd w:val="clear" w:color="auto" w:fill="auto"/>
            <w:tcMar>
              <w:top w:w="110" w:type="dxa"/>
            </w:tcMar>
          </w:tcPr>
          <w:p w:rsidR="00B45FC3" w:rsidRPr="00526311" w:rsidRDefault="00B45FC3" w:rsidP="0063039A">
            <w:pPr>
              <w:keepNext/>
              <w:autoSpaceDE w:val="0"/>
              <w:autoSpaceDN w:val="0"/>
              <w:adjustRightInd w:val="0"/>
              <w:rPr>
                <w:sz w:val="16"/>
                <w:szCs w:val="16"/>
              </w:rPr>
            </w:pPr>
            <w:r w:rsidRPr="00526311">
              <w:rPr>
                <w:sz w:val="16"/>
                <w:szCs w:val="16"/>
              </w:rPr>
              <w:t>Comentarios positivos recibidos de 10 Estados miembros/</w:t>
            </w:r>
          </w:p>
          <w:p w:rsidR="00B45FC3" w:rsidRPr="00526311" w:rsidRDefault="00B45FC3" w:rsidP="0063039A">
            <w:pPr>
              <w:keepNext/>
              <w:autoSpaceDE w:val="0"/>
              <w:autoSpaceDN w:val="0"/>
              <w:adjustRightInd w:val="0"/>
              <w:rPr>
                <w:sz w:val="16"/>
                <w:szCs w:val="16"/>
              </w:rPr>
            </w:pPr>
            <w:r w:rsidRPr="00526311">
              <w:rPr>
                <w:sz w:val="16"/>
                <w:szCs w:val="16"/>
              </w:rPr>
              <w:t>organizaciones regionales (desglose regional).</w:t>
            </w:r>
          </w:p>
        </w:tc>
        <w:tc>
          <w:tcPr>
            <w:tcW w:w="2409" w:type="dxa"/>
            <w:shd w:val="clear" w:color="auto" w:fill="FFFFFF"/>
            <w:tcMar>
              <w:top w:w="110" w:type="dxa"/>
            </w:tcMar>
          </w:tcPr>
          <w:p w:rsidR="00B45FC3" w:rsidRPr="00526311" w:rsidRDefault="00B45FC3" w:rsidP="0063039A">
            <w:pPr>
              <w:keepNext/>
              <w:rPr>
                <w:sz w:val="16"/>
                <w:szCs w:val="16"/>
                <w:lang w:bidi="th-TH"/>
              </w:rPr>
            </w:pPr>
            <w:r w:rsidRPr="00526311">
              <w:rPr>
                <w:sz w:val="16"/>
                <w:szCs w:val="16"/>
                <w:lang w:bidi="th-TH"/>
              </w:rPr>
              <w:t>Se prestó asesoramiento a 20 Estados miembros/Organizaciones regionales (África 7; región árabe 1; Asia y el Pacífico 11; América Latina y el Caribe 1)</w:t>
            </w:r>
          </w:p>
          <w:p w:rsidR="00B45FC3" w:rsidRPr="00526311" w:rsidRDefault="00B45FC3" w:rsidP="0063039A">
            <w:pPr>
              <w:keepNext/>
              <w:rPr>
                <w:sz w:val="16"/>
                <w:szCs w:val="16"/>
                <w:lang w:bidi="th-TH"/>
              </w:rPr>
            </w:pPr>
          </w:p>
          <w:p w:rsidR="00B45FC3" w:rsidRPr="00526311" w:rsidRDefault="00B45FC3" w:rsidP="0063039A">
            <w:pPr>
              <w:keepNext/>
              <w:rPr>
                <w:sz w:val="16"/>
                <w:szCs w:val="16"/>
              </w:rPr>
            </w:pPr>
            <w:r w:rsidRPr="00526311">
              <w:rPr>
                <w:sz w:val="16"/>
                <w:szCs w:val="16"/>
                <w:lang w:bidi="th-TH"/>
              </w:rPr>
              <w:t>Se recibieron comentarios positivos de 7 encuestados, y todos ellos (100%) manifestaron satisfacción con el asesoramiento ofrecido.</w:t>
            </w:r>
          </w:p>
        </w:tc>
        <w:tc>
          <w:tcPr>
            <w:tcW w:w="1230" w:type="dxa"/>
            <w:gridSpan w:val="3"/>
            <w:shd w:val="clear" w:color="auto" w:fill="auto"/>
            <w:tcMar>
              <w:top w:w="110" w:type="dxa"/>
            </w:tcMar>
          </w:tcPr>
          <w:p w:rsidR="00B45FC3" w:rsidRPr="00526311" w:rsidRDefault="00B45FC3" w:rsidP="0063039A">
            <w:pPr>
              <w:keepNext/>
              <w:keepLines/>
              <w:ind w:left="-108"/>
              <w:jc w:val="center"/>
              <w:rPr>
                <w:bCs/>
                <w:color w:val="00B050"/>
                <w:sz w:val="16"/>
                <w:szCs w:val="16"/>
              </w:rPr>
            </w:pPr>
            <w:r w:rsidRPr="00526311">
              <w:rPr>
                <w:b/>
                <w:bCs/>
                <w:color w:val="00B050"/>
                <w:sz w:val="16"/>
                <w:szCs w:val="16"/>
              </w:rPr>
              <w:t>Avanza</w:t>
            </w:r>
          </w:p>
        </w:tc>
      </w:tr>
      <w:tr w:rsidR="00B45FC3" w:rsidRPr="00526311" w:rsidTr="0063039A">
        <w:tc>
          <w:tcPr>
            <w:tcW w:w="2127" w:type="dxa"/>
            <w:shd w:val="clear" w:color="auto" w:fill="auto"/>
          </w:tcPr>
          <w:p w:rsidR="00B45FC3" w:rsidRPr="00526311" w:rsidRDefault="00B45FC3" w:rsidP="0063039A">
            <w:pPr>
              <w:keepNext/>
              <w:rPr>
                <w:sz w:val="16"/>
                <w:szCs w:val="16"/>
              </w:rPr>
            </w:pPr>
            <w:r w:rsidRPr="00526311">
              <w:rPr>
                <w:sz w:val="16"/>
                <w:szCs w:val="16"/>
              </w:rPr>
              <w:t>Número y porcentaje de países que han presentado comentarios positivos sobre el asesoramiento legislativo de la OMPI.</w:t>
            </w:r>
          </w:p>
        </w:tc>
        <w:tc>
          <w:tcPr>
            <w:tcW w:w="2126" w:type="dxa"/>
            <w:gridSpan w:val="2"/>
            <w:shd w:val="clear" w:color="auto" w:fill="auto"/>
          </w:tcPr>
          <w:p w:rsidR="00B45FC3" w:rsidRPr="00526311" w:rsidRDefault="00B45FC3" w:rsidP="0063039A">
            <w:pPr>
              <w:keepNext/>
              <w:ind w:left="1"/>
              <w:rPr>
                <w:sz w:val="16"/>
                <w:szCs w:val="16"/>
                <w:lang w:bidi="th-TH"/>
              </w:rPr>
            </w:pPr>
            <w:r w:rsidRPr="00526311">
              <w:rPr>
                <w:sz w:val="16"/>
                <w:szCs w:val="16"/>
                <w:lang w:bidi="th-TH"/>
              </w:rPr>
              <w:t>Todavía no se han recopilado los comentarios.</w:t>
            </w:r>
          </w:p>
        </w:tc>
        <w:tc>
          <w:tcPr>
            <w:tcW w:w="1560" w:type="dxa"/>
            <w:shd w:val="clear" w:color="auto" w:fill="auto"/>
            <w:tcMar>
              <w:top w:w="110" w:type="dxa"/>
            </w:tcMar>
          </w:tcPr>
          <w:p w:rsidR="00B45FC3" w:rsidRPr="00526311" w:rsidRDefault="00B45FC3" w:rsidP="0063039A">
            <w:pPr>
              <w:keepNext/>
              <w:autoSpaceDE w:val="0"/>
              <w:autoSpaceDN w:val="0"/>
              <w:adjustRightInd w:val="0"/>
              <w:rPr>
                <w:sz w:val="16"/>
                <w:szCs w:val="16"/>
              </w:rPr>
            </w:pPr>
            <w:r w:rsidRPr="00526311">
              <w:rPr>
                <w:sz w:val="16"/>
                <w:szCs w:val="16"/>
              </w:rPr>
              <w:t>15 países (desglose regional)</w:t>
            </w:r>
          </w:p>
        </w:tc>
        <w:tc>
          <w:tcPr>
            <w:tcW w:w="2409" w:type="dxa"/>
            <w:shd w:val="clear" w:color="auto" w:fill="FFFFFF"/>
            <w:tcMar>
              <w:top w:w="110" w:type="dxa"/>
            </w:tcMar>
          </w:tcPr>
          <w:p w:rsidR="00B45FC3" w:rsidRPr="00526311" w:rsidRDefault="00B45FC3">
            <w:pPr>
              <w:pStyle w:val="ListParagraph"/>
              <w:keepNext/>
              <w:ind w:left="0"/>
              <w:rPr>
                <w:rFonts w:cs="Arial"/>
                <w:sz w:val="16"/>
                <w:szCs w:val="16"/>
                <w:lang w:val="es-ES"/>
              </w:rPr>
            </w:pPr>
            <w:r w:rsidRPr="00526311">
              <w:rPr>
                <w:rFonts w:cs="Arial"/>
                <w:sz w:val="16"/>
                <w:szCs w:val="16"/>
                <w:lang w:val="es-ES" w:bidi="th-TH"/>
              </w:rPr>
              <w:t>14 países recibieron asesoramiento legislativo en 2014 (África 6; Asia y el Pacífico 2; América Latina y el Caribe 4; región árabe 2). En 2015 se realizará una encuesta.</w:t>
            </w:r>
          </w:p>
        </w:tc>
        <w:tc>
          <w:tcPr>
            <w:tcW w:w="1230" w:type="dxa"/>
            <w:gridSpan w:val="3"/>
            <w:shd w:val="clear" w:color="auto" w:fill="auto"/>
            <w:tcMar>
              <w:top w:w="110" w:type="dxa"/>
            </w:tcMar>
          </w:tcPr>
          <w:p w:rsidR="00B45FC3" w:rsidRPr="00526311" w:rsidRDefault="00B45FC3" w:rsidP="0063039A">
            <w:pPr>
              <w:keepNext/>
              <w:keepLines/>
              <w:ind w:left="-108"/>
              <w:jc w:val="center"/>
              <w:rPr>
                <w:bCs/>
                <w:color w:val="008000"/>
                <w:sz w:val="16"/>
                <w:szCs w:val="16"/>
              </w:rPr>
            </w:pPr>
            <w:r w:rsidRPr="00526311">
              <w:rPr>
                <w:b/>
                <w:bCs/>
                <w:color w:val="0070C0"/>
                <w:sz w:val="16"/>
                <w:szCs w:val="16"/>
              </w:rPr>
              <w:t>No disponible para 2014</w:t>
            </w:r>
          </w:p>
        </w:tc>
      </w:tr>
      <w:tr w:rsidR="00B45FC3" w:rsidRPr="00526311" w:rsidTr="0063039A">
        <w:tc>
          <w:tcPr>
            <w:tcW w:w="9452" w:type="dxa"/>
            <w:gridSpan w:val="8"/>
            <w:tcBorders>
              <w:top w:val="single" w:sz="4" w:space="0" w:color="auto"/>
              <w:bottom w:val="single" w:sz="4" w:space="0" w:color="auto"/>
            </w:tcBorders>
            <w:shd w:val="clear" w:color="auto" w:fill="CCFFFF"/>
            <w:vAlign w:val="center"/>
          </w:tcPr>
          <w:p w:rsidR="00B45FC3" w:rsidRPr="00526311" w:rsidRDefault="00B45FC3" w:rsidP="0063039A">
            <w:pPr>
              <w:tabs>
                <w:tab w:val="left" w:pos="1452"/>
              </w:tabs>
              <w:spacing w:before="120" w:after="120"/>
              <w:ind w:left="1701" w:hanging="1701"/>
              <w:rPr>
                <w:b/>
                <w:bCs/>
                <w:sz w:val="16"/>
                <w:szCs w:val="16"/>
              </w:rPr>
            </w:pPr>
            <w:r w:rsidRPr="00526311">
              <w:rPr>
                <w:b/>
                <w:bCs/>
                <w:sz w:val="16"/>
                <w:szCs w:val="16"/>
              </w:rPr>
              <w:t>Resultado previsto:</w:t>
            </w:r>
            <w:r w:rsidRPr="00526311">
              <w:rPr>
                <w:b/>
                <w:bCs/>
                <w:sz w:val="16"/>
                <w:szCs w:val="16"/>
              </w:rPr>
              <w:tab/>
            </w:r>
            <w:r w:rsidRPr="00526311">
              <w:rPr>
                <w:sz w:val="16"/>
                <w:szCs w:val="16"/>
                <w:lang w:bidi="th-TH"/>
              </w:rPr>
              <w:t xml:space="preserve">III.1 </w:t>
            </w:r>
            <w:r w:rsidRPr="00526311">
              <w:rPr>
                <w:sz w:val="16"/>
                <w:szCs w:val="16"/>
              </w:rPr>
              <w:t>Estrategias y planes nacionales de innovación y de P.I. que estén en sintonía con los objetivos   nacionales de desarrollo</w:t>
            </w:r>
          </w:p>
        </w:tc>
      </w:tr>
      <w:tr w:rsidR="00B45FC3" w:rsidRPr="00526311" w:rsidTr="0063039A">
        <w:tc>
          <w:tcPr>
            <w:tcW w:w="2127" w:type="dxa"/>
            <w:tcBorders>
              <w:top w:val="single" w:sz="4" w:space="0" w:color="auto"/>
            </w:tcBorders>
            <w:shd w:val="clear" w:color="auto" w:fill="auto"/>
            <w:vAlign w:val="center"/>
          </w:tcPr>
          <w:p w:rsidR="00B45FC3" w:rsidRPr="00526311" w:rsidRDefault="00B45FC3" w:rsidP="0063039A">
            <w:pPr>
              <w:spacing w:after="40"/>
              <w:rPr>
                <w:sz w:val="16"/>
                <w:szCs w:val="16"/>
              </w:rPr>
            </w:pPr>
            <w:r w:rsidRPr="00526311">
              <w:rPr>
                <w:b/>
                <w:sz w:val="16"/>
                <w:szCs w:val="16"/>
              </w:rPr>
              <w:t>Indicadores de rendimiento</w:t>
            </w:r>
          </w:p>
        </w:tc>
        <w:tc>
          <w:tcPr>
            <w:tcW w:w="1985" w:type="dxa"/>
            <w:tcBorders>
              <w:top w:val="single" w:sz="4" w:space="0" w:color="auto"/>
            </w:tcBorders>
            <w:shd w:val="clear" w:color="auto" w:fill="auto"/>
            <w:vAlign w:val="center"/>
          </w:tcPr>
          <w:p w:rsidR="00B45FC3" w:rsidRPr="00526311" w:rsidRDefault="00B45FC3" w:rsidP="0063039A">
            <w:pPr>
              <w:spacing w:after="40"/>
              <w:rPr>
                <w:b/>
                <w:bCs/>
                <w:sz w:val="16"/>
                <w:szCs w:val="16"/>
              </w:rPr>
            </w:pPr>
            <w:r w:rsidRPr="00526311">
              <w:rPr>
                <w:b/>
                <w:bCs/>
                <w:sz w:val="16"/>
                <w:szCs w:val="16"/>
              </w:rPr>
              <w:t>Referencia</w:t>
            </w:r>
          </w:p>
        </w:tc>
        <w:tc>
          <w:tcPr>
            <w:tcW w:w="1701" w:type="dxa"/>
            <w:gridSpan w:val="2"/>
            <w:tcBorders>
              <w:top w:val="single" w:sz="4" w:space="0" w:color="auto"/>
            </w:tcBorders>
            <w:shd w:val="clear" w:color="auto" w:fill="auto"/>
            <w:tcMar>
              <w:top w:w="110" w:type="dxa"/>
            </w:tcMar>
            <w:vAlign w:val="center"/>
          </w:tcPr>
          <w:p w:rsidR="00B45FC3" w:rsidRPr="00526311" w:rsidRDefault="00B45FC3" w:rsidP="0063039A">
            <w:pPr>
              <w:spacing w:after="40"/>
              <w:rPr>
                <w:b/>
                <w:sz w:val="16"/>
                <w:szCs w:val="16"/>
              </w:rPr>
            </w:pPr>
            <w:r w:rsidRPr="00526311">
              <w:rPr>
                <w:b/>
                <w:sz w:val="16"/>
                <w:szCs w:val="16"/>
              </w:rPr>
              <w:t>Objetivos</w:t>
            </w:r>
          </w:p>
        </w:tc>
        <w:tc>
          <w:tcPr>
            <w:tcW w:w="2694" w:type="dxa"/>
            <w:gridSpan w:val="3"/>
            <w:tcBorders>
              <w:top w:val="single" w:sz="4" w:space="0" w:color="auto"/>
            </w:tcBorders>
            <w:shd w:val="clear" w:color="auto" w:fill="FFFFFF"/>
            <w:tcMar>
              <w:top w:w="110" w:type="dxa"/>
            </w:tcMar>
            <w:vAlign w:val="center"/>
          </w:tcPr>
          <w:p w:rsidR="00B45FC3" w:rsidRPr="00526311" w:rsidRDefault="00B45FC3" w:rsidP="0063039A">
            <w:pPr>
              <w:spacing w:after="40"/>
              <w:rPr>
                <w:sz w:val="16"/>
                <w:szCs w:val="16"/>
              </w:rPr>
            </w:pPr>
            <w:r w:rsidRPr="00526311">
              <w:rPr>
                <w:b/>
                <w:sz w:val="16"/>
                <w:szCs w:val="16"/>
              </w:rPr>
              <w:t>Datos sobre el rendimiento</w:t>
            </w:r>
          </w:p>
        </w:tc>
        <w:tc>
          <w:tcPr>
            <w:tcW w:w="945" w:type="dxa"/>
            <w:tcBorders>
              <w:top w:val="single" w:sz="4" w:space="0" w:color="auto"/>
            </w:tcBorders>
            <w:shd w:val="clear" w:color="auto" w:fill="auto"/>
            <w:tcMar>
              <w:top w:w="110" w:type="dxa"/>
            </w:tcMar>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c>
          <w:tcPr>
            <w:tcW w:w="2127" w:type="dxa"/>
            <w:shd w:val="clear" w:color="auto" w:fill="FFFFFF"/>
          </w:tcPr>
          <w:p w:rsidR="00B45FC3" w:rsidRPr="00526311" w:rsidRDefault="00B45FC3" w:rsidP="0063039A">
            <w:pPr>
              <w:rPr>
                <w:sz w:val="16"/>
                <w:szCs w:val="16"/>
                <w:lang w:bidi="th-TH"/>
              </w:rPr>
            </w:pPr>
            <w:r w:rsidRPr="00526311">
              <w:rPr>
                <w:sz w:val="16"/>
                <w:szCs w:val="16"/>
                <w:lang w:bidi="th-TH"/>
              </w:rPr>
              <w:t>Número de países que están en proceso de formular/adoptar estrategias o planes de desarrollo nacionales de P.I.</w:t>
            </w:r>
          </w:p>
        </w:tc>
        <w:tc>
          <w:tcPr>
            <w:tcW w:w="1985" w:type="dxa"/>
            <w:shd w:val="clear" w:color="auto" w:fill="auto"/>
          </w:tcPr>
          <w:p w:rsidR="00B45FC3" w:rsidRPr="00526311" w:rsidRDefault="00B45FC3" w:rsidP="0063039A">
            <w:pPr>
              <w:keepNext/>
              <w:ind w:leftChars="-6" w:left="1" w:hangingChars="9" w:hanging="14"/>
              <w:rPr>
                <w:i/>
                <w:color w:val="002060"/>
                <w:sz w:val="16"/>
                <w:szCs w:val="16"/>
              </w:rPr>
            </w:pPr>
            <w:r w:rsidRPr="00526311">
              <w:rPr>
                <w:i/>
                <w:color w:val="002060"/>
                <w:sz w:val="16"/>
                <w:szCs w:val="16"/>
              </w:rPr>
              <w:t xml:space="preserve">Referencia actualizada a fines de 2013: </w:t>
            </w:r>
          </w:p>
          <w:p w:rsidR="00B45FC3" w:rsidRPr="00526311" w:rsidRDefault="00B45FC3" w:rsidP="0063039A">
            <w:pPr>
              <w:rPr>
                <w:color w:val="002060"/>
                <w:sz w:val="16"/>
                <w:szCs w:val="16"/>
              </w:rPr>
            </w:pPr>
            <w:r w:rsidRPr="00526311">
              <w:rPr>
                <w:color w:val="002060"/>
                <w:sz w:val="16"/>
                <w:szCs w:val="16"/>
              </w:rPr>
              <w:t>África: 18 en total (Botswana, Burundi, Camerún, República Centroafricana, Chad, el Congo, Guinea Ecuatorial, Etiopía</w:t>
            </w:r>
            <w:r w:rsidRPr="00526311">
              <w:rPr>
                <w:rStyle w:val="FootnoteReference"/>
                <w:color w:val="002060"/>
                <w:sz w:val="16"/>
                <w:szCs w:val="16"/>
              </w:rPr>
              <w:footnoteReference w:id="26"/>
            </w:r>
            <w:r w:rsidRPr="00526311">
              <w:rPr>
                <w:color w:val="002060"/>
                <w:sz w:val="16"/>
                <w:szCs w:val="16"/>
              </w:rPr>
              <w:t>, Gambia, Kenya, Lesotho,  Malawi, Malí, Mauricio, Seychelles, Sierra Leona, Togo, República Unida de Tanzanía)</w:t>
            </w:r>
          </w:p>
          <w:p w:rsidR="00B45FC3" w:rsidRPr="00526311" w:rsidRDefault="00B45FC3" w:rsidP="0063039A">
            <w:pPr>
              <w:rPr>
                <w:color w:val="002060"/>
                <w:sz w:val="16"/>
                <w:szCs w:val="16"/>
              </w:rPr>
            </w:pPr>
          </w:p>
          <w:p w:rsidR="00B45FC3" w:rsidRPr="00526311" w:rsidRDefault="00B45FC3" w:rsidP="0063039A">
            <w:pPr>
              <w:rPr>
                <w:color w:val="002060"/>
                <w:sz w:val="16"/>
                <w:szCs w:val="16"/>
              </w:rPr>
            </w:pPr>
            <w:r w:rsidRPr="00526311">
              <w:rPr>
                <w:color w:val="002060"/>
                <w:sz w:val="16"/>
                <w:szCs w:val="16"/>
              </w:rPr>
              <w:t>Región árabe: 6 en total</w:t>
            </w:r>
            <w:r w:rsidRPr="00526311">
              <w:rPr>
                <w:rStyle w:val="FootnoteReference"/>
                <w:color w:val="002060"/>
                <w:sz w:val="16"/>
                <w:szCs w:val="16"/>
              </w:rPr>
              <w:footnoteReference w:id="27"/>
            </w:r>
            <w:r w:rsidRPr="00526311">
              <w:rPr>
                <w:color w:val="002060"/>
                <w:sz w:val="16"/>
                <w:szCs w:val="16"/>
              </w:rPr>
              <w:t xml:space="preserve"> (Argelia</w:t>
            </w:r>
            <w:r w:rsidRPr="00526311">
              <w:rPr>
                <w:rStyle w:val="FootnoteReference"/>
                <w:color w:val="002060"/>
                <w:sz w:val="16"/>
                <w:szCs w:val="16"/>
              </w:rPr>
              <w:footnoteReference w:id="28"/>
            </w:r>
            <w:r w:rsidRPr="00526311">
              <w:rPr>
                <w:color w:val="002060"/>
                <w:sz w:val="16"/>
                <w:szCs w:val="16"/>
              </w:rPr>
              <w:t>, Omán, Qatar</w:t>
            </w:r>
            <w:r w:rsidRPr="00526311">
              <w:rPr>
                <w:rStyle w:val="FootnoteReference"/>
                <w:color w:val="002060"/>
                <w:sz w:val="16"/>
                <w:szCs w:val="16"/>
              </w:rPr>
              <w:footnoteReference w:id="29"/>
            </w:r>
            <w:r w:rsidRPr="00526311">
              <w:rPr>
                <w:color w:val="002060"/>
                <w:sz w:val="16"/>
                <w:szCs w:val="16"/>
              </w:rPr>
              <w:t>, Sudán, Emiratos Árabes Unidos, Yemen)</w:t>
            </w:r>
          </w:p>
          <w:p w:rsidR="00B45FC3" w:rsidRPr="00526311" w:rsidRDefault="00B45FC3" w:rsidP="0063039A">
            <w:pPr>
              <w:rPr>
                <w:color w:val="002060"/>
                <w:sz w:val="16"/>
                <w:szCs w:val="16"/>
              </w:rPr>
            </w:pPr>
          </w:p>
          <w:p w:rsidR="00B45FC3" w:rsidRPr="00526311" w:rsidRDefault="00B45FC3" w:rsidP="0063039A">
            <w:pPr>
              <w:rPr>
                <w:color w:val="002060"/>
                <w:sz w:val="16"/>
                <w:szCs w:val="16"/>
              </w:rPr>
            </w:pPr>
            <w:r w:rsidRPr="00526311">
              <w:rPr>
                <w:color w:val="002060"/>
                <w:sz w:val="16"/>
                <w:szCs w:val="16"/>
              </w:rPr>
              <w:t xml:space="preserve">Asia y el Pacífico: 12 en total (Bangladesh, Bhután, Camboya, Fiji, Mongolia, Papua Nueva Guinea, Samoa, Islas Salomón, Sri Lanka, Tonga, Vanuatu, Viet Nam) </w:t>
            </w:r>
          </w:p>
          <w:p w:rsidR="00B45FC3" w:rsidRPr="00526311" w:rsidRDefault="00B45FC3" w:rsidP="0063039A">
            <w:pPr>
              <w:rPr>
                <w:sz w:val="16"/>
                <w:szCs w:val="16"/>
                <w:lang w:bidi="th-TH"/>
              </w:rPr>
            </w:pPr>
          </w:p>
        </w:tc>
        <w:tc>
          <w:tcPr>
            <w:tcW w:w="1701" w:type="dxa"/>
            <w:gridSpan w:val="2"/>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África (18 en total)</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Región árabe (7 en total)</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Asia y el Pacífico (13 en total)</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América Latina y el Caribe (13 en total)</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10 PMA incluidos en el desglose regional precedente</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tc>
        <w:tc>
          <w:tcPr>
            <w:tcW w:w="2494" w:type="dxa"/>
            <w:gridSpan w:val="2"/>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África (6 países adicionales):</w:t>
            </w:r>
            <w:r w:rsidRPr="00526311">
              <w:t xml:space="preserve"> </w:t>
            </w:r>
            <w:r w:rsidRPr="00526311">
              <w:rPr>
                <w:sz w:val="16"/>
                <w:szCs w:val="16"/>
                <w:lang w:bidi="th-TH"/>
              </w:rPr>
              <w:t>Benin, República Democrática del Congo</w:t>
            </w:r>
            <w:r w:rsidRPr="00526311">
              <w:rPr>
                <w:rStyle w:val="FootnoteReference"/>
                <w:sz w:val="16"/>
                <w:szCs w:val="16"/>
                <w:lang w:bidi="th-TH"/>
              </w:rPr>
              <w:footnoteReference w:id="30"/>
            </w:r>
            <w:r w:rsidRPr="00526311">
              <w:rPr>
                <w:sz w:val="16"/>
                <w:szCs w:val="16"/>
                <w:lang w:bidi="th-TH"/>
              </w:rPr>
              <w:t>, Madagascar, Níger, Swazilandia, Uganda (24 en total)</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Región árabe (no hay países adicionales);</w:t>
            </w:r>
          </w:p>
          <w:p w:rsidR="00B45FC3" w:rsidRPr="00526311" w:rsidRDefault="00B45FC3" w:rsidP="00B45FC3">
            <w:pPr>
              <w:pStyle w:val="ListParagraph"/>
              <w:numPr>
                <w:ilvl w:val="0"/>
                <w:numId w:val="50"/>
              </w:numPr>
              <w:rPr>
                <w:sz w:val="16"/>
                <w:szCs w:val="16"/>
                <w:lang w:val="es-ES" w:bidi="th-TH"/>
              </w:rPr>
            </w:pPr>
            <w:r w:rsidRPr="00526311">
              <w:rPr>
                <w:sz w:val="16"/>
                <w:szCs w:val="16"/>
                <w:lang w:val="es-ES" w:bidi="th-TH"/>
              </w:rPr>
              <w:t>Emiratos Árabes Unidos (no hubo actividades adicionales);</w:t>
            </w:r>
          </w:p>
          <w:p w:rsidR="00B45FC3" w:rsidRPr="00526311" w:rsidRDefault="00B45FC3" w:rsidP="00B45FC3">
            <w:pPr>
              <w:pStyle w:val="ListParagraph"/>
              <w:numPr>
                <w:ilvl w:val="0"/>
                <w:numId w:val="50"/>
              </w:numPr>
              <w:rPr>
                <w:lang w:val="es-ES" w:bidi="th-TH"/>
              </w:rPr>
            </w:pPr>
            <w:r w:rsidRPr="00526311">
              <w:rPr>
                <w:sz w:val="16"/>
                <w:szCs w:val="16"/>
                <w:lang w:val="es-ES" w:bidi="th-TH"/>
              </w:rPr>
              <w:t>Yemen (proceso aplazado debido a la situación política)</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 xml:space="preserve">Asia y el Pacífico (2 países adicionales): Brunei Darussalam e Islas Cook </w:t>
            </w:r>
          </w:p>
          <w:p w:rsidR="00B45FC3" w:rsidRPr="00526311" w:rsidRDefault="00B45FC3" w:rsidP="0063039A">
            <w:pPr>
              <w:rPr>
                <w:sz w:val="16"/>
                <w:szCs w:val="16"/>
                <w:lang w:bidi="th-TH"/>
              </w:rPr>
            </w:pPr>
            <w:r w:rsidRPr="00526311">
              <w:rPr>
                <w:sz w:val="16"/>
                <w:szCs w:val="16"/>
                <w:lang w:bidi="th-TH"/>
              </w:rPr>
              <w:t>14 (en total)</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América Latina y el Caribe (1 país adicional): Perú</w:t>
            </w:r>
          </w:p>
          <w:p w:rsidR="00B45FC3" w:rsidRPr="00526311" w:rsidRDefault="00B45FC3" w:rsidP="0063039A">
            <w:pPr>
              <w:rPr>
                <w:sz w:val="16"/>
                <w:szCs w:val="16"/>
                <w:lang w:bidi="th-TH"/>
              </w:rPr>
            </w:pPr>
            <w:r w:rsidRPr="00526311">
              <w:rPr>
                <w:sz w:val="16"/>
                <w:szCs w:val="16"/>
                <w:lang w:bidi="th-TH"/>
              </w:rPr>
              <w:t>12 (en total)</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24 PMA incluidos en el desglose regional precedente</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tc>
        <w:tc>
          <w:tcPr>
            <w:tcW w:w="1145" w:type="dxa"/>
            <w:gridSpan w:val="2"/>
            <w:shd w:val="clear" w:color="auto" w:fill="auto"/>
            <w:tcMar>
              <w:top w:w="110" w:type="dxa"/>
            </w:tcMar>
          </w:tcPr>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Cs/>
                <w:color w:val="00B050"/>
                <w:sz w:val="16"/>
                <w:szCs w:val="16"/>
              </w:rPr>
            </w:pPr>
            <w:r w:rsidRPr="00526311">
              <w:rPr>
                <w:b/>
                <w:bCs/>
                <w:color w:val="00B050"/>
                <w:sz w:val="16"/>
                <w:szCs w:val="16"/>
              </w:rPr>
              <w:t>Avanza</w:t>
            </w:r>
          </w:p>
        </w:tc>
      </w:tr>
      <w:tr w:rsidR="00B45FC3" w:rsidRPr="00526311" w:rsidTr="0063039A">
        <w:trPr>
          <w:trHeight w:val="316"/>
        </w:trPr>
        <w:tc>
          <w:tcPr>
            <w:tcW w:w="2127" w:type="dxa"/>
            <w:shd w:val="clear" w:color="auto" w:fill="auto"/>
            <w:vAlign w:val="center"/>
          </w:tcPr>
          <w:p w:rsidR="00B45FC3" w:rsidRPr="00526311" w:rsidRDefault="00B45FC3" w:rsidP="0063039A">
            <w:pPr>
              <w:keepNext/>
              <w:spacing w:after="40"/>
              <w:rPr>
                <w:sz w:val="16"/>
                <w:szCs w:val="16"/>
              </w:rPr>
            </w:pPr>
            <w:r w:rsidRPr="00526311">
              <w:rPr>
                <w:b/>
                <w:sz w:val="16"/>
                <w:szCs w:val="16"/>
              </w:rPr>
              <w:lastRenderedPageBreak/>
              <w:t>Indicadores de rendimiento</w:t>
            </w:r>
          </w:p>
        </w:tc>
        <w:tc>
          <w:tcPr>
            <w:tcW w:w="1985" w:type="dxa"/>
            <w:shd w:val="clear" w:color="auto" w:fill="auto"/>
            <w:vAlign w:val="center"/>
          </w:tcPr>
          <w:p w:rsidR="00B45FC3" w:rsidRPr="00526311" w:rsidRDefault="00B45FC3" w:rsidP="0063039A">
            <w:pPr>
              <w:keepNext/>
              <w:spacing w:after="40"/>
              <w:rPr>
                <w:b/>
                <w:bCs/>
                <w:sz w:val="16"/>
                <w:szCs w:val="16"/>
              </w:rPr>
            </w:pPr>
            <w:r w:rsidRPr="00526311">
              <w:rPr>
                <w:b/>
                <w:bCs/>
                <w:sz w:val="16"/>
                <w:szCs w:val="16"/>
              </w:rPr>
              <w:t>Referencia</w:t>
            </w:r>
          </w:p>
        </w:tc>
        <w:tc>
          <w:tcPr>
            <w:tcW w:w="1701" w:type="dxa"/>
            <w:gridSpan w:val="2"/>
            <w:shd w:val="clear" w:color="auto" w:fill="auto"/>
            <w:tcMar>
              <w:top w:w="110" w:type="dxa"/>
            </w:tcMar>
            <w:vAlign w:val="center"/>
          </w:tcPr>
          <w:p w:rsidR="00B45FC3" w:rsidRPr="00526311" w:rsidRDefault="00B45FC3" w:rsidP="0063039A">
            <w:pPr>
              <w:keepNext/>
              <w:spacing w:after="40"/>
              <w:rPr>
                <w:b/>
                <w:sz w:val="16"/>
                <w:szCs w:val="16"/>
              </w:rPr>
            </w:pPr>
            <w:r w:rsidRPr="00526311">
              <w:rPr>
                <w:b/>
                <w:sz w:val="16"/>
                <w:szCs w:val="16"/>
              </w:rPr>
              <w:t>Objetivos</w:t>
            </w:r>
          </w:p>
        </w:tc>
        <w:tc>
          <w:tcPr>
            <w:tcW w:w="2409" w:type="dxa"/>
            <w:shd w:val="clear" w:color="auto" w:fill="FFFFFF"/>
            <w:tcMar>
              <w:top w:w="110" w:type="dxa"/>
            </w:tcMar>
            <w:vAlign w:val="center"/>
          </w:tcPr>
          <w:p w:rsidR="00B45FC3" w:rsidRPr="00526311" w:rsidRDefault="00B45FC3" w:rsidP="0063039A">
            <w:pPr>
              <w:keepNext/>
              <w:spacing w:after="40"/>
              <w:rPr>
                <w:sz w:val="16"/>
                <w:szCs w:val="16"/>
              </w:rPr>
            </w:pPr>
            <w:r w:rsidRPr="00526311">
              <w:rPr>
                <w:b/>
                <w:sz w:val="16"/>
                <w:szCs w:val="16"/>
              </w:rPr>
              <w:t>Datos sobre el rendimiento</w:t>
            </w:r>
          </w:p>
        </w:tc>
        <w:tc>
          <w:tcPr>
            <w:tcW w:w="1230" w:type="dxa"/>
            <w:gridSpan w:val="3"/>
            <w:shd w:val="clear" w:color="auto" w:fill="auto"/>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c>
          <w:tcPr>
            <w:tcW w:w="2127" w:type="dxa"/>
            <w:shd w:val="clear" w:color="auto" w:fill="auto"/>
          </w:tcPr>
          <w:p w:rsidR="00B45FC3" w:rsidRPr="00526311" w:rsidRDefault="00B45FC3" w:rsidP="0063039A">
            <w:pPr>
              <w:keepNext/>
              <w:rPr>
                <w:sz w:val="16"/>
                <w:szCs w:val="16"/>
                <w:lang w:bidi="th-TH"/>
              </w:rPr>
            </w:pPr>
          </w:p>
        </w:tc>
        <w:tc>
          <w:tcPr>
            <w:tcW w:w="1985" w:type="dxa"/>
            <w:shd w:val="clear" w:color="auto" w:fill="auto"/>
          </w:tcPr>
          <w:p w:rsidR="00B45FC3" w:rsidRPr="00526311" w:rsidRDefault="00B45FC3" w:rsidP="0063039A">
            <w:pPr>
              <w:keepNext/>
              <w:rPr>
                <w:color w:val="002060"/>
                <w:sz w:val="16"/>
                <w:szCs w:val="16"/>
              </w:rPr>
            </w:pPr>
            <w:r w:rsidRPr="00526311">
              <w:rPr>
                <w:color w:val="002060"/>
                <w:sz w:val="16"/>
                <w:szCs w:val="16"/>
              </w:rPr>
              <w:t>América Latina y el Caribe: 11 en total (</w:t>
            </w:r>
            <w:r w:rsidRPr="00526311">
              <w:rPr>
                <w:sz w:val="16"/>
                <w:szCs w:val="16"/>
                <w:lang w:bidi="th-TH"/>
              </w:rPr>
              <w:t>Barbados, Costa Rica, República Dominicana, Ecuador, El Salvador, Guatemala, Honduras, Nicaragua, Panamá, Sant Kitts y Nevis, Trinidad y Tabago)</w:t>
            </w:r>
          </w:p>
          <w:p w:rsidR="00B45FC3" w:rsidRPr="00526311" w:rsidRDefault="00B45FC3" w:rsidP="0063039A">
            <w:pPr>
              <w:keepNext/>
              <w:rPr>
                <w:color w:val="002060"/>
                <w:sz w:val="16"/>
                <w:szCs w:val="16"/>
              </w:rPr>
            </w:pPr>
          </w:p>
          <w:p w:rsidR="00B45FC3" w:rsidRPr="00526311" w:rsidRDefault="00B45FC3" w:rsidP="0063039A">
            <w:pPr>
              <w:keepNext/>
              <w:rPr>
                <w:color w:val="002060"/>
                <w:sz w:val="16"/>
                <w:szCs w:val="16"/>
              </w:rPr>
            </w:pPr>
            <w:r w:rsidRPr="00526311">
              <w:rPr>
                <w:color w:val="002060"/>
                <w:sz w:val="16"/>
                <w:szCs w:val="16"/>
              </w:rPr>
              <w:t>19 PMA incluidos en el desglose regional precedente</w:t>
            </w:r>
          </w:p>
          <w:p w:rsidR="00B45FC3" w:rsidRPr="00526311" w:rsidRDefault="00B45FC3" w:rsidP="0063039A">
            <w:pPr>
              <w:keepNext/>
              <w:rPr>
                <w:color w:val="002060"/>
                <w:sz w:val="16"/>
                <w:szCs w:val="16"/>
              </w:rPr>
            </w:pPr>
          </w:p>
          <w:p w:rsidR="00B45FC3" w:rsidRPr="00526311" w:rsidRDefault="00B45FC3" w:rsidP="0063039A">
            <w:pPr>
              <w:keepNext/>
              <w:rPr>
                <w:sz w:val="16"/>
                <w:szCs w:val="16"/>
                <w:lang w:bidi="th-TH"/>
              </w:rPr>
            </w:pPr>
            <w:r w:rsidRPr="00526311">
              <w:rPr>
                <w:i/>
                <w:sz w:val="16"/>
                <w:szCs w:val="16"/>
                <w:lang w:bidi="th-TH"/>
              </w:rPr>
              <w:t>Referencia original en el presupuesto de</w:t>
            </w:r>
            <w:r w:rsidRPr="00526311">
              <w:rPr>
                <w:i/>
                <w:color w:val="000000"/>
                <w:sz w:val="16"/>
                <w:szCs w:val="16"/>
                <w:lang w:bidi="th-TH"/>
              </w:rPr>
              <w:t xml:space="preserve"> 2014/15:</w:t>
            </w:r>
          </w:p>
          <w:p w:rsidR="00B45FC3" w:rsidRPr="00526311" w:rsidRDefault="00B45FC3" w:rsidP="0063039A">
            <w:pPr>
              <w:keepNext/>
              <w:rPr>
                <w:sz w:val="16"/>
                <w:szCs w:val="16"/>
                <w:lang w:bidi="th-TH"/>
              </w:rPr>
            </w:pPr>
            <w:r w:rsidRPr="00526311">
              <w:rPr>
                <w:sz w:val="16"/>
                <w:szCs w:val="16"/>
                <w:lang w:bidi="th-TH"/>
              </w:rPr>
              <w:t xml:space="preserve">África (12 en total) </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r w:rsidRPr="00526311">
              <w:rPr>
                <w:sz w:val="16"/>
                <w:szCs w:val="16"/>
                <w:lang w:bidi="th-TH"/>
              </w:rPr>
              <w:t>Región árabe (4)</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r w:rsidRPr="00526311">
              <w:rPr>
                <w:sz w:val="16"/>
                <w:szCs w:val="16"/>
                <w:lang w:bidi="th-TH"/>
              </w:rPr>
              <w:t>Asia y el Pacífico (8)</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r w:rsidRPr="00526311">
              <w:rPr>
                <w:sz w:val="16"/>
                <w:szCs w:val="16"/>
                <w:lang w:bidi="th-TH"/>
              </w:rPr>
              <w:t>América Latina y el Caribe (9)</w:t>
            </w:r>
          </w:p>
          <w:p w:rsidR="00B45FC3" w:rsidRPr="00526311" w:rsidRDefault="00B45FC3" w:rsidP="0063039A">
            <w:pPr>
              <w:keepNext/>
              <w:rPr>
                <w:sz w:val="16"/>
                <w:szCs w:val="16"/>
                <w:lang w:bidi="th-TH"/>
              </w:rPr>
            </w:pPr>
          </w:p>
          <w:p w:rsidR="00B45FC3" w:rsidRPr="00526311" w:rsidRDefault="00B45FC3" w:rsidP="0063039A">
            <w:pPr>
              <w:keepNext/>
              <w:rPr>
                <w:i/>
                <w:color w:val="000000"/>
                <w:sz w:val="16"/>
                <w:szCs w:val="16"/>
              </w:rPr>
            </w:pPr>
            <w:r w:rsidRPr="00526311">
              <w:rPr>
                <w:sz w:val="16"/>
                <w:szCs w:val="16"/>
                <w:lang w:bidi="th-TH"/>
              </w:rPr>
              <w:t>5 PMA incluidos en el desglose regional precedente</w:t>
            </w:r>
          </w:p>
        </w:tc>
        <w:tc>
          <w:tcPr>
            <w:tcW w:w="1701" w:type="dxa"/>
            <w:gridSpan w:val="2"/>
            <w:shd w:val="clear" w:color="auto" w:fill="auto"/>
            <w:tcMar>
              <w:top w:w="110" w:type="dxa"/>
            </w:tcMar>
          </w:tcPr>
          <w:p w:rsidR="00B45FC3" w:rsidRPr="00526311" w:rsidRDefault="00B45FC3" w:rsidP="0063039A">
            <w:pPr>
              <w:keepNext/>
              <w:rPr>
                <w:sz w:val="16"/>
                <w:szCs w:val="16"/>
                <w:lang w:bidi="th-TH"/>
              </w:rPr>
            </w:pPr>
          </w:p>
        </w:tc>
        <w:tc>
          <w:tcPr>
            <w:tcW w:w="2409" w:type="dxa"/>
            <w:shd w:val="clear" w:color="auto" w:fill="FFFFFF"/>
            <w:tcMar>
              <w:top w:w="110" w:type="dxa"/>
            </w:tcMar>
          </w:tcPr>
          <w:p w:rsidR="00B45FC3" w:rsidRPr="00526311" w:rsidRDefault="00B45FC3" w:rsidP="0063039A">
            <w:pPr>
              <w:keepNext/>
              <w:rPr>
                <w:sz w:val="16"/>
                <w:szCs w:val="16"/>
                <w:lang w:bidi="th-TH"/>
              </w:rPr>
            </w:pPr>
          </w:p>
        </w:tc>
        <w:tc>
          <w:tcPr>
            <w:tcW w:w="1230" w:type="dxa"/>
            <w:gridSpan w:val="3"/>
            <w:shd w:val="clear" w:color="auto" w:fill="auto"/>
          </w:tcPr>
          <w:p w:rsidR="00B45FC3" w:rsidRPr="00526311" w:rsidRDefault="00B45FC3" w:rsidP="0063039A">
            <w:pPr>
              <w:keepNext/>
              <w:keepLines/>
              <w:ind w:left="-108"/>
              <w:jc w:val="center"/>
              <w:rPr>
                <w:b/>
                <w:bCs/>
                <w:color w:val="00B050"/>
                <w:sz w:val="16"/>
                <w:szCs w:val="16"/>
              </w:rPr>
            </w:pPr>
          </w:p>
        </w:tc>
      </w:tr>
      <w:tr w:rsidR="00B45FC3" w:rsidRPr="00526311" w:rsidTr="0063039A">
        <w:tc>
          <w:tcPr>
            <w:tcW w:w="2127" w:type="dxa"/>
            <w:shd w:val="clear" w:color="auto" w:fill="auto"/>
          </w:tcPr>
          <w:p w:rsidR="00B45FC3" w:rsidRPr="00526311" w:rsidRDefault="00B45FC3" w:rsidP="0063039A">
            <w:pPr>
              <w:keepNext/>
              <w:rPr>
                <w:sz w:val="16"/>
                <w:szCs w:val="16"/>
                <w:lang w:bidi="th-TH"/>
              </w:rPr>
            </w:pPr>
            <w:r w:rsidRPr="00526311">
              <w:rPr>
                <w:sz w:val="16"/>
                <w:szCs w:val="16"/>
                <w:lang w:bidi="th-TH"/>
              </w:rPr>
              <w:t>Número de países que han adoptado o aplicado estrategias o planes de desarrollo nacionales de P.I.</w:t>
            </w:r>
          </w:p>
        </w:tc>
        <w:tc>
          <w:tcPr>
            <w:tcW w:w="1985" w:type="dxa"/>
            <w:shd w:val="clear" w:color="auto" w:fill="auto"/>
          </w:tcPr>
          <w:p w:rsidR="00B45FC3" w:rsidRPr="00526311" w:rsidRDefault="00B45FC3" w:rsidP="0063039A">
            <w:pPr>
              <w:keepNext/>
              <w:rPr>
                <w:color w:val="002060"/>
                <w:sz w:val="16"/>
                <w:szCs w:val="16"/>
              </w:rPr>
            </w:pPr>
            <w:r w:rsidRPr="00526311">
              <w:rPr>
                <w:i/>
                <w:color w:val="002060"/>
                <w:sz w:val="16"/>
                <w:szCs w:val="16"/>
              </w:rPr>
              <w:t>Referencia actualizada a fines de 2013:</w:t>
            </w:r>
            <w:r w:rsidRPr="00526311">
              <w:rPr>
                <w:color w:val="002060"/>
                <w:sz w:val="16"/>
                <w:szCs w:val="16"/>
              </w:rPr>
              <w:t xml:space="preserve">  </w:t>
            </w:r>
          </w:p>
          <w:p w:rsidR="00B45FC3" w:rsidRPr="00526311" w:rsidRDefault="00B45FC3" w:rsidP="0063039A">
            <w:pPr>
              <w:keepNext/>
              <w:rPr>
                <w:color w:val="002060"/>
                <w:sz w:val="16"/>
                <w:szCs w:val="16"/>
              </w:rPr>
            </w:pPr>
            <w:r w:rsidRPr="00526311">
              <w:rPr>
                <w:color w:val="002060"/>
                <w:sz w:val="16"/>
                <w:szCs w:val="16"/>
              </w:rPr>
              <w:t>África (9 en total): Comoras, Ghana,</w:t>
            </w:r>
            <w:r w:rsidRPr="00526311">
              <w:t xml:space="preserve"> </w:t>
            </w:r>
            <w:r w:rsidRPr="00526311">
              <w:rPr>
                <w:color w:val="002060"/>
                <w:sz w:val="16"/>
                <w:szCs w:val="16"/>
              </w:rPr>
              <w:t>Kenya, Liberia, Mauricio, Mozambique, Senegal, Seychelles, Zambia</w:t>
            </w:r>
          </w:p>
          <w:p w:rsidR="00B45FC3" w:rsidRPr="00526311" w:rsidRDefault="00B45FC3" w:rsidP="0063039A">
            <w:pPr>
              <w:keepNext/>
              <w:rPr>
                <w:color w:val="002060"/>
                <w:sz w:val="16"/>
                <w:szCs w:val="16"/>
              </w:rPr>
            </w:pPr>
          </w:p>
          <w:p w:rsidR="00B45FC3" w:rsidRPr="00526311" w:rsidRDefault="00B45FC3" w:rsidP="0063039A">
            <w:pPr>
              <w:keepNext/>
              <w:rPr>
                <w:color w:val="002060"/>
                <w:sz w:val="16"/>
                <w:szCs w:val="16"/>
              </w:rPr>
            </w:pPr>
            <w:r w:rsidRPr="00526311">
              <w:rPr>
                <w:color w:val="002060"/>
                <w:sz w:val="16"/>
                <w:szCs w:val="16"/>
              </w:rPr>
              <w:t>Región árabe (2 en total): (Omán, Sudán)</w:t>
            </w:r>
          </w:p>
          <w:p w:rsidR="00B45FC3" w:rsidRPr="00526311" w:rsidRDefault="00B45FC3" w:rsidP="0063039A">
            <w:pPr>
              <w:keepNext/>
              <w:rPr>
                <w:color w:val="002060"/>
                <w:sz w:val="16"/>
                <w:szCs w:val="16"/>
              </w:rPr>
            </w:pPr>
          </w:p>
          <w:p w:rsidR="00B45FC3" w:rsidRPr="00526311" w:rsidRDefault="00B45FC3" w:rsidP="0063039A">
            <w:pPr>
              <w:keepNext/>
              <w:rPr>
                <w:color w:val="002060"/>
                <w:sz w:val="16"/>
                <w:szCs w:val="16"/>
              </w:rPr>
            </w:pPr>
            <w:r w:rsidRPr="00526311">
              <w:rPr>
                <w:color w:val="002060"/>
                <w:sz w:val="16"/>
                <w:szCs w:val="16"/>
              </w:rPr>
              <w:t>Asia y el Pacífico (4 en total); Bangladesh, Fiji, Papua Nueva Guinea, Samoa)</w:t>
            </w:r>
          </w:p>
          <w:p w:rsidR="00B45FC3" w:rsidRPr="00526311" w:rsidRDefault="00B45FC3" w:rsidP="0063039A">
            <w:pPr>
              <w:keepNext/>
              <w:rPr>
                <w:color w:val="002060"/>
                <w:sz w:val="16"/>
                <w:szCs w:val="16"/>
              </w:rPr>
            </w:pPr>
          </w:p>
          <w:p w:rsidR="00B45FC3" w:rsidRPr="00526311" w:rsidRDefault="00B45FC3" w:rsidP="0063039A">
            <w:pPr>
              <w:keepNext/>
              <w:rPr>
                <w:color w:val="002060"/>
                <w:sz w:val="16"/>
                <w:szCs w:val="16"/>
              </w:rPr>
            </w:pPr>
            <w:r w:rsidRPr="00526311">
              <w:rPr>
                <w:color w:val="002060"/>
                <w:sz w:val="16"/>
                <w:szCs w:val="16"/>
              </w:rPr>
              <w:t xml:space="preserve">América Latina y el Caribe (3 en total): </w:t>
            </w:r>
            <w:r w:rsidRPr="00526311">
              <w:rPr>
                <w:sz w:val="16"/>
                <w:szCs w:val="16"/>
                <w:lang w:bidi="th-TH"/>
              </w:rPr>
              <w:t xml:space="preserve">Costa Rica, República Dominicana, Honduras </w:t>
            </w:r>
          </w:p>
          <w:p w:rsidR="00B45FC3" w:rsidRPr="00526311" w:rsidRDefault="00B45FC3" w:rsidP="0063039A">
            <w:pPr>
              <w:keepNext/>
              <w:rPr>
                <w:color w:val="002060"/>
                <w:sz w:val="16"/>
                <w:szCs w:val="16"/>
              </w:rPr>
            </w:pPr>
          </w:p>
          <w:p w:rsidR="00B45FC3" w:rsidRPr="00526311" w:rsidRDefault="00B45FC3" w:rsidP="0063039A">
            <w:pPr>
              <w:keepNext/>
              <w:rPr>
                <w:sz w:val="16"/>
                <w:szCs w:val="16"/>
                <w:lang w:bidi="th-TH"/>
              </w:rPr>
            </w:pPr>
            <w:r w:rsidRPr="00526311">
              <w:rPr>
                <w:sz w:val="16"/>
                <w:szCs w:val="16"/>
                <w:lang w:bidi="th-TH"/>
              </w:rPr>
              <w:t>7 PMA incluidos en el desglose regional precedente</w:t>
            </w:r>
          </w:p>
          <w:p w:rsidR="00B45FC3" w:rsidRPr="00526311" w:rsidRDefault="00B45FC3" w:rsidP="0063039A">
            <w:pPr>
              <w:keepNext/>
              <w:rPr>
                <w:color w:val="002060"/>
                <w:sz w:val="16"/>
                <w:szCs w:val="16"/>
              </w:rPr>
            </w:pPr>
          </w:p>
          <w:p w:rsidR="00B45FC3" w:rsidRPr="00526311" w:rsidRDefault="00B45FC3" w:rsidP="0063039A">
            <w:pPr>
              <w:keepNext/>
              <w:rPr>
                <w:color w:val="002060"/>
                <w:sz w:val="16"/>
                <w:szCs w:val="16"/>
              </w:rPr>
            </w:pPr>
          </w:p>
          <w:p w:rsidR="00B45FC3" w:rsidRPr="00526311" w:rsidRDefault="00B45FC3" w:rsidP="0063039A">
            <w:pPr>
              <w:keepNext/>
              <w:rPr>
                <w:sz w:val="16"/>
                <w:szCs w:val="16"/>
                <w:lang w:bidi="th-TH"/>
              </w:rPr>
            </w:pPr>
            <w:r w:rsidRPr="00526311">
              <w:rPr>
                <w:i/>
                <w:sz w:val="16"/>
                <w:szCs w:val="16"/>
                <w:lang w:bidi="th-TH"/>
              </w:rPr>
              <w:t>Referencia original en el presupuesto de</w:t>
            </w:r>
            <w:r w:rsidRPr="00526311">
              <w:rPr>
                <w:i/>
                <w:color w:val="000000"/>
                <w:sz w:val="16"/>
                <w:szCs w:val="16"/>
                <w:lang w:bidi="th-TH"/>
              </w:rPr>
              <w:t xml:space="preserve"> 2014/15:</w:t>
            </w:r>
          </w:p>
          <w:p w:rsidR="00B45FC3" w:rsidRPr="00526311" w:rsidRDefault="00B45FC3" w:rsidP="0063039A">
            <w:pPr>
              <w:keepNext/>
              <w:rPr>
                <w:sz w:val="16"/>
                <w:szCs w:val="16"/>
                <w:lang w:bidi="th-TH"/>
              </w:rPr>
            </w:pPr>
            <w:r w:rsidRPr="00526311">
              <w:rPr>
                <w:sz w:val="16"/>
                <w:szCs w:val="16"/>
                <w:lang w:bidi="th-TH"/>
              </w:rPr>
              <w:t>África (4)</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r w:rsidRPr="00526311">
              <w:rPr>
                <w:sz w:val="16"/>
                <w:szCs w:val="16"/>
                <w:lang w:bidi="th-TH"/>
              </w:rPr>
              <w:t>Región árabe (3)</w:t>
            </w:r>
            <w:r w:rsidRPr="00526311">
              <w:rPr>
                <w:sz w:val="16"/>
                <w:szCs w:val="16"/>
                <w:lang w:bidi="th-TH"/>
              </w:rPr>
              <w:br/>
            </w:r>
          </w:p>
        </w:tc>
        <w:tc>
          <w:tcPr>
            <w:tcW w:w="1701" w:type="dxa"/>
            <w:gridSpan w:val="2"/>
            <w:shd w:val="clear" w:color="auto" w:fill="auto"/>
            <w:tcMar>
              <w:top w:w="110" w:type="dxa"/>
            </w:tcMar>
          </w:tcPr>
          <w:p w:rsidR="00B45FC3" w:rsidRPr="00526311" w:rsidRDefault="00B45FC3" w:rsidP="0063039A">
            <w:pPr>
              <w:keepNext/>
              <w:rPr>
                <w:sz w:val="16"/>
                <w:szCs w:val="16"/>
                <w:lang w:bidi="th-TH"/>
              </w:rPr>
            </w:pPr>
            <w:r w:rsidRPr="00526311">
              <w:rPr>
                <w:sz w:val="16"/>
                <w:szCs w:val="16"/>
                <w:lang w:bidi="th-TH"/>
              </w:rPr>
              <w:t>África (</w:t>
            </w:r>
            <w:r w:rsidR="005502F5" w:rsidRPr="00526311">
              <w:rPr>
                <w:sz w:val="16"/>
                <w:szCs w:val="16"/>
                <w:lang w:bidi="th-TH"/>
              </w:rPr>
              <w:t>6</w:t>
            </w:r>
            <w:r w:rsidRPr="00526311">
              <w:rPr>
                <w:sz w:val="16"/>
                <w:szCs w:val="16"/>
                <w:lang w:bidi="th-TH"/>
              </w:rPr>
              <w:t xml:space="preserve"> en total)</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r w:rsidRPr="00526311">
              <w:rPr>
                <w:sz w:val="16"/>
                <w:szCs w:val="16"/>
                <w:lang w:bidi="th-TH"/>
              </w:rPr>
              <w:t>Región árabe (6 en total)</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r w:rsidRPr="00526311">
              <w:rPr>
                <w:sz w:val="16"/>
                <w:szCs w:val="16"/>
                <w:lang w:bidi="th-TH"/>
              </w:rPr>
              <w:t>Asia y el Pacífico (7) en total</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r w:rsidRPr="00526311">
              <w:rPr>
                <w:sz w:val="16"/>
                <w:szCs w:val="16"/>
                <w:lang w:bidi="th-TH"/>
              </w:rPr>
              <w:t>América Latina y el Caribe (12)</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r w:rsidRPr="00526311">
              <w:rPr>
                <w:sz w:val="16"/>
                <w:szCs w:val="16"/>
                <w:lang w:bidi="th-TH"/>
              </w:rPr>
              <w:t>11 PMA incluidos en el desglose regional precedente</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p>
        </w:tc>
        <w:tc>
          <w:tcPr>
            <w:tcW w:w="2409" w:type="dxa"/>
            <w:shd w:val="clear" w:color="auto" w:fill="FFFFFF"/>
            <w:tcMar>
              <w:top w:w="110" w:type="dxa"/>
            </w:tcMar>
          </w:tcPr>
          <w:p w:rsidR="00B45FC3" w:rsidRPr="00526311" w:rsidRDefault="00B45FC3" w:rsidP="0063039A">
            <w:pPr>
              <w:keepNext/>
              <w:rPr>
                <w:sz w:val="16"/>
                <w:szCs w:val="16"/>
                <w:lang w:bidi="th-TH"/>
              </w:rPr>
            </w:pPr>
            <w:r w:rsidRPr="00526311">
              <w:rPr>
                <w:sz w:val="16"/>
                <w:szCs w:val="16"/>
                <w:lang w:bidi="th-TH"/>
              </w:rPr>
              <w:t>África (12 países adicionales): Botswana, Burundi, Camerún, Chad, Côte d’Ivoire</w:t>
            </w:r>
            <w:r w:rsidRPr="00526311">
              <w:rPr>
                <w:rStyle w:val="FootnoteReference"/>
                <w:sz w:val="16"/>
                <w:szCs w:val="16"/>
                <w:lang w:bidi="th-TH"/>
              </w:rPr>
              <w:footnoteReference w:id="31"/>
            </w:r>
            <w:r w:rsidRPr="00526311">
              <w:rPr>
                <w:sz w:val="16"/>
                <w:szCs w:val="16"/>
                <w:lang w:bidi="th-TH"/>
              </w:rPr>
              <w:t>, Lesotho, Malawi, Rwanda</w:t>
            </w:r>
            <w:r w:rsidRPr="00526311">
              <w:rPr>
                <w:rStyle w:val="FootnoteReference"/>
                <w:sz w:val="16"/>
                <w:szCs w:val="16"/>
                <w:lang w:bidi="th-TH"/>
              </w:rPr>
              <w:footnoteReference w:id="32"/>
            </w:r>
            <w:r w:rsidRPr="00526311">
              <w:rPr>
                <w:sz w:val="16"/>
                <w:szCs w:val="16"/>
                <w:lang w:bidi="th-TH"/>
              </w:rPr>
              <w:t>, Santo Tomé y Príncipe, Togo, República Unida de Tanzanía, Zimbabwe</w:t>
            </w:r>
          </w:p>
          <w:p w:rsidR="00B45FC3" w:rsidRPr="00526311" w:rsidRDefault="00B45FC3" w:rsidP="0063039A">
            <w:pPr>
              <w:keepNext/>
              <w:rPr>
                <w:sz w:val="16"/>
                <w:szCs w:val="16"/>
                <w:lang w:bidi="th-TH"/>
              </w:rPr>
            </w:pPr>
            <w:r w:rsidRPr="00526311">
              <w:rPr>
                <w:sz w:val="16"/>
                <w:szCs w:val="16"/>
                <w:lang w:bidi="th-TH"/>
              </w:rPr>
              <w:t>21 (en total)</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r w:rsidRPr="00526311">
              <w:rPr>
                <w:sz w:val="16"/>
                <w:szCs w:val="16"/>
                <w:lang w:bidi="th-TH"/>
              </w:rPr>
              <w:t>Región árabe (no hay países adicionales)</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r w:rsidRPr="00526311">
              <w:rPr>
                <w:sz w:val="16"/>
                <w:szCs w:val="16"/>
                <w:lang w:bidi="th-TH"/>
              </w:rPr>
              <w:t>Asia y el Pacífico (4 países adicionales): Camboya, Sri Lanka, Tonga, Vanuatu</w:t>
            </w:r>
          </w:p>
          <w:p w:rsidR="00B45FC3" w:rsidRPr="00526311" w:rsidRDefault="00B45FC3" w:rsidP="0063039A">
            <w:pPr>
              <w:keepNext/>
              <w:rPr>
                <w:sz w:val="16"/>
                <w:szCs w:val="16"/>
                <w:lang w:bidi="th-TH"/>
              </w:rPr>
            </w:pPr>
            <w:r w:rsidRPr="00526311">
              <w:rPr>
                <w:sz w:val="16"/>
                <w:szCs w:val="16"/>
                <w:lang w:bidi="th-TH"/>
              </w:rPr>
              <w:t>8 (en total)</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r w:rsidRPr="00526311">
              <w:rPr>
                <w:sz w:val="16"/>
                <w:szCs w:val="16"/>
                <w:lang w:bidi="th-TH"/>
              </w:rPr>
              <w:t>América Latina y el Caribe  (3 países adicionales): Barbados, El Salvador,  Saint Kitts y Nevis</w:t>
            </w:r>
          </w:p>
          <w:p w:rsidR="00B45FC3" w:rsidRPr="00526311" w:rsidRDefault="00B45FC3" w:rsidP="0063039A">
            <w:pPr>
              <w:keepNext/>
              <w:rPr>
                <w:sz w:val="16"/>
                <w:szCs w:val="16"/>
                <w:lang w:bidi="th-TH"/>
              </w:rPr>
            </w:pPr>
            <w:r w:rsidRPr="00526311">
              <w:rPr>
                <w:sz w:val="16"/>
                <w:szCs w:val="16"/>
                <w:lang w:bidi="th-TH"/>
              </w:rPr>
              <w:t xml:space="preserve">6 (en total)  </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r w:rsidRPr="00526311">
              <w:rPr>
                <w:sz w:val="16"/>
                <w:szCs w:val="16"/>
                <w:lang w:bidi="th-TH"/>
              </w:rPr>
              <w:t>17 PMA incluidos en el anterior desglose regional en total</w:t>
            </w:r>
          </w:p>
          <w:p w:rsidR="00B45FC3" w:rsidRPr="00526311" w:rsidRDefault="00B45FC3" w:rsidP="0063039A">
            <w:pPr>
              <w:keepNext/>
              <w:rPr>
                <w:sz w:val="16"/>
                <w:szCs w:val="16"/>
                <w:lang w:bidi="th-TH"/>
              </w:rPr>
            </w:pPr>
          </w:p>
        </w:tc>
        <w:tc>
          <w:tcPr>
            <w:tcW w:w="1230" w:type="dxa"/>
            <w:gridSpan w:val="3"/>
            <w:shd w:val="clear" w:color="auto" w:fill="auto"/>
          </w:tcPr>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jc w:val="center"/>
              <w:rPr>
                <w:b/>
                <w:bCs/>
                <w:color w:val="FF0000"/>
                <w:sz w:val="16"/>
                <w:szCs w:val="16"/>
              </w:rPr>
            </w:pPr>
            <w:r w:rsidRPr="00526311">
              <w:rPr>
                <w:b/>
                <w:bCs/>
                <w:color w:val="FF0000"/>
                <w:sz w:val="16"/>
                <w:szCs w:val="16"/>
              </w:rPr>
              <w:t>No avanza</w:t>
            </w: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108"/>
              <w:jc w:val="center"/>
              <w:rPr>
                <w:b/>
                <w:bCs/>
                <w:color w:val="00B050"/>
                <w:sz w:val="16"/>
                <w:szCs w:val="16"/>
              </w:rPr>
            </w:pPr>
            <w:r w:rsidRPr="00526311">
              <w:rPr>
                <w:b/>
                <w:bCs/>
                <w:color w:val="00B050"/>
                <w:sz w:val="16"/>
                <w:szCs w:val="16"/>
              </w:rPr>
              <w:br/>
            </w: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tc>
      </w:tr>
    </w:tbl>
    <w:p w:rsidR="00B45FC3" w:rsidRPr="00526311" w:rsidRDefault="00B45FC3">
      <w:r w:rsidRPr="00526311">
        <w:br w:type="page"/>
      </w:r>
    </w:p>
    <w:tbl>
      <w:tblPr>
        <w:tblW w:w="94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985"/>
        <w:gridCol w:w="1701"/>
        <w:gridCol w:w="142"/>
        <w:gridCol w:w="2210"/>
        <w:gridCol w:w="57"/>
        <w:gridCol w:w="1230"/>
      </w:tblGrid>
      <w:tr w:rsidR="00B45FC3" w:rsidRPr="00526311" w:rsidTr="0063039A">
        <w:trPr>
          <w:trHeight w:val="316"/>
        </w:trPr>
        <w:tc>
          <w:tcPr>
            <w:tcW w:w="2127" w:type="dxa"/>
            <w:shd w:val="clear" w:color="auto" w:fill="auto"/>
            <w:vAlign w:val="center"/>
          </w:tcPr>
          <w:p w:rsidR="00B45FC3" w:rsidRPr="00526311" w:rsidRDefault="00B45FC3" w:rsidP="0063039A">
            <w:pPr>
              <w:keepNext/>
              <w:keepLines/>
              <w:spacing w:after="40"/>
              <w:rPr>
                <w:sz w:val="16"/>
                <w:szCs w:val="16"/>
              </w:rPr>
            </w:pPr>
            <w:r w:rsidRPr="00526311">
              <w:rPr>
                <w:b/>
                <w:sz w:val="16"/>
                <w:szCs w:val="16"/>
              </w:rPr>
              <w:lastRenderedPageBreak/>
              <w:t>Indicadores de rendimiento</w:t>
            </w:r>
          </w:p>
        </w:tc>
        <w:tc>
          <w:tcPr>
            <w:tcW w:w="1985" w:type="dxa"/>
            <w:shd w:val="clear" w:color="auto" w:fill="auto"/>
            <w:vAlign w:val="center"/>
          </w:tcPr>
          <w:p w:rsidR="00B45FC3" w:rsidRPr="00526311" w:rsidRDefault="00B45FC3" w:rsidP="0063039A">
            <w:pPr>
              <w:keepNext/>
              <w:keepLines/>
              <w:spacing w:after="40"/>
              <w:rPr>
                <w:b/>
                <w:bCs/>
                <w:sz w:val="16"/>
                <w:szCs w:val="16"/>
              </w:rPr>
            </w:pPr>
            <w:r w:rsidRPr="00526311">
              <w:rPr>
                <w:b/>
                <w:bCs/>
                <w:sz w:val="16"/>
                <w:szCs w:val="16"/>
              </w:rPr>
              <w:t>Referencia</w:t>
            </w:r>
          </w:p>
        </w:tc>
        <w:tc>
          <w:tcPr>
            <w:tcW w:w="1701" w:type="dxa"/>
            <w:shd w:val="clear" w:color="auto" w:fill="auto"/>
            <w:tcMar>
              <w:top w:w="110" w:type="dxa"/>
            </w:tcMar>
            <w:vAlign w:val="center"/>
          </w:tcPr>
          <w:p w:rsidR="00B45FC3" w:rsidRPr="00526311" w:rsidRDefault="00B45FC3" w:rsidP="0063039A">
            <w:pPr>
              <w:keepNext/>
              <w:keepLines/>
              <w:spacing w:after="40"/>
              <w:rPr>
                <w:b/>
                <w:sz w:val="16"/>
                <w:szCs w:val="16"/>
              </w:rPr>
            </w:pPr>
            <w:r w:rsidRPr="00526311">
              <w:rPr>
                <w:b/>
                <w:sz w:val="16"/>
                <w:szCs w:val="16"/>
              </w:rPr>
              <w:t>Objetivos</w:t>
            </w:r>
          </w:p>
        </w:tc>
        <w:tc>
          <w:tcPr>
            <w:tcW w:w="2409" w:type="dxa"/>
            <w:gridSpan w:val="3"/>
            <w:shd w:val="clear" w:color="auto" w:fill="FFFFFF"/>
            <w:tcMar>
              <w:top w:w="110" w:type="dxa"/>
            </w:tcMar>
            <w:vAlign w:val="center"/>
          </w:tcPr>
          <w:p w:rsidR="00B45FC3" w:rsidRPr="00526311" w:rsidRDefault="00B45FC3" w:rsidP="0063039A">
            <w:pPr>
              <w:keepNext/>
              <w:keepLines/>
              <w:spacing w:after="40"/>
              <w:rPr>
                <w:sz w:val="16"/>
                <w:szCs w:val="16"/>
              </w:rPr>
            </w:pPr>
            <w:r w:rsidRPr="00526311">
              <w:rPr>
                <w:b/>
                <w:sz w:val="16"/>
                <w:szCs w:val="16"/>
              </w:rPr>
              <w:t>Datos sobre el rendimiento</w:t>
            </w:r>
          </w:p>
        </w:tc>
        <w:tc>
          <w:tcPr>
            <w:tcW w:w="1230" w:type="dxa"/>
            <w:shd w:val="clear" w:color="auto" w:fill="auto"/>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c>
          <w:tcPr>
            <w:tcW w:w="2127" w:type="dxa"/>
            <w:shd w:val="clear" w:color="auto" w:fill="auto"/>
          </w:tcPr>
          <w:p w:rsidR="00B45FC3" w:rsidRPr="00526311" w:rsidRDefault="00B45FC3" w:rsidP="0063039A">
            <w:pPr>
              <w:keepNext/>
              <w:keepLines/>
              <w:rPr>
                <w:sz w:val="16"/>
                <w:szCs w:val="16"/>
                <w:lang w:bidi="th-TH"/>
              </w:rPr>
            </w:pPr>
          </w:p>
        </w:tc>
        <w:tc>
          <w:tcPr>
            <w:tcW w:w="1985" w:type="dxa"/>
            <w:shd w:val="clear" w:color="auto" w:fill="auto"/>
          </w:tcPr>
          <w:p w:rsidR="00B45FC3" w:rsidRPr="00526311" w:rsidRDefault="00B45FC3" w:rsidP="0063039A">
            <w:pPr>
              <w:keepNext/>
              <w:keepLines/>
              <w:rPr>
                <w:sz w:val="16"/>
                <w:szCs w:val="16"/>
                <w:lang w:bidi="th-TH"/>
              </w:rPr>
            </w:pPr>
            <w:r w:rsidRPr="00526311">
              <w:rPr>
                <w:sz w:val="16"/>
                <w:szCs w:val="16"/>
                <w:lang w:bidi="th-TH"/>
              </w:rPr>
              <w:t>Asia y el Pacífico (3)</w:t>
            </w:r>
          </w:p>
          <w:p w:rsidR="00B45FC3" w:rsidRPr="00526311" w:rsidRDefault="00B45FC3" w:rsidP="0063039A">
            <w:pPr>
              <w:keepNext/>
              <w:keepLines/>
              <w:rPr>
                <w:sz w:val="16"/>
                <w:szCs w:val="16"/>
                <w:lang w:bidi="th-TH"/>
              </w:rPr>
            </w:pPr>
          </w:p>
          <w:p w:rsidR="00B45FC3" w:rsidRPr="00526311" w:rsidRDefault="00B45FC3" w:rsidP="0063039A">
            <w:pPr>
              <w:keepNext/>
              <w:keepLines/>
              <w:rPr>
                <w:sz w:val="16"/>
                <w:szCs w:val="16"/>
                <w:lang w:bidi="th-TH"/>
              </w:rPr>
            </w:pPr>
            <w:r w:rsidRPr="00526311">
              <w:rPr>
                <w:sz w:val="16"/>
                <w:szCs w:val="16"/>
                <w:lang w:bidi="th-TH"/>
              </w:rPr>
              <w:t>América Latina y el Caribe (4)</w:t>
            </w:r>
          </w:p>
          <w:p w:rsidR="00B45FC3" w:rsidRPr="00526311" w:rsidRDefault="00B45FC3" w:rsidP="0063039A">
            <w:pPr>
              <w:keepNext/>
              <w:keepLines/>
              <w:rPr>
                <w:sz w:val="16"/>
                <w:szCs w:val="16"/>
                <w:lang w:bidi="th-TH"/>
              </w:rPr>
            </w:pPr>
          </w:p>
          <w:p w:rsidR="00B45FC3" w:rsidRPr="00526311" w:rsidRDefault="00B45FC3" w:rsidP="0063039A">
            <w:pPr>
              <w:keepNext/>
              <w:keepLines/>
              <w:rPr>
                <w:sz w:val="16"/>
                <w:szCs w:val="16"/>
                <w:lang w:bidi="th-TH"/>
              </w:rPr>
            </w:pPr>
            <w:r w:rsidRPr="00526311">
              <w:rPr>
                <w:sz w:val="16"/>
                <w:szCs w:val="16"/>
                <w:lang w:bidi="th-TH"/>
              </w:rPr>
              <w:t>5 PMA incluidos en el desglose regional precedente.</w:t>
            </w:r>
          </w:p>
          <w:p w:rsidR="00B45FC3" w:rsidRPr="00526311" w:rsidRDefault="00B45FC3" w:rsidP="0063039A">
            <w:pPr>
              <w:keepNext/>
              <w:keepLines/>
              <w:rPr>
                <w:i/>
                <w:color w:val="000000"/>
                <w:sz w:val="16"/>
                <w:szCs w:val="16"/>
              </w:rPr>
            </w:pPr>
          </w:p>
        </w:tc>
        <w:tc>
          <w:tcPr>
            <w:tcW w:w="1701" w:type="dxa"/>
            <w:shd w:val="clear" w:color="auto" w:fill="auto"/>
            <w:tcMar>
              <w:top w:w="110" w:type="dxa"/>
            </w:tcMar>
          </w:tcPr>
          <w:p w:rsidR="00B45FC3" w:rsidRPr="00526311" w:rsidRDefault="00B45FC3" w:rsidP="0063039A">
            <w:pPr>
              <w:keepNext/>
              <w:keepLines/>
              <w:rPr>
                <w:sz w:val="16"/>
                <w:szCs w:val="16"/>
                <w:lang w:bidi="th-TH"/>
              </w:rPr>
            </w:pPr>
          </w:p>
        </w:tc>
        <w:tc>
          <w:tcPr>
            <w:tcW w:w="2409" w:type="dxa"/>
            <w:gridSpan w:val="3"/>
            <w:shd w:val="clear" w:color="auto" w:fill="FFFFFF"/>
            <w:tcMar>
              <w:top w:w="110" w:type="dxa"/>
            </w:tcMar>
          </w:tcPr>
          <w:p w:rsidR="00B45FC3" w:rsidRPr="00526311" w:rsidRDefault="00B45FC3" w:rsidP="0063039A">
            <w:pPr>
              <w:keepNext/>
              <w:keepLines/>
              <w:rPr>
                <w:sz w:val="16"/>
                <w:szCs w:val="16"/>
                <w:lang w:bidi="th-TH"/>
              </w:rPr>
            </w:pPr>
          </w:p>
        </w:tc>
        <w:tc>
          <w:tcPr>
            <w:tcW w:w="1230" w:type="dxa"/>
            <w:shd w:val="clear" w:color="auto" w:fill="auto"/>
          </w:tcPr>
          <w:p w:rsidR="00B45FC3" w:rsidRPr="00526311" w:rsidRDefault="00B45FC3" w:rsidP="0063039A">
            <w:pPr>
              <w:keepNext/>
              <w:keepLines/>
              <w:ind w:left="-108"/>
              <w:jc w:val="center"/>
              <w:rPr>
                <w:b/>
                <w:bCs/>
                <w:color w:val="00B050"/>
                <w:sz w:val="16"/>
                <w:szCs w:val="16"/>
              </w:rPr>
            </w:pPr>
          </w:p>
        </w:tc>
      </w:tr>
      <w:tr w:rsidR="00B45FC3" w:rsidRPr="00526311" w:rsidTr="0063039A">
        <w:tc>
          <w:tcPr>
            <w:tcW w:w="9452" w:type="dxa"/>
            <w:gridSpan w:val="7"/>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735"/>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sz w:val="16"/>
                <w:szCs w:val="16"/>
                <w:lang w:bidi="th-TH"/>
              </w:rPr>
              <w:t xml:space="preserve">III.2 </w:t>
            </w:r>
            <w:r w:rsidRPr="00526311">
              <w:rPr>
                <w:sz w:val="16"/>
                <w:szCs w:val="16"/>
              </w:rPr>
              <w:t>Aumento de las capacidades en recursos humanos para hacer frente a la gran diversidad de exigencias que supone la utilización eficaz de la P.I. para fomentar el desarrollo en los países en desarrollo, PMA y países con economías en transición</w:t>
            </w:r>
          </w:p>
        </w:tc>
      </w:tr>
      <w:tr w:rsidR="00B45FC3" w:rsidRPr="00526311" w:rsidTr="0063039A">
        <w:tc>
          <w:tcPr>
            <w:tcW w:w="2127" w:type="dxa"/>
            <w:tcBorders>
              <w:top w:val="single" w:sz="4" w:space="0" w:color="auto"/>
            </w:tcBorders>
            <w:shd w:val="clear" w:color="auto" w:fill="auto"/>
            <w:vAlign w:val="center"/>
          </w:tcPr>
          <w:p w:rsidR="00B45FC3" w:rsidRPr="00526311" w:rsidRDefault="00B45FC3" w:rsidP="0063039A">
            <w:pPr>
              <w:spacing w:after="40"/>
              <w:rPr>
                <w:sz w:val="16"/>
                <w:szCs w:val="16"/>
              </w:rPr>
            </w:pPr>
            <w:r w:rsidRPr="00526311">
              <w:rPr>
                <w:b/>
                <w:sz w:val="16"/>
                <w:szCs w:val="16"/>
              </w:rPr>
              <w:t>Indicadores de rendimiento</w:t>
            </w:r>
          </w:p>
        </w:tc>
        <w:tc>
          <w:tcPr>
            <w:tcW w:w="1985" w:type="dxa"/>
            <w:tcBorders>
              <w:top w:val="single" w:sz="4" w:space="0" w:color="auto"/>
            </w:tcBorders>
            <w:shd w:val="clear" w:color="auto" w:fill="auto"/>
            <w:vAlign w:val="center"/>
          </w:tcPr>
          <w:p w:rsidR="00B45FC3" w:rsidRPr="00526311" w:rsidRDefault="00B45FC3" w:rsidP="0063039A">
            <w:pPr>
              <w:spacing w:after="40"/>
              <w:rPr>
                <w:b/>
                <w:bCs/>
                <w:sz w:val="16"/>
                <w:szCs w:val="16"/>
              </w:rPr>
            </w:pPr>
            <w:r w:rsidRPr="00526311">
              <w:rPr>
                <w:b/>
                <w:bCs/>
                <w:sz w:val="16"/>
                <w:szCs w:val="16"/>
              </w:rPr>
              <w:t>Referencia</w:t>
            </w:r>
          </w:p>
        </w:tc>
        <w:tc>
          <w:tcPr>
            <w:tcW w:w="1843" w:type="dxa"/>
            <w:gridSpan w:val="2"/>
            <w:tcBorders>
              <w:top w:val="single" w:sz="4" w:space="0" w:color="auto"/>
            </w:tcBorders>
            <w:shd w:val="clear" w:color="auto" w:fill="auto"/>
            <w:tcMar>
              <w:top w:w="110" w:type="dxa"/>
            </w:tcMar>
            <w:vAlign w:val="center"/>
          </w:tcPr>
          <w:p w:rsidR="00B45FC3" w:rsidRPr="00526311" w:rsidRDefault="00B45FC3" w:rsidP="0063039A">
            <w:pPr>
              <w:spacing w:after="40"/>
              <w:rPr>
                <w:b/>
                <w:sz w:val="16"/>
                <w:szCs w:val="16"/>
              </w:rPr>
            </w:pPr>
            <w:r w:rsidRPr="00526311">
              <w:rPr>
                <w:b/>
                <w:sz w:val="16"/>
                <w:szCs w:val="16"/>
              </w:rPr>
              <w:t>Objetivos</w:t>
            </w:r>
          </w:p>
        </w:tc>
        <w:tc>
          <w:tcPr>
            <w:tcW w:w="2210" w:type="dxa"/>
            <w:tcBorders>
              <w:top w:val="single" w:sz="4" w:space="0" w:color="auto"/>
            </w:tcBorders>
            <w:shd w:val="clear" w:color="auto" w:fill="FFFFFF"/>
            <w:tcMar>
              <w:top w:w="110" w:type="dxa"/>
            </w:tcMar>
            <w:vAlign w:val="center"/>
          </w:tcPr>
          <w:p w:rsidR="00B45FC3" w:rsidRPr="00526311" w:rsidRDefault="00B45FC3" w:rsidP="0063039A">
            <w:pPr>
              <w:spacing w:after="40"/>
              <w:rPr>
                <w:sz w:val="16"/>
                <w:szCs w:val="16"/>
              </w:rPr>
            </w:pPr>
            <w:r w:rsidRPr="00526311">
              <w:rPr>
                <w:b/>
                <w:sz w:val="16"/>
                <w:szCs w:val="16"/>
              </w:rPr>
              <w:t>Datos sobre el rendimiento</w:t>
            </w:r>
          </w:p>
        </w:tc>
        <w:tc>
          <w:tcPr>
            <w:tcW w:w="1287" w:type="dxa"/>
            <w:gridSpan w:val="2"/>
            <w:tcBorders>
              <w:top w:val="single" w:sz="4" w:space="0" w:color="auto"/>
            </w:tcBorders>
            <w:shd w:val="clear" w:color="auto" w:fill="auto"/>
            <w:tcMar>
              <w:top w:w="110" w:type="dxa"/>
            </w:tcMar>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c>
          <w:tcPr>
            <w:tcW w:w="2127" w:type="dxa"/>
            <w:shd w:val="clear" w:color="auto" w:fill="FFFFFF"/>
          </w:tcPr>
          <w:p w:rsidR="00B45FC3" w:rsidRPr="00526311" w:rsidRDefault="00B45FC3" w:rsidP="0063039A">
            <w:pPr>
              <w:rPr>
                <w:sz w:val="16"/>
                <w:szCs w:val="16"/>
                <w:lang w:bidi="th-TH"/>
              </w:rPr>
            </w:pPr>
            <w:r w:rsidRPr="00526311">
              <w:rPr>
                <w:sz w:val="16"/>
                <w:szCs w:val="16"/>
                <w:lang w:bidi="th-TH"/>
              </w:rPr>
              <w:t>Porcentaje de participantes en actividades de la OMPI que se muestran satisfechos del contenido y la organización de dichos actos.</w:t>
            </w:r>
          </w:p>
        </w:tc>
        <w:tc>
          <w:tcPr>
            <w:tcW w:w="1985" w:type="dxa"/>
            <w:shd w:val="clear" w:color="auto" w:fill="auto"/>
          </w:tcPr>
          <w:p w:rsidR="00B45FC3" w:rsidRPr="00526311" w:rsidRDefault="00B45FC3" w:rsidP="0063039A">
            <w:pPr>
              <w:rPr>
                <w:i/>
                <w:color w:val="002060"/>
                <w:sz w:val="16"/>
                <w:szCs w:val="16"/>
              </w:rPr>
            </w:pPr>
            <w:r w:rsidRPr="00526311">
              <w:rPr>
                <w:i/>
                <w:color w:val="002060"/>
                <w:sz w:val="16"/>
                <w:szCs w:val="16"/>
              </w:rPr>
              <w:t xml:space="preserve">Referencia actualizada a fines de 2013: </w:t>
            </w:r>
          </w:p>
          <w:p w:rsidR="00B45FC3" w:rsidRPr="00526311" w:rsidRDefault="00B45FC3" w:rsidP="0063039A">
            <w:pPr>
              <w:rPr>
                <w:color w:val="002060"/>
                <w:sz w:val="16"/>
                <w:szCs w:val="16"/>
              </w:rPr>
            </w:pPr>
            <w:r w:rsidRPr="00526311">
              <w:rPr>
                <w:color w:val="002060"/>
                <w:sz w:val="16"/>
                <w:szCs w:val="16"/>
              </w:rPr>
              <w:t xml:space="preserve">Asia y el Pacífico (65%); PMA 60%; </w:t>
            </w:r>
          </w:p>
          <w:p w:rsidR="00B45FC3" w:rsidRPr="00526311" w:rsidRDefault="00B45FC3" w:rsidP="0063039A">
            <w:pPr>
              <w:rPr>
                <w:i/>
                <w:sz w:val="16"/>
                <w:szCs w:val="16"/>
                <w:lang w:bidi="th-TH"/>
              </w:rPr>
            </w:pPr>
          </w:p>
          <w:p w:rsidR="00B45FC3" w:rsidRPr="00526311" w:rsidRDefault="00B45FC3" w:rsidP="0063039A">
            <w:pPr>
              <w:rPr>
                <w:i/>
                <w:sz w:val="16"/>
                <w:szCs w:val="16"/>
                <w:lang w:bidi="th-TH"/>
              </w:rPr>
            </w:pPr>
          </w:p>
          <w:p w:rsidR="00B45FC3" w:rsidRPr="00526311" w:rsidRDefault="00B45FC3" w:rsidP="0063039A">
            <w:pPr>
              <w:rPr>
                <w:i/>
                <w:sz w:val="16"/>
                <w:szCs w:val="16"/>
                <w:lang w:bidi="th-TH"/>
              </w:rPr>
            </w:pPr>
          </w:p>
          <w:p w:rsidR="00B45FC3" w:rsidRPr="00526311" w:rsidRDefault="00B45FC3" w:rsidP="0063039A">
            <w:pPr>
              <w:rPr>
                <w:sz w:val="16"/>
                <w:szCs w:val="16"/>
                <w:lang w:bidi="th-TH"/>
              </w:rPr>
            </w:pPr>
            <w:r w:rsidRPr="00526311">
              <w:rPr>
                <w:i/>
                <w:sz w:val="16"/>
                <w:szCs w:val="16"/>
                <w:lang w:bidi="th-TH"/>
              </w:rPr>
              <w:t>Referencia original en el presupuesto de</w:t>
            </w:r>
            <w:r w:rsidRPr="00526311">
              <w:rPr>
                <w:i/>
                <w:color w:val="000000"/>
                <w:sz w:val="16"/>
                <w:szCs w:val="16"/>
                <w:lang w:bidi="th-TH"/>
              </w:rPr>
              <w:t xml:space="preserve"> </w:t>
            </w:r>
            <w:r w:rsidRPr="00526311">
              <w:rPr>
                <w:i/>
                <w:sz w:val="16"/>
                <w:szCs w:val="16"/>
                <w:lang w:bidi="th-TH"/>
              </w:rPr>
              <w:t>2014/15:</w:t>
            </w:r>
            <w:r w:rsidRPr="00526311">
              <w:rPr>
                <w:sz w:val="16"/>
                <w:szCs w:val="16"/>
                <w:lang w:bidi="th-TH"/>
              </w:rPr>
              <w:t xml:space="preserve">  No se dispone de datos</w:t>
            </w:r>
          </w:p>
          <w:p w:rsidR="00B45FC3" w:rsidRPr="00526311" w:rsidRDefault="00B45FC3" w:rsidP="0063039A">
            <w:pPr>
              <w:rPr>
                <w:sz w:val="16"/>
                <w:szCs w:val="16"/>
                <w:lang w:bidi="th-TH"/>
              </w:rPr>
            </w:pPr>
          </w:p>
        </w:tc>
        <w:tc>
          <w:tcPr>
            <w:tcW w:w="1843" w:type="dxa"/>
            <w:gridSpan w:val="2"/>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África (70%)</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Región árabe (80%)</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Asia y el Pacífico (65%)</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América Latina y el Caribe (80%)</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PMA (80%).</w:t>
            </w:r>
          </w:p>
          <w:p w:rsidR="00B45FC3" w:rsidRPr="00526311" w:rsidRDefault="00B45FC3" w:rsidP="0063039A">
            <w:pPr>
              <w:rPr>
                <w:sz w:val="16"/>
                <w:szCs w:val="16"/>
                <w:lang w:bidi="th-TH"/>
              </w:rPr>
            </w:pPr>
          </w:p>
        </w:tc>
        <w:tc>
          <w:tcPr>
            <w:tcW w:w="2210" w:type="dxa"/>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África (70%)</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Región árabe (no disponible; se aplicará un sistema en 2015)</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Asia y el Pacífico (92%)</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América Latina y el Caribe (se aplicará un sistema en 2015)</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PMA (90%).</w:t>
            </w:r>
          </w:p>
          <w:p w:rsidR="00B45FC3" w:rsidRPr="00526311" w:rsidRDefault="00B45FC3" w:rsidP="0063039A">
            <w:pPr>
              <w:rPr>
                <w:sz w:val="16"/>
                <w:szCs w:val="16"/>
                <w:lang w:bidi="th-TH"/>
              </w:rPr>
            </w:pPr>
          </w:p>
        </w:tc>
        <w:tc>
          <w:tcPr>
            <w:tcW w:w="1287" w:type="dxa"/>
            <w:gridSpan w:val="2"/>
            <w:shd w:val="clear" w:color="auto" w:fill="auto"/>
            <w:tcMar>
              <w:top w:w="110" w:type="dxa"/>
            </w:tcMar>
          </w:tcPr>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70C0"/>
                <w:sz w:val="16"/>
                <w:szCs w:val="16"/>
              </w:rPr>
            </w:pPr>
            <w:r w:rsidRPr="00526311">
              <w:rPr>
                <w:b/>
                <w:bCs/>
                <w:color w:val="0070C0"/>
                <w:sz w:val="16"/>
                <w:szCs w:val="16"/>
              </w:rPr>
              <w:t>No disponible para 2014</w:t>
            </w: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70C0"/>
                <w:sz w:val="16"/>
                <w:szCs w:val="16"/>
              </w:rPr>
            </w:pPr>
            <w:r w:rsidRPr="00526311">
              <w:rPr>
                <w:b/>
                <w:bCs/>
                <w:color w:val="0070C0"/>
                <w:sz w:val="16"/>
                <w:szCs w:val="16"/>
              </w:rPr>
              <w:t>No disponible para 2014</w:t>
            </w: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8000"/>
                <w:sz w:val="16"/>
                <w:szCs w:val="16"/>
              </w:rPr>
            </w:pPr>
            <w:r w:rsidRPr="00526311">
              <w:rPr>
                <w:b/>
                <w:bCs/>
                <w:color w:val="00B050"/>
                <w:sz w:val="16"/>
                <w:szCs w:val="16"/>
              </w:rPr>
              <w:t>Avanza</w:t>
            </w:r>
          </w:p>
        </w:tc>
      </w:tr>
      <w:tr w:rsidR="00B45FC3" w:rsidRPr="00526311" w:rsidTr="0063039A">
        <w:tc>
          <w:tcPr>
            <w:tcW w:w="2127" w:type="dxa"/>
            <w:shd w:val="clear" w:color="auto" w:fill="FFFFFF"/>
          </w:tcPr>
          <w:p w:rsidR="00B45FC3" w:rsidRPr="00526311" w:rsidRDefault="00B45FC3" w:rsidP="0063039A">
            <w:pPr>
              <w:rPr>
                <w:sz w:val="16"/>
                <w:szCs w:val="16"/>
                <w:lang w:bidi="th-TH"/>
              </w:rPr>
            </w:pPr>
            <w:r w:rsidRPr="00526311">
              <w:rPr>
                <w:sz w:val="16"/>
                <w:szCs w:val="16"/>
              </w:rPr>
              <w:t>Porcentaje de participantes en talleres de la OMPI que aplican las capacidades adquiridas en su labor/empresa</w:t>
            </w:r>
            <w:r w:rsidRPr="00526311">
              <w:rPr>
                <w:sz w:val="16"/>
                <w:szCs w:val="16"/>
                <w:lang w:bidi="th-TH"/>
              </w:rPr>
              <w:t xml:space="preserve"> </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tc>
        <w:tc>
          <w:tcPr>
            <w:tcW w:w="1985" w:type="dxa"/>
            <w:shd w:val="clear" w:color="auto" w:fill="auto"/>
          </w:tcPr>
          <w:p w:rsidR="00B45FC3" w:rsidRPr="00526311" w:rsidRDefault="00B45FC3"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África: i</w:t>
            </w:r>
            <w:r w:rsidRPr="00526311">
              <w:rPr>
                <w:sz w:val="16"/>
                <w:szCs w:val="16"/>
                <w:lang w:bidi="th-TH"/>
              </w:rPr>
              <w:t>nformación no disponible</w:t>
            </w:r>
          </w:p>
          <w:p w:rsidR="00B45FC3" w:rsidRPr="00526311" w:rsidRDefault="00B45FC3" w:rsidP="0063039A">
            <w:pPr>
              <w:rPr>
                <w:color w:val="002060"/>
                <w:sz w:val="16"/>
                <w:szCs w:val="16"/>
              </w:rPr>
            </w:pPr>
            <w:r w:rsidRPr="00526311">
              <w:rPr>
                <w:color w:val="002060"/>
                <w:sz w:val="16"/>
                <w:szCs w:val="16"/>
              </w:rPr>
              <w:t>Región árabe: i</w:t>
            </w:r>
            <w:r w:rsidRPr="00526311">
              <w:rPr>
                <w:sz w:val="16"/>
                <w:szCs w:val="16"/>
                <w:lang w:bidi="th-TH"/>
              </w:rPr>
              <w:t>nformación no disponible</w:t>
            </w:r>
          </w:p>
          <w:p w:rsidR="00B45FC3" w:rsidRPr="00526311" w:rsidRDefault="00B45FC3" w:rsidP="0063039A">
            <w:pPr>
              <w:rPr>
                <w:color w:val="002060"/>
                <w:sz w:val="16"/>
                <w:szCs w:val="16"/>
              </w:rPr>
            </w:pPr>
            <w:r w:rsidRPr="00526311">
              <w:rPr>
                <w:color w:val="002060"/>
                <w:sz w:val="16"/>
                <w:szCs w:val="16"/>
              </w:rPr>
              <w:t>Asia y el Pacífico (65%)</w:t>
            </w:r>
          </w:p>
          <w:p w:rsidR="00B45FC3" w:rsidRPr="00526311" w:rsidRDefault="00B45FC3" w:rsidP="0063039A">
            <w:pPr>
              <w:rPr>
                <w:color w:val="002060"/>
                <w:sz w:val="16"/>
                <w:szCs w:val="16"/>
              </w:rPr>
            </w:pPr>
            <w:r w:rsidRPr="00526311">
              <w:rPr>
                <w:color w:val="002060"/>
                <w:sz w:val="16"/>
                <w:szCs w:val="16"/>
              </w:rPr>
              <w:t xml:space="preserve">América Latina y el Caribe:  </w:t>
            </w:r>
            <w:r w:rsidRPr="00526311">
              <w:rPr>
                <w:sz w:val="16"/>
                <w:szCs w:val="16"/>
                <w:lang w:bidi="th-TH"/>
              </w:rPr>
              <w:t>información no disponible</w:t>
            </w:r>
            <w:r w:rsidRPr="00526311">
              <w:rPr>
                <w:color w:val="002060"/>
                <w:sz w:val="16"/>
                <w:szCs w:val="16"/>
              </w:rPr>
              <w:t>;</w:t>
            </w:r>
          </w:p>
          <w:p w:rsidR="00B45FC3" w:rsidRPr="00526311" w:rsidRDefault="00B45FC3" w:rsidP="0063039A">
            <w:pPr>
              <w:rPr>
                <w:color w:val="002060"/>
                <w:sz w:val="16"/>
                <w:szCs w:val="16"/>
              </w:rPr>
            </w:pPr>
            <w:r w:rsidRPr="00526311">
              <w:rPr>
                <w:color w:val="002060"/>
                <w:sz w:val="16"/>
                <w:szCs w:val="16"/>
              </w:rPr>
              <w:t xml:space="preserve">PMA:  </w:t>
            </w:r>
            <w:r w:rsidRPr="00526311">
              <w:rPr>
                <w:sz w:val="16"/>
                <w:szCs w:val="16"/>
                <w:lang w:bidi="th-TH"/>
              </w:rPr>
              <w:t>información no disponible</w:t>
            </w:r>
          </w:p>
          <w:p w:rsidR="00B45FC3" w:rsidRPr="00526311" w:rsidRDefault="00B45FC3" w:rsidP="0063039A">
            <w:pPr>
              <w:rPr>
                <w:i/>
                <w:sz w:val="16"/>
                <w:szCs w:val="16"/>
                <w:lang w:bidi="th-TH"/>
              </w:rPr>
            </w:pPr>
          </w:p>
          <w:p w:rsidR="00B45FC3" w:rsidRPr="00526311" w:rsidRDefault="00B45FC3" w:rsidP="0063039A">
            <w:pPr>
              <w:rPr>
                <w:sz w:val="16"/>
                <w:szCs w:val="16"/>
                <w:lang w:bidi="th-TH"/>
              </w:rPr>
            </w:pPr>
            <w:r w:rsidRPr="00526311">
              <w:rPr>
                <w:i/>
                <w:sz w:val="16"/>
                <w:szCs w:val="16"/>
                <w:lang w:bidi="th-TH"/>
              </w:rPr>
              <w:t>Referencia original en el presupuesto de</w:t>
            </w:r>
            <w:r w:rsidRPr="00526311">
              <w:rPr>
                <w:i/>
                <w:color w:val="000000"/>
                <w:sz w:val="16"/>
                <w:szCs w:val="16"/>
                <w:lang w:bidi="th-TH"/>
              </w:rPr>
              <w:t xml:space="preserve"> </w:t>
            </w:r>
            <w:r w:rsidRPr="00526311">
              <w:rPr>
                <w:i/>
                <w:sz w:val="16"/>
                <w:szCs w:val="16"/>
                <w:lang w:bidi="th-TH"/>
              </w:rPr>
              <w:t>2014/15:</w:t>
            </w:r>
            <w:r w:rsidRPr="00526311">
              <w:rPr>
                <w:sz w:val="16"/>
                <w:szCs w:val="16"/>
                <w:lang w:bidi="th-TH"/>
              </w:rPr>
              <w:t xml:space="preserve">  </w:t>
            </w:r>
          </w:p>
          <w:p w:rsidR="00B45FC3" w:rsidRPr="00526311" w:rsidRDefault="00B45FC3" w:rsidP="0063039A">
            <w:pPr>
              <w:rPr>
                <w:sz w:val="16"/>
                <w:szCs w:val="16"/>
                <w:lang w:bidi="th-TH"/>
              </w:rPr>
            </w:pPr>
            <w:r w:rsidRPr="00526311">
              <w:rPr>
                <w:sz w:val="16"/>
                <w:szCs w:val="16"/>
                <w:lang w:bidi="th-TH"/>
              </w:rPr>
              <w:t>África:  información no disponible;</w:t>
            </w:r>
          </w:p>
          <w:p w:rsidR="00B45FC3" w:rsidRPr="00526311" w:rsidRDefault="00B45FC3" w:rsidP="0063039A">
            <w:pPr>
              <w:rPr>
                <w:sz w:val="16"/>
                <w:szCs w:val="16"/>
                <w:lang w:bidi="th-TH"/>
              </w:rPr>
            </w:pPr>
            <w:r w:rsidRPr="00526311">
              <w:rPr>
                <w:sz w:val="16"/>
                <w:szCs w:val="16"/>
                <w:lang w:bidi="th-TH"/>
              </w:rPr>
              <w:t>Región árabe: información no disponible;</w:t>
            </w:r>
          </w:p>
          <w:p w:rsidR="00B45FC3" w:rsidRPr="00526311" w:rsidRDefault="00B45FC3" w:rsidP="0063039A">
            <w:pPr>
              <w:rPr>
                <w:sz w:val="16"/>
                <w:szCs w:val="16"/>
                <w:lang w:bidi="th-TH"/>
              </w:rPr>
            </w:pPr>
            <w:r w:rsidRPr="00526311">
              <w:rPr>
                <w:sz w:val="16"/>
                <w:szCs w:val="16"/>
                <w:lang w:bidi="th-TH"/>
              </w:rPr>
              <w:t>Asia y el Pacífico (65%)</w:t>
            </w:r>
          </w:p>
          <w:p w:rsidR="00B45FC3" w:rsidRPr="00526311" w:rsidRDefault="00B45FC3" w:rsidP="0063039A">
            <w:pPr>
              <w:rPr>
                <w:sz w:val="16"/>
                <w:szCs w:val="16"/>
                <w:lang w:bidi="th-TH"/>
              </w:rPr>
            </w:pPr>
            <w:r w:rsidRPr="00526311">
              <w:rPr>
                <w:sz w:val="16"/>
                <w:szCs w:val="16"/>
                <w:lang w:bidi="th-TH"/>
              </w:rPr>
              <w:t>América Latina y el Caribe:  información no disponible;</w:t>
            </w:r>
          </w:p>
          <w:p w:rsidR="00B45FC3" w:rsidRPr="00526311" w:rsidRDefault="00B45FC3" w:rsidP="0063039A">
            <w:pPr>
              <w:rPr>
                <w:sz w:val="16"/>
                <w:szCs w:val="16"/>
                <w:lang w:bidi="th-TH"/>
              </w:rPr>
            </w:pPr>
            <w:r w:rsidRPr="00526311">
              <w:rPr>
                <w:sz w:val="16"/>
                <w:szCs w:val="16"/>
                <w:lang w:bidi="th-TH"/>
              </w:rPr>
              <w:t>PMA:  información no disponible</w:t>
            </w:r>
          </w:p>
          <w:p w:rsidR="00B45FC3" w:rsidRPr="00526311" w:rsidRDefault="00B45FC3" w:rsidP="0063039A">
            <w:pPr>
              <w:rPr>
                <w:i/>
                <w:color w:val="002060"/>
                <w:sz w:val="16"/>
                <w:szCs w:val="16"/>
              </w:rPr>
            </w:pPr>
          </w:p>
        </w:tc>
        <w:tc>
          <w:tcPr>
            <w:tcW w:w="1843" w:type="dxa"/>
            <w:gridSpan w:val="2"/>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África (70%)</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Región árabe (70%)</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Asia y el Pacífico (65%)</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América Latina y el Caribe (30%).</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PMA (80%).</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tc>
        <w:tc>
          <w:tcPr>
            <w:tcW w:w="2210" w:type="dxa"/>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África (70%)</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Región árabe (no disponible; se aplicará un sistema en 2015)</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Asia y el Pacífico (89%)</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América Latina y el Caribe (No disponible; se aplicará un sistema en 2015)</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PMA (95%)</w:t>
            </w:r>
          </w:p>
        </w:tc>
        <w:tc>
          <w:tcPr>
            <w:tcW w:w="1287" w:type="dxa"/>
            <w:gridSpan w:val="2"/>
            <w:shd w:val="clear" w:color="auto" w:fill="auto"/>
            <w:tcMar>
              <w:top w:w="110" w:type="dxa"/>
            </w:tcMar>
          </w:tcPr>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70C0"/>
                <w:sz w:val="16"/>
                <w:szCs w:val="16"/>
              </w:rPr>
            </w:pPr>
            <w:r w:rsidRPr="00526311">
              <w:rPr>
                <w:b/>
                <w:bCs/>
                <w:color w:val="0070C0"/>
                <w:sz w:val="16"/>
                <w:szCs w:val="16"/>
              </w:rPr>
              <w:t>No disponible para 2014</w:t>
            </w: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70C0"/>
                <w:sz w:val="16"/>
                <w:szCs w:val="16"/>
              </w:rPr>
            </w:pPr>
            <w:r w:rsidRPr="00526311">
              <w:rPr>
                <w:b/>
                <w:bCs/>
                <w:color w:val="0070C0"/>
                <w:sz w:val="16"/>
                <w:szCs w:val="16"/>
              </w:rPr>
              <w:t>No disponible para 2014</w:t>
            </w:r>
          </w:p>
          <w:p w:rsidR="00B45FC3" w:rsidRPr="00526311" w:rsidRDefault="00B45FC3" w:rsidP="0063039A">
            <w:pPr>
              <w:keepNext/>
              <w:keepLines/>
              <w:jc w:val="center"/>
              <w:rPr>
                <w:b/>
                <w:bCs/>
                <w:sz w:val="16"/>
                <w:szCs w:val="16"/>
              </w:rPr>
            </w:pPr>
          </w:p>
          <w:p w:rsidR="00B45FC3" w:rsidRPr="00526311" w:rsidRDefault="00B45FC3" w:rsidP="0063039A">
            <w:pPr>
              <w:keepNext/>
              <w:keepLines/>
              <w:jc w:val="center"/>
              <w:rPr>
                <w:b/>
                <w:bCs/>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jc w:val="center"/>
              <w:rPr>
                <w:b/>
                <w:bCs/>
                <w:sz w:val="16"/>
                <w:szCs w:val="16"/>
              </w:rPr>
            </w:pPr>
          </w:p>
          <w:p w:rsidR="00B45FC3" w:rsidRPr="00526311" w:rsidRDefault="00B45FC3" w:rsidP="0063039A">
            <w:pPr>
              <w:keepNext/>
              <w:keepLines/>
              <w:jc w:val="center"/>
              <w:rPr>
                <w:b/>
                <w:bCs/>
                <w:color w:val="00B050"/>
                <w:sz w:val="16"/>
                <w:szCs w:val="16"/>
              </w:rPr>
            </w:pPr>
          </w:p>
        </w:tc>
      </w:tr>
    </w:tbl>
    <w:p w:rsidR="00B45FC3" w:rsidRPr="00526311" w:rsidRDefault="00B45FC3">
      <w:r w:rsidRPr="00526311">
        <w:br w:type="page"/>
      </w:r>
    </w:p>
    <w:tbl>
      <w:tblPr>
        <w:tblW w:w="94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985"/>
        <w:gridCol w:w="1843"/>
        <w:gridCol w:w="2210"/>
        <w:gridCol w:w="1287"/>
      </w:tblGrid>
      <w:tr w:rsidR="00B45FC3" w:rsidRPr="00526311" w:rsidTr="0063039A">
        <w:tc>
          <w:tcPr>
            <w:tcW w:w="2127" w:type="dxa"/>
            <w:tcBorders>
              <w:top w:val="single" w:sz="4" w:space="0" w:color="auto"/>
            </w:tcBorders>
            <w:shd w:val="clear" w:color="auto" w:fill="auto"/>
            <w:vAlign w:val="center"/>
          </w:tcPr>
          <w:p w:rsidR="00B45FC3" w:rsidRPr="00526311" w:rsidRDefault="00B45FC3" w:rsidP="0063039A">
            <w:pPr>
              <w:spacing w:after="40"/>
              <w:rPr>
                <w:sz w:val="16"/>
                <w:szCs w:val="16"/>
              </w:rPr>
            </w:pPr>
            <w:r w:rsidRPr="00526311">
              <w:rPr>
                <w:b/>
                <w:sz w:val="16"/>
                <w:szCs w:val="16"/>
              </w:rPr>
              <w:lastRenderedPageBreak/>
              <w:t>Indicadores de rendimiento</w:t>
            </w:r>
          </w:p>
        </w:tc>
        <w:tc>
          <w:tcPr>
            <w:tcW w:w="1985" w:type="dxa"/>
            <w:tcBorders>
              <w:top w:val="single" w:sz="4" w:space="0" w:color="auto"/>
            </w:tcBorders>
            <w:shd w:val="clear" w:color="auto" w:fill="auto"/>
            <w:vAlign w:val="center"/>
          </w:tcPr>
          <w:p w:rsidR="00B45FC3" w:rsidRPr="00526311" w:rsidRDefault="00B45FC3" w:rsidP="0063039A">
            <w:pPr>
              <w:spacing w:after="40"/>
              <w:rPr>
                <w:b/>
                <w:bCs/>
                <w:sz w:val="16"/>
                <w:szCs w:val="16"/>
              </w:rPr>
            </w:pPr>
            <w:r w:rsidRPr="00526311">
              <w:rPr>
                <w:b/>
                <w:bCs/>
                <w:sz w:val="16"/>
                <w:szCs w:val="16"/>
              </w:rPr>
              <w:t>Referencia</w:t>
            </w:r>
          </w:p>
        </w:tc>
        <w:tc>
          <w:tcPr>
            <w:tcW w:w="1843" w:type="dxa"/>
            <w:tcBorders>
              <w:top w:val="single" w:sz="4" w:space="0" w:color="auto"/>
            </w:tcBorders>
            <w:shd w:val="clear" w:color="auto" w:fill="auto"/>
            <w:tcMar>
              <w:top w:w="110" w:type="dxa"/>
            </w:tcMar>
            <w:vAlign w:val="center"/>
          </w:tcPr>
          <w:p w:rsidR="00B45FC3" w:rsidRPr="00526311" w:rsidRDefault="00B45FC3" w:rsidP="0063039A">
            <w:pPr>
              <w:spacing w:after="40"/>
              <w:rPr>
                <w:b/>
                <w:sz w:val="16"/>
                <w:szCs w:val="16"/>
              </w:rPr>
            </w:pPr>
            <w:r w:rsidRPr="00526311">
              <w:rPr>
                <w:b/>
                <w:sz w:val="16"/>
                <w:szCs w:val="16"/>
              </w:rPr>
              <w:t>Objetivos</w:t>
            </w:r>
          </w:p>
        </w:tc>
        <w:tc>
          <w:tcPr>
            <w:tcW w:w="2210" w:type="dxa"/>
            <w:tcBorders>
              <w:top w:val="single" w:sz="4" w:space="0" w:color="auto"/>
            </w:tcBorders>
            <w:shd w:val="clear" w:color="auto" w:fill="FFFFFF"/>
            <w:tcMar>
              <w:top w:w="110" w:type="dxa"/>
            </w:tcMar>
            <w:vAlign w:val="center"/>
          </w:tcPr>
          <w:p w:rsidR="00B45FC3" w:rsidRPr="00526311" w:rsidRDefault="00B45FC3" w:rsidP="0063039A">
            <w:pPr>
              <w:spacing w:after="40"/>
              <w:rPr>
                <w:sz w:val="16"/>
                <w:szCs w:val="16"/>
              </w:rPr>
            </w:pPr>
            <w:r w:rsidRPr="00526311">
              <w:rPr>
                <w:b/>
                <w:sz w:val="16"/>
                <w:szCs w:val="16"/>
              </w:rPr>
              <w:t>Datos sobre el rendimiento</w:t>
            </w:r>
          </w:p>
        </w:tc>
        <w:tc>
          <w:tcPr>
            <w:tcW w:w="1287" w:type="dxa"/>
            <w:tcBorders>
              <w:top w:val="single" w:sz="4" w:space="0" w:color="auto"/>
            </w:tcBorders>
            <w:shd w:val="clear" w:color="auto" w:fill="auto"/>
            <w:tcMar>
              <w:top w:w="110" w:type="dxa"/>
            </w:tcMar>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c>
          <w:tcPr>
            <w:tcW w:w="2127" w:type="dxa"/>
            <w:tcBorders>
              <w:bottom w:val="single" w:sz="4" w:space="0" w:color="auto"/>
            </w:tcBorders>
            <w:shd w:val="clear" w:color="auto" w:fill="FFFFFF"/>
          </w:tcPr>
          <w:p w:rsidR="00B45FC3" w:rsidRPr="00526311" w:rsidRDefault="00B45FC3" w:rsidP="0063039A">
            <w:pPr>
              <w:rPr>
                <w:sz w:val="16"/>
                <w:szCs w:val="16"/>
                <w:lang w:bidi="th-TH"/>
              </w:rPr>
            </w:pPr>
            <w:r w:rsidRPr="00526311">
              <w:rPr>
                <w:sz w:val="16"/>
                <w:szCs w:val="16"/>
                <w:lang w:bidi="th-TH"/>
              </w:rPr>
              <w:t>Porcentaje de expertos nacionales y regionales en P.I. empleados como expertos en las actividades de la OMPI</w:t>
            </w:r>
          </w:p>
        </w:tc>
        <w:tc>
          <w:tcPr>
            <w:tcW w:w="1985" w:type="dxa"/>
            <w:tcBorders>
              <w:bottom w:val="single" w:sz="4" w:space="0" w:color="auto"/>
            </w:tcBorders>
            <w:shd w:val="clear" w:color="auto" w:fill="auto"/>
          </w:tcPr>
          <w:p w:rsidR="00B45FC3" w:rsidRPr="00526311" w:rsidRDefault="00B45FC3" w:rsidP="0063039A">
            <w:pPr>
              <w:rPr>
                <w:i/>
                <w:color w:val="002060"/>
                <w:sz w:val="16"/>
                <w:szCs w:val="16"/>
              </w:rPr>
            </w:pPr>
            <w:r w:rsidRPr="00526311">
              <w:rPr>
                <w:i/>
                <w:color w:val="002060"/>
                <w:sz w:val="16"/>
                <w:szCs w:val="16"/>
              </w:rPr>
              <w:t xml:space="preserve">Referencia actualizada a fines de 2013:  </w:t>
            </w:r>
          </w:p>
          <w:p w:rsidR="00B45FC3" w:rsidRPr="00526311" w:rsidRDefault="00B45FC3" w:rsidP="0063039A">
            <w:pPr>
              <w:tabs>
                <w:tab w:val="right" w:pos="1769"/>
              </w:tabs>
              <w:rPr>
                <w:color w:val="002060"/>
                <w:sz w:val="16"/>
                <w:szCs w:val="16"/>
              </w:rPr>
            </w:pPr>
            <w:r w:rsidRPr="00526311">
              <w:rPr>
                <w:color w:val="002060"/>
                <w:sz w:val="16"/>
                <w:szCs w:val="16"/>
              </w:rPr>
              <w:t>África (70%)</w:t>
            </w:r>
            <w:r w:rsidRPr="00526311">
              <w:rPr>
                <w:color w:val="002060"/>
                <w:sz w:val="16"/>
                <w:szCs w:val="16"/>
              </w:rPr>
              <w:tab/>
            </w:r>
          </w:p>
          <w:p w:rsidR="00B45FC3" w:rsidRPr="00526311" w:rsidRDefault="00B45FC3" w:rsidP="0063039A">
            <w:pPr>
              <w:rPr>
                <w:color w:val="002060"/>
                <w:sz w:val="16"/>
                <w:szCs w:val="16"/>
              </w:rPr>
            </w:pPr>
            <w:r w:rsidRPr="00526311">
              <w:rPr>
                <w:color w:val="002060"/>
                <w:sz w:val="16"/>
                <w:szCs w:val="16"/>
              </w:rPr>
              <w:t>Región árabe (50%)</w:t>
            </w:r>
          </w:p>
          <w:p w:rsidR="00B45FC3" w:rsidRPr="00526311" w:rsidRDefault="00B45FC3" w:rsidP="0063039A">
            <w:pPr>
              <w:rPr>
                <w:sz w:val="16"/>
                <w:szCs w:val="16"/>
                <w:lang w:bidi="th-TH"/>
              </w:rPr>
            </w:pPr>
            <w:r w:rsidRPr="00526311">
              <w:rPr>
                <w:sz w:val="16"/>
                <w:szCs w:val="16"/>
                <w:lang w:bidi="th-TH"/>
              </w:rPr>
              <w:t>Asia y el Pacífico:  Datos no disponibles</w:t>
            </w:r>
          </w:p>
          <w:p w:rsidR="00B45FC3" w:rsidRPr="00526311" w:rsidRDefault="00B45FC3" w:rsidP="0063039A">
            <w:pPr>
              <w:rPr>
                <w:sz w:val="16"/>
                <w:szCs w:val="16"/>
                <w:lang w:bidi="th-TH"/>
              </w:rPr>
            </w:pPr>
            <w:r w:rsidRPr="00526311">
              <w:rPr>
                <w:sz w:val="16"/>
                <w:szCs w:val="16"/>
                <w:lang w:bidi="th-TH"/>
              </w:rPr>
              <w:t>América Latina y el Caribe (70%)</w:t>
            </w:r>
          </w:p>
          <w:p w:rsidR="00B45FC3" w:rsidRPr="00526311" w:rsidRDefault="00B45FC3" w:rsidP="0063039A">
            <w:pPr>
              <w:rPr>
                <w:sz w:val="16"/>
                <w:szCs w:val="16"/>
              </w:rPr>
            </w:pPr>
            <w:r w:rsidRPr="00526311">
              <w:rPr>
                <w:sz w:val="16"/>
                <w:szCs w:val="16"/>
              </w:rPr>
              <w:t>PMA (60%).</w:t>
            </w:r>
          </w:p>
          <w:p w:rsidR="00B45FC3" w:rsidRPr="00526311" w:rsidRDefault="00B45FC3" w:rsidP="0063039A">
            <w:pPr>
              <w:rPr>
                <w:color w:val="002060"/>
                <w:sz w:val="16"/>
                <w:szCs w:val="16"/>
              </w:rPr>
            </w:pPr>
          </w:p>
          <w:p w:rsidR="00B45FC3" w:rsidRPr="00526311" w:rsidRDefault="00B45FC3" w:rsidP="0063039A">
            <w:pPr>
              <w:rPr>
                <w:i/>
                <w:color w:val="002060"/>
                <w:sz w:val="16"/>
                <w:szCs w:val="16"/>
              </w:rPr>
            </w:pPr>
          </w:p>
          <w:p w:rsidR="00B45FC3" w:rsidRPr="00526311" w:rsidRDefault="00B45FC3" w:rsidP="0063039A">
            <w:pPr>
              <w:rPr>
                <w:i/>
                <w:sz w:val="16"/>
                <w:szCs w:val="16"/>
                <w:lang w:bidi="th-TH"/>
              </w:rPr>
            </w:pPr>
            <w:r w:rsidRPr="00526311">
              <w:rPr>
                <w:i/>
                <w:sz w:val="16"/>
                <w:szCs w:val="16"/>
                <w:lang w:bidi="th-TH"/>
              </w:rPr>
              <w:t xml:space="preserve">Referencia original en el presupuesto de 2014/15: </w:t>
            </w:r>
          </w:p>
          <w:p w:rsidR="00B45FC3" w:rsidRPr="00526311" w:rsidRDefault="00B45FC3" w:rsidP="0063039A">
            <w:pPr>
              <w:rPr>
                <w:sz w:val="16"/>
                <w:szCs w:val="16"/>
                <w:lang w:bidi="th-TH"/>
              </w:rPr>
            </w:pPr>
            <w:r w:rsidRPr="00526311">
              <w:rPr>
                <w:sz w:val="16"/>
                <w:szCs w:val="16"/>
                <w:lang w:bidi="th-TH"/>
              </w:rPr>
              <w:t>África (65%)</w:t>
            </w:r>
          </w:p>
          <w:p w:rsidR="00B45FC3" w:rsidRPr="00526311" w:rsidRDefault="00B45FC3" w:rsidP="0063039A">
            <w:pPr>
              <w:rPr>
                <w:sz w:val="16"/>
                <w:szCs w:val="16"/>
                <w:lang w:bidi="th-TH"/>
              </w:rPr>
            </w:pPr>
            <w:r w:rsidRPr="00526311">
              <w:rPr>
                <w:sz w:val="16"/>
                <w:szCs w:val="16"/>
                <w:lang w:bidi="th-TH"/>
              </w:rPr>
              <w:t>Región árabe (70%)</w:t>
            </w:r>
          </w:p>
          <w:p w:rsidR="00B45FC3" w:rsidRPr="00526311" w:rsidRDefault="00B45FC3" w:rsidP="0063039A">
            <w:pPr>
              <w:rPr>
                <w:sz w:val="16"/>
                <w:szCs w:val="16"/>
                <w:lang w:bidi="th-TH"/>
              </w:rPr>
            </w:pPr>
            <w:r w:rsidRPr="00526311">
              <w:rPr>
                <w:sz w:val="16"/>
                <w:szCs w:val="16"/>
                <w:lang w:bidi="th-TH"/>
              </w:rPr>
              <w:t>Asia y el Pacífico:  Datos no disponibles</w:t>
            </w:r>
          </w:p>
          <w:p w:rsidR="00B45FC3" w:rsidRPr="00526311" w:rsidRDefault="00B45FC3" w:rsidP="0063039A">
            <w:pPr>
              <w:rPr>
                <w:sz w:val="16"/>
                <w:szCs w:val="16"/>
                <w:lang w:bidi="th-TH"/>
              </w:rPr>
            </w:pPr>
            <w:r w:rsidRPr="00526311">
              <w:rPr>
                <w:sz w:val="16"/>
                <w:szCs w:val="16"/>
                <w:lang w:bidi="th-TH"/>
              </w:rPr>
              <w:t>América Latina y el Caribe (70%)</w:t>
            </w:r>
          </w:p>
          <w:p w:rsidR="00B45FC3" w:rsidRPr="00526311" w:rsidRDefault="00B45FC3" w:rsidP="0063039A">
            <w:pPr>
              <w:rPr>
                <w:sz w:val="16"/>
                <w:szCs w:val="16"/>
                <w:lang w:bidi="th-TH"/>
              </w:rPr>
            </w:pPr>
            <w:r w:rsidRPr="00526311">
              <w:rPr>
                <w:sz w:val="16"/>
                <w:szCs w:val="16"/>
                <w:lang w:bidi="th-TH"/>
              </w:rPr>
              <w:t>PMA (70%).</w:t>
            </w:r>
          </w:p>
          <w:p w:rsidR="00B45FC3" w:rsidRPr="00526311" w:rsidRDefault="00B45FC3" w:rsidP="0063039A">
            <w:pPr>
              <w:rPr>
                <w:i/>
                <w:color w:val="002060"/>
                <w:sz w:val="16"/>
                <w:szCs w:val="16"/>
              </w:rPr>
            </w:pPr>
          </w:p>
        </w:tc>
        <w:tc>
          <w:tcPr>
            <w:tcW w:w="1843" w:type="dxa"/>
            <w:tcBorders>
              <w:bottom w:val="single" w:sz="4" w:space="0" w:color="auto"/>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África (75%)</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Región árabe (80%)</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Asia y el Pacífico (55%)</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América Latina y el Caribe (80%)</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PMA (80%)</w:t>
            </w:r>
          </w:p>
        </w:tc>
        <w:tc>
          <w:tcPr>
            <w:tcW w:w="2210" w:type="dxa"/>
            <w:tcBorders>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África (80%)</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Región árabe (35%)</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Asia y el Pacífico (71%)</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América Latina y el Caribe (80%)</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PMA (95%)</w:t>
            </w:r>
          </w:p>
        </w:tc>
        <w:tc>
          <w:tcPr>
            <w:tcW w:w="1287" w:type="dxa"/>
            <w:tcBorders>
              <w:bottom w:val="single" w:sz="4" w:space="0" w:color="auto"/>
            </w:tcBorders>
            <w:shd w:val="clear" w:color="auto" w:fill="auto"/>
            <w:tcMar>
              <w:top w:w="110" w:type="dxa"/>
            </w:tcMar>
          </w:tcPr>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rPr>
                <w:b/>
                <w:bCs/>
                <w:color w:val="00B050"/>
                <w:sz w:val="16"/>
                <w:szCs w:val="16"/>
              </w:rPr>
            </w:pPr>
          </w:p>
          <w:p w:rsidR="00B45FC3" w:rsidRPr="00526311" w:rsidRDefault="00B45FC3" w:rsidP="0063039A">
            <w:pPr>
              <w:keepNext/>
              <w:keepLines/>
              <w:rPr>
                <w:b/>
                <w:bCs/>
                <w:color w:val="00B050"/>
                <w:sz w:val="16"/>
                <w:szCs w:val="16"/>
              </w:rPr>
            </w:pPr>
          </w:p>
          <w:p w:rsidR="00B45FC3" w:rsidRPr="00526311" w:rsidRDefault="00B45FC3" w:rsidP="0063039A">
            <w:pPr>
              <w:keepNext/>
              <w:keepLines/>
              <w:jc w:val="center"/>
              <w:rPr>
                <w:b/>
                <w:bCs/>
                <w:color w:val="FF0000"/>
                <w:sz w:val="16"/>
                <w:szCs w:val="16"/>
              </w:rPr>
            </w:pPr>
            <w:r w:rsidRPr="00526311">
              <w:rPr>
                <w:b/>
                <w:bCs/>
                <w:color w:val="FF0000"/>
                <w:sz w:val="16"/>
                <w:szCs w:val="16"/>
              </w:rPr>
              <w:t>No avanza</w:t>
            </w:r>
          </w:p>
          <w:p w:rsidR="00B45FC3" w:rsidRPr="00526311" w:rsidRDefault="00B45FC3" w:rsidP="0063039A">
            <w:pPr>
              <w:keepNext/>
              <w:keepLines/>
              <w:jc w:val="center"/>
              <w:rPr>
                <w:b/>
                <w:bCs/>
                <w:color w:val="FF000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r w:rsidR="00B45FC3" w:rsidRPr="00526311" w:rsidTr="0063039A">
        <w:tc>
          <w:tcPr>
            <w:tcW w:w="9452" w:type="dxa"/>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2235"/>
              </w:tabs>
              <w:spacing w:before="120" w:after="120"/>
              <w:ind w:left="1735" w:hanging="1735"/>
              <w:rPr>
                <w:b/>
                <w:bCs/>
                <w:sz w:val="16"/>
                <w:szCs w:val="16"/>
              </w:rPr>
            </w:pPr>
            <w:r w:rsidRPr="00526311">
              <w:rPr>
                <w:b/>
                <w:bCs/>
                <w:sz w:val="16"/>
                <w:szCs w:val="16"/>
              </w:rPr>
              <w:t>Resultad</w:t>
            </w:r>
            <w:r w:rsidR="005502F5" w:rsidRPr="00526311">
              <w:rPr>
                <w:b/>
                <w:bCs/>
                <w:sz w:val="16"/>
                <w:szCs w:val="16"/>
              </w:rPr>
              <w:t>o</w:t>
            </w:r>
            <w:r w:rsidRPr="00526311">
              <w:rPr>
                <w:b/>
                <w:bCs/>
                <w:sz w:val="16"/>
                <w:szCs w:val="16"/>
              </w:rPr>
              <w:t xml:space="preserve"> previsto:</w:t>
            </w:r>
            <w:r w:rsidRPr="00526311">
              <w:rPr>
                <w:b/>
                <w:bCs/>
                <w:sz w:val="16"/>
                <w:szCs w:val="16"/>
              </w:rPr>
              <w:tab/>
            </w:r>
            <w:r w:rsidRPr="00526311">
              <w:rPr>
                <w:bCs/>
                <w:sz w:val="16"/>
                <w:szCs w:val="16"/>
              </w:rPr>
              <w:t>III.4 Fortalecimiento de los mecanismos y de los programas de cooperación conforme a las necesidades de los países en desarrollo y los PMA</w:t>
            </w:r>
          </w:p>
        </w:tc>
      </w:tr>
      <w:tr w:rsidR="00B45FC3" w:rsidRPr="00526311" w:rsidTr="0063039A">
        <w:trPr>
          <w:trHeight w:val="369"/>
        </w:trPr>
        <w:tc>
          <w:tcPr>
            <w:tcW w:w="2127" w:type="dxa"/>
            <w:tcBorders>
              <w:top w:val="single" w:sz="4" w:space="0" w:color="auto"/>
              <w:left w:val="single" w:sz="4" w:space="0" w:color="auto"/>
              <w:bottom w:val="nil"/>
              <w:right w:val="nil"/>
            </w:tcBorders>
            <w:shd w:val="clear" w:color="auto" w:fill="auto"/>
            <w:vAlign w:val="center"/>
          </w:tcPr>
          <w:p w:rsidR="00B45FC3" w:rsidRPr="00526311" w:rsidRDefault="00B45FC3" w:rsidP="0063039A">
            <w:pPr>
              <w:spacing w:after="40"/>
              <w:rPr>
                <w:sz w:val="16"/>
                <w:szCs w:val="16"/>
              </w:rPr>
            </w:pPr>
            <w:r w:rsidRPr="00526311">
              <w:rPr>
                <w:b/>
                <w:sz w:val="16"/>
                <w:szCs w:val="16"/>
              </w:rPr>
              <w:t>Indicadores de rendimiento</w:t>
            </w:r>
          </w:p>
        </w:tc>
        <w:tc>
          <w:tcPr>
            <w:tcW w:w="1985" w:type="dxa"/>
            <w:tcBorders>
              <w:top w:val="single" w:sz="4" w:space="0" w:color="auto"/>
              <w:left w:val="nil"/>
              <w:bottom w:val="nil"/>
              <w:right w:val="nil"/>
            </w:tcBorders>
            <w:shd w:val="clear" w:color="auto" w:fill="auto"/>
            <w:vAlign w:val="center"/>
          </w:tcPr>
          <w:p w:rsidR="00B45FC3" w:rsidRPr="00526311" w:rsidRDefault="00B45FC3" w:rsidP="0063039A">
            <w:pPr>
              <w:spacing w:after="40"/>
              <w:rPr>
                <w:b/>
                <w:bCs/>
                <w:sz w:val="16"/>
                <w:szCs w:val="16"/>
              </w:rPr>
            </w:pPr>
            <w:r w:rsidRPr="00526311">
              <w:rPr>
                <w:b/>
                <w:bCs/>
                <w:sz w:val="16"/>
                <w:szCs w:val="16"/>
              </w:rPr>
              <w:t>Referencia</w:t>
            </w:r>
          </w:p>
        </w:tc>
        <w:tc>
          <w:tcPr>
            <w:tcW w:w="1843" w:type="dxa"/>
            <w:tcBorders>
              <w:top w:val="single" w:sz="4" w:space="0" w:color="auto"/>
              <w:left w:val="nil"/>
              <w:bottom w:val="nil"/>
              <w:right w:val="nil"/>
            </w:tcBorders>
            <w:shd w:val="clear" w:color="auto" w:fill="auto"/>
            <w:vAlign w:val="center"/>
          </w:tcPr>
          <w:p w:rsidR="00B45FC3" w:rsidRPr="00526311" w:rsidRDefault="00B45FC3" w:rsidP="0063039A">
            <w:pPr>
              <w:spacing w:after="40"/>
              <w:rPr>
                <w:b/>
                <w:sz w:val="16"/>
                <w:szCs w:val="16"/>
              </w:rPr>
            </w:pPr>
            <w:r w:rsidRPr="00526311">
              <w:rPr>
                <w:b/>
                <w:sz w:val="16"/>
                <w:szCs w:val="16"/>
              </w:rPr>
              <w:t>Objetivos</w:t>
            </w:r>
          </w:p>
        </w:tc>
        <w:tc>
          <w:tcPr>
            <w:tcW w:w="2210" w:type="dxa"/>
            <w:tcBorders>
              <w:top w:val="single" w:sz="4" w:space="0" w:color="auto"/>
              <w:left w:val="nil"/>
              <w:bottom w:val="nil"/>
              <w:right w:val="nil"/>
            </w:tcBorders>
            <w:shd w:val="clear" w:color="auto" w:fill="auto"/>
            <w:vAlign w:val="center"/>
          </w:tcPr>
          <w:p w:rsidR="00B45FC3" w:rsidRPr="00526311" w:rsidRDefault="00B45FC3" w:rsidP="0063039A">
            <w:pPr>
              <w:spacing w:after="40"/>
              <w:rPr>
                <w:sz w:val="16"/>
                <w:szCs w:val="16"/>
              </w:rPr>
            </w:pPr>
            <w:r w:rsidRPr="00526311">
              <w:rPr>
                <w:b/>
                <w:sz w:val="16"/>
                <w:szCs w:val="16"/>
              </w:rPr>
              <w:t>Datos sobre el rendimiento</w:t>
            </w:r>
          </w:p>
        </w:tc>
        <w:tc>
          <w:tcPr>
            <w:tcW w:w="1287" w:type="dxa"/>
            <w:tcBorders>
              <w:top w:val="single" w:sz="4" w:space="0" w:color="auto"/>
              <w:left w:val="nil"/>
              <w:bottom w:val="nil"/>
              <w:right w:val="single" w:sz="4" w:space="0" w:color="auto"/>
            </w:tcBorders>
            <w:shd w:val="clear" w:color="auto" w:fill="auto"/>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c>
          <w:tcPr>
            <w:tcW w:w="2127" w:type="dxa"/>
            <w:tcBorders>
              <w:top w:val="nil"/>
              <w:left w:val="single" w:sz="4" w:space="0" w:color="auto"/>
              <w:bottom w:val="single" w:sz="4" w:space="0" w:color="auto"/>
              <w:right w:val="nil"/>
            </w:tcBorders>
            <w:shd w:val="clear" w:color="auto" w:fill="FFFFFF"/>
          </w:tcPr>
          <w:p w:rsidR="00B45FC3" w:rsidRPr="00526311" w:rsidRDefault="00B45FC3" w:rsidP="0063039A">
            <w:pPr>
              <w:rPr>
                <w:sz w:val="16"/>
                <w:szCs w:val="16"/>
                <w:lang w:bidi="th-TH"/>
              </w:rPr>
            </w:pPr>
            <w:r w:rsidRPr="00526311">
              <w:rPr>
                <w:sz w:val="16"/>
                <w:szCs w:val="16"/>
                <w:lang w:bidi="th-TH"/>
              </w:rPr>
              <w:t>Número de mecanismos de cooperación, programas y asociaciones nuevos o consolidados a los que se presta apoyo para promover/fortalecer la cooperación subregional o regional en P.I.</w:t>
            </w:r>
          </w:p>
        </w:tc>
        <w:tc>
          <w:tcPr>
            <w:tcW w:w="1985" w:type="dxa"/>
            <w:tcBorders>
              <w:top w:val="nil"/>
              <w:left w:val="nil"/>
              <w:bottom w:val="single" w:sz="4" w:space="0" w:color="auto"/>
              <w:right w:val="nil"/>
            </w:tcBorders>
            <w:shd w:val="clear" w:color="auto" w:fill="auto"/>
          </w:tcPr>
          <w:p w:rsidR="00B45FC3" w:rsidRPr="00526311" w:rsidRDefault="00B45FC3" w:rsidP="0063039A">
            <w:pPr>
              <w:rPr>
                <w:sz w:val="16"/>
                <w:szCs w:val="16"/>
                <w:lang w:bidi="th-TH"/>
              </w:rPr>
            </w:pPr>
            <w:r w:rsidRPr="00526311">
              <w:rPr>
                <w:sz w:val="16"/>
                <w:szCs w:val="16"/>
                <w:lang w:bidi="th-TH"/>
              </w:rPr>
              <w:t>África (3)</w:t>
            </w:r>
          </w:p>
          <w:p w:rsidR="00B45FC3" w:rsidRPr="00526311" w:rsidRDefault="00B45FC3" w:rsidP="0063039A">
            <w:pPr>
              <w:rPr>
                <w:sz w:val="16"/>
                <w:szCs w:val="16"/>
                <w:lang w:bidi="th-TH"/>
              </w:rPr>
            </w:pPr>
            <w:r w:rsidRPr="00526311">
              <w:rPr>
                <w:sz w:val="16"/>
                <w:szCs w:val="16"/>
                <w:lang w:bidi="th-TH"/>
              </w:rPr>
              <w:t>Región árabe (2)</w:t>
            </w:r>
          </w:p>
          <w:p w:rsidR="00B45FC3" w:rsidRPr="00526311" w:rsidRDefault="00B45FC3" w:rsidP="0063039A">
            <w:pPr>
              <w:rPr>
                <w:sz w:val="16"/>
                <w:szCs w:val="16"/>
                <w:lang w:bidi="th-TH"/>
              </w:rPr>
            </w:pPr>
            <w:r w:rsidRPr="00526311">
              <w:rPr>
                <w:sz w:val="16"/>
                <w:szCs w:val="16"/>
                <w:lang w:bidi="th-TH"/>
              </w:rPr>
              <w:t>Asia y el Pacífico (4)</w:t>
            </w:r>
          </w:p>
          <w:p w:rsidR="00B45FC3" w:rsidRPr="00526311" w:rsidRDefault="005502F5" w:rsidP="00D61CFB">
            <w:pPr>
              <w:rPr>
                <w:sz w:val="16"/>
                <w:szCs w:val="16"/>
              </w:rPr>
            </w:pPr>
            <w:r w:rsidRPr="00526311">
              <w:rPr>
                <w:sz w:val="16"/>
                <w:szCs w:val="16"/>
                <w:lang w:bidi="th-TH"/>
              </w:rPr>
              <w:t>América Latina y el Caribe (3), con</w:t>
            </w:r>
            <w:r w:rsidR="00D61CFB" w:rsidRPr="00526311">
              <w:rPr>
                <w:sz w:val="16"/>
                <w:szCs w:val="16"/>
                <w:lang w:bidi="th-TH"/>
              </w:rPr>
              <w:t xml:space="preserve"> </w:t>
            </w:r>
            <w:r w:rsidRPr="00526311">
              <w:rPr>
                <w:sz w:val="16"/>
                <w:szCs w:val="16"/>
              </w:rPr>
              <w:t>2 PMA incluidos en el desglose regional</w:t>
            </w:r>
            <w:r w:rsidR="00D61CFB" w:rsidRPr="00526311">
              <w:rPr>
                <w:sz w:val="16"/>
                <w:szCs w:val="16"/>
              </w:rPr>
              <w:t>.</w:t>
            </w:r>
            <w:r w:rsidRPr="00526311">
              <w:rPr>
                <w:sz w:val="16"/>
                <w:szCs w:val="16"/>
              </w:rPr>
              <w:br/>
            </w:r>
            <w:r w:rsidR="00B45FC3" w:rsidRPr="00526311">
              <w:rPr>
                <w:sz w:val="16"/>
                <w:szCs w:val="16"/>
              </w:rPr>
              <w:t>Proyectos de tecnología adecuados en 3 PMA</w:t>
            </w:r>
          </w:p>
        </w:tc>
        <w:tc>
          <w:tcPr>
            <w:tcW w:w="1843" w:type="dxa"/>
            <w:tcBorders>
              <w:top w:val="nil"/>
              <w:left w:val="nil"/>
              <w:bottom w:val="single" w:sz="4" w:space="0" w:color="auto"/>
              <w:right w:val="nil"/>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África (2)</w:t>
            </w:r>
          </w:p>
          <w:p w:rsidR="00B45FC3" w:rsidRPr="00526311" w:rsidRDefault="00B45FC3"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Región árabe (1)</w:t>
            </w:r>
          </w:p>
          <w:p w:rsidR="00B45FC3" w:rsidRPr="00526311" w:rsidRDefault="00B45FC3"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Asia y el Pacífico (4)</w:t>
            </w:r>
          </w:p>
          <w:p w:rsidR="00B45FC3" w:rsidRPr="00526311" w:rsidRDefault="00B45FC3"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B45FC3" w:rsidRPr="00526311" w:rsidRDefault="00B45FC3" w:rsidP="0063039A">
            <w:pPr>
              <w:rPr>
                <w:sz w:val="16"/>
                <w:szCs w:val="16"/>
                <w:lang w:bidi="th-TH"/>
              </w:rPr>
            </w:pPr>
          </w:p>
        </w:tc>
        <w:tc>
          <w:tcPr>
            <w:tcW w:w="2210" w:type="dxa"/>
            <w:tcBorders>
              <w:top w:val="nil"/>
              <w:left w:val="nil"/>
              <w:bottom w:val="single" w:sz="4" w:space="0" w:color="auto"/>
              <w:right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 xml:space="preserve">África: Memorando de entendimiento firmado con la </w:t>
            </w:r>
            <w:r w:rsidRPr="00526311">
              <w:rPr>
                <w:i/>
                <w:sz w:val="16"/>
                <w:szCs w:val="16"/>
                <w:lang w:bidi="th-TH"/>
              </w:rPr>
              <w:t xml:space="preserve">Organisation Internationale de la Francophonie </w:t>
            </w:r>
            <w:r w:rsidRPr="00526311">
              <w:rPr>
                <w:sz w:val="16"/>
                <w:szCs w:val="16"/>
                <w:lang w:bidi="th-TH"/>
              </w:rPr>
              <w:t>(OIF) en mayo de 2014.</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 xml:space="preserve">Región árabe (1): </w:t>
            </w:r>
          </w:p>
          <w:p w:rsidR="00B45FC3" w:rsidRPr="00526311" w:rsidRDefault="00B45FC3" w:rsidP="0063039A">
            <w:pPr>
              <w:rPr>
                <w:sz w:val="16"/>
                <w:szCs w:val="16"/>
                <w:lang w:bidi="th-TH"/>
              </w:rPr>
            </w:pPr>
            <w:r w:rsidRPr="00526311">
              <w:rPr>
                <w:sz w:val="16"/>
                <w:szCs w:val="16"/>
                <w:lang w:bidi="th-TH"/>
              </w:rPr>
              <w:t xml:space="preserve">Programa de películas de animación en torno al fomento del respeto por la P.I. en cooperación con la Liga de Estados Árabes </w:t>
            </w:r>
          </w:p>
          <w:p w:rsidR="00B45FC3" w:rsidRPr="00526311" w:rsidRDefault="00B45FC3" w:rsidP="0063039A">
            <w:pPr>
              <w:rPr>
                <w:sz w:val="16"/>
                <w:szCs w:val="16"/>
                <w:lang w:bidi="th-TH"/>
              </w:rPr>
            </w:pPr>
          </w:p>
          <w:p w:rsidR="00B45FC3" w:rsidRPr="00526311" w:rsidRDefault="00B45FC3" w:rsidP="0063039A">
            <w:pPr>
              <w:rPr>
                <w:sz w:val="16"/>
                <w:szCs w:val="16"/>
              </w:rPr>
            </w:pPr>
            <w:r w:rsidRPr="00526311">
              <w:rPr>
                <w:sz w:val="16"/>
                <w:szCs w:val="16"/>
                <w:lang w:bidi="th-TH"/>
              </w:rPr>
              <w:t xml:space="preserve">Asia y el Pacífico </w:t>
            </w:r>
            <w:r w:rsidRPr="00526311">
              <w:rPr>
                <w:sz w:val="16"/>
                <w:szCs w:val="16"/>
              </w:rPr>
              <w:t>(2): Asociación de Naciones del Asia Sudoriental (ASEAN); Asociación de Asia Meridional para la Cooperación Regional (SAARC)</w:t>
            </w:r>
          </w:p>
          <w:p w:rsidR="00B45FC3" w:rsidRPr="00526311" w:rsidRDefault="00B45FC3" w:rsidP="0063039A">
            <w:pPr>
              <w:rPr>
                <w:sz w:val="16"/>
                <w:szCs w:val="16"/>
                <w:lang w:bidi="th-TH"/>
              </w:rPr>
            </w:pPr>
          </w:p>
        </w:tc>
        <w:tc>
          <w:tcPr>
            <w:tcW w:w="1287" w:type="dxa"/>
            <w:tcBorders>
              <w:top w:val="nil"/>
              <w:left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tc>
      </w:tr>
    </w:tbl>
    <w:p w:rsidR="00B45FC3" w:rsidRPr="00526311" w:rsidRDefault="00B45FC3">
      <w:r w:rsidRPr="00526311">
        <w:br w:type="page"/>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42"/>
        <w:gridCol w:w="143"/>
        <w:gridCol w:w="1417"/>
        <w:gridCol w:w="426"/>
        <w:gridCol w:w="2210"/>
        <w:gridCol w:w="1287"/>
      </w:tblGrid>
      <w:tr w:rsidR="00B45FC3" w:rsidRPr="00526311" w:rsidTr="0063039A">
        <w:tc>
          <w:tcPr>
            <w:tcW w:w="2127" w:type="dxa"/>
            <w:tcBorders>
              <w:top w:val="single" w:sz="4" w:space="0" w:color="auto"/>
              <w:left w:val="single" w:sz="4" w:space="0" w:color="auto"/>
              <w:bottom w:val="nil"/>
              <w:right w:val="nil"/>
            </w:tcBorders>
            <w:shd w:val="clear" w:color="auto" w:fill="FFFFFF"/>
            <w:vAlign w:val="center"/>
          </w:tcPr>
          <w:p w:rsidR="00B45FC3" w:rsidRPr="00526311" w:rsidRDefault="00B45FC3" w:rsidP="0063039A">
            <w:pPr>
              <w:spacing w:after="40"/>
              <w:rPr>
                <w:sz w:val="16"/>
                <w:szCs w:val="16"/>
              </w:rPr>
            </w:pPr>
            <w:r w:rsidRPr="00526311">
              <w:rPr>
                <w:b/>
                <w:sz w:val="16"/>
                <w:szCs w:val="16"/>
              </w:rPr>
              <w:lastRenderedPageBreak/>
              <w:t>Indicadores de rendimiento</w:t>
            </w:r>
          </w:p>
        </w:tc>
        <w:tc>
          <w:tcPr>
            <w:tcW w:w="1985" w:type="dxa"/>
            <w:gridSpan w:val="2"/>
            <w:tcBorders>
              <w:top w:val="single" w:sz="4" w:space="0" w:color="auto"/>
              <w:left w:val="nil"/>
              <w:bottom w:val="nil"/>
              <w:right w:val="nil"/>
            </w:tcBorders>
            <w:shd w:val="clear" w:color="auto" w:fill="auto"/>
            <w:vAlign w:val="center"/>
          </w:tcPr>
          <w:p w:rsidR="00B45FC3" w:rsidRPr="00526311" w:rsidRDefault="00B45FC3" w:rsidP="0063039A">
            <w:pPr>
              <w:spacing w:after="40"/>
              <w:rPr>
                <w:b/>
                <w:bCs/>
                <w:sz w:val="16"/>
                <w:szCs w:val="16"/>
              </w:rPr>
            </w:pPr>
            <w:r w:rsidRPr="00526311">
              <w:rPr>
                <w:b/>
                <w:bCs/>
                <w:sz w:val="16"/>
                <w:szCs w:val="16"/>
              </w:rPr>
              <w:t>Referencia</w:t>
            </w:r>
          </w:p>
        </w:tc>
        <w:tc>
          <w:tcPr>
            <w:tcW w:w="1843" w:type="dxa"/>
            <w:gridSpan w:val="2"/>
            <w:tcBorders>
              <w:top w:val="single" w:sz="4" w:space="0" w:color="auto"/>
              <w:left w:val="nil"/>
              <w:bottom w:val="nil"/>
              <w:right w:val="nil"/>
            </w:tcBorders>
            <w:shd w:val="clear" w:color="auto" w:fill="auto"/>
            <w:tcMar>
              <w:top w:w="110" w:type="dxa"/>
            </w:tcMar>
            <w:vAlign w:val="center"/>
          </w:tcPr>
          <w:p w:rsidR="00B45FC3" w:rsidRPr="00526311" w:rsidRDefault="00B45FC3" w:rsidP="0063039A">
            <w:pPr>
              <w:spacing w:after="40"/>
              <w:rPr>
                <w:b/>
                <w:sz w:val="16"/>
                <w:szCs w:val="16"/>
              </w:rPr>
            </w:pPr>
            <w:r w:rsidRPr="00526311">
              <w:rPr>
                <w:b/>
                <w:sz w:val="16"/>
                <w:szCs w:val="16"/>
              </w:rPr>
              <w:t>Objetivos</w:t>
            </w:r>
          </w:p>
        </w:tc>
        <w:tc>
          <w:tcPr>
            <w:tcW w:w="2210" w:type="dxa"/>
            <w:tcBorders>
              <w:top w:val="single" w:sz="4" w:space="0" w:color="auto"/>
              <w:left w:val="nil"/>
              <w:bottom w:val="nil"/>
              <w:right w:val="nil"/>
            </w:tcBorders>
            <w:shd w:val="clear" w:color="auto" w:fill="FFFFFF"/>
            <w:tcMar>
              <w:top w:w="110" w:type="dxa"/>
            </w:tcMar>
            <w:vAlign w:val="center"/>
          </w:tcPr>
          <w:p w:rsidR="00B45FC3" w:rsidRPr="00526311" w:rsidRDefault="00B45FC3" w:rsidP="0063039A">
            <w:pPr>
              <w:spacing w:after="40"/>
              <w:rPr>
                <w:sz w:val="16"/>
                <w:szCs w:val="16"/>
              </w:rPr>
            </w:pPr>
            <w:r w:rsidRPr="00526311">
              <w:rPr>
                <w:b/>
                <w:sz w:val="16"/>
                <w:szCs w:val="16"/>
              </w:rPr>
              <w:t>Datos sobre el rendimiento</w:t>
            </w:r>
          </w:p>
        </w:tc>
        <w:tc>
          <w:tcPr>
            <w:tcW w:w="1287" w:type="dxa"/>
            <w:tcBorders>
              <w:top w:val="single" w:sz="4" w:space="0" w:color="auto"/>
              <w:left w:val="nil"/>
              <w:bottom w:val="nil"/>
              <w:right w:val="single" w:sz="4" w:space="0" w:color="auto"/>
            </w:tcBorders>
            <w:shd w:val="clear" w:color="auto" w:fill="auto"/>
            <w:tcMar>
              <w:top w:w="110" w:type="dxa"/>
            </w:tcMar>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c>
          <w:tcPr>
            <w:tcW w:w="2127" w:type="dxa"/>
            <w:tcBorders>
              <w:top w:val="nil"/>
              <w:left w:val="single" w:sz="4" w:space="0" w:color="auto"/>
              <w:bottom w:val="single" w:sz="4" w:space="0" w:color="auto"/>
              <w:right w:val="nil"/>
            </w:tcBorders>
            <w:shd w:val="clear" w:color="auto" w:fill="FFFFFF"/>
          </w:tcPr>
          <w:p w:rsidR="00B45FC3" w:rsidRPr="00526311" w:rsidRDefault="00B45FC3" w:rsidP="0063039A">
            <w:pPr>
              <w:rPr>
                <w:sz w:val="16"/>
                <w:szCs w:val="16"/>
                <w:lang w:bidi="th-TH"/>
              </w:rPr>
            </w:pPr>
          </w:p>
        </w:tc>
        <w:tc>
          <w:tcPr>
            <w:tcW w:w="1985" w:type="dxa"/>
            <w:gridSpan w:val="2"/>
            <w:tcBorders>
              <w:top w:val="nil"/>
              <w:left w:val="nil"/>
              <w:bottom w:val="single" w:sz="4" w:space="0" w:color="auto"/>
              <w:right w:val="nil"/>
            </w:tcBorders>
            <w:shd w:val="clear" w:color="auto" w:fill="auto"/>
          </w:tcPr>
          <w:p w:rsidR="00B45FC3" w:rsidRPr="00526311" w:rsidRDefault="00B45FC3" w:rsidP="0063039A">
            <w:pPr>
              <w:rPr>
                <w:i/>
                <w:sz w:val="16"/>
                <w:szCs w:val="16"/>
                <w:lang w:bidi="th-TH"/>
              </w:rPr>
            </w:pPr>
          </w:p>
        </w:tc>
        <w:tc>
          <w:tcPr>
            <w:tcW w:w="1843" w:type="dxa"/>
            <w:gridSpan w:val="2"/>
            <w:tcBorders>
              <w:top w:val="nil"/>
              <w:left w:val="nil"/>
              <w:bottom w:val="single" w:sz="4" w:space="0" w:color="auto"/>
              <w:right w:val="nil"/>
            </w:tcBorders>
            <w:shd w:val="clear" w:color="auto" w:fill="auto"/>
            <w:tcMar>
              <w:top w:w="110" w:type="dxa"/>
            </w:tcMar>
          </w:tcPr>
          <w:p w:rsidR="00B45FC3" w:rsidRPr="00526311" w:rsidRDefault="00D61CFB" w:rsidP="0063039A">
            <w:pPr>
              <w:rPr>
                <w:sz w:val="16"/>
                <w:szCs w:val="16"/>
                <w:lang w:bidi="th-TH"/>
              </w:rPr>
            </w:pPr>
            <w:r w:rsidRPr="00526311">
              <w:rPr>
                <w:sz w:val="16"/>
                <w:szCs w:val="16"/>
                <w:lang w:bidi="th-TH"/>
              </w:rPr>
              <w:t>América Latina y el Caribe (7)</w:t>
            </w: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r w:rsidRPr="00526311">
              <w:rPr>
                <w:sz w:val="16"/>
                <w:szCs w:val="16"/>
                <w:lang w:bidi="th-TH"/>
              </w:rPr>
              <w:t>4 PMA incluidos en el desglose regional</w:t>
            </w: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r w:rsidRPr="00526311">
              <w:rPr>
                <w:sz w:val="16"/>
                <w:szCs w:val="16"/>
                <w:lang w:bidi="th-TH"/>
              </w:rPr>
              <w:t>Proyectos de tecnología adecuados en al menos 4 PMA</w:t>
            </w:r>
          </w:p>
        </w:tc>
        <w:tc>
          <w:tcPr>
            <w:tcW w:w="2210" w:type="dxa"/>
            <w:tcBorders>
              <w:top w:val="nil"/>
              <w:left w:val="nil"/>
              <w:bottom w:val="single" w:sz="4" w:space="0" w:color="auto"/>
              <w:right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 xml:space="preserve">América Latina y el Caribe (6 proyectos en curso): i) Proyectos de armonización en la esfera de las patentes y las marcas en América Central junto con la Oficina Europea de Patentes (OEP) y la Oficina Española de Patentes y Marcas (OEPM), y con la colaboración del Instituto Mexicano de la Propiedad Industrial (IMPI); ii)  LATIPAT junto con la OEP y la OEPM;  iii) Proyecto sobre indicaciones geográficas, productos cuyas características se deben a su origen, y desarrollo de marcas, en asociación con el Banco Interamericano de Desarrollo (BID), la </w:t>
            </w:r>
            <w:r w:rsidRPr="00526311">
              <w:rPr>
                <w:i/>
                <w:sz w:val="16"/>
                <w:szCs w:val="16"/>
                <w:lang w:bidi="th-TH"/>
              </w:rPr>
              <w:t>Caribbean Export Development Agency</w:t>
            </w:r>
            <w:r w:rsidRPr="00526311">
              <w:rPr>
                <w:sz w:val="16"/>
                <w:szCs w:val="16"/>
                <w:lang w:bidi="th-TH"/>
              </w:rPr>
              <w:t xml:space="preserve"> y el </w:t>
            </w:r>
            <w:r w:rsidRPr="00526311">
              <w:rPr>
                <w:i/>
                <w:sz w:val="16"/>
                <w:szCs w:val="16"/>
                <w:lang w:bidi="th-TH"/>
              </w:rPr>
              <w:t>Technical Centre for Agricultural and Rural Corporation</w:t>
            </w:r>
            <w:r w:rsidRPr="00526311">
              <w:rPr>
                <w:sz w:val="16"/>
                <w:szCs w:val="16"/>
                <w:lang w:bidi="th-TH"/>
              </w:rPr>
              <w:t xml:space="preserve"> (CTA);  iv) Oficina Regional de Patentes en los Estados del Caribe con la Administración de Patentes del Caribe;  v) Programa interamericano en el marco del fondo fiduciario;  vi) Colaboración continua sobre la plataforma </w:t>
            </w:r>
            <w:r w:rsidRPr="00526311">
              <w:rPr>
                <w:i/>
                <w:sz w:val="16"/>
                <w:szCs w:val="16"/>
                <w:lang w:bidi="th-TH"/>
              </w:rPr>
              <w:t>Regional Entrepreneurial Asset Commercialization Hub</w:t>
            </w:r>
            <w:r w:rsidRPr="00526311">
              <w:rPr>
                <w:sz w:val="16"/>
                <w:szCs w:val="16"/>
                <w:lang w:bidi="th-TH"/>
              </w:rPr>
              <w:t xml:space="preserve"> (REACH) con el BID y el </w:t>
            </w:r>
            <w:r w:rsidRPr="00526311">
              <w:rPr>
                <w:i/>
                <w:sz w:val="16"/>
                <w:szCs w:val="16"/>
                <w:lang w:bidi="th-TH"/>
              </w:rPr>
              <w:t>Young Americas Business Trust</w:t>
            </w:r>
            <w:r w:rsidRPr="00526311">
              <w:rPr>
                <w:sz w:val="16"/>
                <w:szCs w:val="16"/>
                <w:lang w:bidi="th-TH"/>
              </w:rPr>
              <w:t xml:space="preserve"> (YABT)</w:t>
            </w:r>
          </w:p>
          <w:p w:rsidR="00B45FC3" w:rsidRPr="00526311" w:rsidRDefault="00B45FC3" w:rsidP="0063039A">
            <w:pPr>
              <w:rPr>
                <w:sz w:val="16"/>
                <w:szCs w:val="16"/>
                <w:lang w:bidi="th-TH"/>
              </w:rPr>
            </w:pPr>
          </w:p>
          <w:p w:rsidR="00B45FC3" w:rsidRPr="00526311" w:rsidRDefault="00D61CFB" w:rsidP="0063039A">
            <w:pPr>
              <w:rPr>
                <w:sz w:val="16"/>
                <w:szCs w:val="16"/>
                <w:lang w:bidi="th-TH"/>
              </w:rPr>
            </w:pPr>
            <w:r w:rsidRPr="00526311">
              <w:rPr>
                <w:sz w:val="16"/>
                <w:szCs w:val="16"/>
                <w:lang w:bidi="th-TH"/>
              </w:rPr>
              <w:t>3 de las organizaciones que figuran en el desglose regional tienen miembros PMA</w:t>
            </w:r>
          </w:p>
          <w:p w:rsidR="00D61CFB" w:rsidRPr="00526311" w:rsidRDefault="00D61CFB"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Como parte de la fase II del proyecto de la A.D. sobre fortalecimiento de capacidades en el uso de información técnica y científica relativa a las tecnologías apropiadas para solucionar determinados problemas de desarrollo, se lograron importantes progresos en el establecimiento de un memorando de entendimiento con cuatro países destinatarios.  El memorando se firmará en 2015.</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tc>
        <w:tc>
          <w:tcPr>
            <w:tcW w:w="1287" w:type="dxa"/>
            <w:tcBorders>
              <w:top w:val="nil"/>
              <w:left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rPr>
                <w:b/>
                <w:bCs/>
                <w:color w:val="00B050"/>
                <w:sz w:val="16"/>
                <w:szCs w:val="16"/>
              </w:rPr>
            </w:pPr>
          </w:p>
          <w:p w:rsidR="00B45FC3" w:rsidRPr="00526311" w:rsidRDefault="00B45FC3"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D61CFB">
            <w:pPr>
              <w:keepNext/>
              <w:keepLines/>
              <w:ind w:left="-108"/>
              <w:jc w:val="center"/>
              <w:rPr>
                <w:b/>
                <w:bCs/>
                <w:color w:val="00B050"/>
                <w:sz w:val="16"/>
                <w:szCs w:val="16"/>
              </w:rPr>
            </w:pPr>
            <w:r w:rsidRPr="00526311">
              <w:rPr>
                <w:b/>
                <w:bCs/>
                <w:color w:val="00B050"/>
                <w:sz w:val="16"/>
                <w:szCs w:val="16"/>
              </w:rPr>
              <w:t>Avanza</w:t>
            </w:r>
          </w:p>
          <w:p w:rsidR="00D61CFB" w:rsidRPr="00526311" w:rsidRDefault="00D61CFB" w:rsidP="00D61CFB">
            <w:pPr>
              <w:keepNext/>
              <w:keepLines/>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D61CFB">
            <w:pPr>
              <w:keepNext/>
              <w:keepLines/>
              <w:ind w:left="-108"/>
              <w:jc w:val="center"/>
              <w:rPr>
                <w:b/>
                <w:bCs/>
                <w:color w:val="00B050"/>
                <w:sz w:val="16"/>
                <w:szCs w:val="16"/>
              </w:rPr>
            </w:pPr>
          </w:p>
        </w:tc>
      </w:tr>
      <w:tr w:rsidR="00B45FC3" w:rsidRPr="00526311" w:rsidTr="0063039A">
        <w:tc>
          <w:tcPr>
            <w:tcW w:w="2127" w:type="dxa"/>
            <w:tcBorders>
              <w:top w:val="single" w:sz="4" w:space="0" w:color="auto"/>
              <w:left w:val="single" w:sz="4" w:space="0" w:color="auto"/>
              <w:bottom w:val="nil"/>
              <w:right w:val="nil"/>
            </w:tcBorders>
            <w:shd w:val="clear" w:color="auto" w:fill="FFFFFF"/>
            <w:vAlign w:val="center"/>
          </w:tcPr>
          <w:p w:rsidR="00B45FC3" w:rsidRPr="00526311" w:rsidRDefault="00B45FC3" w:rsidP="0063039A">
            <w:pPr>
              <w:keepNext/>
              <w:spacing w:after="40"/>
              <w:rPr>
                <w:sz w:val="16"/>
                <w:szCs w:val="16"/>
              </w:rPr>
            </w:pPr>
            <w:r w:rsidRPr="00526311">
              <w:rPr>
                <w:b/>
                <w:sz w:val="16"/>
                <w:szCs w:val="16"/>
              </w:rPr>
              <w:lastRenderedPageBreak/>
              <w:t>Indicadores de rendimiento</w:t>
            </w:r>
          </w:p>
        </w:tc>
        <w:tc>
          <w:tcPr>
            <w:tcW w:w="1985" w:type="dxa"/>
            <w:gridSpan w:val="2"/>
            <w:tcBorders>
              <w:top w:val="single" w:sz="4" w:space="0" w:color="auto"/>
              <w:left w:val="nil"/>
              <w:bottom w:val="nil"/>
              <w:right w:val="nil"/>
            </w:tcBorders>
            <w:shd w:val="clear" w:color="auto" w:fill="auto"/>
            <w:vAlign w:val="center"/>
          </w:tcPr>
          <w:p w:rsidR="00B45FC3" w:rsidRPr="00526311" w:rsidRDefault="00B45FC3" w:rsidP="0063039A">
            <w:pPr>
              <w:keepNext/>
              <w:spacing w:after="40"/>
              <w:rPr>
                <w:b/>
                <w:bCs/>
                <w:sz w:val="16"/>
                <w:szCs w:val="16"/>
              </w:rPr>
            </w:pPr>
            <w:r w:rsidRPr="00526311">
              <w:rPr>
                <w:b/>
                <w:bCs/>
                <w:sz w:val="16"/>
                <w:szCs w:val="16"/>
              </w:rPr>
              <w:t>Referencia</w:t>
            </w:r>
          </w:p>
        </w:tc>
        <w:tc>
          <w:tcPr>
            <w:tcW w:w="1843" w:type="dxa"/>
            <w:gridSpan w:val="2"/>
            <w:tcBorders>
              <w:top w:val="single" w:sz="4" w:space="0" w:color="auto"/>
              <w:left w:val="nil"/>
              <w:bottom w:val="nil"/>
              <w:right w:val="nil"/>
            </w:tcBorders>
            <w:shd w:val="clear" w:color="auto" w:fill="auto"/>
            <w:tcMar>
              <w:top w:w="110" w:type="dxa"/>
            </w:tcMar>
            <w:vAlign w:val="center"/>
          </w:tcPr>
          <w:p w:rsidR="00B45FC3" w:rsidRPr="00526311" w:rsidRDefault="00B45FC3" w:rsidP="0063039A">
            <w:pPr>
              <w:keepNext/>
              <w:spacing w:after="40"/>
              <w:rPr>
                <w:b/>
                <w:sz w:val="16"/>
                <w:szCs w:val="16"/>
              </w:rPr>
            </w:pPr>
            <w:r w:rsidRPr="00526311">
              <w:rPr>
                <w:b/>
                <w:sz w:val="16"/>
                <w:szCs w:val="16"/>
              </w:rPr>
              <w:t>Objetivos</w:t>
            </w:r>
          </w:p>
        </w:tc>
        <w:tc>
          <w:tcPr>
            <w:tcW w:w="2210" w:type="dxa"/>
            <w:tcBorders>
              <w:top w:val="single" w:sz="4" w:space="0" w:color="auto"/>
              <w:left w:val="nil"/>
              <w:bottom w:val="nil"/>
              <w:right w:val="nil"/>
            </w:tcBorders>
            <w:shd w:val="clear" w:color="auto" w:fill="FFFFFF"/>
            <w:tcMar>
              <w:top w:w="110" w:type="dxa"/>
            </w:tcMar>
            <w:vAlign w:val="center"/>
          </w:tcPr>
          <w:p w:rsidR="00B45FC3" w:rsidRPr="00526311" w:rsidRDefault="00B45FC3" w:rsidP="0063039A">
            <w:pPr>
              <w:keepNext/>
              <w:spacing w:after="40"/>
              <w:rPr>
                <w:sz w:val="16"/>
                <w:szCs w:val="16"/>
              </w:rPr>
            </w:pPr>
            <w:r w:rsidRPr="00526311">
              <w:rPr>
                <w:b/>
                <w:sz w:val="16"/>
                <w:szCs w:val="16"/>
              </w:rPr>
              <w:t>Datos sobre el rendimiento</w:t>
            </w:r>
          </w:p>
        </w:tc>
        <w:tc>
          <w:tcPr>
            <w:tcW w:w="1287" w:type="dxa"/>
            <w:tcBorders>
              <w:top w:val="single" w:sz="4" w:space="0" w:color="auto"/>
              <w:left w:val="nil"/>
              <w:bottom w:val="nil"/>
              <w:right w:val="single" w:sz="4" w:space="0" w:color="auto"/>
            </w:tcBorders>
            <w:shd w:val="clear" w:color="auto" w:fill="auto"/>
            <w:tcMar>
              <w:top w:w="110" w:type="dxa"/>
            </w:tcMar>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c>
          <w:tcPr>
            <w:tcW w:w="2127" w:type="dxa"/>
            <w:tcBorders>
              <w:top w:val="nil"/>
              <w:left w:val="single" w:sz="4" w:space="0" w:color="auto"/>
              <w:bottom w:val="single" w:sz="4" w:space="0" w:color="auto"/>
              <w:right w:val="nil"/>
            </w:tcBorders>
            <w:shd w:val="clear" w:color="auto" w:fill="FFFFFF"/>
          </w:tcPr>
          <w:p w:rsidR="00B45FC3" w:rsidRPr="00526311" w:rsidRDefault="00B45FC3" w:rsidP="0063039A">
            <w:pPr>
              <w:keepNext/>
              <w:rPr>
                <w:sz w:val="16"/>
                <w:szCs w:val="16"/>
                <w:lang w:bidi="th-TH"/>
              </w:rPr>
            </w:pPr>
          </w:p>
        </w:tc>
        <w:tc>
          <w:tcPr>
            <w:tcW w:w="1985" w:type="dxa"/>
            <w:gridSpan w:val="2"/>
            <w:tcBorders>
              <w:top w:val="nil"/>
              <w:left w:val="nil"/>
              <w:bottom w:val="single" w:sz="4" w:space="0" w:color="auto"/>
              <w:right w:val="nil"/>
            </w:tcBorders>
            <w:shd w:val="clear" w:color="auto" w:fill="auto"/>
          </w:tcPr>
          <w:p w:rsidR="00B45FC3" w:rsidRPr="00526311" w:rsidRDefault="00B45FC3" w:rsidP="0063039A">
            <w:pPr>
              <w:keepNext/>
              <w:rPr>
                <w:i/>
                <w:sz w:val="16"/>
                <w:szCs w:val="16"/>
                <w:lang w:bidi="th-TH"/>
              </w:rPr>
            </w:pPr>
          </w:p>
        </w:tc>
        <w:tc>
          <w:tcPr>
            <w:tcW w:w="1843" w:type="dxa"/>
            <w:gridSpan w:val="2"/>
            <w:tcBorders>
              <w:top w:val="nil"/>
              <w:left w:val="nil"/>
              <w:bottom w:val="single" w:sz="4" w:space="0" w:color="auto"/>
              <w:right w:val="nil"/>
            </w:tcBorders>
            <w:shd w:val="clear" w:color="auto" w:fill="auto"/>
            <w:tcMar>
              <w:top w:w="110" w:type="dxa"/>
            </w:tcMar>
          </w:tcPr>
          <w:p w:rsidR="00B45FC3" w:rsidRPr="00526311" w:rsidRDefault="00B45FC3" w:rsidP="0063039A">
            <w:pPr>
              <w:keepNext/>
              <w:rPr>
                <w:sz w:val="16"/>
                <w:szCs w:val="16"/>
                <w:lang w:bidi="th-TH"/>
              </w:rPr>
            </w:pPr>
          </w:p>
        </w:tc>
        <w:tc>
          <w:tcPr>
            <w:tcW w:w="2210" w:type="dxa"/>
            <w:tcBorders>
              <w:top w:val="nil"/>
              <w:left w:val="nil"/>
              <w:bottom w:val="single" w:sz="4" w:space="0" w:color="auto"/>
              <w:right w:val="nil"/>
            </w:tcBorders>
            <w:shd w:val="clear" w:color="auto" w:fill="FFFFFF"/>
            <w:tcMar>
              <w:top w:w="110" w:type="dxa"/>
            </w:tcMar>
          </w:tcPr>
          <w:p w:rsidR="00B45FC3" w:rsidRPr="00526311" w:rsidRDefault="00B45FC3" w:rsidP="0063039A">
            <w:pPr>
              <w:keepNext/>
              <w:rPr>
                <w:sz w:val="16"/>
                <w:szCs w:val="16"/>
                <w:lang w:bidi="th-TH"/>
              </w:rPr>
            </w:pPr>
            <w:r w:rsidRPr="00526311">
              <w:rPr>
                <w:sz w:val="16"/>
                <w:szCs w:val="16"/>
                <w:lang w:bidi="th-TH"/>
              </w:rPr>
              <w:t>El 29 de julio de 2014 se concertó un programa de alianzas para la cooperación interregional destinado a PMA con la UIT, el FNUDC y la ONUDI, en la Conferencia Ministerial dedicada a las nuevas alianzas para el fortalecimiento productivo de las capacidades en los PMA, celebrada en Cotonú (Benin), sobre el tema “Innovación, creatividad, tecnología, conectividad de banda ancha y financiación: vectores del desarrollo sostenible de los PMA”.</w:t>
            </w:r>
          </w:p>
          <w:p w:rsidR="00B45FC3" w:rsidRPr="00526311" w:rsidRDefault="00B45FC3" w:rsidP="0063039A">
            <w:pPr>
              <w:keepNext/>
              <w:rPr>
                <w:sz w:val="16"/>
                <w:szCs w:val="16"/>
                <w:lang w:bidi="th-TH"/>
              </w:rPr>
            </w:pPr>
          </w:p>
        </w:tc>
        <w:tc>
          <w:tcPr>
            <w:tcW w:w="1287" w:type="dxa"/>
            <w:tcBorders>
              <w:top w:val="nil"/>
              <w:left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tc>
      </w:tr>
      <w:tr w:rsidR="00B45FC3" w:rsidRPr="00526311" w:rsidTr="0063039A">
        <w:tc>
          <w:tcPr>
            <w:tcW w:w="9452" w:type="dxa"/>
            <w:gridSpan w:val="7"/>
            <w:tcBorders>
              <w:top w:val="single" w:sz="4" w:space="0" w:color="auto"/>
              <w:bottom w:val="single" w:sz="4" w:space="0" w:color="auto"/>
            </w:tcBorders>
            <w:shd w:val="clear" w:color="auto" w:fill="CCFFFF"/>
          </w:tcPr>
          <w:p w:rsidR="00B45FC3" w:rsidRPr="00526311" w:rsidRDefault="00B45FC3" w:rsidP="0063039A">
            <w:pPr>
              <w:keepNext/>
              <w:keepLines/>
              <w:tabs>
                <w:tab w:val="left" w:pos="1735"/>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bCs/>
                <w:sz w:val="16"/>
                <w:szCs w:val="16"/>
              </w:rPr>
              <w:t>IV.2 Mejora del acceso y uso de la información de P.I. por parte de instituciones de P.I. y el público para fomentar la innovación y la creatividad</w:t>
            </w:r>
          </w:p>
        </w:tc>
      </w:tr>
      <w:tr w:rsidR="00B45FC3" w:rsidRPr="00526311" w:rsidTr="0063039A">
        <w:trPr>
          <w:trHeight w:val="368"/>
        </w:trPr>
        <w:tc>
          <w:tcPr>
            <w:tcW w:w="2127" w:type="dxa"/>
            <w:tcBorders>
              <w:top w:val="single" w:sz="4" w:space="0" w:color="auto"/>
              <w:left w:val="single" w:sz="4" w:space="0" w:color="auto"/>
              <w:bottom w:val="nil"/>
              <w:right w:val="nil"/>
            </w:tcBorders>
            <w:shd w:val="clear" w:color="auto" w:fill="auto"/>
            <w:vAlign w:val="center"/>
          </w:tcPr>
          <w:p w:rsidR="00B45FC3" w:rsidRPr="00526311" w:rsidRDefault="00B45FC3" w:rsidP="0063039A">
            <w:pPr>
              <w:spacing w:after="40"/>
              <w:rPr>
                <w:sz w:val="16"/>
                <w:szCs w:val="16"/>
              </w:rPr>
            </w:pPr>
            <w:r w:rsidRPr="00526311">
              <w:rPr>
                <w:b/>
                <w:sz w:val="16"/>
                <w:szCs w:val="16"/>
              </w:rPr>
              <w:t>Indicadores de rendimiento</w:t>
            </w:r>
          </w:p>
        </w:tc>
        <w:tc>
          <w:tcPr>
            <w:tcW w:w="1842" w:type="dxa"/>
            <w:tcBorders>
              <w:top w:val="single" w:sz="4" w:space="0" w:color="auto"/>
              <w:left w:val="nil"/>
              <w:bottom w:val="nil"/>
              <w:right w:val="nil"/>
            </w:tcBorders>
            <w:shd w:val="clear" w:color="auto" w:fill="auto"/>
            <w:vAlign w:val="center"/>
          </w:tcPr>
          <w:p w:rsidR="00B45FC3" w:rsidRPr="00526311" w:rsidRDefault="00B45FC3" w:rsidP="0063039A">
            <w:pPr>
              <w:spacing w:after="40"/>
              <w:rPr>
                <w:b/>
                <w:bCs/>
                <w:sz w:val="16"/>
                <w:szCs w:val="16"/>
              </w:rPr>
            </w:pPr>
            <w:r w:rsidRPr="00526311">
              <w:rPr>
                <w:b/>
                <w:bCs/>
                <w:sz w:val="16"/>
                <w:szCs w:val="16"/>
              </w:rPr>
              <w:t>Referencia</w:t>
            </w:r>
          </w:p>
        </w:tc>
        <w:tc>
          <w:tcPr>
            <w:tcW w:w="1560" w:type="dxa"/>
            <w:gridSpan w:val="2"/>
            <w:tcBorders>
              <w:top w:val="single" w:sz="4" w:space="0" w:color="auto"/>
              <w:left w:val="nil"/>
              <w:bottom w:val="nil"/>
              <w:right w:val="nil"/>
            </w:tcBorders>
            <w:shd w:val="clear" w:color="auto" w:fill="auto"/>
            <w:vAlign w:val="center"/>
          </w:tcPr>
          <w:p w:rsidR="00B45FC3" w:rsidRPr="00526311" w:rsidRDefault="00B45FC3" w:rsidP="0063039A">
            <w:pPr>
              <w:spacing w:after="40"/>
              <w:rPr>
                <w:b/>
                <w:sz w:val="16"/>
                <w:szCs w:val="16"/>
              </w:rPr>
            </w:pPr>
            <w:r w:rsidRPr="00526311">
              <w:rPr>
                <w:b/>
                <w:sz w:val="16"/>
                <w:szCs w:val="16"/>
              </w:rPr>
              <w:t>Objetivos</w:t>
            </w:r>
          </w:p>
        </w:tc>
        <w:tc>
          <w:tcPr>
            <w:tcW w:w="2636" w:type="dxa"/>
            <w:gridSpan w:val="2"/>
            <w:tcBorders>
              <w:top w:val="single" w:sz="4" w:space="0" w:color="auto"/>
              <w:left w:val="nil"/>
              <w:bottom w:val="nil"/>
              <w:right w:val="nil"/>
            </w:tcBorders>
            <w:shd w:val="clear" w:color="auto" w:fill="auto"/>
            <w:vAlign w:val="center"/>
          </w:tcPr>
          <w:p w:rsidR="00B45FC3" w:rsidRPr="00526311" w:rsidRDefault="00B45FC3" w:rsidP="0063039A">
            <w:pPr>
              <w:spacing w:after="40"/>
              <w:rPr>
                <w:sz w:val="16"/>
                <w:szCs w:val="16"/>
              </w:rPr>
            </w:pPr>
            <w:r w:rsidRPr="00526311">
              <w:rPr>
                <w:b/>
                <w:sz w:val="16"/>
                <w:szCs w:val="16"/>
              </w:rPr>
              <w:t>Datos sobre el rendimiento</w:t>
            </w:r>
          </w:p>
        </w:tc>
        <w:tc>
          <w:tcPr>
            <w:tcW w:w="1287" w:type="dxa"/>
            <w:tcBorders>
              <w:top w:val="single" w:sz="4" w:space="0" w:color="auto"/>
              <w:left w:val="nil"/>
              <w:bottom w:val="nil"/>
              <w:right w:val="single" w:sz="4" w:space="0" w:color="auto"/>
            </w:tcBorders>
            <w:shd w:val="clear" w:color="auto" w:fill="auto"/>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c>
          <w:tcPr>
            <w:tcW w:w="2127" w:type="dxa"/>
            <w:tcBorders>
              <w:top w:val="nil"/>
              <w:left w:val="single" w:sz="4" w:space="0" w:color="auto"/>
              <w:bottom w:val="nil"/>
              <w:right w:val="nil"/>
            </w:tcBorders>
            <w:shd w:val="clear" w:color="auto" w:fill="FFFFFF"/>
          </w:tcPr>
          <w:p w:rsidR="00B45FC3" w:rsidRPr="00526311" w:rsidRDefault="00B45FC3" w:rsidP="0063039A">
            <w:pPr>
              <w:rPr>
                <w:sz w:val="16"/>
                <w:szCs w:val="16"/>
                <w:lang w:bidi="th-TH"/>
              </w:rPr>
            </w:pPr>
            <w:r w:rsidRPr="00526311">
              <w:rPr>
                <w:sz w:val="16"/>
                <w:szCs w:val="16"/>
                <w:lang w:bidi="th-TH"/>
              </w:rPr>
              <w:t>Número de redes nacionales sostenibles de CATI</w:t>
            </w:r>
          </w:p>
        </w:tc>
        <w:tc>
          <w:tcPr>
            <w:tcW w:w="1842" w:type="dxa"/>
            <w:tcBorders>
              <w:top w:val="nil"/>
              <w:left w:val="nil"/>
              <w:bottom w:val="nil"/>
              <w:right w:val="nil"/>
            </w:tcBorders>
            <w:shd w:val="clear" w:color="auto" w:fill="auto"/>
          </w:tcPr>
          <w:p w:rsidR="00B45FC3" w:rsidRPr="00526311" w:rsidRDefault="00B45FC3"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 xml:space="preserve">14 redes de CATI sostenibles (de 36 creadas) </w:t>
            </w:r>
          </w:p>
          <w:p w:rsidR="00B45FC3" w:rsidRPr="00526311" w:rsidRDefault="00B45FC3" w:rsidP="0063039A">
            <w:pPr>
              <w:rPr>
                <w:i/>
                <w:color w:val="002060"/>
                <w:sz w:val="16"/>
                <w:szCs w:val="16"/>
              </w:rPr>
            </w:pPr>
          </w:p>
          <w:p w:rsidR="00B45FC3" w:rsidRPr="00526311" w:rsidRDefault="00B45FC3" w:rsidP="0063039A">
            <w:pPr>
              <w:rPr>
                <w:i/>
                <w:sz w:val="16"/>
                <w:szCs w:val="16"/>
                <w:lang w:bidi="th-TH"/>
              </w:rPr>
            </w:pPr>
            <w:r w:rsidRPr="00526311">
              <w:rPr>
                <w:i/>
                <w:sz w:val="16"/>
                <w:szCs w:val="16"/>
                <w:lang w:bidi="th-TH"/>
              </w:rPr>
              <w:t xml:space="preserve">Referencia original en el presupuesto de 2014/15: </w:t>
            </w:r>
            <w:r w:rsidR="00D61CFB" w:rsidRPr="00526311">
              <w:rPr>
                <w:i/>
                <w:sz w:val="16"/>
                <w:szCs w:val="16"/>
                <w:lang w:bidi="th-TH"/>
              </w:rPr>
              <w:t>14 redes nacionales de CATI:</w:t>
            </w:r>
          </w:p>
          <w:p w:rsidR="00B45FC3" w:rsidRPr="00526311" w:rsidRDefault="00B45FC3" w:rsidP="0063039A">
            <w:pPr>
              <w:rPr>
                <w:sz w:val="16"/>
                <w:szCs w:val="16"/>
                <w:lang w:bidi="th-TH"/>
              </w:rPr>
            </w:pPr>
            <w:r w:rsidRPr="00526311">
              <w:rPr>
                <w:sz w:val="16"/>
                <w:szCs w:val="16"/>
                <w:lang w:bidi="th-TH"/>
              </w:rPr>
              <w:t>África (6)</w:t>
            </w:r>
          </w:p>
          <w:p w:rsidR="00B45FC3" w:rsidRPr="00526311" w:rsidRDefault="00B45FC3" w:rsidP="0063039A">
            <w:pPr>
              <w:rPr>
                <w:sz w:val="16"/>
                <w:szCs w:val="16"/>
                <w:lang w:bidi="th-TH"/>
              </w:rPr>
            </w:pPr>
            <w:r w:rsidRPr="00526311">
              <w:rPr>
                <w:sz w:val="16"/>
                <w:szCs w:val="16"/>
                <w:lang w:bidi="th-TH"/>
              </w:rPr>
              <w:t>región de los región árabe (2)</w:t>
            </w:r>
          </w:p>
          <w:p w:rsidR="00B45FC3" w:rsidRPr="00526311" w:rsidRDefault="00B45FC3" w:rsidP="0063039A">
            <w:pPr>
              <w:rPr>
                <w:sz w:val="16"/>
                <w:szCs w:val="16"/>
                <w:lang w:bidi="th-TH"/>
              </w:rPr>
            </w:pPr>
            <w:r w:rsidRPr="00526311">
              <w:rPr>
                <w:sz w:val="16"/>
                <w:szCs w:val="16"/>
                <w:lang w:bidi="th-TH"/>
              </w:rPr>
              <w:t>Asia y el Pacífico (2)</w:t>
            </w:r>
          </w:p>
          <w:p w:rsidR="00B45FC3" w:rsidRPr="00526311" w:rsidRDefault="00B45FC3" w:rsidP="0063039A">
            <w:pPr>
              <w:rPr>
                <w:sz w:val="16"/>
                <w:szCs w:val="16"/>
                <w:lang w:bidi="th-TH"/>
              </w:rPr>
            </w:pPr>
            <w:r w:rsidRPr="00526311">
              <w:rPr>
                <w:sz w:val="16"/>
                <w:szCs w:val="16"/>
                <w:lang w:bidi="th-TH"/>
              </w:rPr>
              <w:t>América Latina y el Caribe (4)</w:t>
            </w:r>
          </w:p>
          <w:p w:rsidR="00B45FC3" w:rsidRPr="00526311" w:rsidRDefault="00B45FC3" w:rsidP="0063039A">
            <w:pPr>
              <w:rPr>
                <w:sz w:val="16"/>
                <w:szCs w:val="16"/>
                <w:lang w:bidi="th-TH"/>
              </w:rPr>
            </w:pPr>
            <w:r w:rsidRPr="00526311">
              <w:rPr>
                <w:sz w:val="16"/>
                <w:szCs w:val="16"/>
                <w:lang w:bidi="th-TH"/>
              </w:rPr>
              <w:t>6 PMA incluidos en el desglose regional precedente</w:t>
            </w:r>
          </w:p>
          <w:p w:rsidR="00B45FC3" w:rsidRPr="00526311" w:rsidRDefault="00B45FC3" w:rsidP="0063039A">
            <w:pPr>
              <w:rPr>
                <w:i/>
                <w:color w:val="002060"/>
                <w:sz w:val="16"/>
                <w:szCs w:val="16"/>
              </w:rPr>
            </w:pPr>
          </w:p>
        </w:tc>
        <w:tc>
          <w:tcPr>
            <w:tcW w:w="1560" w:type="dxa"/>
            <w:gridSpan w:val="2"/>
            <w:tcBorders>
              <w:top w:val="nil"/>
              <w:left w:val="nil"/>
              <w:bottom w:val="nil"/>
              <w:right w:val="nil"/>
            </w:tcBorders>
            <w:shd w:val="clear" w:color="auto" w:fill="auto"/>
            <w:tcMar>
              <w:top w:w="110" w:type="dxa"/>
            </w:tcMar>
          </w:tcPr>
          <w:p w:rsidR="00B45FC3" w:rsidRPr="00526311" w:rsidRDefault="00D61CFB" w:rsidP="0063039A">
            <w:pPr>
              <w:rPr>
                <w:sz w:val="16"/>
                <w:szCs w:val="16"/>
                <w:lang w:bidi="th-TH"/>
              </w:rPr>
            </w:pPr>
            <w:r w:rsidRPr="00526311">
              <w:rPr>
                <w:sz w:val="16"/>
                <w:szCs w:val="16"/>
                <w:lang w:bidi="th-TH"/>
              </w:rPr>
              <w:t>23 redes nacionales de CATI (en total):</w:t>
            </w:r>
            <w:r w:rsidRPr="00526311">
              <w:rPr>
                <w:sz w:val="16"/>
                <w:szCs w:val="16"/>
                <w:lang w:bidi="th-TH"/>
              </w:rPr>
              <w:br/>
            </w:r>
            <w:r w:rsidR="00B45FC3" w:rsidRPr="00526311">
              <w:rPr>
                <w:sz w:val="16"/>
                <w:szCs w:val="16"/>
                <w:lang w:bidi="th-TH"/>
              </w:rPr>
              <w:t>África (10</w:t>
            </w:r>
            <w:r w:rsidRPr="00526311">
              <w:rPr>
                <w:sz w:val="16"/>
                <w:szCs w:val="16"/>
                <w:lang w:bidi="th-TH"/>
              </w:rPr>
              <w:t xml:space="preserve"> de los que 8 son PMA</w:t>
            </w:r>
            <w:r w:rsidR="00B45FC3" w:rsidRPr="00526311">
              <w:rPr>
                <w:sz w:val="16"/>
                <w:szCs w:val="16"/>
                <w:lang w:bidi="th-TH"/>
              </w:rPr>
              <w:t>)</w:t>
            </w:r>
          </w:p>
          <w:p w:rsidR="00B45FC3" w:rsidRPr="00526311" w:rsidRDefault="00B45FC3" w:rsidP="0063039A">
            <w:pPr>
              <w:rPr>
                <w:sz w:val="16"/>
                <w:szCs w:val="16"/>
                <w:lang w:bidi="th-TH"/>
              </w:rPr>
            </w:pPr>
          </w:p>
          <w:p w:rsidR="00B45FC3" w:rsidRPr="00526311" w:rsidRDefault="00D61CFB" w:rsidP="0063039A">
            <w:pPr>
              <w:rPr>
                <w:sz w:val="16"/>
                <w:szCs w:val="16"/>
                <w:lang w:bidi="th-TH"/>
              </w:rPr>
            </w:pPr>
            <w:r w:rsidRPr="00526311">
              <w:rPr>
                <w:sz w:val="16"/>
                <w:szCs w:val="16"/>
                <w:lang w:bidi="th-TH"/>
              </w:rPr>
              <w:t>Región árabe (3</w:t>
            </w:r>
            <w:r w:rsidR="00B45FC3" w:rsidRPr="00526311">
              <w:rPr>
                <w:sz w:val="16"/>
                <w:szCs w:val="16"/>
                <w:lang w:bidi="th-TH"/>
              </w:rPr>
              <w:t>)</w:t>
            </w:r>
          </w:p>
          <w:p w:rsidR="00B45FC3" w:rsidRPr="00526311" w:rsidRDefault="00B45FC3" w:rsidP="0063039A">
            <w:pPr>
              <w:rPr>
                <w:sz w:val="16"/>
                <w:szCs w:val="16"/>
                <w:lang w:bidi="th-TH"/>
              </w:rPr>
            </w:pPr>
          </w:p>
          <w:p w:rsidR="00B45FC3" w:rsidRPr="00526311" w:rsidRDefault="00D61CFB" w:rsidP="0063039A">
            <w:pPr>
              <w:rPr>
                <w:sz w:val="16"/>
                <w:szCs w:val="16"/>
                <w:lang w:bidi="th-TH"/>
              </w:rPr>
            </w:pPr>
            <w:r w:rsidRPr="00526311">
              <w:rPr>
                <w:sz w:val="16"/>
                <w:szCs w:val="16"/>
                <w:lang w:bidi="th-TH"/>
              </w:rPr>
              <w:t>Asia y el Pacífico (4 de los que 2 son PMA</w:t>
            </w:r>
            <w:r w:rsidR="00B45FC3" w:rsidRPr="00526311">
              <w:rPr>
                <w:sz w:val="16"/>
                <w:szCs w:val="16"/>
                <w:lang w:bidi="th-TH"/>
              </w:rPr>
              <w:t>)</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América Latina y el Caribe (6)</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tc>
        <w:tc>
          <w:tcPr>
            <w:tcW w:w="2636" w:type="dxa"/>
            <w:gridSpan w:val="2"/>
            <w:tcBorders>
              <w:top w:val="nil"/>
              <w:left w:val="nil"/>
              <w:bottom w:val="nil"/>
              <w:right w:val="nil"/>
            </w:tcBorders>
            <w:shd w:val="clear" w:color="auto" w:fill="FFFFFF"/>
            <w:tcMar>
              <w:top w:w="110" w:type="dxa"/>
            </w:tcMar>
          </w:tcPr>
          <w:p w:rsidR="00B45FC3" w:rsidRPr="00526311" w:rsidRDefault="00B45FC3" w:rsidP="0063039A">
            <w:pPr>
              <w:rPr>
                <w:sz w:val="16"/>
                <w:szCs w:val="16"/>
              </w:rPr>
            </w:pPr>
            <w:r w:rsidRPr="00526311">
              <w:rPr>
                <w:sz w:val="16"/>
                <w:szCs w:val="16"/>
              </w:rPr>
              <w:t xml:space="preserve">19 redes de CATI sostenibles (de 39 creadas) </w:t>
            </w:r>
          </w:p>
          <w:p w:rsidR="00B45FC3" w:rsidRPr="00526311" w:rsidRDefault="00B45FC3" w:rsidP="0063039A">
            <w:pPr>
              <w:rPr>
                <w:sz w:val="16"/>
                <w:szCs w:val="16"/>
              </w:rPr>
            </w:pPr>
          </w:p>
          <w:p w:rsidR="00B45FC3" w:rsidRPr="00526311" w:rsidRDefault="00B45FC3" w:rsidP="00B45FC3">
            <w:pPr>
              <w:pStyle w:val="ListParagraph"/>
              <w:numPr>
                <w:ilvl w:val="0"/>
                <w:numId w:val="52"/>
              </w:numPr>
              <w:rPr>
                <w:sz w:val="16"/>
                <w:szCs w:val="16"/>
                <w:lang w:val="es-ES"/>
              </w:rPr>
            </w:pPr>
            <w:r w:rsidRPr="00526311">
              <w:rPr>
                <w:sz w:val="16"/>
                <w:szCs w:val="16"/>
                <w:lang w:val="es-ES"/>
              </w:rPr>
              <w:t>África (9 países, de los cuales 6 son PMA)</w:t>
            </w:r>
          </w:p>
          <w:p w:rsidR="00B45FC3" w:rsidRPr="00526311" w:rsidRDefault="00B45FC3" w:rsidP="0063039A">
            <w:pPr>
              <w:pStyle w:val="ListParagraph"/>
              <w:ind w:left="360"/>
              <w:rPr>
                <w:sz w:val="16"/>
                <w:szCs w:val="16"/>
                <w:lang w:val="es-ES"/>
              </w:rPr>
            </w:pPr>
          </w:p>
          <w:p w:rsidR="00B45FC3" w:rsidRPr="00526311" w:rsidRDefault="00B45FC3" w:rsidP="00B45FC3">
            <w:pPr>
              <w:pStyle w:val="ListParagraph"/>
              <w:numPr>
                <w:ilvl w:val="0"/>
                <w:numId w:val="52"/>
              </w:numPr>
              <w:rPr>
                <w:sz w:val="16"/>
                <w:szCs w:val="16"/>
                <w:lang w:val="es-ES"/>
              </w:rPr>
            </w:pPr>
            <w:r w:rsidRPr="00526311">
              <w:rPr>
                <w:sz w:val="16"/>
                <w:szCs w:val="16"/>
                <w:lang w:val="es-ES"/>
              </w:rPr>
              <w:t>región árabe (2)</w:t>
            </w:r>
          </w:p>
          <w:p w:rsidR="00B45FC3" w:rsidRPr="00526311" w:rsidRDefault="00B45FC3" w:rsidP="0063039A">
            <w:pPr>
              <w:pStyle w:val="ListParagraph"/>
              <w:ind w:left="360"/>
              <w:rPr>
                <w:sz w:val="16"/>
                <w:szCs w:val="16"/>
                <w:lang w:val="es-ES"/>
              </w:rPr>
            </w:pPr>
          </w:p>
          <w:p w:rsidR="00B45FC3" w:rsidRPr="00526311" w:rsidRDefault="00B45FC3" w:rsidP="00B45FC3">
            <w:pPr>
              <w:pStyle w:val="ListParagraph"/>
              <w:numPr>
                <w:ilvl w:val="0"/>
                <w:numId w:val="52"/>
              </w:numPr>
              <w:rPr>
                <w:sz w:val="16"/>
                <w:szCs w:val="16"/>
                <w:lang w:val="es-ES"/>
              </w:rPr>
            </w:pPr>
            <w:r w:rsidRPr="00526311">
              <w:rPr>
                <w:sz w:val="16"/>
                <w:szCs w:val="16"/>
                <w:lang w:val="es-ES"/>
              </w:rPr>
              <w:t xml:space="preserve">Asia y el Pacífico (3 países, de los cuales 1 es un PMA) </w:t>
            </w:r>
          </w:p>
          <w:p w:rsidR="00B45FC3" w:rsidRPr="00526311" w:rsidRDefault="00B45FC3" w:rsidP="0063039A">
            <w:pPr>
              <w:pStyle w:val="ListParagraph"/>
              <w:ind w:left="360"/>
              <w:rPr>
                <w:sz w:val="16"/>
                <w:szCs w:val="16"/>
                <w:lang w:val="es-ES"/>
              </w:rPr>
            </w:pPr>
          </w:p>
          <w:p w:rsidR="00B45FC3" w:rsidRPr="00526311" w:rsidRDefault="00B45FC3" w:rsidP="00B45FC3">
            <w:pPr>
              <w:pStyle w:val="ListParagraph"/>
              <w:numPr>
                <w:ilvl w:val="0"/>
                <w:numId w:val="52"/>
              </w:numPr>
              <w:rPr>
                <w:sz w:val="16"/>
                <w:szCs w:val="16"/>
                <w:lang w:val="es-ES"/>
              </w:rPr>
            </w:pPr>
            <w:r w:rsidRPr="00526311">
              <w:rPr>
                <w:sz w:val="16"/>
                <w:szCs w:val="16"/>
                <w:lang w:val="es-ES"/>
              </w:rPr>
              <w:t xml:space="preserve"> América Latina y el Caribe (5)</w:t>
            </w:r>
          </w:p>
          <w:p w:rsidR="00B45FC3" w:rsidRPr="00526311" w:rsidRDefault="00B45FC3" w:rsidP="00B45FC3">
            <w:pPr>
              <w:pStyle w:val="ListParagraph"/>
              <w:numPr>
                <w:ilvl w:val="0"/>
                <w:numId w:val="52"/>
              </w:numPr>
              <w:rPr>
                <w:sz w:val="16"/>
                <w:szCs w:val="16"/>
                <w:lang w:val="es-ES"/>
              </w:rPr>
            </w:pPr>
            <w:r w:rsidRPr="00526311">
              <w:rPr>
                <w:sz w:val="16"/>
                <w:szCs w:val="16"/>
                <w:lang w:val="es-ES"/>
              </w:rPr>
              <w:t>7 PMA (en total)</w:t>
            </w:r>
          </w:p>
          <w:p w:rsidR="00B45FC3" w:rsidRPr="00526311" w:rsidRDefault="00B45FC3" w:rsidP="0063039A">
            <w:pPr>
              <w:rPr>
                <w:sz w:val="16"/>
                <w:szCs w:val="16"/>
                <w:lang w:bidi="th-TH"/>
              </w:rPr>
            </w:pPr>
          </w:p>
        </w:tc>
        <w:tc>
          <w:tcPr>
            <w:tcW w:w="1287" w:type="dxa"/>
            <w:tcBorders>
              <w:top w:val="nil"/>
              <w:left w:val="nil"/>
              <w:bottom w:val="nil"/>
              <w:right w:val="single" w:sz="4" w:space="0" w:color="auto"/>
            </w:tcBorders>
            <w:shd w:val="clear" w:color="auto" w:fill="auto"/>
            <w:tcMar>
              <w:top w:w="110" w:type="dxa"/>
            </w:tcMar>
          </w:tcPr>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51" w:right="-12"/>
              <w:jc w:val="center"/>
              <w:rPr>
                <w:b/>
                <w:bCs/>
                <w:color w:val="00B050"/>
                <w:sz w:val="16"/>
                <w:szCs w:val="16"/>
              </w:rPr>
            </w:pPr>
          </w:p>
          <w:p w:rsidR="00B45FC3" w:rsidRPr="00526311" w:rsidRDefault="00B45FC3" w:rsidP="0063039A">
            <w:pPr>
              <w:keepNext/>
              <w:keepLines/>
              <w:ind w:left="-51" w:right="-12"/>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51" w:right="-12"/>
              <w:jc w:val="center"/>
              <w:rPr>
                <w:b/>
                <w:bCs/>
                <w:color w:val="00B050"/>
                <w:sz w:val="16"/>
                <w:szCs w:val="16"/>
              </w:rPr>
            </w:pPr>
          </w:p>
          <w:p w:rsidR="00B45FC3" w:rsidRPr="00526311" w:rsidRDefault="00B45FC3" w:rsidP="0063039A">
            <w:pPr>
              <w:keepNext/>
              <w:keepLines/>
              <w:ind w:left="-51" w:right="-12"/>
              <w:jc w:val="center"/>
              <w:rPr>
                <w:b/>
                <w:bCs/>
                <w:color w:val="00B050"/>
                <w:sz w:val="16"/>
                <w:szCs w:val="16"/>
              </w:rPr>
            </w:pPr>
          </w:p>
          <w:p w:rsidR="00B45FC3" w:rsidRPr="00526311" w:rsidRDefault="00B45FC3" w:rsidP="0063039A">
            <w:pPr>
              <w:keepNext/>
              <w:keepLines/>
              <w:ind w:left="-51" w:right="-12"/>
              <w:jc w:val="center"/>
              <w:rPr>
                <w:b/>
                <w:bCs/>
                <w:color w:val="00B050"/>
                <w:sz w:val="16"/>
                <w:szCs w:val="16"/>
              </w:rPr>
            </w:pPr>
          </w:p>
          <w:p w:rsidR="00B45FC3" w:rsidRPr="00526311" w:rsidRDefault="00B45FC3" w:rsidP="0063039A">
            <w:pPr>
              <w:keepNext/>
              <w:keepLines/>
              <w:ind w:left="-51" w:right="-12"/>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51" w:right="-12"/>
              <w:jc w:val="center"/>
              <w:rPr>
                <w:b/>
                <w:bCs/>
                <w:color w:val="00B050"/>
                <w:sz w:val="16"/>
                <w:szCs w:val="16"/>
              </w:rPr>
            </w:pPr>
          </w:p>
          <w:p w:rsidR="00B45FC3" w:rsidRPr="00526311" w:rsidRDefault="00B45FC3" w:rsidP="0063039A">
            <w:pPr>
              <w:keepNext/>
              <w:keepLines/>
              <w:ind w:right="-12"/>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51" w:right="-12"/>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jc w:val="center"/>
              <w:rPr>
                <w:b/>
                <w:bCs/>
                <w:color w:val="00B050"/>
                <w:sz w:val="16"/>
                <w:szCs w:val="16"/>
              </w:rPr>
            </w:pPr>
          </w:p>
        </w:tc>
      </w:tr>
      <w:tr w:rsidR="00B45FC3" w:rsidRPr="00526311" w:rsidTr="0063039A">
        <w:tc>
          <w:tcPr>
            <w:tcW w:w="2127" w:type="dxa"/>
            <w:tcBorders>
              <w:top w:val="nil"/>
              <w:left w:val="single" w:sz="4" w:space="0" w:color="auto"/>
              <w:bottom w:val="nil"/>
            </w:tcBorders>
            <w:shd w:val="clear" w:color="auto" w:fill="FFFFFF"/>
          </w:tcPr>
          <w:p w:rsidR="00B45FC3" w:rsidRPr="00526311" w:rsidRDefault="00B45FC3" w:rsidP="0063039A">
            <w:pPr>
              <w:rPr>
                <w:sz w:val="16"/>
                <w:szCs w:val="16"/>
                <w:lang w:bidi="th-TH"/>
              </w:rPr>
            </w:pPr>
            <w:r w:rsidRPr="00526311">
              <w:rPr>
                <w:sz w:val="16"/>
                <w:szCs w:val="16"/>
                <w:lang w:bidi="th-TH"/>
              </w:rPr>
              <w:t>Promedio de usuarios que utilizan los servicios de los CATI por trimestre y por país.</w:t>
            </w:r>
          </w:p>
        </w:tc>
        <w:tc>
          <w:tcPr>
            <w:tcW w:w="1842" w:type="dxa"/>
            <w:tcBorders>
              <w:top w:val="nil"/>
              <w:bottom w:val="nil"/>
            </w:tcBorders>
            <w:shd w:val="clear" w:color="auto" w:fill="auto"/>
          </w:tcPr>
          <w:p w:rsidR="00B45FC3" w:rsidRPr="00526311" w:rsidRDefault="00B45FC3"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Entre 532 (min.) y 1.370 (max.) usuarios diarios en promedio atendidos por CATI durante 2013</w:t>
            </w:r>
          </w:p>
          <w:p w:rsidR="00B45FC3" w:rsidRPr="00526311" w:rsidRDefault="00B45FC3" w:rsidP="0063039A">
            <w:pPr>
              <w:rPr>
                <w:i/>
                <w:color w:val="002060"/>
                <w:sz w:val="16"/>
                <w:szCs w:val="16"/>
              </w:rPr>
            </w:pPr>
          </w:p>
          <w:p w:rsidR="00B45FC3" w:rsidRPr="00526311" w:rsidRDefault="00B45FC3" w:rsidP="0063039A">
            <w:pPr>
              <w:rPr>
                <w:i/>
                <w:sz w:val="16"/>
                <w:szCs w:val="16"/>
                <w:lang w:bidi="th-TH"/>
              </w:rPr>
            </w:pPr>
            <w:r w:rsidRPr="00526311">
              <w:rPr>
                <w:i/>
                <w:sz w:val="16"/>
                <w:szCs w:val="16"/>
                <w:lang w:bidi="th-TH"/>
              </w:rPr>
              <w:t>Referencia original en el presupuesto de 2014/15:</w:t>
            </w:r>
          </w:p>
          <w:p w:rsidR="00B45FC3" w:rsidRPr="00526311" w:rsidRDefault="00B45FC3" w:rsidP="0063039A">
            <w:pPr>
              <w:rPr>
                <w:sz w:val="16"/>
                <w:szCs w:val="16"/>
                <w:lang w:bidi="th-TH"/>
              </w:rPr>
            </w:pPr>
            <w:r w:rsidRPr="00526311">
              <w:rPr>
                <w:sz w:val="16"/>
                <w:szCs w:val="16"/>
                <w:lang w:bidi="th-TH"/>
              </w:rPr>
              <w:t>Entre 200 (min.) y 630 (máx.)</w:t>
            </w:r>
          </w:p>
          <w:p w:rsidR="00B45FC3" w:rsidRPr="00526311" w:rsidRDefault="00B45FC3" w:rsidP="0063039A">
            <w:pPr>
              <w:rPr>
                <w:i/>
                <w:color w:val="002060"/>
                <w:sz w:val="16"/>
                <w:szCs w:val="16"/>
              </w:rPr>
            </w:pPr>
          </w:p>
        </w:tc>
        <w:tc>
          <w:tcPr>
            <w:tcW w:w="1560" w:type="dxa"/>
            <w:gridSpan w:val="2"/>
            <w:tcBorders>
              <w:top w:val="nil"/>
              <w:bottom w:val="nil"/>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Entre 300 (min.) y 750 (máx.).</w:t>
            </w:r>
          </w:p>
        </w:tc>
        <w:tc>
          <w:tcPr>
            <w:tcW w:w="2636" w:type="dxa"/>
            <w:gridSpan w:val="2"/>
            <w:tcBorders>
              <w:top w:val="nil"/>
              <w:bottom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 xml:space="preserve">Entre 513 (min.) y 1.521 (máx.) usuarios diarios en promedio atendidos por CATI durante </w:t>
            </w:r>
            <w:r w:rsidRPr="00526311">
              <w:rPr>
                <w:color w:val="002060"/>
                <w:sz w:val="16"/>
                <w:szCs w:val="16"/>
              </w:rPr>
              <w:t>2014.</w:t>
            </w:r>
          </w:p>
        </w:tc>
        <w:tc>
          <w:tcPr>
            <w:tcW w:w="1287" w:type="dxa"/>
            <w:tcBorders>
              <w:top w:val="nil"/>
              <w:bottom w:val="nil"/>
              <w:right w:val="single" w:sz="4" w:space="0" w:color="auto"/>
            </w:tcBorders>
            <w:shd w:val="clear" w:color="auto" w:fill="auto"/>
            <w:tcMar>
              <w:top w:w="110" w:type="dxa"/>
            </w:tcMar>
          </w:tcPr>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jc w:val="center"/>
              <w:rPr>
                <w:b/>
                <w:bCs/>
                <w:color w:val="00B050"/>
                <w:sz w:val="16"/>
                <w:szCs w:val="16"/>
              </w:rPr>
            </w:pPr>
          </w:p>
        </w:tc>
      </w:tr>
      <w:tr w:rsidR="00B45FC3" w:rsidRPr="00526311" w:rsidTr="0063039A">
        <w:tc>
          <w:tcPr>
            <w:tcW w:w="2127" w:type="dxa"/>
            <w:tcBorders>
              <w:top w:val="nil"/>
              <w:left w:val="single" w:sz="4" w:space="0" w:color="auto"/>
              <w:bottom w:val="single" w:sz="4" w:space="0" w:color="auto"/>
            </w:tcBorders>
            <w:shd w:val="clear" w:color="auto" w:fill="FFFFFF"/>
          </w:tcPr>
          <w:p w:rsidR="00B45FC3" w:rsidRPr="00526311" w:rsidRDefault="00B45FC3" w:rsidP="0063039A">
            <w:pPr>
              <w:rPr>
                <w:sz w:val="16"/>
                <w:szCs w:val="16"/>
                <w:lang w:bidi="th-TH"/>
              </w:rPr>
            </w:pPr>
            <w:r w:rsidRPr="00526311">
              <w:rPr>
                <w:sz w:val="16"/>
                <w:szCs w:val="16"/>
                <w:lang w:bidi="th-TH"/>
              </w:rPr>
              <w:t>Número de países que utilizan la base de datos de asistencia técnica en P.I. (IP-TAD) y la lista de consultores (IP_ROC)</w:t>
            </w:r>
          </w:p>
        </w:tc>
        <w:tc>
          <w:tcPr>
            <w:tcW w:w="1842" w:type="dxa"/>
            <w:tcBorders>
              <w:top w:val="nil"/>
              <w:bottom w:val="single" w:sz="4" w:space="0" w:color="auto"/>
            </w:tcBorders>
            <w:shd w:val="clear" w:color="auto" w:fill="auto"/>
          </w:tcPr>
          <w:p w:rsidR="00B45FC3" w:rsidRPr="00526311" w:rsidRDefault="00B45FC3" w:rsidP="0063039A">
            <w:pPr>
              <w:rPr>
                <w:i/>
                <w:color w:val="002060"/>
                <w:sz w:val="16"/>
                <w:szCs w:val="16"/>
              </w:rPr>
            </w:pPr>
            <w:r w:rsidRPr="00526311">
              <w:rPr>
                <w:i/>
                <w:color w:val="002060"/>
                <w:sz w:val="16"/>
                <w:szCs w:val="16"/>
              </w:rPr>
              <w:t xml:space="preserve">Referencia actualizada a fines de 2013:  </w:t>
            </w:r>
          </w:p>
          <w:p w:rsidR="00B45FC3" w:rsidRPr="00526311" w:rsidRDefault="00B45FC3" w:rsidP="0063039A">
            <w:pPr>
              <w:rPr>
                <w:color w:val="002060"/>
                <w:sz w:val="16"/>
                <w:szCs w:val="16"/>
              </w:rPr>
            </w:pPr>
            <w:r w:rsidRPr="00526311">
              <w:rPr>
                <w:color w:val="002060"/>
                <w:sz w:val="16"/>
                <w:szCs w:val="16"/>
              </w:rPr>
              <w:t xml:space="preserve">IP-TAD: 43 países </w:t>
            </w:r>
          </w:p>
          <w:p w:rsidR="00B45FC3" w:rsidRPr="00526311" w:rsidRDefault="00B45FC3" w:rsidP="0063039A">
            <w:pPr>
              <w:rPr>
                <w:color w:val="002060"/>
                <w:sz w:val="16"/>
                <w:szCs w:val="16"/>
              </w:rPr>
            </w:pPr>
            <w:r w:rsidRPr="00526311">
              <w:rPr>
                <w:color w:val="002060"/>
                <w:sz w:val="16"/>
                <w:szCs w:val="16"/>
              </w:rPr>
              <w:t>IP-ROC: 8 países (en 2013)</w:t>
            </w:r>
          </w:p>
          <w:p w:rsidR="00B45FC3" w:rsidRPr="00526311" w:rsidRDefault="00B45FC3" w:rsidP="0063039A">
            <w:pPr>
              <w:rPr>
                <w:i/>
                <w:color w:val="002060"/>
                <w:sz w:val="16"/>
                <w:szCs w:val="16"/>
              </w:rPr>
            </w:pPr>
          </w:p>
          <w:p w:rsidR="00B45FC3" w:rsidRPr="00526311" w:rsidRDefault="00B45FC3" w:rsidP="0063039A">
            <w:pPr>
              <w:rPr>
                <w:i/>
                <w:color w:val="002060"/>
                <w:sz w:val="16"/>
                <w:szCs w:val="16"/>
              </w:rPr>
            </w:pPr>
            <w:r w:rsidRPr="00526311">
              <w:rPr>
                <w:i/>
                <w:sz w:val="16"/>
                <w:szCs w:val="16"/>
                <w:lang w:bidi="th-TH"/>
              </w:rPr>
              <w:t xml:space="preserve">Referencia original en el presupuesto de 2014/15: </w:t>
            </w:r>
            <w:r w:rsidRPr="00526311">
              <w:rPr>
                <w:sz w:val="16"/>
                <w:szCs w:val="16"/>
                <w:lang w:bidi="th-TH"/>
              </w:rPr>
              <w:t>60 (al 1 de marzo de 2013)</w:t>
            </w:r>
            <w:r w:rsidR="00D61CFB" w:rsidRPr="00526311">
              <w:rPr>
                <w:sz w:val="16"/>
                <w:szCs w:val="16"/>
                <w:lang w:bidi="th-TH"/>
              </w:rPr>
              <w:br/>
            </w:r>
          </w:p>
        </w:tc>
        <w:tc>
          <w:tcPr>
            <w:tcW w:w="1560" w:type="dxa"/>
            <w:gridSpan w:val="2"/>
            <w:tcBorders>
              <w:top w:val="nil"/>
              <w:bottom w:val="single" w:sz="4" w:space="0" w:color="auto"/>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70</w:t>
            </w:r>
          </w:p>
        </w:tc>
        <w:tc>
          <w:tcPr>
            <w:tcW w:w="2636" w:type="dxa"/>
            <w:gridSpan w:val="2"/>
            <w:tcBorders>
              <w:top w:val="nil"/>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 xml:space="preserve">IP-TAD: 37 países </w:t>
            </w:r>
          </w:p>
          <w:p w:rsidR="00B45FC3" w:rsidRPr="00526311" w:rsidRDefault="00B45FC3" w:rsidP="0063039A">
            <w:pPr>
              <w:rPr>
                <w:sz w:val="16"/>
                <w:szCs w:val="16"/>
                <w:lang w:bidi="th-TH"/>
              </w:rPr>
            </w:pPr>
            <w:r w:rsidRPr="00526311">
              <w:rPr>
                <w:sz w:val="16"/>
                <w:szCs w:val="16"/>
                <w:lang w:bidi="th-TH"/>
              </w:rPr>
              <w:t>IP-ROC: 9 países</w:t>
            </w:r>
          </w:p>
        </w:tc>
        <w:tc>
          <w:tcPr>
            <w:tcW w:w="1287" w:type="dxa"/>
            <w:tcBorders>
              <w:top w:val="nil"/>
              <w:bottom w:val="single" w:sz="4" w:space="0" w:color="auto"/>
              <w:right w:val="single" w:sz="4" w:space="0" w:color="auto"/>
            </w:tcBorders>
            <w:shd w:val="clear" w:color="auto" w:fill="auto"/>
            <w:tcMar>
              <w:top w:w="110" w:type="dxa"/>
            </w:tcMar>
          </w:tcPr>
          <w:p w:rsidR="00B45FC3" w:rsidRPr="00526311" w:rsidRDefault="00B45FC3" w:rsidP="0063039A">
            <w:pPr>
              <w:keepLines/>
              <w:jc w:val="center"/>
              <w:rPr>
                <w:b/>
                <w:bCs/>
                <w:color w:val="FF0000"/>
                <w:sz w:val="16"/>
                <w:szCs w:val="16"/>
              </w:rPr>
            </w:pPr>
            <w:r w:rsidRPr="00526311">
              <w:rPr>
                <w:b/>
                <w:bCs/>
                <w:color w:val="FF0000"/>
                <w:sz w:val="16"/>
                <w:szCs w:val="16"/>
              </w:rPr>
              <w:t>No avanza</w:t>
            </w:r>
          </w:p>
        </w:tc>
      </w:tr>
    </w:tbl>
    <w:p w:rsidR="00B45FC3" w:rsidRPr="00526311" w:rsidRDefault="00B45FC3">
      <w:r w:rsidRPr="00526311">
        <w:br w:type="page"/>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749"/>
        <w:gridCol w:w="1653"/>
        <w:gridCol w:w="2693"/>
        <w:gridCol w:w="1230"/>
      </w:tblGrid>
      <w:tr w:rsidR="00B45FC3" w:rsidRPr="00526311" w:rsidTr="0063039A">
        <w:tc>
          <w:tcPr>
            <w:tcW w:w="9452" w:type="dxa"/>
            <w:gridSpan w:val="5"/>
            <w:tcBorders>
              <w:top w:val="single" w:sz="4" w:space="0" w:color="auto"/>
              <w:left w:val="single" w:sz="4" w:space="0" w:color="auto"/>
              <w:bottom w:val="single" w:sz="4" w:space="0" w:color="auto"/>
              <w:right w:val="single" w:sz="4" w:space="0" w:color="auto"/>
            </w:tcBorders>
            <w:shd w:val="clear" w:color="auto" w:fill="CCFFFF"/>
          </w:tcPr>
          <w:p w:rsidR="00B45FC3" w:rsidRPr="00526311" w:rsidRDefault="00B45FC3" w:rsidP="0063039A">
            <w:pPr>
              <w:keepLines/>
              <w:tabs>
                <w:tab w:val="left" w:pos="1735"/>
              </w:tabs>
              <w:spacing w:before="120" w:after="120"/>
              <w:ind w:left="1735" w:hanging="1735"/>
              <w:rPr>
                <w:b/>
                <w:bCs/>
                <w:sz w:val="16"/>
                <w:szCs w:val="16"/>
              </w:rPr>
            </w:pPr>
            <w:r w:rsidRPr="00526311">
              <w:rPr>
                <w:b/>
                <w:bCs/>
                <w:sz w:val="16"/>
                <w:szCs w:val="16"/>
              </w:rPr>
              <w:lastRenderedPageBreak/>
              <w:t>Resultado previsto:</w:t>
            </w:r>
            <w:r w:rsidRPr="00526311">
              <w:rPr>
                <w:b/>
                <w:bCs/>
                <w:sz w:val="16"/>
                <w:szCs w:val="16"/>
              </w:rPr>
              <w:tab/>
            </w:r>
            <w:r w:rsidRPr="00526311">
              <w:rPr>
                <w:bCs/>
                <w:sz w:val="16"/>
                <w:szCs w:val="16"/>
              </w:rPr>
              <w:t xml:space="preserve">IV.4 Mejora en la </w:t>
            </w:r>
            <w:r w:rsidRPr="00526311">
              <w:rPr>
                <w:sz w:val="16"/>
                <w:szCs w:val="16"/>
              </w:rPr>
              <w:t>infraestructura técnica y de conocimientos de las Oficinas y demás instituciones de P.I. que les permita prestar mejores servicios (más económicos, más rápidos y de mejor calidad) a sus partes interesadas</w:t>
            </w:r>
          </w:p>
        </w:tc>
      </w:tr>
      <w:tr w:rsidR="00B45FC3" w:rsidRPr="00526311" w:rsidTr="0063039A">
        <w:trPr>
          <w:trHeight w:val="291"/>
        </w:trPr>
        <w:tc>
          <w:tcPr>
            <w:tcW w:w="2127" w:type="dxa"/>
            <w:tcBorders>
              <w:top w:val="single" w:sz="4" w:space="0" w:color="auto"/>
              <w:left w:val="single" w:sz="4" w:space="0" w:color="auto"/>
              <w:bottom w:val="nil"/>
              <w:right w:val="nil"/>
            </w:tcBorders>
            <w:shd w:val="clear" w:color="auto" w:fill="FFFFFF"/>
            <w:vAlign w:val="center"/>
          </w:tcPr>
          <w:p w:rsidR="00B45FC3" w:rsidRPr="00526311" w:rsidRDefault="00B45FC3" w:rsidP="0063039A">
            <w:pPr>
              <w:rPr>
                <w:sz w:val="16"/>
                <w:szCs w:val="16"/>
                <w:lang w:bidi="th-TH"/>
              </w:rPr>
            </w:pPr>
            <w:r w:rsidRPr="00526311">
              <w:rPr>
                <w:b/>
                <w:sz w:val="16"/>
                <w:szCs w:val="16"/>
                <w:lang w:bidi="th-TH"/>
              </w:rPr>
              <w:t>Indicadores de rendimiento</w:t>
            </w:r>
          </w:p>
        </w:tc>
        <w:tc>
          <w:tcPr>
            <w:tcW w:w="1749" w:type="dxa"/>
            <w:tcBorders>
              <w:top w:val="single" w:sz="4" w:space="0" w:color="auto"/>
              <w:left w:val="nil"/>
              <w:bottom w:val="nil"/>
              <w:right w:val="nil"/>
            </w:tcBorders>
            <w:shd w:val="clear" w:color="auto" w:fill="auto"/>
            <w:vAlign w:val="center"/>
          </w:tcPr>
          <w:p w:rsidR="00B45FC3" w:rsidRPr="00526311" w:rsidRDefault="00B45FC3" w:rsidP="0063039A">
            <w:pPr>
              <w:rPr>
                <w:sz w:val="16"/>
                <w:szCs w:val="16"/>
              </w:rPr>
            </w:pPr>
            <w:r w:rsidRPr="00526311">
              <w:rPr>
                <w:b/>
                <w:sz w:val="16"/>
                <w:szCs w:val="16"/>
              </w:rPr>
              <w:t>Referencia</w:t>
            </w:r>
          </w:p>
        </w:tc>
        <w:tc>
          <w:tcPr>
            <w:tcW w:w="1653" w:type="dxa"/>
            <w:tcBorders>
              <w:top w:val="single" w:sz="4" w:space="0" w:color="auto"/>
              <w:left w:val="nil"/>
              <w:bottom w:val="nil"/>
              <w:right w:val="nil"/>
            </w:tcBorders>
            <w:shd w:val="clear" w:color="auto" w:fill="auto"/>
            <w:tcMar>
              <w:top w:w="110" w:type="dxa"/>
            </w:tcMar>
            <w:vAlign w:val="center"/>
          </w:tcPr>
          <w:p w:rsidR="00B45FC3" w:rsidRPr="00526311" w:rsidRDefault="00B45FC3" w:rsidP="0063039A">
            <w:pPr>
              <w:rPr>
                <w:sz w:val="16"/>
                <w:szCs w:val="16"/>
                <w:lang w:bidi="th-TH"/>
              </w:rPr>
            </w:pPr>
            <w:r w:rsidRPr="00526311">
              <w:rPr>
                <w:b/>
                <w:sz w:val="16"/>
                <w:szCs w:val="16"/>
                <w:lang w:bidi="th-TH"/>
              </w:rPr>
              <w:t>Objetivos</w:t>
            </w:r>
          </w:p>
        </w:tc>
        <w:tc>
          <w:tcPr>
            <w:tcW w:w="2693" w:type="dxa"/>
            <w:tcBorders>
              <w:top w:val="single" w:sz="4" w:space="0" w:color="auto"/>
              <w:left w:val="nil"/>
              <w:bottom w:val="nil"/>
              <w:right w:val="nil"/>
            </w:tcBorders>
            <w:shd w:val="clear" w:color="auto" w:fill="FFFFFF"/>
            <w:tcMar>
              <w:top w:w="110" w:type="dxa"/>
            </w:tcMar>
            <w:vAlign w:val="center"/>
          </w:tcPr>
          <w:p w:rsidR="00B45FC3" w:rsidRPr="00526311" w:rsidRDefault="00B45FC3" w:rsidP="0063039A">
            <w:pPr>
              <w:rPr>
                <w:sz w:val="16"/>
                <w:szCs w:val="16"/>
                <w:lang w:bidi="th-TH"/>
              </w:rPr>
            </w:pPr>
            <w:r w:rsidRPr="00526311">
              <w:rPr>
                <w:b/>
                <w:sz w:val="16"/>
                <w:szCs w:val="16"/>
                <w:lang w:bidi="th-TH"/>
              </w:rPr>
              <w:t>Datos sobre el rendimiento</w:t>
            </w:r>
          </w:p>
        </w:tc>
        <w:tc>
          <w:tcPr>
            <w:tcW w:w="1230" w:type="dxa"/>
            <w:tcBorders>
              <w:top w:val="single" w:sz="4" w:space="0" w:color="auto"/>
              <w:left w:val="nil"/>
              <w:bottom w:val="nil"/>
              <w:right w:val="single" w:sz="4" w:space="0" w:color="auto"/>
            </w:tcBorders>
            <w:shd w:val="clear" w:color="auto" w:fill="auto"/>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c>
          <w:tcPr>
            <w:tcW w:w="2127" w:type="dxa"/>
            <w:tcBorders>
              <w:top w:val="nil"/>
              <w:left w:val="single" w:sz="4" w:space="0" w:color="auto"/>
              <w:bottom w:val="single" w:sz="4" w:space="0" w:color="auto"/>
              <w:right w:val="nil"/>
            </w:tcBorders>
            <w:shd w:val="clear" w:color="auto" w:fill="FFFFFF"/>
          </w:tcPr>
          <w:p w:rsidR="00B45FC3" w:rsidRPr="00526311" w:rsidRDefault="00B45FC3" w:rsidP="0063039A">
            <w:pPr>
              <w:rPr>
                <w:sz w:val="16"/>
                <w:szCs w:val="16"/>
                <w:lang w:bidi="th-TH"/>
              </w:rPr>
            </w:pPr>
            <w:r w:rsidRPr="00526311">
              <w:rPr>
                <w:sz w:val="16"/>
                <w:szCs w:val="16"/>
                <w:lang w:bidi="th-TH"/>
              </w:rPr>
              <w:t>Media del nivel de los servicios prestados por las Oficinas de P.I. que reciben asistencia (en una escala del 1 al 5).</w:t>
            </w:r>
          </w:p>
        </w:tc>
        <w:tc>
          <w:tcPr>
            <w:tcW w:w="1749" w:type="dxa"/>
            <w:tcBorders>
              <w:top w:val="nil"/>
              <w:left w:val="nil"/>
              <w:bottom w:val="single" w:sz="4" w:space="0" w:color="auto"/>
              <w:right w:val="nil"/>
            </w:tcBorders>
            <w:shd w:val="clear" w:color="auto" w:fill="auto"/>
          </w:tcPr>
          <w:p w:rsidR="00B45FC3" w:rsidRPr="00526311" w:rsidRDefault="00B45FC3" w:rsidP="0063039A">
            <w:pPr>
              <w:rPr>
                <w:color w:val="002060"/>
                <w:sz w:val="16"/>
                <w:szCs w:val="16"/>
              </w:rPr>
            </w:pPr>
            <w:r w:rsidRPr="00526311">
              <w:rPr>
                <w:i/>
                <w:color w:val="002060"/>
                <w:sz w:val="16"/>
                <w:szCs w:val="16"/>
              </w:rPr>
              <w:t>Referencia actualizada a fines de 2013:</w:t>
            </w:r>
            <w:r w:rsidRPr="00526311">
              <w:rPr>
                <w:color w:val="002060"/>
                <w:sz w:val="16"/>
                <w:szCs w:val="16"/>
              </w:rPr>
              <w:t xml:space="preserve">  </w:t>
            </w:r>
            <w:r w:rsidRPr="00526311">
              <w:rPr>
                <w:sz w:val="16"/>
                <w:szCs w:val="16"/>
              </w:rPr>
              <w:t>2,8</w:t>
            </w:r>
          </w:p>
          <w:p w:rsidR="00B45FC3" w:rsidRPr="00526311" w:rsidRDefault="00B45FC3" w:rsidP="0063039A">
            <w:pPr>
              <w:rPr>
                <w:i/>
                <w:color w:val="002060"/>
                <w:sz w:val="16"/>
                <w:szCs w:val="16"/>
              </w:rPr>
            </w:pPr>
          </w:p>
          <w:p w:rsidR="00B45FC3" w:rsidRPr="00526311" w:rsidRDefault="00B45FC3" w:rsidP="0063039A">
            <w:pPr>
              <w:rPr>
                <w:color w:val="002060"/>
                <w:sz w:val="16"/>
                <w:szCs w:val="16"/>
              </w:rPr>
            </w:pPr>
            <w:r w:rsidRPr="00526311">
              <w:rPr>
                <w:i/>
                <w:sz w:val="16"/>
                <w:szCs w:val="16"/>
                <w:lang w:bidi="th-TH"/>
              </w:rPr>
              <w:t>Referencia original en el presupuesto de 2014/15:</w:t>
            </w:r>
            <w:r w:rsidRPr="00526311">
              <w:rPr>
                <w:sz w:val="16"/>
                <w:szCs w:val="16"/>
                <w:lang w:bidi="th-TH"/>
              </w:rPr>
              <w:t xml:space="preserve">  por determinar</w:t>
            </w:r>
            <w:r w:rsidRPr="00526311">
              <w:rPr>
                <w:sz w:val="16"/>
                <w:szCs w:val="16"/>
                <w:lang w:bidi="th-TH"/>
              </w:rPr>
              <w:br/>
            </w:r>
          </w:p>
        </w:tc>
        <w:tc>
          <w:tcPr>
            <w:tcW w:w="1653" w:type="dxa"/>
            <w:tcBorders>
              <w:top w:val="nil"/>
              <w:left w:val="nil"/>
              <w:bottom w:val="single" w:sz="4" w:space="0" w:color="auto"/>
              <w:right w:val="nil"/>
            </w:tcBorders>
            <w:shd w:val="clear" w:color="auto" w:fill="auto"/>
            <w:tcMar>
              <w:top w:w="110" w:type="dxa"/>
            </w:tcMar>
          </w:tcPr>
          <w:p w:rsidR="00B45FC3" w:rsidRPr="00526311" w:rsidRDefault="00894FAD" w:rsidP="0063039A">
            <w:pPr>
              <w:pStyle w:val="Default"/>
              <w:rPr>
                <w:rFonts w:eastAsia="Times New Roman"/>
                <w:color w:val="002060"/>
                <w:sz w:val="16"/>
                <w:szCs w:val="16"/>
                <w:lang w:val="es-ES" w:eastAsia="en-US"/>
              </w:rPr>
            </w:pPr>
            <w:r w:rsidRPr="00526311">
              <w:rPr>
                <w:rFonts w:eastAsia="Times New Roman"/>
                <w:i/>
                <w:color w:val="002060"/>
                <w:sz w:val="16"/>
                <w:szCs w:val="16"/>
                <w:lang w:val="es-ES" w:eastAsia="en-US"/>
              </w:rPr>
              <w:t>Objetivo</w:t>
            </w:r>
            <w:r w:rsidR="00D61CFB" w:rsidRPr="00526311">
              <w:rPr>
                <w:rFonts w:eastAsia="Times New Roman"/>
                <w:i/>
                <w:color w:val="002060"/>
                <w:sz w:val="16"/>
                <w:szCs w:val="16"/>
                <w:lang w:val="es-ES" w:eastAsia="en-US"/>
              </w:rPr>
              <w:t xml:space="preserve"> definid</w:t>
            </w:r>
            <w:r w:rsidRPr="00526311">
              <w:rPr>
                <w:rFonts w:eastAsia="Times New Roman"/>
                <w:i/>
                <w:color w:val="002060"/>
                <w:sz w:val="16"/>
                <w:szCs w:val="16"/>
                <w:lang w:val="es-ES" w:eastAsia="en-US"/>
              </w:rPr>
              <w:t>o</w:t>
            </w:r>
            <w:r w:rsidR="00B45FC3" w:rsidRPr="00526311">
              <w:rPr>
                <w:rFonts w:eastAsia="Times New Roman"/>
                <w:i/>
                <w:color w:val="002060"/>
                <w:sz w:val="16"/>
                <w:szCs w:val="16"/>
                <w:lang w:val="es-ES" w:eastAsia="en-US"/>
              </w:rPr>
              <w:t xml:space="preserve">:  </w:t>
            </w:r>
            <w:r w:rsidR="00B45FC3" w:rsidRPr="00526311">
              <w:rPr>
                <w:rFonts w:eastAsia="Times New Roman"/>
                <w:color w:val="002060"/>
                <w:sz w:val="16"/>
                <w:szCs w:val="16"/>
                <w:lang w:val="es-ES" w:eastAsia="en-US"/>
              </w:rPr>
              <w:t>3</w:t>
            </w:r>
          </w:p>
          <w:p w:rsidR="00B45FC3" w:rsidRPr="00526311" w:rsidRDefault="00B45FC3" w:rsidP="0063039A">
            <w:pPr>
              <w:pStyle w:val="Default"/>
              <w:rPr>
                <w:rFonts w:eastAsia="Times New Roman"/>
                <w:color w:val="002060"/>
                <w:sz w:val="16"/>
                <w:szCs w:val="16"/>
                <w:lang w:val="es-ES" w:eastAsia="en-US"/>
              </w:rPr>
            </w:pPr>
          </w:p>
          <w:p w:rsidR="00B45FC3" w:rsidRPr="00526311" w:rsidRDefault="00894FAD" w:rsidP="00894FAD">
            <w:pPr>
              <w:rPr>
                <w:sz w:val="16"/>
                <w:szCs w:val="16"/>
                <w:lang w:bidi="th-TH"/>
              </w:rPr>
            </w:pPr>
            <w:r w:rsidRPr="00526311">
              <w:rPr>
                <w:i/>
                <w:sz w:val="16"/>
                <w:szCs w:val="16"/>
              </w:rPr>
              <w:t>Objetivo</w:t>
            </w:r>
            <w:r w:rsidR="00B45FC3" w:rsidRPr="00526311">
              <w:rPr>
                <w:i/>
                <w:sz w:val="16"/>
                <w:szCs w:val="16"/>
              </w:rPr>
              <w:t xml:space="preserve"> original en el presupuesto 2014/15: </w:t>
            </w:r>
            <w:r w:rsidR="00B45FC3" w:rsidRPr="00526311">
              <w:rPr>
                <w:sz w:val="16"/>
                <w:szCs w:val="16"/>
              </w:rPr>
              <w:t>por determinar</w:t>
            </w:r>
          </w:p>
        </w:tc>
        <w:tc>
          <w:tcPr>
            <w:tcW w:w="2693" w:type="dxa"/>
            <w:tcBorders>
              <w:top w:val="nil"/>
              <w:left w:val="nil"/>
              <w:bottom w:val="single" w:sz="4" w:space="0" w:color="auto"/>
              <w:right w:val="nil"/>
            </w:tcBorders>
            <w:shd w:val="clear" w:color="auto" w:fill="FFFFFF"/>
            <w:tcMar>
              <w:top w:w="110" w:type="dxa"/>
            </w:tcMar>
          </w:tcPr>
          <w:p w:rsidR="00B45FC3" w:rsidRPr="00526311" w:rsidRDefault="00B45FC3" w:rsidP="0063039A">
            <w:pPr>
              <w:rPr>
                <w:sz w:val="16"/>
                <w:szCs w:val="16"/>
              </w:rPr>
            </w:pPr>
            <w:r w:rsidRPr="00526311">
              <w:rPr>
                <w:sz w:val="16"/>
                <w:szCs w:val="16"/>
              </w:rPr>
              <w:t>Promedio general: 2,9</w:t>
            </w:r>
          </w:p>
          <w:p w:rsidR="00B45FC3" w:rsidRPr="00526311" w:rsidRDefault="00B45FC3" w:rsidP="00B45FC3">
            <w:pPr>
              <w:pStyle w:val="ListParagraph"/>
              <w:numPr>
                <w:ilvl w:val="0"/>
                <w:numId w:val="51"/>
              </w:numPr>
              <w:rPr>
                <w:sz w:val="16"/>
                <w:szCs w:val="16"/>
                <w:lang w:val="es-ES"/>
              </w:rPr>
            </w:pPr>
            <w:r w:rsidRPr="00526311">
              <w:rPr>
                <w:sz w:val="16"/>
                <w:szCs w:val="16"/>
                <w:lang w:val="es-ES"/>
              </w:rPr>
              <w:t>África:  3</w:t>
            </w:r>
          </w:p>
          <w:p w:rsidR="00B45FC3" w:rsidRPr="00526311" w:rsidRDefault="00B45FC3" w:rsidP="00B45FC3">
            <w:pPr>
              <w:pStyle w:val="ListParagraph"/>
              <w:numPr>
                <w:ilvl w:val="0"/>
                <w:numId w:val="51"/>
              </w:numPr>
              <w:rPr>
                <w:sz w:val="16"/>
                <w:szCs w:val="16"/>
                <w:lang w:val="es-ES"/>
              </w:rPr>
            </w:pPr>
            <w:r w:rsidRPr="00526311">
              <w:rPr>
                <w:sz w:val="16"/>
                <w:szCs w:val="16"/>
                <w:lang w:val="es-ES"/>
              </w:rPr>
              <w:t>Región árabe:  2,7</w:t>
            </w:r>
          </w:p>
          <w:p w:rsidR="00B45FC3" w:rsidRPr="00526311" w:rsidRDefault="00B45FC3" w:rsidP="00B45FC3">
            <w:pPr>
              <w:pStyle w:val="ListParagraph"/>
              <w:numPr>
                <w:ilvl w:val="0"/>
                <w:numId w:val="51"/>
              </w:numPr>
              <w:rPr>
                <w:sz w:val="16"/>
                <w:szCs w:val="16"/>
                <w:lang w:val="es-ES"/>
              </w:rPr>
            </w:pPr>
            <w:r w:rsidRPr="00526311">
              <w:rPr>
                <w:sz w:val="16"/>
                <w:szCs w:val="16"/>
                <w:lang w:val="es-ES"/>
              </w:rPr>
              <w:t>Asia y el Pacífico:  2,7</w:t>
            </w:r>
          </w:p>
          <w:p w:rsidR="00B45FC3" w:rsidRPr="00526311" w:rsidRDefault="00B45FC3" w:rsidP="00B45FC3">
            <w:pPr>
              <w:pStyle w:val="ListParagraph"/>
              <w:numPr>
                <w:ilvl w:val="0"/>
                <w:numId w:val="51"/>
              </w:numPr>
              <w:rPr>
                <w:sz w:val="16"/>
                <w:szCs w:val="16"/>
                <w:lang w:val="es-ES"/>
              </w:rPr>
            </w:pPr>
            <w:r w:rsidRPr="00526311">
              <w:rPr>
                <w:sz w:val="16"/>
                <w:szCs w:val="16"/>
                <w:lang w:val="es-ES"/>
              </w:rPr>
              <w:t>América Latina y el Caribe:  3,1</w:t>
            </w:r>
          </w:p>
          <w:p w:rsidR="00B45FC3" w:rsidRPr="00526311" w:rsidRDefault="00B45FC3" w:rsidP="0063039A">
            <w:pPr>
              <w:rPr>
                <w:sz w:val="16"/>
                <w:szCs w:val="16"/>
                <w:lang w:bidi="th-TH"/>
              </w:rPr>
            </w:pPr>
          </w:p>
        </w:tc>
        <w:tc>
          <w:tcPr>
            <w:tcW w:w="1230" w:type="dxa"/>
            <w:tcBorders>
              <w:top w:val="nil"/>
              <w:left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108"/>
              <w:jc w:val="center"/>
              <w:rPr>
                <w:b/>
                <w:bCs/>
                <w:color w:val="00B050"/>
                <w:sz w:val="16"/>
                <w:szCs w:val="16"/>
              </w:rPr>
            </w:pPr>
          </w:p>
        </w:tc>
      </w:tr>
    </w:tbl>
    <w:p w:rsidR="00B45FC3" w:rsidRPr="00526311" w:rsidRDefault="00B45FC3" w:rsidP="0063039A">
      <w:pPr>
        <w:rPr>
          <w:bCs/>
        </w:rPr>
      </w:pPr>
    </w:p>
    <w:p w:rsidR="00B45FC3" w:rsidRPr="00526311" w:rsidRDefault="00B45FC3" w:rsidP="0063039A">
      <w:pPr>
        <w:rPr>
          <w:color w:val="000000"/>
          <w:szCs w:val="22"/>
        </w:rPr>
      </w:pPr>
    </w:p>
    <w:p w:rsidR="00B45FC3" w:rsidRPr="00526311" w:rsidRDefault="00B45FC3" w:rsidP="0063039A">
      <w:pPr>
        <w:rPr>
          <w:b/>
          <w:sz w:val="18"/>
          <w:szCs w:val="18"/>
        </w:rPr>
      </w:pPr>
      <w:r w:rsidRPr="00526311">
        <w:rPr>
          <w:szCs w:val="22"/>
        </w:rPr>
        <w:t>UTILIZACIÓN DE LOS RECURSOS</w:t>
      </w:r>
    </w:p>
    <w:p w:rsidR="00B45FC3" w:rsidRPr="00526311" w:rsidRDefault="00B45FC3" w:rsidP="0063039A">
      <w:pPr>
        <w:keepNext/>
        <w:keepLines/>
      </w:pPr>
    </w:p>
    <w:p w:rsidR="00B45FC3" w:rsidRPr="00526311" w:rsidRDefault="00B45FC3"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B45FC3" w:rsidRPr="00526311" w:rsidRDefault="00B45FC3"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pStyle w:val="NormalWeb"/>
        <w:keepNext/>
        <w:keepLines/>
        <w:spacing w:before="0" w:beforeAutospacing="0" w:after="0" w:afterAutospacing="0"/>
        <w:jc w:val="center"/>
        <w:rPr>
          <w:i/>
          <w:iCs/>
          <w:sz w:val="20"/>
          <w:szCs w:val="20"/>
          <w:lang w:val="es-ES"/>
        </w:rPr>
      </w:pPr>
    </w:p>
    <w:p w:rsidR="00B45FC3" w:rsidRPr="00526311" w:rsidRDefault="00DD7B62" w:rsidP="0063039A">
      <w:pPr>
        <w:keepNext/>
        <w:keepLines/>
        <w:jc w:val="center"/>
        <w:rPr>
          <w:bCs/>
        </w:rPr>
      </w:pPr>
      <w:r w:rsidRPr="00526311">
        <w:rPr>
          <w:noProof/>
          <w:lang w:val="en-US" w:eastAsia="en-US"/>
        </w:rPr>
        <w:drawing>
          <wp:inline distT="0" distB="0" distL="0" distR="0" wp14:anchorId="3D6127BA" wp14:editId="533DF019">
            <wp:extent cx="5532604" cy="4352925"/>
            <wp:effectExtent l="0" t="0" r="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32604" cy="4352925"/>
                    </a:xfrm>
                    <a:prstGeom prst="rect">
                      <a:avLst/>
                    </a:prstGeom>
                    <a:noFill/>
                    <a:ln>
                      <a:noFill/>
                    </a:ln>
                  </pic:spPr>
                </pic:pic>
              </a:graphicData>
            </a:graphic>
          </wp:inline>
        </w:drawing>
      </w:r>
    </w:p>
    <w:p w:rsidR="00B45FC3" w:rsidRPr="00526311" w:rsidRDefault="00B45FC3" w:rsidP="0063039A">
      <w:pPr>
        <w:rPr>
          <w:bCs/>
        </w:rPr>
      </w:pPr>
    </w:p>
    <w:p w:rsidR="00B45FC3" w:rsidRPr="00526311" w:rsidRDefault="00B45FC3" w:rsidP="0063039A">
      <w:pPr>
        <w:rPr>
          <w:color w:val="000000"/>
        </w:rPr>
      </w:pPr>
    </w:p>
    <w:p w:rsidR="00B45FC3" w:rsidRPr="00526311" w:rsidRDefault="00B45FC3" w:rsidP="00D01620">
      <w:pPr>
        <w:pStyle w:val="NormalWeb"/>
        <w:keepNext/>
        <w:keepLines/>
        <w:spacing w:before="0" w:beforeAutospacing="0" w:after="0" w:afterAutospacing="0"/>
        <w:jc w:val="center"/>
        <w:rPr>
          <w:sz w:val="20"/>
          <w:szCs w:val="20"/>
          <w:lang w:val="es-ES"/>
        </w:rPr>
      </w:pPr>
      <w:r w:rsidRPr="00526311">
        <w:rPr>
          <w:sz w:val="20"/>
          <w:szCs w:val="20"/>
          <w:lang w:val="es-ES"/>
        </w:rPr>
        <w:lastRenderedPageBreak/>
        <w:t xml:space="preserve">Presupuesto y gastos reales (de personal y no relativos a personal) </w:t>
      </w:r>
    </w:p>
    <w:p w:rsidR="00B45FC3" w:rsidRPr="00526311" w:rsidRDefault="00B45FC3" w:rsidP="00D01620">
      <w:pPr>
        <w:pStyle w:val="NormalWeb"/>
        <w:keepNext/>
        <w:keepLines/>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D01620">
      <w:pPr>
        <w:keepNext/>
        <w:keepLines/>
        <w:rPr>
          <w:bCs/>
          <w:sz w:val="18"/>
        </w:rPr>
      </w:pPr>
    </w:p>
    <w:p w:rsidR="00B45FC3" w:rsidRPr="00526311" w:rsidRDefault="00FF6E74" w:rsidP="00D01620">
      <w:pPr>
        <w:keepNext/>
        <w:keepLines/>
        <w:jc w:val="center"/>
        <w:rPr>
          <w:bCs/>
        </w:rPr>
      </w:pPr>
      <w:bookmarkStart w:id="40" w:name="Punto9"/>
      <w:r w:rsidRPr="00526311">
        <w:rPr>
          <w:noProof/>
          <w:lang w:val="en-US" w:eastAsia="en-US"/>
        </w:rPr>
        <w:drawing>
          <wp:inline distT="0" distB="0" distL="0" distR="0" wp14:anchorId="0A30CDA5" wp14:editId="0D4DEF43">
            <wp:extent cx="5940425" cy="1231877"/>
            <wp:effectExtent l="0" t="0" r="3175"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0425" cy="1231877"/>
                    </a:xfrm>
                    <a:prstGeom prst="rect">
                      <a:avLst/>
                    </a:prstGeom>
                    <a:noFill/>
                    <a:ln>
                      <a:noFill/>
                    </a:ln>
                  </pic:spPr>
                </pic:pic>
              </a:graphicData>
            </a:graphic>
          </wp:inline>
        </w:drawing>
      </w:r>
      <w:bookmarkEnd w:id="40"/>
    </w:p>
    <w:p w:rsidR="00B45FC3" w:rsidRPr="00526311" w:rsidRDefault="00B45FC3" w:rsidP="00D01620">
      <w:pPr>
        <w:keepNext/>
        <w:keepLines/>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B45FC3" w:rsidRPr="00526311" w:rsidRDefault="00B45FC3" w:rsidP="0063039A">
      <w:pPr>
        <w:widowControl w:val="0"/>
        <w:autoSpaceDE w:val="0"/>
        <w:autoSpaceDN w:val="0"/>
        <w:adjustRightInd w:val="0"/>
        <w:rPr>
          <w:sz w:val="20"/>
        </w:rPr>
      </w:pPr>
    </w:p>
    <w:p w:rsidR="00B45FC3" w:rsidRPr="00526311" w:rsidRDefault="00B45FC3" w:rsidP="0063039A">
      <w:pPr>
        <w:tabs>
          <w:tab w:val="left" w:pos="567"/>
        </w:tabs>
        <w:rPr>
          <w:sz w:val="20"/>
          <w:u w:val="single"/>
        </w:rPr>
      </w:pPr>
      <w:r w:rsidRPr="00526311">
        <w:rPr>
          <w:sz w:val="20"/>
        </w:rPr>
        <w:t>A.</w:t>
      </w:r>
      <w:r w:rsidRPr="00526311">
        <w:rPr>
          <w:sz w:val="20"/>
        </w:rPr>
        <w:tab/>
      </w:r>
      <w:r w:rsidRPr="00526311">
        <w:rPr>
          <w:sz w:val="20"/>
          <w:u w:val="single"/>
        </w:rPr>
        <w:t>Presupuesto de 2014/15 tras las transferencias</w:t>
      </w:r>
    </w:p>
    <w:p w:rsidR="00B45FC3" w:rsidRPr="00526311" w:rsidRDefault="00B45FC3" w:rsidP="0063039A">
      <w:pPr>
        <w:rPr>
          <w:sz w:val="20"/>
          <w:u w:val="single"/>
        </w:rPr>
      </w:pPr>
    </w:p>
    <w:p w:rsidR="00B45FC3" w:rsidRPr="00526311" w:rsidRDefault="00B45FC3" w:rsidP="00B45FC3">
      <w:pPr>
        <w:pStyle w:val="ListParagraph"/>
        <w:numPr>
          <w:ilvl w:val="0"/>
          <w:numId w:val="53"/>
        </w:numPr>
        <w:tabs>
          <w:tab w:val="left" w:pos="709"/>
        </w:tabs>
        <w:ind w:left="0" w:firstLine="0"/>
        <w:contextualSpacing/>
        <w:jc w:val="both"/>
        <w:rPr>
          <w:lang w:val="es-ES"/>
        </w:rPr>
      </w:pPr>
      <w:r w:rsidRPr="00526311">
        <w:rPr>
          <w:rFonts w:eastAsia="SimSun"/>
          <w:bCs/>
          <w:lang w:val="es-ES" w:eastAsia="zh-CN"/>
        </w:rPr>
        <w:t xml:space="preserve">El trasvase de recursos entre resultados previstos es señal de la importancia mayor que se ha atribuido a facilitar y coordinar las siguientes actividades:  </w:t>
      </w:r>
      <w:r w:rsidRPr="00526311">
        <w:rPr>
          <w:lang w:val="es-ES"/>
        </w:rPr>
        <w:t xml:space="preserve">i) actividades de asesoramiento legislativo de la OMPI en la esfera de las patentes, las marcas, los diseños industriales y el derecho de autor (como se refleja en el resultado previsto I.2);  ii) actividades de la OMPI sobre el acceso y el uso de la información de P.I. mediante un mayor número de redes nacionales sostenibles de CATI (como se refleja en el resultado previsto IV.2), y iii) esfuerzos para prestar asistencia a oficinas de P.I. y otras instituciones de P.I. para desarrollar su infraestructura técnica y de conocimientos (como se refleja en el resultado previsto IV.4). </w:t>
      </w:r>
    </w:p>
    <w:p w:rsidR="00B45FC3" w:rsidRPr="00526311" w:rsidRDefault="00B45FC3" w:rsidP="0063039A">
      <w:pPr>
        <w:rPr>
          <w:sz w:val="20"/>
        </w:rPr>
      </w:pPr>
    </w:p>
    <w:p w:rsidR="00B45FC3" w:rsidRPr="00526311" w:rsidRDefault="00B45FC3" w:rsidP="0063039A">
      <w:pPr>
        <w:tabs>
          <w:tab w:val="left" w:pos="567"/>
        </w:tabs>
        <w:rPr>
          <w:sz w:val="20"/>
          <w:u w:val="single"/>
        </w:rPr>
      </w:pPr>
      <w:r w:rsidRPr="00526311">
        <w:rPr>
          <w:sz w:val="20"/>
        </w:rPr>
        <w:t>B.</w:t>
      </w:r>
      <w:r w:rsidRPr="00526311">
        <w:rPr>
          <w:sz w:val="20"/>
        </w:rPr>
        <w:tab/>
      </w:r>
      <w:r w:rsidRPr="00526311">
        <w:rPr>
          <w:sz w:val="20"/>
          <w:u w:val="single"/>
        </w:rPr>
        <w:t>Utilización del presupuesto en 2014/15</w:t>
      </w:r>
    </w:p>
    <w:p w:rsidR="00B45FC3" w:rsidRPr="00526311" w:rsidRDefault="00B45FC3" w:rsidP="0063039A"/>
    <w:p w:rsidR="00B45FC3" w:rsidRPr="00526311" w:rsidRDefault="00B45FC3" w:rsidP="00B45FC3">
      <w:pPr>
        <w:pStyle w:val="ListParagraph"/>
        <w:numPr>
          <w:ilvl w:val="0"/>
          <w:numId w:val="53"/>
        </w:numPr>
        <w:tabs>
          <w:tab w:val="left" w:pos="709"/>
        </w:tabs>
        <w:ind w:left="0" w:firstLine="0"/>
        <w:contextualSpacing/>
        <w:jc w:val="both"/>
        <w:rPr>
          <w:lang w:val="es-ES"/>
        </w:rPr>
      </w:pPr>
      <w:r w:rsidRPr="00526311">
        <w:rPr>
          <w:lang w:val="es-ES"/>
        </w:rPr>
        <w:t>El índice de utilización de recursos no relativos a personal, menor del que se había previsto, refleja principalmente el aplazamiento o cancelación de algunos eventos/actividades a instancias de determinados Estados miembros o en cumplimiento de las directrices de las Naciones Unidas sobre seguridad.</w:t>
      </w:r>
    </w:p>
    <w:p w:rsidR="00B45FC3" w:rsidRPr="00526311" w:rsidRDefault="00B45FC3" w:rsidP="0063039A"/>
    <w:bookmarkEnd w:id="38"/>
    <w:p w:rsidR="00B45FC3" w:rsidRPr="00526311" w:rsidRDefault="00B45FC3" w:rsidP="0063039A"/>
    <w:p w:rsidR="00B45FC3" w:rsidRPr="00526311" w:rsidRDefault="00B45FC3">
      <w:pPr>
        <w:rPr>
          <w:bCs/>
          <w:iCs/>
          <w:caps/>
          <w:szCs w:val="28"/>
        </w:rPr>
      </w:pPr>
      <w:r w:rsidRPr="00526311">
        <w:br w:type="page"/>
      </w:r>
    </w:p>
    <w:p w:rsidR="00B45FC3" w:rsidRPr="00526311" w:rsidRDefault="00B45FC3" w:rsidP="0063039A">
      <w:pPr>
        <w:pStyle w:val="Heading2"/>
        <w:tabs>
          <w:tab w:val="left" w:pos="2410"/>
        </w:tabs>
        <w:ind w:left="2410" w:hanging="2410"/>
        <w:rPr>
          <w:b/>
        </w:rPr>
      </w:pPr>
      <w:bookmarkStart w:id="41" w:name="_Toc422927417"/>
      <w:r w:rsidRPr="00526311">
        <w:rPr>
          <w:b/>
        </w:rPr>
        <w:lastRenderedPageBreak/>
        <w:t>PROGRAMA 10</w:t>
      </w:r>
      <w:r w:rsidRPr="00526311">
        <w:rPr>
          <w:b/>
        </w:rPr>
        <w:tab/>
        <w:t>COOPERACIÓN CON DETERMINADOS PAÍSES DE EUROPA Y ASIA</w:t>
      </w:r>
      <w:bookmarkEnd w:id="41"/>
    </w:p>
    <w:p w:rsidR="00B45FC3" w:rsidRPr="00526311" w:rsidRDefault="00B45FC3" w:rsidP="0063039A">
      <w:pPr>
        <w:rPr>
          <w:sz w:val="20"/>
        </w:rPr>
      </w:pPr>
    </w:p>
    <w:p w:rsidR="00B45FC3" w:rsidRPr="00526311" w:rsidRDefault="00B45FC3" w:rsidP="0063039A">
      <w:pPr>
        <w:tabs>
          <w:tab w:val="left" w:pos="2410"/>
        </w:tabs>
        <w:rPr>
          <w:sz w:val="20"/>
        </w:rPr>
      </w:pPr>
      <w:r w:rsidRPr="00526311">
        <w:rPr>
          <w:b/>
          <w:sz w:val="20"/>
        </w:rPr>
        <w:t>Director de programa</w:t>
      </w:r>
      <w:r w:rsidRPr="00526311">
        <w:rPr>
          <w:b/>
          <w:sz w:val="20"/>
        </w:rPr>
        <w:tab/>
        <w:t>Director General</w:t>
      </w:r>
    </w:p>
    <w:p w:rsidR="00B45FC3" w:rsidRPr="00526311" w:rsidRDefault="00B45FC3" w:rsidP="0063039A">
      <w:pPr>
        <w:jc w:val="both"/>
        <w:rPr>
          <w:sz w:val="20"/>
        </w:rPr>
      </w:pPr>
    </w:p>
    <w:p w:rsidR="00B45FC3" w:rsidRPr="00526311" w:rsidRDefault="00B45FC3" w:rsidP="0063039A">
      <w:pPr>
        <w:jc w:val="both"/>
        <w:rPr>
          <w:sz w:val="20"/>
        </w:rPr>
      </w:pPr>
    </w:p>
    <w:p w:rsidR="00B45FC3" w:rsidRPr="00526311" w:rsidRDefault="00B45FC3" w:rsidP="0063039A">
      <w:pPr>
        <w:rPr>
          <w:bCs/>
          <w:szCs w:val="22"/>
        </w:rPr>
      </w:pPr>
      <w:r w:rsidRPr="00526311">
        <w:rPr>
          <w:bCs/>
          <w:szCs w:val="22"/>
        </w:rPr>
        <w:t>RESEÑA DE LOS AVANCES LOGRADOS EN 2014</w:t>
      </w:r>
    </w:p>
    <w:p w:rsidR="00B45FC3" w:rsidRPr="00526311" w:rsidRDefault="00B45FC3" w:rsidP="0063039A">
      <w:pPr>
        <w:jc w:val="both"/>
      </w:pPr>
    </w:p>
    <w:p w:rsidR="00B45FC3" w:rsidRPr="00526311" w:rsidRDefault="00B45FC3" w:rsidP="00B45FC3">
      <w:pPr>
        <w:pStyle w:val="ListParagraph"/>
        <w:numPr>
          <w:ilvl w:val="0"/>
          <w:numId w:val="55"/>
        </w:numPr>
        <w:tabs>
          <w:tab w:val="left" w:pos="709"/>
        </w:tabs>
        <w:ind w:left="0" w:firstLine="0"/>
        <w:jc w:val="both"/>
        <w:rPr>
          <w:lang w:val="es-ES"/>
        </w:rPr>
      </w:pPr>
      <w:r w:rsidRPr="00526311">
        <w:rPr>
          <w:lang w:val="es-ES"/>
        </w:rPr>
        <w:t>En el marco del programa 10 se siguió impulsando y, en colaboración con todos los sectores pertinentes, coordinando la ejecución de las actividades de cooperación con los países en los países en transición.  A tal fin, los trabajos en 2014 se centraron en un enfoque de planificación plurianual encaminado a fomentar el uso del sistema de P.I. para impulsar la innovación y la creatividad en aras del desarrollo económico, social y cultural.</w:t>
      </w:r>
    </w:p>
    <w:p w:rsidR="00B45FC3" w:rsidRPr="00526311" w:rsidRDefault="00B45FC3" w:rsidP="0063039A">
      <w:pPr>
        <w:tabs>
          <w:tab w:val="left" w:pos="709"/>
        </w:tabs>
        <w:jc w:val="both"/>
      </w:pPr>
    </w:p>
    <w:p w:rsidR="00B45FC3" w:rsidRPr="00526311" w:rsidRDefault="00B45FC3" w:rsidP="00B45FC3">
      <w:pPr>
        <w:pStyle w:val="ListParagraph"/>
        <w:numPr>
          <w:ilvl w:val="0"/>
          <w:numId w:val="55"/>
        </w:numPr>
        <w:tabs>
          <w:tab w:val="left" w:pos="709"/>
        </w:tabs>
        <w:ind w:left="0" w:firstLine="0"/>
        <w:jc w:val="both"/>
        <w:rPr>
          <w:color w:val="000000"/>
          <w:lang w:val="es-ES"/>
        </w:rPr>
      </w:pPr>
      <w:r w:rsidRPr="00526311">
        <w:rPr>
          <w:lang w:val="es-ES"/>
        </w:rPr>
        <w:t xml:space="preserve">En 2014, siguió siendo prioritario fomentar la importancia de elaborar y aplicar estrategias nacionales exhaustivas y de largo plazo, así como prestar asistencia a ese respecto, para satisfacer las necesidades de los Estados miembros.  Tres países (Eslovenia, Tayikistán y Turquía) adoptaron estrategias nacionales de P.I. y cuatro países (Bulgaria, Polonia, Turkmenistán y Ucrania) comenzaron a elaborar una nueva estrategia.  Por otra parte, en 2014 se llevaron a cabo estudios posteriores a la ejecución de proyectos en tres países (Belarús, República de Moldova y Serbia) a fin de evaluar los resultados de la aplicación de estrategias de P.I. y de determinar las experiencias </w:t>
      </w:r>
      <w:r w:rsidRPr="00526311">
        <w:rPr>
          <w:color w:val="000000"/>
          <w:lang w:val="es-ES"/>
        </w:rPr>
        <w:t>adquiridas.</w:t>
      </w:r>
    </w:p>
    <w:p w:rsidR="00B45FC3" w:rsidRPr="00526311" w:rsidRDefault="00B45FC3" w:rsidP="0063039A">
      <w:pPr>
        <w:tabs>
          <w:tab w:val="left" w:pos="709"/>
        </w:tabs>
      </w:pPr>
    </w:p>
    <w:p w:rsidR="00B45FC3" w:rsidRPr="00526311" w:rsidRDefault="00B45FC3" w:rsidP="00B45FC3">
      <w:pPr>
        <w:pStyle w:val="ListParagraph"/>
        <w:numPr>
          <w:ilvl w:val="0"/>
          <w:numId w:val="55"/>
        </w:numPr>
        <w:tabs>
          <w:tab w:val="left" w:pos="709"/>
        </w:tabs>
        <w:autoSpaceDE w:val="0"/>
        <w:autoSpaceDN w:val="0"/>
        <w:ind w:left="0" w:firstLine="0"/>
        <w:jc w:val="both"/>
        <w:rPr>
          <w:lang w:val="es-ES"/>
        </w:rPr>
      </w:pPr>
      <w:r w:rsidRPr="00526311">
        <w:rPr>
          <w:lang w:val="es-ES"/>
        </w:rPr>
        <w:t xml:space="preserve">Conforme a los planes de cooperación y las estrategias nacionales de P.I., y tras recibir asistencia de la OMPI que incluía actividades de promoción, </w:t>
      </w:r>
      <w:r w:rsidR="00894FAD" w:rsidRPr="00526311">
        <w:rPr>
          <w:lang w:val="es-ES"/>
        </w:rPr>
        <w:t>cinco</w:t>
      </w:r>
      <w:r w:rsidRPr="00526311">
        <w:rPr>
          <w:lang w:val="es-ES"/>
        </w:rPr>
        <w:t xml:space="preserve"> países (Kazajstán, Lituania, Montenegro, República de Moldova y Tayikistán) enmendaron sus leyes nacionales de P.I.  No obstante, en algunos países se avanzó más lentamente de lo esperado debido a cambios políticos y económicos.  Con arreglo al plan de mitigación de riesgos del programa, se mantuvo a lo largo de todo el año la estrecha cooperación con los sectores interesados correspondientes, y la adopción de un enfoque flexible en la elaboración o la aplicación de los planes de cooperación permitió posponer ciertas actividades y supervisar de cerca la situación.</w:t>
      </w:r>
    </w:p>
    <w:p w:rsidR="00B45FC3" w:rsidRPr="00526311" w:rsidRDefault="00B45FC3" w:rsidP="0063039A">
      <w:pPr>
        <w:tabs>
          <w:tab w:val="left" w:pos="709"/>
        </w:tabs>
        <w:autoSpaceDE w:val="0"/>
        <w:autoSpaceDN w:val="0"/>
        <w:jc w:val="both"/>
      </w:pPr>
    </w:p>
    <w:p w:rsidR="00B45FC3" w:rsidRPr="00526311" w:rsidRDefault="00B45FC3" w:rsidP="00B45FC3">
      <w:pPr>
        <w:pStyle w:val="ListParagraph"/>
        <w:numPr>
          <w:ilvl w:val="0"/>
          <w:numId w:val="55"/>
        </w:numPr>
        <w:tabs>
          <w:tab w:val="left" w:pos="709"/>
        </w:tabs>
        <w:autoSpaceDE w:val="0"/>
        <w:autoSpaceDN w:val="0"/>
        <w:ind w:left="0" w:firstLine="0"/>
        <w:jc w:val="both"/>
        <w:rPr>
          <w:lang w:val="es-ES"/>
        </w:rPr>
      </w:pPr>
      <w:r w:rsidRPr="00526311">
        <w:rPr>
          <w:lang w:val="es-ES"/>
        </w:rPr>
        <w:t>En apoyo a la elaboración de políticas de P.I. en las universidades, en Eslovaquia, Estonia, la Federación de Rusia, Lituania, Polonia y Uzbekistán se llevaron a cabo proyectos y actividades a ese respecto.  Con la asistencia de la OMPI, en 2014 una universidad de la Federación de Rusia y otra de Uzbekistán elaboraron políticas de P.I.  Por otra parte, el 1 de octubre de 2014 Polonia adoptó una Ley de enseñanza superior por la cual se obliga a las instituciones de enseñanza superior (120 públicas y 294 privadas) a poner en marcha una política actualizada de P.I. a partir del 31 de marzo del 2015.  A finales de 2014, 148 universidades ya habían elaborado políticas de P.I.</w:t>
      </w:r>
    </w:p>
    <w:p w:rsidR="00B45FC3" w:rsidRPr="00526311" w:rsidRDefault="00B45FC3" w:rsidP="0063039A">
      <w:pPr>
        <w:tabs>
          <w:tab w:val="left" w:pos="709"/>
        </w:tabs>
        <w:autoSpaceDE w:val="0"/>
        <w:autoSpaceDN w:val="0"/>
        <w:jc w:val="both"/>
      </w:pPr>
    </w:p>
    <w:p w:rsidR="00B45FC3" w:rsidRPr="00526311" w:rsidRDefault="00B45FC3" w:rsidP="00B45FC3">
      <w:pPr>
        <w:pStyle w:val="ListParagraph"/>
        <w:numPr>
          <w:ilvl w:val="0"/>
          <w:numId w:val="55"/>
        </w:numPr>
        <w:tabs>
          <w:tab w:val="left" w:pos="709"/>
        </w:tabs>
        <w:autoSpaceDE w:val="0"/>
        <w:autoSpaceDN w:val="0"/>
        <w:ind w:left="0" w:firstLine="0"/>
        <w:jc w:val="both"/>
        <w:rPr>
          <w:lang w:val="es-ES"/>
        </w:rPr>
      </w:pPr>
      <w:r w:rsidRPr="00526311">
        <w:rPr>
          <w:lang w:val="es-ES"/>
        </w:rPr>
        <w:t>En el marco del programa se siguió dando apoyo a los países en transición para fortalecer las capacidades nacionales de recursos humanos y fomentar la sensibilización y la base de conocimientos en aras de una utilización eficaz de la P.I.  En 2014, se impartió formación a más de 3.400 especialistas y expertos en programas de P.I. específicos, por ejemplo, sobre transferencia de tecnología, pymes, observancia, derecho de autor, enseñanza de P.I. y servicios de la OMPI.  Los participantes en estas actividades presentaron comentarios positivos;  así, el 80% de los encuestados señaló que la formación recibida cumplió sus objetivos y contribuyó a mejorar las competencias que aplican en su trabajo cotidiano.</w:t>
      </w:r>
    </w:p>
    <w:p w:rsidR="00B45FC3" w:rsidRPr="00526311" w:rsidRDefault="00B45FC3" w:rsidP="0063039A">
      <w:pPr>
        <w:tabs>
          <w:tab w:val="left" w:pos="709"/>
        </w:tabs>
        <w:autoSpaceDE w:val="0"/>
        <w:autoSpaceDN w:val="0"/>
        <w:jc w:val="both"/>
      </w:pPr>
    </w:p>
    <w:p w:rsidR="00B45FC3" w:rsidRPr="00526311" w:rsidRDefault="00B45FC3" w:rsidP="00B45FC3">
      <w:pPr>
        <w:pStyle w:val="ListParagraph"/>
        <w:numPr>
          <w:ilvl w:val="0"/>
          <w:numId w:val="55"/>
        </w:numPr>
        <w:tabs>
          <w:tab w:val="left" w:pos="709"/>
        </w:tabs>
        <w:autoSpaceDE w:val="0"/>
        <w:autoSpaceDN w:val="0"/>
        <w:ind w:left="0" w:firstLine="0"/>
        <w:jc w:val="both"/>
        <w:rPr>
          <w:lang w:val="es-ES"/>
        </w:rPr>
      </w:pPr>
      <w:r w:rsidRPr="00526311">
        <w:rPr>
          <w:lang w:val="es-ES"/>
        </w:rPr>
        <w:t>Se organizaron cursos de verano en Croacia y la Federación de Rusia.</w:t>
      </w:r>
    </w:p>
    <w:p w:rsidR="00B45FC3" w:rsidRPr="00526311" w:rsidRDefault="00B45FC3" w:rsidP="0063039A">
      <w:pPr>
        <w:tabs>
          <w:tab w:val="left" w:pos="709"/>
        </w:tabs>
        <w:jc w:val="both"/>
      </w:pPr>
    </w:p>
    <w:p w:rsidR="00B45FC3" w:rsidRPr="00526311" w:rsidRDefault="00B45FC3" w:rsidP="00B45FC3">
      <w:pPr>
        <w:pStyle w:val="ListParagraph"/>
        <w:numPr>
          <w:ilvl w:val="0"/>
          <w:numId w:val="55"/>
        </w:numPr>
        <w:tabs>
          <w:tab w:val="left" w:pos="709"/>
        </w:tabs>
        <w:ind w:left="0" w:firstLine="0"/>
        <w:jc w:val="both"/>
        <w:rPr>
          <w:lang w:val="es-ES"/>
        </w:rPr>
      </w:pPr>
      <w:r w:rsidRPr="00526311">
        <w:rPr>
          <w:lang w:val="es-ES"/>
        </w:rPr>
        <w:t xml:space="preserve">A fin de integrar las perspectivas de género en la labor del programa, en 2014 se mantuvo la excelente cooperación establecida con la asociación </w:t>
      </w:r>
      <w:r w:rsidRPr="00526311">
        <w:rPr>
          <w:i/>
          <w:lang w:val="es-ES"/>
        </w:rPr>
        <w:t>World Women Inventors and Entrepreneurs Association</w:t>
      </w:r>
      <w:r w:rsidRPr="00526311">
        <w:rPr>
          <w:lang w:val="es-ES"/>
        </w:rPr>
        <w:t xml:space="preserve"> (WWIEA), lo que dio lugar a la coorganización del </w:t>
      </w:r>
      <w:r w:rsidRPr="00526311">
        <w:rPr>
          <w:i/>
          <w:lang w:val="es-ES"/>
        </w:rPr>
        <w:t>International Educational Program on Idea, Invention, Innovation and Intellectual Property – Seed Project 2014</w:t>
      </w:r>
      <w:r w:rsidRPr="00526311">
        <w:rPr>
          <w:lang w:val="es-ES"/>
        </w:rPr>
        <w:t xml:space="preserve">, un eficaz programa de formación destinado a las mujeres de Asia Central, que tuvo lugar en noviembre.  Además, en marzo se celebró con éxito la séptima conferencia internacional sobre la innovación y la creatividad de las mujeres, que reunió a unos 150 participantes de 20 países, en Varsovia (Polonia). </w:t>
      </w:r>
    </w:p>
    <w:p w:rsidR="00B45FC3" w:rsidRPr="00526311" w:rsidRDefault="00B45FC3" w:rsidP="0063039A">
      <w:pPr>
        <w:tabs>
          <w:tab w:val="left" w:pos="709"/>
        </w:tabs>
        <w:jc w:val="both"/>
      </w:pPr>
    </w:p>
    <w:p w:rsidR="00B45FC3" w:rsidRPr="00526311" w:rsidRDefault="00B45FC3" w:rsidP="00B45FC3">
      <w:pPr>
        <w:pStyle w:val="ListParagraph"/>
        <w:numPr>
          <w:ilvl w:val="0"/>
          <w:numId w:val="55"/>
        </w:numPr>
        <w:tabs>
          <w:tab w:val="left" w:pos="709"/>
        </w:tabs>
        <w:ind w:left="0" w:firstLine="0"/>
        <w:jc w:val="both"/>
        <w:rPr>
          <w:rFonts w:cs="Arial"/>
          <w:lang w:val="es-ES"/>
        </w:rPr>
      </w:pPr>
      <w:r w:rsidRPr="00526311">
        <w:rPr>
          <w:rFonts w:cs="Arial"/>
          <w:lang w:val="es-ES"/>
        </w:rPr>
        <w:t>Se continuó fortaleciendo las medidas para mejorar la coordinación, el fomento y la prestación de los servicios de la OMPI a fin de impulsar su utilización en los países en transición y los países desarrollados.</w:t>
      </w:r>
    </w:p>
    <w:p w:rsidR="00B45FC3" w:rsidRPr="00526311" w:rsidRDefault="00B45FC3" w:rsidP="0063039A">
      <w:pPr>
        <w:pStyle w:val="ListParagraph"/>
        <w:tabs>
          <w:tab w:val="left" w:pos="709"/>
        </w:tabs>
        <w:ind w:left="0"/>
        <w:jc w:val="both"/>
        <w:rPr>
          <w:rFonts w:cs="Arial"/>
          <w:lang w:val="es-ES"/>
        </w:rPr>
      </w:pPr>
    </w:p>
    <w:p w:rsidR="00B45FC3" w:rsidRPr="00526311" w:rsidRDefault="00B45FC3" w:rsidP="00B45FC3">
      <w:pPr>
        <w:pStyle w:val="ListParagraph"/>
        <w:numPr>
          <w:ilvl w:val="0"/>
          <w:numId w:val="55"/>
        </w:numPr>
        <w:tabs>
          <w:tab w:val="left" w:pos="709"/>
        </w:tabs>
        <w:ind w:left="0" w:firstLine="0"/>
        <w:jc w:val="both"/>
        <w:rPr>
          <w:rFonts w:cs="Arial"/>
          <w:lang w:val="es-ES"/>
        </w:rPr>
      </w:pPr>
      <w:r w:rsidRPr="00526311">
        <w:rPr>
          <w:rFonts w:cs="Arial"/>
          <w:lang w:val="es-ES"/>
        </w:rPr>
        <w:t>En 2014, unos 1.320 profesionales de 11 países (Alemania, Austria, Estados Unidos de América, Irlanda, Italia, Japón, Luxemburgo, Países Bajos, Portugal, Reino Unido y</w:t>
      </w:r>
      <w:r w:rsidRPr="00526311">
        <w:rPr>
          <w:lang w:val="es-ES"/>
        </w:rPr>
        <w:t xml:space="preserve"> </w:t>
      </w:r>
      <w:r w:rsidRPr="00526311">
        <w:rPr>
          <w:rFonts w:cs="Arial"/>
          <w:lang w:val="es-ES"/>
        </w:rPr>
        <w:t>Suecia) participaron en 21 seminarios itinerantes sobre los servicios y las iniciativas de la OMPI.  Los seminarios tuvieron muy buena acogida;  así, el 88% de los encuestados estuvo de acuerdo o muy de acuerdo en que los seminarios fueron de utilidad para su labor profesional.  A lo largo de 2014, el formato de los seminarios fue evolucionando a fin de propiciar una mayor interacción con los sectores interesados locales y crear sinergias entre un grupo más amplio.</w:t>
      </w:r>
    </w:p>
    <w:p w:rsidR="00B45FC3" w:rsidRPr="00526311" w:rsidRDefault="00B45FC3" w:rsidP="0063039A">
      <w:pPr>
        <w:tabs>
          <w:tab w:val="left" w:pos="709"/>
        </w:tabs>
        <w:jc w:val="both"/>
      </w:pPr>
    </w:p>
    <w:p w:rsidR="00B45FC3" w:rsidRPr="00526311" w:rsidRDefault="00B45FC3" w:rsidP="00B45FC3">
      <w:pPr>
        <w:pStyle w:val="ListParagraph"/>
        <w:numPr>
          <w:ilvl w:val="0"/>
          <w:numId w:val="55"/>
        </w:numPr>
        <w:tabs>
          <w:tab w:val="left" w:pos="709"/>
        </w:tabs>
        <w:ind w:left="0" w:firstLine="0"/>
        <w:jc w:val="both"/>
        <w:rPr>
          <w:rFonts w:cs="Arial"/>
          <w:lang w:val="es-ES"/>
        </w:rPr>
      </w:pPr>
      <w:r w:rsidRPr="00526311">
        <w:rPr>
          <w:rFonts w:cs="Arial"/>
          <w:lang w:val="es-ES"/>
        </w:rPr>
        <w:t xml:space="preserve">Se incrementaron los esfuerzos para estrechar los vínculos institucionales y fomentar alianzas con los sectores interesados de los países en transición y los países desarrollados, lo que incluye organizaciones regionales, oficinas de P.I., ONG y asociaciones comerciales en representación de los usuarios de los servicios de la OMPI.  A tal fin, </w:t>
      </w:r>
      <w:r w:rsidR="00DD542D" w:rsidRPr="00526311">
        <w:rPr>
          <w:rFonts w:cs="Arial"/>
          <w:lang w:val="es-ES"/>
        </w:rPr>
        <w:t>en el marco del programa se acogió la visita de varias partes interesadas de los países en cuestión y se facilitó la organización de sesiones de información sobre diversas cuestiones de interés.  Se organizaron varias misiones exploratorias con el fin de evaluar mejor las necesidades y peticiones de los países, y</w:t>
      </w:r>
      <w:r w:rsidRPr="00526311">
        <w:rPr>
          <w:rFonts w:cs="Arial"/>
          <w:lang w:val="es-ES"/>
        </w:rPr>
        <w:t xml:space="preserve"> se firmaron 4 nuevos memorandos de entendimiento </w:t>
      </w:r>
      <w:r w:rsidR="00DD542D" w:rsidRPr="00526311">
        <w:rPr>
          <w:rFonts w:cs="Arial"/>
          <w:lang w:val="es-ES"/>
        </w:rPr>
        <w:t xml:space="preserve">en 2014 </w:t>
      </w:r>
      <w:r w:rsidRPr="00526311">
        <w:rPr>
          <w:rFonts w:cs="Arial"/>
          <w:lang w:val="es-ES"/>
        </w:rPr>
        <w:t>con</w:t>
      </w:r>
      <w:r w:rsidR="00DD542D" w:rsidRPr="00526311">
        <w:rPr>
          <w:rFonts w:cs="Arial"/>
          <w:lang w:val="es-ES"/>
        </w:rPr>
        <w:t xml:space="preserve"> partes interesadas de</w:t>
      </w:r>
      <w:r w:rsidRPr="00526311">
        <w:rPr>
          <w:rFonts w:cs="Arial"/>
          <w:lang w:val="es-ES"/>
        </w:rPr>
        <w:t xml:space="preserve"> Alemania, Dinamarca, España e Israel.</w:t>
      </w:r>
    </w:p>
    <w:p w:rsidR="00B45FC3" w:rsidRPr="00526311" w:rsidRDefault="00B45FC3" w:rsidP="0063039A">
      <w:pPr>
        <w:tabs>
          <w:tab w:val="left" w:pos="709"/>
        </w:tabs>
        <w:autoSpaceDE w:val="0"/>
        <w:autoSpaceDN w:val="0"/>
        <w:jc w:val="both"/>
      </w:pPr>
    </w:p>
    <w:p w:rsidR="00B45FC3" w:rsidRPr="00526311" w:rsidRDefault="00B45FC3" w:rsidP="00B45FC3">
      <w:pPr>
        <w:pStyle w:val="ListParagraph"/>
        <w:numPr>
          <w:ilvl w:val="0"/>
          <w:numId w:val="55"/>
        </w:numPr>
        <w:tabs>
          <w:tab w:val="left" w:pos="709"/>
        </w:tabs>
        <w:autoSpaceDE w:val="0"/>
        <w:autoSpaceDN w:val="0"/>
        <w:ind w:left="0" w:firstLine="0"/>
        <w:jc w:val="both"/>
        <w:rPr>
          <w:lang w:val="es-ES"/>
        </w:rPr>
      </w:pPr>
      <w:r w:rsidRPr="00526311">
        <w:rPr>
          <w:lang w:val="es-ES"/>
        </w:rPr>
        <w:t>El programa 10 siguió desempeñando un papel fundamental en la aplicación de la Agenda de la OMPI para el Desarrollo en la cooperación con determinados países de Europa y Asia.   Concretamente, con respecto a las recomendaciones de la Agenda para el Desarrollo relacionadas con las actividades de la OMPI en materia de asistencia técnica y fortalecimiento de capacidad, esto es, las recomendaciones de la Categoría A, que siguieron conformando la elaboración y la puesta en práctica de las actividades del programa 10.</w:t>
      </w:r>
    </w:p>
    <w:p w:rsidR="00B45FC3" w:rsidRPr="00526311" w:rsidRDefault="00B45FC3" w:rsidP="0063039A">
      <w:pPr>
        <w:tabs>
          <w:tab w:val="left" w:pos="709"/>
        </w:tabs>
        <w:jc w:val="both"/>
        <w:rPr>
          <w:szCs w:val="22"/>
        </w:rPr>
      </w:pPr>
    </w:p>
    <w:p w:rsidR="00B45FC3" w:rsidRPr="00526311" w:rsidRDefault="00B45FC3" w:rsidP="0063039A">
      <w:pPr>
        <w:ind w:left="2268" w:hanging="2268"/>
        <w:jc w:val="both"/>
        <w:rPr>
          <w:szCs w:val="22"/>
        </w:rPr>
      </w:pPr>
    </w:p>
    <w:p w:rsidR="00B45FC3" w:rsidRPr="00526311" w:rsidRDefault="00B45FC3" w:rsidP="0063039A">
      <w:pPr>
        <w:ind w:left="2268" w:hanging="2268"/>
        <w:rPr>
          <w:szCs w:val="22"/>
        </w:rPr>
      </w:pPr>
      <w:r w:rsidRPr="00526311">
        <w:rPr>
          <w:szCs w:val="22"/>
        </w:rPr>
        <w:t>DATOS SOBRE EL RENDIMIENTO</w:t>
      </w:r>
    </w:p>
    <w:p w:rsidR="00B45FC3" w:rsidRPr="00526311" w:rsidRDefault="00B45FC3" w:rsidP="0063039A">
      <w:pPr>
        <w:rPr>
          <w:b/>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14"/>
        <w:gridCol w:w="1564"/>
        <w:gridCol w:w="2117"/>
        <w:gridCol w:w="142"/>
        <w:gridCol w:w="992"/>
      </w:tblGrid>
      <w:tr w:rsidR="00B45FC3" w:rsidRPr="00526311" w:rsidTr="0063039A">
        <w:trPr>
          <w:cantSplit/>
          <w:trHeight w:val="441"/>
        </w:trPr>
        <w:tc>
          <w:tcPr>
            <w:tcW w:w="5000" w:type="pct"/>
            <w:gridSpan w:val="6"/>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ind w:left="1452" w:hanging="1452"/>
              <w:rPr>
                <w:b/>
                <w:bCs/>
                <w:sz w:val="16"/>
                <w:szCs w:val="16"/>
              </w:rPr>
            </w:pPr>
            <w:r w:rsidRPr="00526311">
              <w:rPr>
                <w:b/>
                <w:bCs/>
                <w:sz w:val="16"/>
                <w:szCs w:val="16"/>
              </w:rPr>
              <w:t>Resultado previsto:</w:t>
            </w:r>
            <w:r w:rsidRPr="00526311">
              <w:rPr>
                <w:b/>
                <w:bCs/>
                <w:sz w:val="16"/>
                <w:szCs w:val="16"/>
              </w:rPr>
              <w:tab/>
            </w:r>
            <w:r w:rsidRPr="00526311">
              <w:rPr>
                <w:sz w:val="16"/>
                <w:szCs w:val="16"/>
                <w:lang w:bidi="th-TH"/>
              </w:rPr>
              <w:t>I.2 Marcos de P.I. adaptados y equilibrados en el ámbito legislativo, reglamentario y de política</w:t>
            </w:r>
          </w:p>
        </w:tc>
      </w:tr>
      <w:tr w:rsidR="00B45FC3" w:rsidRPr="00526311" w:rsidTr="0063039A">
        <w:trPr>
          <w:cantSplit/>
        </w:trPr>
        <w:tc>
          <w:tcPr>
            <w:tcW w:w="1137" w:type="pct"/>
            <w:tcBorders>
              <w:top w:val="single" w:sz="4" w:space="0" w:color="auto"/>
            </w:tcBorders>
            <w:shd w:val="clear" w:color="auto" w:fill="auto"/>
            <w:vAlign w:val="center"/>
          </w:tcPr>
          <w:p w:rsidR="00B45FC3" w:rsidRPr="00526311" w:rsidRDefault="00B45FC3" w:rsidP="0063039A">
            <w:pPr>
              <w:rPr>
                <w:sz w:val="16"/>
                <w:szCs w:val="16"/>
              </w:rPr>
            </w:pPr>
            <w:r w:rsidRPr="00526311">
              <w:rPr>
                <w:b/>
                <w:sz w:val="16"/>
                <w:szCs w:val="16"/>
              </w:rPr>
              <w:t>Indicadores de rendimiento</w:t>
            </w:r>
          </w:p>
        </w:tc>
        <w:tc>
          <w:tcPr>
            <w:tcW w:w="1290"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836" w:type="pct"/>
            <w:tcBorders>
              <w:top w:val="single" w:sz="4" w:space="0" w:color="auto"/>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131" w:type="pct"/>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606" w:type="pct"/>
            <w:gridSpan w:val="2"/>
            <w:tcBorders>
              <w:top w:val="single" w:sz="4" w:space="0" w:color="auto"/>
            </w:tcBorders>
            <w:shd w:val="clear" w:color="auto" w:fill="auto"/>
            <w:tcMar>
              <w:top w:w="110" w:type="dxa"/>
            </w:tcMar>
            <w:vAlign w:val="center"/>
          </w:tcPr>
          <w:p w:rsidR="00B45FC3" w:rsidRPr="00526311" w:rsidRDefault="00B45FC3" w:rsidP="0063039A">
            <w:pPr>
              <w:keepNext/>
              <w:keepLines/>
              <w:ind w:left="-118"/>
              <w:rPr>
                <w:b/>
                <w:bCs/>
                <w:sz w:val="16"/>
                <w:szCs w:val="16"/>
              </w:rPr>
            </w:pPr>
            <w:r w:rsidRPr="00526311">
              <w:rPr>
                <w:b/>
                <w:bCs/>
                <w:sz w:val="16"/>
                <w:szCs w:val="16"/>
              </w:rPr>
              <w:t>Clave de colores</w:t>
            </w:r>
          </w:p>
        </w:tc>
      </w:tr>
      <w:tr w:rsidR="00B45FC3" w:rsidRPr="00526311" w:rsidTr="0063039A">
        <w:trPr>
          <w:cantSplit/>
        </w:trPr>
        <w:tc>
          <w:tcPr>
            <w:tcW w:w="1137" w:type="pct"/>
            <w:tcBorders>
              <w:bottom w:val="single" w:sz="4" w:space="0" w:color="auto"/>
            </w:tcBorders>
            <w:shd w:val="clear" w:color="auto" w:fill="auto"/>
          </w:tcPr>
          <w:p w:rsidR="00B45FC3" w:rsidRPr="00526311" w:rsidRDefault="00B45FC3" w:rsidP="0063039A">
            <w:pPr>
              <w:rPr>
                <w:sz w:val="16"/>
                <w:szCs w:val="16"/>
                <w:lang w:bidi="th-TH"/>
              </w:rPr>
            </w:pPr>
            <w:r w:rsidRPr="00526311">
              <w:rPr>
                <w:sz w:val="16"/>
                <w:szCs w:val="16"/>
                <w:lang w:bidi="th-TH"/>
              </w:rPr>
              <w:t>Número de países que han actualizado su legislación o sus reglamentos.</w:t>
            </w:r>
          </w:p>
        </w:tc>
        <w:tc>
          <w:tcPr>
            <w:tcW w:w="1290" w:type="pct"/>
            <w:tcBorders>
              <w:bottom w:val="single" w:sz="4" w:space="0" w:color="auto"/>
            </w:tcBorders>
            <w:shd w:val="clear" w:color="auto" w:fill="auto"/>
          </w:tcPr>
          <w:p w:rsidR="00B45FC3" w:rsidRPr="00526311" w:rsidRDefault="001A4F69" w:rsidP="0063039A">
            <w:pPr>
              <w:rPr>
                <w:color w:val="002060"/>
                <w:sz w:val="16"/>
                <w:szCs w:val="16"/>
              </w:rPr>
            </w:pPr>
            <w:r w:rsidRPr="00526311">
              <w:rPr>
                <w:i/>
                <w:color w:val="002060"/>
                <w:sz w:val="16"/>
                <w:szCs w:val="16"/>
              </w:rPr>
              <w:t>Referencia actualizada a fines de</w:t>
            </w:r>
            <w:r w:rsidR="00B45FC3" w:rsidRPr="00526311">
              <w:rPr>
                <w:i/>
                <w:color w:val="002060"/>
                <w:sz w:val="16"/>
                <w:szCs w:val="16"/>
              </w:rPr>
              <w:t xml:space="preserve"> 2013: </w:t>
            </w:r>
            <w:r w:rsidR="00B45FC3" w:rsidRPr="00526311">
              <w:rPr>
                <w:color w:val="002060"/>
                <w:sz w:val="16"/>
                <w:szCs w:val="16"/>
              </w:rPr>
              <w:t>18 en total:</w:t>
            </w:r>
            <w:r w:rsidR="00B45FC3" w:rsidRPr="00526311">
              <w:rPr>
                <w:i/>
                <w:color w:val="002060"/>
                <w:sz w:val="16"/>
                <w:szCs w:val="16"/>
              </w:rPr>
              <w:t xml:space="preserve">  </w:t>
            </w:r>
            <w:r w:rsidR="00B45FC3" w:rsidRPr="00526311">
              <w:rPr>
                <w:color w:val="002060"/>
                <w:sz w:val="16"/>
                <w:szCs w:val="16"/>
              </w:rPr>
              <w:t>Albania, Armenia, Belarús, Bosnia y Herzegovina, Polonia, Rumania, Eslovenia y Tayikistán actualizaron su legislación nacional de P.I. en 2012/13.</w:t>
            </w:r>
          </w:p>
          <w:p w:rsidR="00B45FC3" w:rsidRPr="00526311" w:rsidRDefault="00B45FC3" w:rsidP="0063039A">
            <w:pPr>
              <w:rPr>
                <w:color w:val="002060"/>
                <w:sz w:val="16"/>
                <w:szCs w:val="16"/>
              </w:rPr>
            </w:pPr>
          </w:p>
          <w:p w:rsidR="00B45FC3" w:rsidRPr="00526311" w:rsidRDefault="00B45FC3" w:rsidP="0063039A">
            <w:pPr>
              <w:rPr>
                <w:color w:val="002060"/>
                <w:sz w:val="16"/>
                <w:szCs w:val="16"/>
              </w:rPr>
            </w:pPr>
            <w:r w:rsidRPr="00526311">
              <w:rPr>
                <w:color w:val="002060"/>
                <w:sz w:val="16"/>
                <w:szCs w:val="16"/>
              </w:rPr>
              <w:t>Kazajstán y la Federación de Rusia han iniciado el proceso para modificar su legislación.</w:t>
            </w:r>
          </w:p>
          <w:p w:rsidR="00B45FC3" w:rsidRPr="00526311" w:rsidRDefault="00B45FC3" w:rsidP="0063039A">
            <w:pPr>
              <w:rPr>
                <w:i/>
                <w:sz w:val="8"/>
                <w:szCs w:val="8"/>
              </w:rPr>
            </w:pPr>
          </w:p>
          <w:p w:rsidR="00B45FC3" w:rsidRPr="00526311" w:rsidRDefault="00B45FC3" w:rsidP="0063039A">
            <w:pPr>
              <w:rPr>
                <w:sz w:val="16"/>
                <w:szCs w:val="16"/>
                <w:lang w:bidi="th-TH"/>
              </w:rPr>
            </w:pPr>
            <w:r w:rsidRPr="00526311">
              <w:rPr>
                <w:i/>
                <w:sz w:val="16"/>
                <w:szCs w:val="16"/>
              </w:rPr>
              <w:t xml:space="preserve">Referencia original en el  presupuesto de 2014/15: </w:t>
            </w:r>
            <w:r w:rsidRPr="00526311">
              <w:rPr>
                <w:sz w:val="16"/>
                <w:szCs w:val="16"/>
              </w:rPr>
              <w:t>18 a finales de 2013.</w:t>
            </w:r>
            <w:r w:rsidRPr="00526311">
              <w:rPr>
                <w:sz w:val="16"/>
                <w:szCs w:val="16"/>
              </w:rPr>
              <w:br/>
            </w:r>
          </w:p>
          <w:p w:rsidR="00B45FC3" w:rsidRPr="00526311" w:rsidRDefault="00B45FC3" w:rsidP="0063039A">
            <w:pPr>
              <w:rPr>
                <w:sz w:val="16"/>
                <w:szCs w:val="16"/>
              </w:rPr>
            </w:pPr>
          </w:p>
        </w:tc>
        <w:tc>
          <w:tcPr>
            <w:tcW w:w="836" w:type="pct"/>
            <w:tcBorders>
              <w:bottom w:val="single" w:sz="4" w:space="0" w:color="auto"/>
            </w:tcBorders>
            <w:shd w:val="clear" w:color="auto" w:fill="auto"/>
            <w:tcMar>
              <w:top w:w="110" w:type="dxa"/>
            </w:tcMar>
          </w:tcPr>
          <w:p w:rsidR="00B45FC3" w:rsidRPr="00526311" w:rsidRDefault="00B45FC3" w:rsidP="0063039A">
            <w:pPr>
              <w:rPr>
                <w:sz w:val="16"/>
                <w:szCs w:val="16"/>
              </w:rPr>
            </w:pPr>
            <w:r w:rsidRPr="00526311">
              <w:rPr>
                <w:sz w:val="16"/>
                <w:szCs w:val="16"/>
              </w:rPr>
              <w:t>4 países adicionales.</w:t>
            </w:r>
          </w:p>
        </w:tc>
        <w:tc>
          <w:tcPr>
            <w:tcW w:w="1131" w:type="pct"/>
            <w:tcBorders>
              <w:bottom w:val="single" w:sz="4" w:space="0" w:color="auto"/>
            </w:tcBorders>
            <w:shd w:val="clear" w:color="auto" w:fill="FFFFFF"/>
            <w:tcMar>
              <w:top w:w="110" w:type="dxa"/>
            </w:tcMar>
          </w:tcPr>
          <w:p w:rsidR="00B45FC3" w:rsidRPr="00526311" w:rsidRDefault="00DD542D" w:rsidP="00DD542D">
            <w:pPr>
              <w:rPr>
                <w:sz w:val="16"/>
                <w:szCs w:val="16"/>
              </w:rPr>
            </w:pPr>
            <w:r w:rsidRPr="00526311">
              <w:rPr>
                <w:sz w:val="16"/>
                <w:szCs w:val="16"/>
                <w:lang w:bidi="th-TH"/>
              </w:rPr>
              <w:t>5</w:t>
            </w:r>
            <w:r w:rsidR="00B45FC3" w:rsidRPr="00526311">
              <w:rPr>
                <w:sz w:val="16"/>
                <w:szCs w:val="16"/>
                <w:lang w:bidi="th-TH"/>
              </w:rPr>
              <w:t xml:space="preserve"> (Kazajstán, Lituania, Montenegro, República de Moldova, Tayikistán).</w:t>
            </w:r>
          </w:p>
        </w:tc>
        <w:tc>
          <w:tcPr>
            <w:tcW w:w="606" w:type="pct"/>
            <w:gridSpan w:val="2"/>
            <w:tcBorders>
              <w:bottom w:val="single" w:sz="4" w:space="0" w:color="auto"/>
            </w:tcBorders>
            <w:shd w:val="clear" w:color="auto" w:fill="auto"/>
            <w:tcMar>
              <w:top w:w="110" w:type="dxa"/>
            </w:tcMar>
          </w:tcPr>
          <w:p w:rsidR="00B45FC3" w:rsidRPr="00526311" w:rsidRDefault="00B45FC3" w:rsidP="0063039A">
            <w:pPr>
              <w:keepNext/>
              <w:keepLines/>
              <w:ind w:left="-118"/>
              <w:rPr>
                <w:b/>
                <w:bCs/>
                <w:color w:val="00B050"/>
                <w:sz w:val="16"/>
                <w:szCs w:val="16"/>
              </w:rPr>
            </w:pPr>
            <w:r w:rsidRPr="00526311">
              <w:rPr>
                <w:b/>
                <w:bCs/>
                <w:color w:val="00B050"/>
                <w:sz w:val="16"/>
                <w:szCs w:val="16"/>
              </w:rPr>
              <w:t>Avanza</w:t>
            </w:r>
          </w:p>
        </w:tc>
      </w:tr>
      <w:tr w:rsidR="00B45FC3" w:rsidRPr="00526311" w:rsidTr="0063039A">
        <w:trPr>
          <w:cantSplit/>
          <w:trHeight w:val="369"/>
        </w:trPr>
        <w:tc>
          <w:tcPr>
            <w:tcW w:w="5000" w:type="pct"/>
            <w:gridSpan w:val="6"/>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ind w:left="1452" w:hanging="1452"/>
              <w:rPr>
                <w:b/>
                <w:bCs/>
                <w:sz w:val="16"/>
                <w:szCs w:val="16"/>
              </w:rPr>
            </w:pPr>
            <w:r w:rsidRPr="00526311">
              <w:rPr>
                <w:b/>
                <w:bCs/>
                <w:sz w:val="16"/>
                <w:szCs w:val="16"/>
              </w:rPr>
              <w:t>Resultado previsto:</w:t>
            </w:r>
            <w:r w:rsidRPr="00526311">
              <w:rPr>
                <w:b/>
                <w:bCs/>
                <w:sz w:val="16"/>
                <w:szCs w:val="16"/>
              </w:rPr>
              <w:tab/>
            </w:r>
            <w:r w:rsidRPr="00526311">
              <w:rPr>
                <w:sz w:val="16"/>
                <w:szCs w:val="16"/>
                <w:lang w:bidi="th-TH"/>
              </w:rPr>
              <w:t>II.1 Fomento del uso de la vía del PCT para la presentación de solicitudes internacionales de patente</w:t>
            </w:r>
          </w:p>
        </w:tc>
      </w:tr>
      <w:tr w:rsidR="00B45FC3" w:rsidRPr="00526311" w:rsidTr="0063039A">
        <w:trPr>
          <w:cantSplit/>
        </w:trPr>
        <w:tc>
          <w:tcPr>
            <w:tcW w:w="1137" w:type="pct"/>
            <w:tcBorders>
              <w:top w:val="single" w:sz="4" w:space="0" w:color="auto"/>
            </w:tcBorders>
            <w:shd w:val="clear" w:color="auto" w:fill="auto"/>
            <w:vAlign w:val="center"/>
          </w:tcPr>
          <w:p w:rsidR="00B45FC3" w:rsidRPr="00526311" w:rsidRDefault="00B45FC3" w:rsidP="0063039A">
            <w:pPr>
              <w:rPr>
                <w:sz w:val="16"/>
                <w:szCs w:val="16"/>
              </w:rPr>
            </w:pPr>
            <w:r w:rsidRPr="00526311">
              <w:rPr>
                <w:b/>
                <w:sz w:val="16"/>
                <w:szCs w:val="16"/>
              </w:rPr>
              <w:t>Indicadores de rendimiento</w:t>
            </w:r>
          </w:p>
        </w:tc>
        <w:tc>
          <w:tcPr>
            <w:tcW w:w="1290"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836" w:type="pct"/>
            <w:tcBorders>
              <w:top w:val="single" w:sz="4" w:space="0" w:color="auto"/>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131" w:type="pct"/>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606" w:type="pct"/>
            <w:gridSpan w:val="2"/>
            <w:tcBorders>
              <w:top w:val="single" w:sz="4" w:space="0" w:color="auto"/>
            </w:tcBorders>
            <w:shd w:val="clear" w:color="auto" w:fill="auto"/>
            <w:tcMar>
              <w:top w:w="110" w:type="dxa"/>
            </w:tcMar>
            <w:vAlign w:val="center"/>
          </w:tcPr>
          <w:p w:rsidR="00B45FC3" w:rsidRPr="00526311" w:rsidRDefault="00B45FC3" w:rsidP="0063039A">
            <w:pPr>
              <w:keepNext/>
              <w:keepLines/>
              <w:ind w:left="-125"/>
              <w:jc w:val="center"/>
              <w:rPr>
                <w:b/>
                <w:bCs/>
                <w:sz w:val="16"/>
                <w:szCs w:val="16"/>
              </w:rPr>
            </w:pPr>
            <w:r w:rsidRPr="00526311">
              <w:rPr>
                <w:b/>
                <w:bCs/>
                <w:sz w:val="16"/>
                <w:szCs w:val="16"/>
              </w:rPr>
              <w:t>Clave de colores</w:t>
            </w:r>
          </w:p>
        </w:tc>
      </w:tr>
      <w:tr w:rsidR="00B45FC3" w:rsidRPr="00526311" w:rsidTr="0063039A">
        <w:trPr>
          <w:cantSplit/>
        </w:trPr>
        <w:tc>
          <w:tcPr>
            <w:tcW w:w="1137" w:type="pct"/>
            <w:shd w:val="clear" w:color="auto" w:fill="auto"/>
          </w:tcPr>
          <w:p w:rsidR="00B45FC3" w:rsidRPr="00526311" w:rsidRDefault="00B45FC3" w:rsidP="0063039A">
            <w:pPr>
              <w:rPr>
                <w:sz w:val="16"/>
                <w:szCs w:val="16"/>
              </w:rPr>
            </w:pPr>
            <w:r w:rsidRPr="00526311">
              <w:rPr>
                <w:sz w:val="16"/>
                <w:szCs w:val="16"/>
              </w:rPr>
              <w:t>Número de solicitudes PCT procedentes de países con economías en transición y países desarrollados.</w:t>
            </w:r>
          </w:p>
        </w:tc>
        <w:tc>
          <w:tcPr>
            <w:tcW w:w="1290" w:type="pct"/>
            <w:shd w:val="clear" w:color="auto" w:fill="auto"/>
          </w:tcPr>
          <w:p w:rsidR="00B45FC3" w:rsidRPr="00526311" w:rsidRDefault="001A4F69" w:rsidP="0063039A">
            <w:pPr>
              <w:rPr>
                <w:i/>
                <w:color w:val="002060"/>
                <w:sz w:val="16"/>
                <w:szCs w:val="16"/>
              </w:rPr>
            </w:pPr>
            <w:r w:rsidRPr="00526311">
              <w:rPr>
                <w:i/>
                <w:color w:val="002060"/>
                <w:sz w:val="16"/>
                <w:szCs w:val="16"/>
              </w:rPr>
              <w:t>Referencia actualizada a fines de</w:t>
            </w:r>
            <w:r w:rsidR="00B45FC3" w:rsidRPr="00526311">
              <w:rPr>
                <w:i/>
                <w:color w:val="002060"/>
                <w:sz w:val="16"/>
                <w:szCs w:val="16"/>
              </w:rPr>
              <w:t xml:space="preserve"> 2013: </w:t>
            </w:r>
          </w:p>
          <w:p w:rsidR="00B45FC3" w:rsidRPr="00526311" w:rsidRDefault="00B45FC3" w:rsidP="0063039A">
            <w:pPr>
              <w:rPr>
                <w:color w:val="002060"/>
                <w:sz w:val="16"/>
                <w:szCs w:val="16"/>
              </w:rPr>
            </w:pPr>
            <w:r w:rsidRPr="00526311">
              <w:rPr>
                <w:color w:val="002060"/>
                <w:sz w:val="16"/>
                <w:szCs w:val="16"/>
              </w:rPr>
              <w:t xml:space="preserve">166.517 (2013) </w:t>
            </w:r>
          </w:p>
          <w:p w:rsidR="00B45FC3" w:rsidRPr="00526311" w:rsidRDefault="00B45FC3" w:rsidP="0063039A">
            <w:pPr>
              <w:rPr>
                <w:color w:val="002060"/>
                <w:sz w:val="16"/>
                <w:szCs w:val="16"/>
              </w:rPr>
            </w:pPr>
            <w:r w:rsidRPr="00526311">
              <w:rPr>
                <w:color w:val="002060"/>
                <w:sz w:val="16"/>
                <w:szCs w:val="16"/>
              </w:rPr>
              <w:t>160.30</w:t>
            </w:r>
            <w:r w:rsidR="00DD542D" w:rsidRPr="00526311">
              <w:rPr>
                <w:color w:val="002060"/>
                <w:sz w:val="16"/>
                <w:szCs w:val="16"/>
              </w:rPr>
              <w:t>9</w:t>
            </w:r>
            <w:r w:rsidRPr="00526311">
              <w:rPr>
                <w:color w:val="002060"/>
                <w:sz w:val="16"/>
                <w:szCs w:val="16"/>
              </w:rPr>
              <w:t xml:space="preserve"> (2012) </w:t>
            </w:r>
          </w:p>
          <w:p w:rsidR="00B45FC3" w:rsidRPr="00526311" w:rsidRDefault="00B45FC3" w:rsidP="0063039A">
            <w:pPr>
              <w:pStyle w:val="ListParagraph"/>
              <w:ind w:left="360"/>
              <w:rPr>
                <w:rFonts w:cs="Arial"/>
                <w:i/>
                <w:sz w:val="8"/>
                <w:szCs w:val="8"/>
                <w:lang w:val="es-ES"/>
              </w:rPr>
            </w:pPr>
          </w:p>
          <w:p w:rsidR="00B45FC3" w:rsidRPr="00526311" w:rsidRDefault="00B45FC3" w:rsidP="0063039A">
            <w:pPr>
              <w:rPr>
                <w:sz w:val="16"/>
                <w:szCs w:val="16"/>
              </w:rPr>
            </w:pPr>
            <w:r w:rsidRPr="00526311">
              <w:rPr>
                <w:i/>
                <w:sz w:val="16"/>
                <w:szCs w:val="16"/>
              </w:rPr>
              <w:t xml:space="preserve">Referencia original en el presupuesto de 2014/15: </w:t>
            </w:r>
            <w:r w:rsidRPr="00526311">
              <w:rPr>
                <w:sz w:val="16"/>
                <w:szCs w:val="16"/>
              </w:rPr>
              <w:t>por determinar.</w:t>
            </w:r>
          </w:p>
          <w:p w:rsidR="00B45FC3" w:rsidRPr="00526311" w:rsidRDefault="00B45FC3" w:rsidP="0063039A">
            <w:pPr>
              <w:rPr>
                <w:sz w:val="16"/>
                <w:szCs w:val="16"/>
                <w:lang w:bidi="th-TH"/>
              </w:rPr>
            </w:pPr>
          </w:p>
        </w:tc>
        <w:tc>
          <w:tcPr>
            <w:tcW w:w="836" w:type="pct"/>
            <w:shd w:val="clear" w:color="auto" w:fill="auto"/>
            <w:tcMar>
              <w:top w:w="110" w:type="dxa"/>
            </w:tcMar>
          </w:tcPr>
          <w:p w:rsidR="00B45FC3" w:rsidRPr="00526311" w:rsidRDefault="00B45FC3" w:rsidP="0063039A">
            <w:pPr>
              <w:rPr>
                <w:sz w:val="16"/>
                <w:szCs w:val="16"/>
              </w:rPr>
            </w:pPr>
            <w:r w:rsidRPr="00526311">
              <w:rPr>
                <w:sz w:val="16"/>
                <w:szCs w:val="16"/>
              </w:rPr>
              <w:t>Aumento del 2%.</w:t>
            </w:r>
          </w:p>
        </w:tc>
        <w:tc>
          <w:tcPr>
            <w:tcW w:w="1131" w:type="pct"/>
            <w:shd w:val="clear" w:color="auto" w:fill="FFFFFF"/>
            <w:tcMar>
              <w:top w:w="110" w:type="dxa"/>
            </w:tcMar>
          </w:tcPr>
          <w:p w:rsidR="00B45FC3" w:rsidRPr="00526311" w:rsidRDefault="00DD542D" w:rsidP="0063039A">
            <w:pPr>
              <w:rPr>
                <w:sz w:val="16"/>
                <w:szCs w:val="16"/>
                <w:lang w:bidi="th-TH"/>
              </w:rPr>
            </w:pPr>
            <w:r w:rsidRPr="00526311">
              <w:rPr>
                <w:color w:val="000000"/>
                <w:sz w:val="16"/>
                <w:szCs w:val="16"/>
                <w:lang w:bidi="th-TH"/>
              </w:rPr>
              <w:t>170.31</w:t>
            </w:r>
            <w:r w:rsidR="00B45FC3" w:rsidRPr="00526311">
              <w:rPr>
                <w:color w:val="000000"/>
                <w:sz w:val="16"/>
                <w:szCs w:val="16"/>
                <w:lang w:bidi="th-TH"/>
              </w:rPr>
              <w:t>7 (2014) 2,</w:t>
            </w:r>
            <w:r w:rsidRPr="00526311">
              <w:rPr>
                <w:color w:val="000000"/>
                <w:sz w:val="16"/>
                <w:szCs w:val="16"/>
                <w:lang w:bidi="th-TH"/>
              </w:rPr>
              <w:t>28</w:t>
            </w:r>
            <w:r w:rsidR="00B45FC3" w:rsidRPr="00526311">
              <w:rPr>
                <w:color w:val="000000"/>
                <w:sz w:val="16"/>
                <w:szCs w:val="16"/>
                <w:lang w:bidi="th-TH"/>
              </w:rPr>
              <w:t>%</w:t>
            </w:r>
            <w:r w:rsidR="00B45FC3" w:rsidRPr="00526311">
              <w:rPr>
                <w:rStyle w:val="FootnoteReference"/>
                <w:sz w:val="16"/>
                <w:szCs w:val="16"/>
                <w:lang w:bidi="th-TH"/>
              </w:rPr>
              <w:footnoteReference w:id="33"/>
            </w:r>
            <w:r w:rsidR="00B45FC3" w:rsidRPr="00526311">
              <w:rPr>
                <w:color w:val="000000"/>
                <w:sz w:val="16"/>
                <w:szCs w:val="16"/>
                <w:lang w:bidi="th-TH"/>
              </w:rPr>
              <w:t>.</w:t>
            </w:r>
          </w:p>
          <w:p w:rsidR="00B45FC3" w:rsidRPr="00526311" w:rsidRDefault="00B45FC3" w:rsidP="0063039A">
            <w:pPr>
              <w:rPr>
                <w:sz w:val="16"/>
                <w:szCs w:val="16"/>
                <w:lang w:bidi="th-TH"/>
              </w:rPr>
            </w:pPr>
          </w:p>
          <w:p w:rsidR="00B45FC3" w:rsidRPr="00526311" w:rsidRDefault="00B45FC3" w:rsidP="0063039A">
            <w:pPr>
              <w:rPr>
                <w:sz w:val="16"/>
                <w:szCs w:val="16"/>
              </w:rPr>
            </w:pPr>
          </w:p>
        </w:tc>
        <w:tc>
          <w:tcPr>
            <w:tcW w:w="606" w:type="pct"/>
            <w:gridSpan w:val="2"/>
            <w:shd w:val="clear" w:color="auto" w:fill="auto"/>
            <w:tcMar>
              <w:top w:w="110" w:type="dxa"/>
            </w:tcMar>
          </w:tcPr>
          <w:p w:rsidR="00B45FC3" w:rsidRPr="00526311" w:rsidRDefault="00B45FC3" w:rsidP="0063039A">
            <w:pPr>
              <w:keepNext/>
              <w:keepLines/>
              <w:ind w:right="-107"/>
              <w:rPr>
                <w:bCs/>
                <w:color w:val="00B050"/>
                <w:sz w:val="16"/>
                <w:szCs w:val="16"/>
              </w:rPr>
            </w:pPr>
            <w:r w:rsidRPr="00526311">
              <w:rPr>
                <w:b/>
                <w:bCs/>
                <w:color w:val="00B050"/>
                <w:sz w:val="16"/>
                <w:szCs w:val="16"/>
              </w:rPr>
              <w:t>Avanza</w:t>
            </w:r>
          </w:p>
        </w:tc>
      </w:tr>
      <w:tr w:rsidR="00B45FC3" w:rsidRPr="00526311" w:rsidTr="0063039A">
        <w:trPr>
          <w:cantSplit/>
          <w:trHeight w:val="502"/>
        </w:trPr>
        <w:tc>
          <w:tcPr>
            <w:tcW w:w="5000" w:type="pct"/>
            <w:gridSpan w:val="6"/>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ind w:left="1701" w:hanging="1701"/>
              <w:rPr>
                <w:b/>
                <w:bCs/>
                <w:sz w:val="16"/>
                <w:szCs w:val="16"/>
              </w:rPr>
            </w:pPr>
            <w:r w:rsidRPr="00526311">
              <w:rPr>
                <w:b/>
                <w:bCs/>
                <w:sz w:val="16"/>
                <w:szCs w:val="16"/>
              </w:rPr>
              <w:lastRenderedPageBreak/>
              <w:t>Resultado previsto:</w:t>
            </w:r>
            <w:r w:rsidRPr="00526311">
              <w:rPr>
                <w:b/>
                <w:bCs/>
                <w:sz w:val="16"/>
                <w:szCs w:val="16"/>
              </w:rPr>
              <w:tab/>
            </w:r>
            <w:r w:rsidRPr="00526311">
              <w:rPr>
                <w:sz w:val="16"/>
                <w:szCs w:val="16"/>
                <w:lang w:bidi="th-TH"/>
              </w:rPr>
              <w:t xml:space="preserve">II.4 </w:t>
            </w:r>
            <w:r w:rsidR="00A06E08" w:rsidRPr="00526311">
              <w:rPr>
                <w:sz w:val="16"/>
                <w:szCs w:val="16"/>
                <w:lang w:bidi="th-TH"/>
              </w:rPr>
              <w:t>Mayor y más eficaz utilización del Sistema de La Haya por los países en desarrollo y los PMA, entre otros</w:t>
            </w:r>
          </w:p>
        </w:tc>
      </w:tr>
      <w:tr w:rsidR="00B45FC3" w:rsidRPr="00526311" w:rsidTr="0063039A">
        <w:trPr>
          <w:cantSplit/>
        </w:trPr>
        <w:tc>
          <w:tcPr>
            <w:tcW w:w="1137" w:type="pct"/>
            <w:tcBorders>
              <w:top w:val="single" w:sz="4" w:space="0" w:color="auto"/>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90" w:type="pct"/>
            <w:tcBorders>
              <w:top w:val="single" w:sz="4" w:space="0" w:color="auto"/>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836" w:type="pct"/>
            <w:tcBorders>
              <w:top w:val="single" w:sz="4" w:space="0" w:color="auto"/>
            </w:tcBorders>
            <w:shd w:val="clear" w:color="auto" w:fill="auto"/>
            <w:tcMar>
              <w:top w:w="110" w:type="dxa"/>
            </w:tcMar>
            <w:vAlign w:val="center"/>
          </w:tcPr>
          <w:p w:rsidR="00B45FC3" w:rsidRPr="00526311" w:rsidRDefault="00B45FC3" w:rsidP="0063039A">
            <w:pPr>
              <w:keepNext/>
              <w:keepLines/>
              <w:rPr>
                <w:b/>
                <w:sz w:val="16"/>
                <w:szCs w:val="16"/>
              </w:rPr>
            </w:pPr>
            <w:r w:rsidRPr="00526311">
              <w:rPr>
                <w:b/>
                <w:sz w:val="16"/>
                <w:szCs w:val="16"/>
              </w:rPr>
              <w:t>Objetivos</w:t>
            </w:r>
          </w:p>
        </w:tc>
        <w:tc>
          <w:tcPr>
            <w:tcW w:w="1207" w:type="pct"/>
            <w:gridSpan w:val="2"/>
            <w:tcBorders>
              <w:top w:val="single" w:sz="4" w:space="0" w:color="auto"/>
            </w:tcBorders>
            <w:shd w:val="clear" w:color="auto" w:fill="FFFFFF"/>
            <w:tcMar>
              <w:top w:w="110" w:type="dxa"/>
            </w:tcMar>
            <w:vAlign w:val="center"/>
          </w:tcPr>
          <w:p w:rsidR="00B45FC3" w:rsidRPr="00526311" w:rsidRDefault="00B45FC3" w:rsidP="0063039A">
            <w:pPr>
              <w:keepNext/>
              <w:keepLines/>
              <w:rPr>
                <w:sz w:val="16"/>
                <w:szCs w:val="16"/>
              </w:rPr>
            </w:pPr>
            <w:r w:rsidRPr="00526311">
              <w:rPr>
                <w:b/>
                <w:sz w:val="16"/>
                <w:szCs w:val="16"/>
              </w:rPr>
              <w:t>Datos sobre el rendimiento</w:t>
            </w:r>
          </w:p>
        </w:tc>
        <w:tc>
          <w:tcPr>
            <w:tcW w:w="530" w:type="pct"/>
            <w:tcBorders>
              <w:top w:val="single" w:sz="4" w:space="0" w:color="auto"/>
            </w:tcBorders>
            <w:shd w:val="clear" w:color="auto" w:fill="auto"/>
            <w:tcMar>
              <w:top w:w="110" w:type="dxa"/>
            </w:tcMar>
            <w:vAlign w:val="center"/>
          </w:tcPr>
          <w:p w:rsidR="00B45FC3" w:rsidRPr="00526311" w:rsidRDefault="00B45FC3" w:rsidP="0063039A">
            <w:pPr>
              <w:keepNext/>
              <w:keepLines/>
              <w:ind w:left="-125"/>
              <w:jc w:val="center"/>
              <w:rPr>
                <w:b/>
                <w:bCs/>
                <w:sz w:val="16"/>
                <w:szCs w:val="16"/>
              </w:rPr>
            </w:pPr>
            <w:r w:rsidRPr="00526311">
              <w:rPr>
                <w:b/>
                <w:bCs/>
                <w:sz w:val="16"/>
                <w:szCs w:val="16"/>
              </w:rPr>
              <w:t>Clave de colores</w:t>
            </w:r>
          </w:p>
        </w:tc>
      </w:tr>
      <w:tr w:rsidR="00B45FC3" w:rsidRPr="00526311" w:rsidTr="0063039A">
        <w:trPr>
          <w:cantSplit/>
        </w:trPr>
        <w:tc>
          <w:tcPr>
            <w:tcW w:w="1137" w:type="pct"/>
            <w:shd w:val="clear" w:color="auto" w:fill="auto"/>
          </w:tcPr>
          <w:p w:rsidR="00B45FC3" w:rsidRPr="00526311" w:rsidRDefault="00B45FC3" w:rsidP="0063039A">
            <w:pPr>
              <w:rPr>
                <w:sz w:val="16"/>
                <w:szCs w:val="16"/>
                <w:lang w:bidi="th-TH"/>
              </w:rPr>
            </w:pPr>
            <w:r w:rsidRPr="00526311">
              <w:rPr>
                <w:sz w:val="16"/>
                <w:szCs w:val="16"/>
                <w:lang w:bidi="th-TH"/>
              </w:rPr>
              <w:t>Número de solicitantes del Sistema de La Haya procedentes de países con economías en transición y países desarrollados.</w:t>
            </w:r>
          </w:p>
        </w:tc>
        <w:tc>
          <w:tcPr>
            <w:tcW w:w="1290" w:type="pct"/>
            <w:shd w:val="clear" w:color="auto" w:fill="auto"/>
          </w:tcPr>
          <w:p w:rsidR="00B45FC3" w:rsidRPr="00526311" w:rsidRDefault="001A4F69" w:rsidP="0063039A">
            <w:pPr>
              <w:rPr>
                <w:i/>
                <w:color w:val="002060"/>
                <w:sz w:val="16"/>
                <w:szCs w:val="16"/>
              </w:rPr>
            </w:pPr>
            <w:r w:rsidRPr="00526311">
              <w:rPr>
                <w:i/>
                <w:color w:val="002060"/>
                <w:sz w:val="16"/>
                <w:szCs w:val="16"/>
              </w:rPr>
              <w:t>Referencia actualizada a fines de</w:t>
            </w:r>
            <w:r w:rsidR="00B45FC3" w:rsidRPr="00526311">
              <w:rPr>
                <w:i/>
                <w:color w:val="002060"/>
                <w:sz w:val="16"/>
                <w:szCs w:val="16"/>
              </w:rPr>
              <w:t xml:space="preserve"> 2013:  </w:t>
            </w:r>
          </w:p>
          <w:p w:rsidR="00B45FC3" w:rsidRPr="00526311" w:rsidRDefault="00B45FC3" w:rsidP="0063039A">
            <w:pPr>
              <w:rPr>
                <w:color w:val="002060"/>
                <w:sz w:val="16"/>
                <w:szCs w:val="16"/>
              </w:rPr>
            </w:pPr>
            <w:r w:rsidRPr="00526311">
              <w:rPr>
                <w:color w:val="002060"/>
                <w:sz w:val="16"/>
                <w:szCs w:val="16"/>
              </w:rPr>
              <w:t xml:space="preserve">2.927 (2013) </w:t>
            </w:r>
          </w:p>
          <w:p w:rsidR="00B45FC3" w:rsidRPr="00526311" w:rsidRDefault="00B45FC3" w:rsidP="0063039A">
            <w:pPr>
              <w:rPr>
                <w:color w:val="002060"/>
                <w:sz w:val="16"/>
                <w:szCs w:val="16"/>
              </w:rPr>
            </w:pPr>
            <w:r w:rsidRPr="00526311">
              <w:rPr>
                <w:color w:val="002060"/>
                <w:sz w:val="16"/>
                <w:szCs w:val="16"/>
              </w:rPr>
              <w:t>2.553 (2012)</w:t>
            </w:r>
          </w:p>
          <w:p w:rsidR="00B45FC3" w:rsidRPr="00526311" w:rsidRDefault="00B45FC3" w:rsidP="0063039A">
            <w:pPr>
              <w:rPr>
                <w:color w:val="002060"/>
                <w:sz w:val="16"/>
                <w:szCs w:val="16"/>
              </w:rPr>
            </w:pPr>
          </w:p>
          <w:p w:rsidR="00B45FC3" w:rsidRPr="00526311" w:rsidRDefault="00B45FC3" w:rsidP="0063039A">
            <w:pPr>
              <w:rPr>
                <w:i/>
                <w:sz w:val="8"/>
                <w:szCs w:val="8"/>
              </w:rPr>
            </w:pPr>
          </w:p>
          <w:p w:rsidR="00B45FC3" w:rsidRPr="00526311" w:rsidRDefault="00B45FC3" w:rsidP="0063039A">
            <w:pPr>
              <w:rPr>
                <w:sz w:val="16"/>
                <w:szCs w:val="16"/>
              </w:rPr>
            </w:pPr>
            <w:r w:rsidRPr="00526311">
              <w:rPr>
                <w:i/>
                <w:sz w:val="16"/>
                <w:szCs w:val="16"/>
              </w:rPr>
              <w:t>Referencia original en el  presupuesto de 2014/15:</w:t>
            </w:r>
            <w:r w:rsidRPr="00526311">
              <w:rPr>
                <w:sz w:val="16"/>
                <w:szCs w:val="16"/>
              </w:rPr>
              <w:t xml:space="preserve"> por determinar</w:t>
            </w:r>
          </w:p>
          <w:p w:rsidR="00B45FC3" w:rsidRPr="00526311" w:rsidRDefault="00B45FC3" w:rsidP="0063039A">
            <w:pPr>
              <w:rPr>
                <w:sz w:val="16"/>
                <w:szCs w:val="16"/>
                <w:lang w:bidi="th-TH"/>
              </w:rPr>
            </w:pPr>
          </w:p>
        </w:tc>
        <w:tc>
          <w:tcPr>
            <w:tcW w:w="836" w:type="pct"/>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Aumento del 2%.</w:t>
            </w:r>
          </w:p>
        </w:tc>
        <w:tc>
          <w:tcPr>
            <w:tcW w:w="1207" w:type="pct"/>
            <w:gridSpan w:val="2"/>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2.776 (2014) -5,16%</w:t>
            </w:r>
            <w:r w:rsidRPr="00526311">
              <w:rPr>
                <w:rStyle w:val="FootnoteReference"/>
                <w:sz w:val="16"/>
                <w:szCs w:val="16"/>
                <w:lang w:bidi="th-TH"/>
              </w:rPr>
              <w:footnoteReference w:id="34"/>
            </w:r>
          </w:p>
          <w:p w:rsidR="00B45FC3" w:rsidRPr="00526311" w:rsidRDefault="00B45FC3" w:rsidP="0063039A">
            <w:pPr>
              <w:rPr>
                <w:sz w:val="16"/>
                <w:szCs w:val="16"/>
              </w:rPr>
            </w:pPr>
          </w:p>
        </w:tc>
        <w:tc>
          <w:tcPr>
            <w:tcW w:w="530" w:type="pct"/>
            <w:shd w:val="clear" w:color="auto" w:fill="auto"/>
            <w:tcMar>
              <w:top w:w="110" w:type="dxa"/>
            </w:tcMar>
          </w:tcPr>
          <w:p w:rsidR="00B45FC3" w:rsidRPr="00526311" w:rsidRDefault="00B45FC3" w:rsidP="0063039A">
            <w:pPr>
              <w:keepNext/>
              <w:keepLines/>
              <w:ind w:left="-125" w:right="-107"/>
              <w:jc w:val="center"/>
              <w:rPr>
                <w:b/>
                <w:bCs/>
                <w:color w:val="808080"/>
                <w:sz w:val="16"/>
                <w:szCs w:val="16"/>
              </w:rPr>
            </w:pPr>
            <w:r w:rsidRPr="00526311">
              <w:rPr>
                <w:b/>
                <w:bCs/>
                <w:color w:val="FF0000"/>
                <w:sz w:val="16"/>
                <w:szCs w:val="16"/>
              </w:rPr>
              <w:t>No avanza</w:t>
            </w:r>
          </w:p>
        </w:tc>
      </w:tr>
      <w:tr w:rsidR="00B45FC3" w:rsidRPr="00526311" w:rsidTr="0063039A">
        <w:trPr>
          <w:cantSplit/>
          <w:trHeight w:val="471"/>
        </w:trPr>
        <w:tc>
          <w:tcPr>
            <w:tcW w:w="5000" w:type="pct"/>
            <w:gridSpan w:val="6"/>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735"/>
              </w:tabs>
              <w:ind w:left="1735" w:hanging="1735"/>
              <w:rPr>
                <w:b/>
                <w:bCs/>
                <w:sz w:val="16"/>
                <w:szCs w:val="16"/>
              </w:rPr>
            </w:pPr>
            <w:r w:rsidRPr="00526311">
              <w:rPr>
                <w:b/>
                <w:bCs/>
                <w:sz w:val="16"/>
                <w:szCs w:val="16"/>
              </w:rPr>
              <w:t>Resultado previsto:</w:t>
            </w:r>
            <w:r w:rsidRPr="00526311">
              <w:rPr>
                <w:b/>
                <w:bCs/>
                <w:sz w:val="16"/>
                <w:szCs w:val="16"/>
              </w:rPr>
              <w:tab/>
            </w:r>
            <w:r w:rsidRPr="00526311">
              <w:rPr>
                <w:color w:val="000000"/>
                <w:sz w:val="16"/>
                <w:szCs w:val="16"/>
                <w:lang w:bidi="th-TH"/>
              </w:rPr>
              <w:t>II.6 Mayor y más eficaz utilización de los Sistemas de Madrid y de Lisboa por los países en desarrollo y los PMA, entre otros</w:t>
            </w:r>
          </w:p>
        </w:tc>
      </w:tr>
      <w:tr w:rsidR="00B45FC3" w:rsidRPr="00526311" w:rsidTr="0063039A">
        <w:trPr>
          <w:cantSplit/>
        </w:trPr>
        <w:tc>
          <w:tcPr>
            <w:tcW w:w="1137" w:type="pct"/>
            <w:tcBorders>
              <w:top w:val="single" w:sz="4" w:space="0" w:color="auto"/>
            </w:tcBorders>
            <w:shd w:val="clear" w:color="auto" w:fill="auto"/>
            <w:vAlign w:val="center"/>
          </w:tcPr>
          <w:p w:rsidR="00B45FC3" w:rsidRPr="00526311" w:rsidRDefault="00B45FC3" w:rsidP="0063039A">
            <w:pPr>
              <w:rPr>
                <w:sz w:val="16"/>
                <w:szCs w:val="16"/>
              </w:rPr>
            </w:pPr>
            <w:r w:rsidRPr="00526311">
              <w:rPr>
                <w:b/>
                <w:sz w:val="16"/>
                <w:szCs w:val="16"/>
              </w:rPr>
              <w:t>Indicadores de rendimiento</w:t>
            </w:r>
          </w:p>
        </w:tc>
        <w:tc>
          <w:tcPr>
            <w:tcW w:w="1290"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836" w:type="pct"/>
            <w:tcBorders>
              <w:top w:val="single" w:sz="4" w:space="0" w:color="auto"/>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131" w:type="pct"/>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606" w:type="pct"/>
            <w:gridSpan w:val="2"/>
            <w:tcBorders>
              <w:top w:val="single" w:sz="4" w:space="0" w:color="auto"/>
            </w:tcBorders>
            <w:shd w:val="clear" w:color="auto" w:fill="auto"/>
            <w:tcMar>
              <w:top w:w="110" w:type="dxa"/>
            </w:tcMar>
            <w:vAlign w:val="center"/>
          </w:tcPr>
          <w:p w:rsidR="00B45FC3" w:rsidRPr="00526311" w:rsidRDefault="00B45FC3" w:rsidP="0063039A">
            <w:pPr>
              <w:keepNext/>
              <w:keepLines/>
              <w:ind w:left="-125"/>
              <w:jc w:val="center"/>
              <w:rPr>
                <w:b/>
                <w:bCs/>
                <w:sz w:val="16"/>
                <w:szCs w:val="16"/>
              </w:rPr>
            </w:pPr>
            <w:r w:rsidRPr="00526311">
              <w:rPr>
                <w:b/>
                <w:bCs/>
                <w:sz w:val="16"/>
                <w:szCs w:val="16"/>
              </w:rPr>
              <w:t>Clave de colores</w:t>
            </w:r>
          </w:p>
        </w:tc>
      </w:tr>
      <w:tr w:rsidR="00B45FC3" w:rsidRPr="00526311" w:rsidTr="0063039A">
        <w:trPr>
          <w:cantSplit/>
        </w:trPr>
        <w:tc>
          <w:tcPr>
            <w:tcW w:w="1137" w:type="pct"/>
            <w:shd w:val="clear" w:color="auto" w:fill="auto"/>
          </w:tcPr>
          <w:p w:rsidR="00B45FC3" w:rsidRPr="00526311" w:rsidRDefault="00B45FC3" w:rsidP="0063039A">
            <w:pPr>
              <w:rPr>
                <w:sz w:val="16"/>
                <w:szCs w:val="16"/>
                <w:lang w:bidi="th-TH"/>
              </w:rPr>
            </w:pPr>
            <w:r w:rsidRPr="00526311">
              <w:rPr>
                <w:sz w:val="16"/>
                <w:szCs w:val="16"/>
                <w:lang w:bidi="th-TH"/>
              </w:rPr>
              <w:t>Número de solicitantes de los Sistemas de Madrid y de Lisboa procedentes de países con economías en transición y países desarrollados.</w:t>
            </w:r>
          </w:p>
        </w:tc>
        <w:tc>
          <w:tcPr>
            <w:tcW w:w="1290" w:type="pct"/>
            <w:shd w:val="clear" w:color="auto" w:fill="auto"/>
          </w:tcPr>
          <w:p w:rsidR="00B45FC3" w:rsidRPr="00526311" w:rsidRDefault="001A4F69" w:rsidP="0063039A">
            <w:pPr>
              <w:rPr>
                <w:i/>
                <w:color w:val="002060"/>
                <w:sz w:val="16"/>
                <w:szCs w:val="16"/>
              </w:rPr>
            </w:pPr>
            <w:r w:rsidRPr="00526311">
              <w:rPr>
                <w:i/>
                <w:color w:val="002060"/>
                <w:sz w:val="16"/>
                <w:szCs w:val="16"/>
              </w:rPr>
              <w:t>Referencia actualizada a fines de</w:t>
            </w:r>
            <w:r w:rsidR="00B45FC3" w:rsidRPr="00526311">
              <w:rPr>
                <w:i/>
                <w:color w:val="002060"/>
                <w:sz w:val="16"/>
                <w:szCs w:val="16"/>
              </w:rPr>
              <w:t xml:space="preserve"> 2013:  </w:t>
            </w:r>
          </w:p>
          <w:p w:rsidR="00B45FC3" w:rsidRPr="00526311" w:rsidRDefault="00B45FC3" w:rsidP="0063039A">
            <w:pPr>
              <w:rPr>
                <w:color w:val="002060"/>
                <w:sz w:val="16"/>
                <w:szCs w:val="16"/>
              </w:rPr>
            </w:pPr>
            <w:r w:rsidRPr="00526311">
              <w:rPr>
                <w:color w:val="002060"/>
                <w:sz w:val="16"/>
                <w:szCs w:val="16"/>
              </w:rPr>
              <w:t>Madrid</w:t>
            </w:r>
          </w:p>
          <w:p w:rsidR="00B45FC3" w:rsidRPr="00526311" w:rsidRDefault="00B45FC3" w:rsidP="0063039A">
            <w:pPr>
              <w:rPr>
                <w:color w:val="002060"/>
                <w:sz w:val="16"/>
                <w:szCs w:val="16"/>
              </w:rPr>
            </w:pPr>
            <w:r w:rsidRPr="00526311">
              <w:rPr>
                <w:color w:val="002060"/>
                <w:sz w:val="16"/>
                <w:szCs w:val="16"/>
              </w:rPr>
              <w:t>43.149 (2013)</w:t>
            </w:r>
          </w:p>
          <w:p w:rsidR="00B45FC3" w:rsidRPr="00526311" w:rsidRDefault="00B45FC3" w:rsidP="0063039A">
            <w:pPr>
              <w:rPr>
                <w:color w:val="002060"/>
                <w:sz w:val="16"/>
                <w:szCs w:val="16"/>
              </w:rPr>
            </w:pPr>
            <w:r w:rsidRPr="00526311">
              <w:rPr>
                <w:color w:val="002060"/>
                <w:sz w:val="16"/>
                <w:szCs w:val="16"/>
              </w:rPr>
              <w:t>40.640 (2012)</w:t>
            </w:r>
          </w:p>
          <w:p w:rsidR="00B45FC3" w:rsidRPr="00526311" w:rsidRDefault="00B45FC3" w:rsidP="0063039A">
            <w:pPr>
              <w:rPr>
                <w:color w:val="002060"/>
                <w:sz w:val="16"/>
                <w:szCs w:val="16"/>
              </w:rPr>
            </w:pPr>
          </w:p>
          <w:p w:rsidR="00B45FC3" w:rsidRPr="00526311" w:rsidRDefault="00B45FC3" w:rsidP="0063039A">
            <w:pPr>
              <w:rPr>
                <w:color w:val="002060"/>
                <w:sz w:val="16"/>
                <w:szCs w:val="16"/>
              </w:rPr>
            </w:pPr>
            <w:r w:rsidRPr="00526311">
              <w:rPr>
                <w:color w:val="002060"/>
                <w:sz w:val="16"/>
                <w:szCs w:val="16"/>
              </w:rPr>
              <w:t>Lisboa:</w:t>
            </w:r>
          </w:p>
          <w:p w:rsidR="00B45FC3" w:rsidRPr="00526311" w:rsidRDefault="00B45FC3" w:rsidP="0063039A">
            <w:pPr>
              <w:rPr>
                <w:color w:val="002060"/>
                <w:sz w:val="16"/>
                <w:szCs w:val="16"/>
              </w:rPr>
            </w:pPr>
            <w:r w:rsidRPr="00526311">
              <w:rPr>
                <w:color w:val="002060"/>
                <w:sz w:val="16"/>
                <w:szCs w:val="16"/>
              </w:rPr>
              <w:t>749 de 816 registros en vigor.</w:t>
            </w:r>
          </w:p>
          <w:p w:rsidR="00B45FC3" w:rsidRPr="00526311" w:rsidRDefault="00B45FC3" w:rsidP="0063039A">
            <w:pPr>
              <w:rPr>
                <w:i/>
                <w:sz w:val="8"/>
                <w:szCs w:val="8"/>
              </w:rPr>
            </w:pPr>
          </w:p>
          <w:p w:rsidR="00B45FC3" w:rsidRPr="00526311" w:rsidRDefault="00B45FC3" w:rsidP="0063039A">
            <w:pPr>
              <w:rPr>
                <w:sz w:val="16"/>
                <w:szCs w:val="16"/>
                <w:lang w:bidi="th-TH"/>
              </w:rPr>
            </w:pPr>
            <w:r w:rsidRPr="00526311">
              <w:rPr>
                <w:i/>
                <w:sz w:val="16"/>
                <w:szCs w:val="16"/>
              </w:rPr>
              <w:t>Referencia original en el presupuesto de 2014/15:</w:t>
            </w:r>
            <w:r w:rsidRPr="00526311">
              <w:rPr>
                <w:sz w:val="16"/>
                <w:szCs w:val="16"/>
              </w:rPr>
              <w:t xml:space="preserve"> por determinar.</w:t>
            </w:r>
          </w:p>
        </w:tc>
        <w:tc>
          <w:tcPr>
            <w:tcW w:w="836" w:type="pct"/>
            <w:shd w:val="clear" w:color="auto" w:fill="auto"/>
            <w:tcMar>
              <w:top w:w="110" w:type="dxa"/>
            </w:tcMar>
          </w:tcPr>
          <w:p w:rsidR="00B45FC3" w:rsidRPr="00526311" w:rsidRDefault="00B45FC3" w:rsidP="0063039A">
            <w:pPr>
              <w:rPr>
                <w:sz w:val="16"/>
                <w:szCs w:val="16"/>
              </w:rPr>
            </w:pPr>
            <w:r w:rsidRPr="00526311">
              <w:rPr>
                <w:sz w:val="16"/>
                <w:szCs w:val="16"/>
              </w:rPr>
              <w:t>Aumento del 2%.</w:t>
            </w:r>
          </w:p>
        </w:tc>
        <w:tc>
          <w:tcPr>
            <w:tcW w:w="1131" w:type="pct"/>
            <w:shd w:val="clear" w:color="auto" w:fill="FFFFFF"/>
            <w:tcMar>
              <w:top w:w="110" w:type="dxa"/>
            </w:tcMar>
          </w:tcPr>
          <w:p w:rsidR="00B45FC3" w:rsidRPr="00526311" w:rsidRDefault="00B45FC3" w:rsidP="0063039A">
            <w:pPr>
              <w:keepNext/>
              <w:keepLines/>
              <w:outlineLvl w:val="4"/>
              <w:rPr>
                <w:sz w:val="16"/>
                <w:szCs w:val="16"/>
                <w:lang w:bidi="th-TH"/>
              </w:rPr>
            </w:pPr>
            <w:r w:rsidRPr="00526311">
              <w:rPr>
                <w:sz w:val="16"/>
                <w:szCs w:val="16"/>
                <w:lang w:bidi="th-TH"/>
              </w:rPr>
              <w:t>Madrid</w:t>
            </w:r>
          </w:p>
          <w:p w:rsidR="00B45FC3" w:rsidRPr="00526311" w:rsidRDefault="00B45FC3" w:rsidP="0063039A">
            <w:pPr>
              <w:rPr>
                <w:sz w:val="16"/>
                <w:szCs w:val="16"/>
                <w:lang w:bidi="th-TH"/>
              </w:rPr>
            </w:pPr>
            <w:r w:rsidRPr="00526311">
              <w:rPr>
                <w:sz w:val="16"/>
                <w:szCs w:val="16"/>
                <w:lang w:bidi="th-TH"/>
              </w:rPr>
              <w:t>43.748  (2014) 1,39</w:t>
            </w:r>
            <w:r w:rsidRPr="00526311">
              <w:rPr>
                <w:color w:val="000000"/>
                <w:sz w:val="16"/>
                <w:szCs w:val="16"/>
                <w:lang w:bidi="th-TH"/>
              </w:rPr>
              <w:t>%</w:t>
            </w:r>
            <w:r w:rsidRPr="00526311">
              <w:rPr>
                <w:rStyle w:val="FootnoteReference"/>
                <w:sz w:val="16"/>
                <w:szCs w:val="16"/>
                <w:lang w:bidi="th-TH"/>
              </w:rPr>
              <w:footnoteReference w:id="35"/>
            </w:r>
            <w:r w:rsidRPr="00526311">
              <w:rPr>
                <w:color w:val="000000"/>
                <w:sz w:val="16"/>
                <w:szCs w:val="16"/>
                <w:lang w:bidi="th-TH"/>
              </w:rPr>
              <w:t>.</w:t>
            </w:r>
          </w:p>
          <w:p w:rsidR="00B45FC3" w:rsidRPr="00526311" w:rsidRDefault="00B45FC3" w:rsidP="0063039A">
            <w:pPr>
              <w:keepNext/>
              <w:keepLines/>
              <w:outlineLvl w:val="4"/>
              <w:rPr>
                <w:sz w:val="16"/>
                <w:szCs w:val="16"/>
                <w:lang w:bidi="th-TH"/>
              </w:rPr>
            </w:pPr>
          </w:p>
          <w:p w:rsidR="00B45FC3" w:rsidRPr="00526311" w:rsidRDefault="00B45FC3" w:rsidP="0063039A">
            <w:pPr>
              <w:keepNext/>
              <w:keepLines/>
              <w:outlineLvl w:val="4"/>
              <w:rPr>
                <w:sz w:val="16"/>
                <w:szCs w:val="16"/>
                <w:lang w:bidi="th-TH"/>
              </w:rPr>
            </w:pPr>
            <w:r w:rsidRPr="00526311">
              <w:rPr>
                <w:sz w:val="16"/>
                <w:szCs w:val="16"/>
                <w:lang w:bidi="th-TH"/>
              </w:rPr>
              <w:t>Lisboa: 818 de 896 registros en vigor (2014) +9,2%.</w:t>
            </w:r>
          </w:p>
          <w:p w:rsidR="00B45FC3" w:rsidRPr="00526311" w:rsidRDefault="00B45FC3" w:rsidP="0063039A">
            <w:pPr>
              <w:keepNext/>
              <w:keepLines/>
              <w:outlineLvl w:val="4"/>
              <w:rPr>
                <w:sz w:val="16"/>
                <w:szCs w:val="16"/>
                <w:lang w:bidi="th-TH"/>
              </w:rPr>
            </w:pPr>
          </w:p>
          <w:p w:rsidR="00B45FC3" w:rsidRPr="00526311" w:rsidRDefault="00B45FC3" w:rsidP="0063039A">
            <w:pPr>
              <w:rPr>
                <w:sz w:val="16"/>
                <w:szCs w:val="16"/>
              </w:rPr>
            </w:pPr>
          </w:p>
        </w:tc>
        <w:tc>
          <w:tcPr>
            <w:tcW w:w="606" w:type="pct"/>
            <w:gridSpan w:val="2"/>
            <w:shd w:val="clear" w:color="auto" w:fill="auto"/>
            <w:tcMar>
              <w:top w:w="110" w:type="dxa"/>
            </w:tcMar>
          </w:tcPr>
          <w:p w:rsidR="00B45FC3" w:rsidRPr="00526311" w:rsidRDefault="00B45FC3" w:rsidP="0063039A">
            <w:pPr>
              <w:keepNext/>
              <w:keepLines/>
              <w:ind w:right="-107"/>
              <w:rPr>
                <w:bCs/>
                <w:color w:val="00B050"/>
                <w:sz w:val="16"/>
                <w:szCs w:val="16"/>
              </w:rPr>
            </w:pPr>
            <w:r w:rsidRPr="00526311">
              <w:rPr>
                <w:b/>
                <w:bCs/>
                <w:color w:val="00B050"/>
                <w:sz w:val="16"/>
                <w:szCs w:val="16"/>
              </w:rPr>
              <w:t>Avanza</w:t>
            </w:r>
          </w:p>
        </w:tc>
      </w:tr>
      <w:tr w:rsidR="00B45FC3" w:rsidRPr="00526311" w:rsidTr="0063039A">
        <w:trPr>
          <w:cantSplit/>
          <w:trHeight w:val="687"/>
        </w:trPr>
        <w:tc>
          <w:tcPr>
            <w:tcW w:w="5000" w:type="pct"/>
            <w:gridSpan w:val="6"/>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735"/>
              </w:tabs>
              <w:ind w:left="1735" w:hanging="1735"/>
              <w:rPr>
                <w:b/>
                <w:bCs/>
                <w:sz w:val="16"/>
                <w:szCs w:val="16"/>
              </w:rPr>
            </w:pPr>
            <w:r w:rsidRPr="00526311">
              <w:rPr>
                <w:b/>
                <w:bCs/>
                <w:sz w:val="16"/>
                <w:szCs w:val="16"/>
              </w:rPr>
              <w:t>Resultado previsto:</w:t>
            </w:r>
            <w:r w:rsidRPr="00526311">
              <w:rPr>
                <w:b/>
                <w:bCs/>
                <w:sz w:val="16"/>
                <w:szCs w:val="16"/>
              </w:rPr>
              <w:tab/>
            </w:r>
            <w:r w:rsidRPr="00526311">
              <w:rPr>
                <w:sz w:val="16"/>
                <w:szCs w:val="16"/>
                <w:lang w:bidi="th-TH"/>
              </w:rPr>
              <w:t>II.8 Las controversias nacionales e internacionales en materia de P.I. se evitan o resuelven cada vez con más frecuencia mediante procedimientos de mediación, arbitraje y demás métodos de solución extrajudicial de controversias</w:t>
            </w:r>
          </w:p>
        </w:tc>
      </w:tr>
      <w:tr w:rsidR="00B45FC3" w:rsidRPr="00526311" w:rsidTr="0063039A">
        <w:trPr>
          <w:cantSplit/>
          <w:trHeight w:val="555"/>
        </w:trPr>
        <w:tc>
          <w:tcPr>
            <w:tcW w:w="1137" w:type="pct"/>
            <w:tcBorders>
              <w:top w:val="single" w:sz="4" w:space="0" w:color="auto"/>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90" w:type="pct"/>
            <w:tcBorders>
              <w:top w:val="single" w:sz="4" w:space="0" w:color="auto"/>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836" w:type="pct"/>
            <w:tcBorders>
              <w:top w:val="single" w:sz="4" w:space="0" w:color="auto"/>
            </w:tcBorders>
            <w:shd w:val="clear" w:color="auto" w:fill="auto"/>
            <w:tcMar>
              <w:top w:w="110" w:type="dxa"/>
            </w:tcMar>
            <w:vAlign w:val="center"/>
          </w:tcPr>
          <w:p w:rsidR="00B45FC3" w:rsidRPr="00526311" w:rsidRDefault="00B45FC3" w:rsidP="0063039A">
            <w:pPr>
              <w:keepNext/>
              <w:keepLines/>
              <w:rPr>
                <w:b/>
                <w:sz w:val="16"/>
                <w:szCs w:val="16"/>
              </w:rPr>
            </w:pPr>
            <w:r w:rsidRPr="00526311">
              <w:rPr>
                <w:b/>
                <w:sz w:val="16"/>
                <w:szCs w:val="16"/>
              </w:rPr>
              <w:t>Objetivos</w:t>
            </w:r>
          </w:p>
        </w:tc>
        <w:tc>
          <w:tcPr>
            <w:tcW w:w="1131" w:type="pct"/>
            <w:tcBorders>
              <w:top w:val="single" w:sz="4" w:space="0" w:color="auto"/>
            </w:tcBorders>
            <w:shd w:val="clear" w:color="auto" w:fill="FFFFFF"/>
            <w:tcMar>
              <w:top w:w="110" w:type="dxa"/>
            </w:tcMar>
            <w:vAlign w:val="center"/>
          </w:tcPr>
          <w:p w:rsidR="00B45FC3" w:rsidRPr="00526311" w:rsidRDefault="00B45FC3" w:rsidP="0063039A">
            <w:pPr>
              <w:keepNext/>
              <w:keepLines/>
              <w:rPr>
                <w:sz w:val="16"/>
                <w:szCs w:val="16"/>
              </w:rPr>
            </w:pPr>
            <w:r w:rsidRPr="00526311">
              <w:rPr>
                <w:b/>
                <w:sz w:val="16"/>
                <w:szCs w:val="16"/>
              </w:rPr>
              <w:t>Datos sobre el rendimiento</w:t>
            </w:r>
          </w:p>
        </w:tc>
        <w:tc>
          <w:tcPr>
            <w:tcW w:w="606" w:type="pct"/>
            <w:gridSpan w:val="2"/>
            <w:tcBorders>
              <w:top w:val="single" w:sz="4" w:space="0" w:color="auto"/>
            </w:tcBorders>
            <w:shd w:val="clear" w:color="auto" w:fill="auto"/>
            <w:tcMar>
              <w:top w:w="110" w:type="dxa"/>
            </w:tcMar>
            <w:vAlign w:val="center"/>
          </w:tcPr>
          <w:p w:rsidR="00B45FC3" w:rsidRPr="00526311" w:rsidRDefault="00B45FC3" w:rsidP="0063039A">
            <w:pPr>
              <w:keepNext/>
              <w:keepLines/>
              <w:ind w:left="-125"/>
              <w:jc w:val="center"/>
              <w:rPr>
                <w:b/>
                <w:bCs/>
                <w:sz w:val="16"/>
                <w:szCs w:val="16"/>
              </w:rPr>
            </w:pPr>
            <w:r w:rsidRPr="00526311">
              <w:rPr>
                <w:b/>
                <w:bCs/>
                <w:sz w:val="16"/>
                <w:szCs w:val="16"/>
              </w:rPr>
              <w:t>Clave de colores</w:t>
            </w:r>
          </w:p>
        </w:tc>
      </w:tr>
      <w:tr w:rsidR="00B45FC3" w:rsidRPr="00526311" w:rsidTr="0063039A">
        <w:trPr>
          <w:cantSplit/>
        </w:trPr>
        <w:tc>
          <w:tcPr>
            <w:tcW w:w="1137" w:type="pct"/>
            <w:tcBorders>
              <w:bottom w:val="single" w:sz="4" w:space="0" w:color="auto"/>
            </w:tcBorders>
            <w:shd w:val="clear" w:color="auto" w:fill="auto"/>
          </w:tcPr>
          <w:p w:rsidR="00B45FC3" w:rsidRPr="00526311" w:rsidRDefault="00B45FC3" w:rsidP="0063039A">
            <w:pPr>
              <w:rPr>
                <w:sz w:val="16"/>
                <w:szCs w:val="16"/>
                <w:lang w:bidi="th-TH"/>
              </w:rPr>
            </w:pPr>
            <w:r w:rsidRPr="00526311">
              <w:rPr>
                <w:sz w:val="16"/>
                <w:szCs w:val="16"/>
                <w:lang w:bidi="th-TH"/>
              </w:rPr>
              <w:t>Número de usuarios de países con economías en transición y países desarrollados que utilizan los servicios del Centro de Arbitraje y Mediación.</w:t>
            </w:r>
          </w:p>
        </w:tc>
        <w:tc>
          <w:tcPr>
            <w:tcW w:w="1290" w:type="pct"/>
            <w:tcBorders>
              <w:bottom w:val="single" w:sz="4" w:space="0" w:color="auto"/>
            </w:tcBorders>
            <w:shd w:val="clear" w:color="auto" w:fill="auto"/>
          </w:tcPr>
          <w:p w:rsidR="00B45FC3" w:rsidRPr="00526311" w:rsidRDefault="001A4F69" w:rsidP="0063039A">
            <w:pPr>
              <w:rPr>
                <w:color w:val="002060"/>
                <w:sz w:val="16"/>
                <w:szCs w:val="16"/>
                <w:lang w:bidi="th-TH"/>
              </w:rPr>
            </w:pPr>
            <w:r w:rsidRPr="00526311">
              <w:rPr>
                <w:i/>
                <w:color w:val="002060"/>
                <w:sz w:val="16"/>
                <w:szCs w:val="16"/>
              </w:rPr>
              <w:t>Referencia actualizada a fines de</w:t>
            </w:r>
            <w:r w:rsidR="00B45FC3" w:rsidRPr="00526311">
              <w:rPr>
                <w:i/>
                <w:color w:val="002060"/>
                <w:sz w:val="16"/>
                <w:szCs w:val="16"/>
              </w:rPr>
              <w:t xml:space="preserve"> 2013: </w:t>
            </w:r>
            <w:r w:rsidR="00B45FC3" w:rsidRPr="00526311">
              <w:rPr>
                <w:color w:val="002060"/>
                <w:sz w:val="16"/>
                <w:szCs w:val="16"/>
              </w:rPr>
              <w:t>359 controversias y 51 buenos oficios en relación con partes de países con economías en transición y desarrollados (en total al final de 2013)</w:t>
            </w:r>
            <w:r w:rsidR="00B45FC3" w:rsidRPr="00526311">
              <w:rPr>
                <w:i/>
                <w:color w:val="002060"/>
                <w:sz w:val="16"/>
                <w:szCs w:val="16"/>
              </w:rPr>
              <w:t>.</w:t>
            </w:r>
          </w:p>
          <w:p w:rsidR="00B45FC3" w:rsidRPr="00526311" w:rsidRDefault="00B45FC3" w:rsidP="0063039A">
            <w:pPr>
              <w:rPr>
                <w:i/>
                <w:color w:val="002060"/>
                <w:sz w:val="8"/>
                <w:szCs w:val="8"/>
              </w:rPr>
            </w:pPr>
          </w:p>
          <w:p w:rsidR="00B45FC3" w:rsidRPr="00526311" w:rsidRDefault="00B45FC3" w:rsidP="0063039A">
            <w:pPr>
              <w:rPr>
                <w:color w:val="000000"/>
                <w:sz w:val="16"/>
                <w:szCs w:val="16"/>
                <w:lang w:bidi="th-TH"/>
              </w:rPr>
            </w:pPr>
            <w:r w:rsidRPr="00526311">
              <w:rPr>
                <w:i/>
                <w:sz w:val="16"/>
                <w:szCs w:val="16"/>
              </w:rPr>
              <w:t>Referencia original en el  presupuesto de 2014/15:  por determinar.</w:t>
            </w:r>
            <w:r w:rsidRPr="00526311">
              <w:rPr>
                <w:sz w:val="16"/>
                <w:szCs w:val="16"/>
              </w:rPr>
              <w:br/>
            </w:r>
          </w:p>
        </w:tc>
        <w:tc>
          <w:tcPr>
            <w:tcW w:w="836" w:type="pct"/>
            <w:tcBorders>
              <w:bottom w:val="single" w:sz="4" w:space="0" w:color="auto"/>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Aumento del 2%.</w:t>
            </w:r>
          </w:p>
        </w:tc>
        <w:tc>
          <w:tcPr>
            <w:tcW w:w="1131" w:type="pct"/>
            <w:tcBorders>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18 controversias adicionales y 25 buenos oficios adicionales en relación con partes de países en transición y desarrollados (2014).</w:t>
            </w:r>
          </w:p>
        </w:tc>
        <w:tc>
          <w:tcPr>
            <w:tcW w:w="606" w:type="pct"/>
            <w:gridSpan w:val="2"/>
            <w:tcBorders>
              <w:bottom w:val="single" w:sz="4" w:space="0" w:color="auto"/>
            </w:tcBorders>
            <w:shd w:val="clear" w:color="auto" w:fill="auto"/>
            <w:tcMar>
              <w:top w:w="110" w:type="dxa"/>
            </w:tcMar>
          </w:tcPr>
          <w:p w:rsidR="00B45FC3" w:rsidRPr="00526311" w:rsidRDefault="00B45FC3" w:rsidP="0063039A">
            <w:pPr>
              <w:keepNext/>
              <w:keepLines/>
              <w:ind w:right="-107"/>
              <w:rPr>
                <w:bCs/>
                <w:color w:val="00B050"/>
                <w:sz w:val="16"/>
                <w:szCs w:val="16"/>
              </w:rPr>
            </w:pPr>
            <w:r w:rsidRPr="00526311">
              <w:rPr>
                <w:b/>
                <w:bCs/>
                <w:color w:val="00B050"/>
                <w:sz w:val="16"/>
                <w:szCs w:val="16"/>
              </w:rPr>
              <w:t>Avanza</w:t>
            </w:r>
          </w:p>
        </w:tc>
      </w:tr>
      <w:tr w:rsidR="00B45FC3" w:rsidRPr="00526311" w:rsidTr="0063039A">
        <w:trPr>
          <w:cantSplit/>
          <w:trHeight w:val="439"/>
        </w:trPr>
        <w:tc>
          <w:tcPr>
            <w:tcW w:w="5000" w:type="pct"/>
            <w:gridSpan w:val="6"/>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735"/>
              </w:tabs>
              <w:ind w:left="1735" w:hanging="1735"/>
              <w:rPr>
                <w:b/>
                <w:bCs/>
                <w:sz w:val="16"/>
                <w:szCs w:val="16"/>
              </w:rPr>
            </w:pPr>
            <w:r w:rsidRPr="00526311">
              <w:rPr>
                <w:b/>
                <w:bCs/>
                <w:sz w:val="16"/>
                <w:szCs w:val="16"/>
              </w:rPr>
              <w:lastRenderedPageBreak/>
              <w:t>Resultado previsto:</w:t>
            </w:r>
            <w:r w:rsidRPr="00526311">
              <w:rPr>
                <w:b/>
                <w:bCs/>
                <w:sz w:val="16"/>
                <w:szCs w:val="16"/>
              </w:rPr>
              <w:tab/>
            </w:r>
            <w:r w:rsidRPr="00526311">
              <w:rPr>
                <w:sz w:val="16"/>
                <w:szCs w:val="16"/>
                <w:lang w:bidi="th-TH"/>
              </w:rPr>
              <w:t>III.1 Estrategias y planes nacionales de innovación y de P.I. que estén en sintonía con los objetivos nacionales de desarrollo</w:t>
            </w:r>
          </w:p>
        </w:tc>
      </w:tr>
      <w:tr w:rsidR="00B45FC3" w:rsidRPr="00526311" w:rsidTr="0063039A">
        <w:trPr>
          <w:cantSplit/>
          <w:trHeight w:val="274"/>
        </w:trPr>
        <w:tc>
          <w:tcPr>
            <w:tcW w:w="1137" w:type="pct"/>
            <w:tcBorders>
              <w:top w:val="single" w:sz="4" w:space="0" w:color="auto"/>
              <w:left w:val="single" w:sz="4" w:space="0" w:color="auto"/>
              <w:bottom w:val="nil"/>
              <w:right w:val="nil"/>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90"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836"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b/>
                <w:sz w:val="16"/>
                <w:szCs w:val="16"/>
              </w:rPr>
            </w:pPr>
            <w:r w:rsidRPr="00526311">
              <w:rPr>
                <w:b/>
                <w:sz w:val="16"/>
                <w:szCs w:val="16"/>
              </w:rPr>
              <w:t>Objetivos</w:t>
            </w:r>
          </w:p>
        </w:tc>
        <w:tc>
          <w:tcPr>
            <w:tcW w:w="1131"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sz w:val="16"/>
                <w:szCs w:val="16"/>
              </w:rPr>
            </w:pPr>
            <w:r w:rsidRPr="00526311">
              <w:rPr>
                <w:b/>
                <w:sz w:val="16"/>
                <w:szCs w:val="16"/>
              </w:rPr>
              <w:t>Datos sobre el rendimiento</w:t>
            </w:r>
          </w:p>
        </w:tc>
        <w:tc>
          <w:tcPr>
            <w:tcW w:w="606" w:type="pct"/>
            <w:gridSpan w:val="2"/>
            <w:tcBorders>
              <w:top w:val="single" w:sz="4" w:space="0" w:color="auto"/>
              <w:left w:val="nil"/>
              <w:bottom w:val="nil"/>
              <w:right w:val="single" w:sz="4" w:space="0" w:color="auto"/>
            </w:tcBorders>
            <w:shd w:val="clear" w:color="auto" w:fill="auto"/>
            <w:vAlign w:val="center"/>
          </w:tcPr>
          <w:p w:rsidR="00B45FC3" w:rsidRPr="00526311" w:rsidRDefault="00B45FC3" w:rsidP="0063039A">
            <w:pPr>
              <w:keepNext/>
              <w:keepLines/>
              <w:ind w:left="-125"/>
              <w:jc w:val="center"/>
              <w:rPr>
                <w:b/>
                <w:bCs/>
                <w:sz w:val="16"/>
                <w:szCs w:val="16"/>
              </w:rPr>
            </w:pPr>
            <w:r w:rsidRPr="00526311">
              <w:rPr>
                <w:b/>
                <w:bCs/>
                <w:sz w:val="16"/>
                <w:szCs w:val="16"/>
              </w:rPr>
              <w:t>Clave de colores</w:t>
            </w:r>
          </w:p>
        </w:tc>
      </w:tr>
      <w:tr w:rsidR="00B45FC3" w:rsidRPr="00526311" w:rsidTr="0063039A">
        <w:trPr>
          <w:cantSplit/>
        </w:trPr>
        <w:tc>
          <w:tcPr>
            <w:tcW w:w="1137" w:type="pct"/>
            <w:tcBorders>
              <w:top w:val="nil"/>
              <w:left w:val="single" w:sz="4" w:space="0" w:color="auto"/>
              <w:bottom w:val="nil"/>
              <w:right w:val="nil"/>
            </w:tcBorders>
            <w:shd w:val="clear" w:color="auto" w:fill="auto"/>
          </w:tcPr>
          <w:p w:rsidR="00B45FC3" w:rsidRPr="00526311" w:rsidRDefault="00B45FC3" w:rsidP="0063039A">
            <w:pPr>
              <w:rPr>
                <w:sz w:val="16"/>
                <w:szCs w:val="16"/>
                <w:lang w:bidi="th-TH"/>
              </w:rPr>
            </w:pPr>
            <w:r w:rsidRPr="00526311">
              <w:rPr>
                <w:sz w:val="16"/>
                <w:szCs w:val="16"/>
                <w:lang w:bidi="th-TH"/>
              </w:rPr>
              <w:t>Número de universidades que han elaborado políticas de P.I.</w:t>
            </w:r>
          </w:p>
          <w:p w:rsidR="00B45FC3" w:rsidRPr="00526311" w:rsidRDefault="00B45FC3" w:rsidP="0063039A">
            <w:pPr>
              <w:rPr>
                <w:sz w:val="16"/>
                <w:szCs w:val="16"/>
                <w:lang w:bidi="th-TH"/>
              </w:rPr>
            </w:pPr>
          </w:p>
        </w:tc>
        <w:tc>
          <w:tcPr>
            <w:tcW w:w="1290" w:type="pct"/>
            <w:tcBorders>
              <w:top w:val="nil"/>
              <w:left w:val="nil"/>
              <w:bottom w:val="nil"/>
              <w:right w:val="nil"/>
            </w:tcBorders>
            <w:shd w:val="clear" w:color="auto" w:fill="auto"/>
          </w:tcPr>
          <w:p w:rsidR="00B45FC3" w:rsidRPr="00526311" w:rsidRDefault="00B45FC3" w:rsidP="0063039A">
            <w:pPr>
              <w:rPr>
                <w:sz w:val="16"/>
                <w:szCs w:val="16"/>
              </w:rPr>
            </w:pPr>
            <w:r w:rsidRPr="00526311">
              <w:rPr>
                <w:sz w:val="16"/>
                <w:szCs w:val="16"/>
              </w:rPr>
              <w:t>Por determinar.</w:t>
            </w:r>
          </w:p>
          <w:p w:rsidR="00B45FC3" w:rsidRPr="00526311" w:rsidRDefault="00B45FC3" w:rsidP="0063039A">
            <w:pPr>
              <w:rPr>
                <w:i/>
                <w:sz w:val="16"/>
                <w:szCs w:val="16"/>
              </w:rPr>
            </w:pPr>
          </w:p>
        </w:tc>
        <w:tc>
          <w:tcPr>
            <w:tcW w:w="836" w:type="pct"/>
            <w:tcBorders>
              <w:top w:val="nil"/>
              <w:left w:val="nil"/>
              <w:bottom w:val="nil"/>
              <w:right w:val="nil"/>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Otras 30 universidades.</w:t>
            </w:r>
          </w:p>
          <w:p w:rsidR="00B45FC3" w:rsidRPr="00526311" w:rsidRDefault="00B45FC3" w:rsidP="0063039A">
            <w:pPr>
              <w:rPr>
                <w:sz w:val="16"/>
                <w:szCs w:val="16"/>
                <w:lang w:bidi="th-TH"/>
              </w:rPr>
            </w:pPr>
          </w:p>
        </w:tc>
        <w:tc>
          <w:tcPr>
            <w:tcW w:w="1131" w:type="pct"/>
            <w:tcBorders>
              <w:top w:val="nil"/>
              <w:left w:val="nil"/>
              <w:bottom w:val="nil"/>
              <w:right w:val="nil"/>
            </w:tcBorders>
            <w:shd w:val="clear" w:color="auto" w:fill="FFFFFF"/>
            <w:tcMar>
              <w:top w:w="110" w:type="dxa"/>
            </w:tcMar>
          </w:tcPr>
          <w:p w:rsidR="00B45FC3" w:rsidRPr="00526311" w:rsidRDefault="00B45FC3" w:rsidP="0063039A">
            <w:pPr>
              <w:rPr>
                <w:sz w:val="16"/>
                <w:szCs w:val="16"/>
              </w:rPr>
            </w:pPr>
            <w:r w:rsidRPr="00526311">
              <w:rPr>
                <w:sz w:val="16"/>
                <w:szCs w:val="16"/>
              </w:rPr>
              <w:t>En 2014, 150 universidades elaboraron políticas de P.I.:</w:t>
            </w:r>
          </w:p>
          <w:p w:rsidR="00B45FC3" w:rsidRPr="00526311" w:rsidRDefault="00B45FC3" w:rsidP="00B45FC3">
            <w:pPr>
              <w:pStyle w:val="ListParagraph"/>
              <w:numPr>
                <w:ilvl w:val="0"/>
                <w:numId w:val="54"/>
              </w:numPr>
              <w:rPr>
                <w:rFonts w:cs="Arial"/>
                <w:sz w:val="16"/>
                <w:szCs w:val="16"/>
                <w:lang w:val="es-ES"/>
              </w:rPr>
            </w:pPr>
            <w:r w:rsidRPr="00526311">
              <w:rPr>
                <w:rFonts w:cs="Arial"/>
                <w:sz w:val="16"/>
                <w:szCs w:val="16"/>
                <w:lang w:val="es-ES"/>
              </w:rPr>
              <w:t>Polonia (148);</w:t>
            </w:r>
          </w:p>
          <w:p w:rsidR="00B45FC3" w:rsidRPr="00526311" w:rsidRDefault="00B45FC3" w:rsidP="00B45FC3">
            <w:pPr>
              <w:pStyle w:val="ListParagraph"/>
              <w:numPr>
                <w:ilvl w:val="0"/>
                <w:numId w:val="54"/>
              </w:numPr>
              <w:rPr>
                <w:rFonts w:cs="Arial"/>
                <w:sz w:val="16"/>
                <w:szCs w:val="16"/>
                <w:lang w:val="es-ES"/>
              </w:rPr>
            </w:pPr>
            <w:r w:rsidRPr="00526311">
              <w:rPr>
                <w:rFonts w:cs="Arial"/>
                <w:sz w:val="16"/>
                <w:szCs w:val="16"/>
                <w:lang w:val="es-ES"/>
              </w:rPr>
              <w:t>Federación de Rusia (1);  y</w:t>
            </w:r>
          </w:p>
          <w:p w:rsidR="00B45FC3" w:rsidRPr="00526311" w:rsidRDefault="00B45FC3" w:rsidP="00B45FC3">
            <w:pPr>
              <w:pStyle w:val="ListParagraph"/>
              <w:numPr>
                <w:ilvl w:val="0"/>
                <w:numId w:val="54"/>
              </w:numPr>
              <w:rPr>
                <w:rFonts w:cs="Arial"/>
                <w:sz w:val="16"/>
                <w:szCs w:val="16"/>
                <w:lang w:val="es-ES"/>
              </w:rPr>
            </w:pPr>
            <w:r w:rsidRPr="00526311">
              <w:rPr>
                <w:rFonts w:cs="Arial"/>
                <w:sz w:val="16"/>
                <w:szCs w:val="16"/>
                <w:lang w:val="es-ES"/>
              </w:rPr>
              <w:t xml:space="preserve">Uzbekistán (1) </w:t>
            </w:r>
          </w:p>
          <w:p w:rsidR="00B45FC3" w:rsidRPr="00526311" w:rsidRDefault="00B45FC3" w:rsidP="0063039A">
            <w:pPr>
              <w:rPr>
                <w:sz w:val="16"/>
                <w:szCs w:val="16"/>
              </w:rPr>
            </w:pPr>
          </w:p>
          <w:p w:rsidR="00B45FC3" w:rsidRPr="00526311" w:rsidRDefault="00B45FC3" w:rsidP="0063039A">
            <w:pPr>
              <w:rPr>
                <w:sz w:val="16"/>
                <w:szCs w:val="16"/>
              </w:rPr>
            </w:pPr>
            <w:r w:rsidRPr="00526311">
              <w:rPr>
                <w:sz w:val="16"/>
                <w:szCs w:val="16"/>
              </w:rPr>
              <w:t xml:space="preserve">El 1 de octubre de 2014, Polonia adoptó una Ley de enseñanza superior por la que se obliga a todas las instituciones de enseñanza superior (120 públicas y 294 privadas) a poner en marcha una política actualizada de P.I. a más tardar el 31 de marzo de 2015.  </w:t>
            </w:r>
          </w:p>
          <w:p w:rsidR="00B45FC3" w:rsidRPr="00526311" w:rsidRDefault="00B45FC3" w:rsidP="0063039A">
            <w:pPr>
              <w:rPr>
                <w:sz w:val="16"/>
                <w:szCs w:val="16"/>
              </w:rPr>
            </w:pPr>
          </w:p>
          <w:p w:rsidR="00B45FC3" w:rsidRPr="00526311" w:rsidRDefault="00B45FC3" w:rsidP="0063039A">
            <w:pPr>
              <w:rPr>
                <w:sz w:val="16"/>
                <w:szCs w:val="16"/>
              </w:rPr>
            </w:pPr>
            <w:r w:rsidRPr="00526311">
              <w:rPr>
                <w:sz w:val="16"/>
                <w:szCs w:val="16"/>
                <w:lang w:bidi="th-TH"/>
              </w:rPr>
              <w:t>Distintas universidades de</w:t>
            </w:r>
            <w:r w:rsidRPr="00526311">
              <w:rPr>
                <w:sz w:val="16"/>
                <w:szCs w:val="16"/>
              </w:rPr>
              <w:t xml:space="preserve"> Estonia, Lituania y Eslovaquia  </w:t>
            </w:r>
            <w:r w:rsidRPr="00526311">
              <w:rPr>
                <w:sz w:val="16"/>
                <w:szCs w:val="16"/>
                <w:lang w:bidi="th-TH"/>
              </w:rPr>
              <w:t>estaban elaborando políticas de P.I. en 2014.</w:t>
            </w:r>
          </w:p>
          <w:p w:rsidR="00B45FC3" w:rsidRPr="00526311" w:rsidRDefault="00B45FC3" w:rsidP="0063039A">
            <w:pPr>
              <w:rPr>
                <w:sz w:val="16"/>
                <w:szCs w:val="16"/>
              </w:rPr>
            </w:pPr>
          </w:p>
          <w:p w:rsidR="00B45FC3" w:rsidRPr="00526311" w:rsidRDefault="00B45FC3" w:rsidP="0063039A">
            <w:pPr>
              <w:rPr>
                <w:sz w:val="16"/>
                <w:szCs w:val="16"/>
                <w:lang w:bidi="th-TH"/>
              </w:rPr>
            </w:pPr>
            <w:r w:rsidRPr="00526311">
              <w:rPr>
                <w:sz w:val="16"/>
                <w:szCs w:val="16"/>
              </w:rPr>
              <w:t>Durante el bienio se llevará a cabo una encuesta para determinar cuántas políticas se habrán elaborado a finales de 2015.</w:t>
            </w:r>
          </w:p>
        </w:tc>
        <w:tc>
          <w:tcPr>
            <w:tcW w:w="606" w:type="pct"/>
            <w:gridSpan w:val="2"/>
            <w:tcBorders>
              <w:top w:val="nil"/>
              <w:left w:val="nil"/>
              <w:bottom w:val="nil"/>
              <w:right w:val="single" w:sz="4" w:space="0" w:color="auto"/>
            </w:tcBorders>
            <w:shd w:val="clear" w:color="auto" w:fill="auto"/>
            <w:tcMar>
              <w:top w:w="110" w:type="dxa"/>
            </w:tcMar>
          </w:tcPr>
          <w:p w:rsidR="00B45FC3" w:rsidRPr="00526311" w:rsidRDefault="00B45FC3" w:rsidP="0063039A">
            <w:pPr>
              <w:keepNext/>
              <w:keepLines/>
              <w:ind w:right="-107"/>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right="-107"/>
              <w:jc w:val="center"/>
              <w:rPr>
                <w:b/>
                <w:bCs/>
                <w:sz w:val="16"/>
                <w:szCs w:val="16"/>
              </w:rPr>
            </w:pPr>
          </w:p>
        </w:tc>
      </w:tr>
      <w:tr w:rsidR="00B45FC3" w:rsidRPr="00526311" w:rsidTr="0063039A">
        <w:trPr>
          <w:cantSplit/>
        </w:trPr>
        <w:tc>
          <w:tcPr>
            <w:tcW w:w="1137" w:type="pct"/>
            <w:tcBorders>
              <w:top w:val="nil"/>
              <w:left w:val="single" w:sz="4" w:space="0" w:color="auto"/>
              <w:bottom w:val="single" w:sz="4" w:space="0" w:color="auto"/>
            </w:tcBorders>
            <w:shd w:val="clear" w:color="auto" w:fill="auto"/>
          </w:tcPr>
          <w:p w:rsidR="00B45FC3" w:rsidRPr="00526311" w:rsidRDefault="00B45FC3" w:rsidP="0063039A">
            <w:pPr>
              <w:rPr>
                <w:sz w:val="16"/>
                <w:szCs w:val="16"/>
                <w:lang w:bidi="th-TH"/>
              </w:rPr>
            </w:pPr>
            <w:r w:rsidRPr="00526311">
              <w:rPr>
                <w:sz w:val="16"/>
                <w:szCs w:val="16"/>
                <w:lang w:bidi="th-TH"/>
              </w:rPr>
              <w:t>Número de países que han elaborado estrategias/planes nacionales de P.I.</w:t>
            </w:r>
          </w:p>
        </w:tc>
        <w:tc>
          <w:tcPr>
            <w:tcW w:w="1290" w:type="pct"/>
            <w:tcBorders>
              <w:top w:val="nil"/>
              <w:bottom w:val="single" w:sz="4" w:space="0" w:color="auto"/>
            </w:tcBorders>
            <w:shd w:val="clear" w:color="auto" w:fill="auto"/>
          </w:tcPr>
          <w:p w:rsidR="00B45FC3" w:rsidRPr="00526311" w:rsidRDefault="00B45FC3" w:rsidP="0063039A">
            <w:pPr>
              <w:rPr>
                <w:sz w:val="16"/>
                <w:szCs w:val="16"/>
              </w:rPr>
            </w:pPr>
            <w:r w:rsidRPr="00526311">
              <w:rPr>
                <w:sz w:val="16"/>
                <w:szCs w:val="16"/>
              </w:rPr>
              <w:t>14 (en total al final de 2013).</w:t>
            </w:r>
          </w:p>
        </w:tc>
        <w:tc>
          <w:tcPr>
            <w:tcW w:w="836" w:type="pct"/>
            <w:tcBorders>
              <w:top w:val="nil"/>
              <w:bottom w:val="single" w:sz="4" w:space="0" w:color="auto"/>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6 países adicionales.</w:t>
            </w:r>
          </w:p>
        </w:tc>
        <w:tc>
          <w:tcPr>
            <w:tcW w:w="1131" w:type="pct"/>
            <w:tcBorders>
              <w:top w:val="nil"/>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3 países adicionales (Eslovenia, Tayikistán, Turquía) elaboraron estrategias/planes nacionales de P.I. (17 en total).</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4 países (Bulgaria, Polonia, Turkmenistán, Ucrania) iniciaron el proceso.</w:t>
            </w:r>
          </w:p>
          <w:p w:rsidR="00B45FC3" w:rsidRPr="00526311" w:rsidRDefault="00B45FC3" w:rsidP="0063039A">
            <w:pPr>
              <w:rPr>
                <w:sz w:val="16"/>
                <w:szCs w:val="16"/>
                <w:lang w:bidi="th-TH"/>
              </w:rPr>
            </w:pPr>
          </w:p>
        </w:tc>
        <w:tc>
          <w:tcPr>
            <w:tcW w:w="606" w:type="pct"/>
            <w:gridSpan w:val="2"/>
            <w:tcBorders>
              <w:top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r w:rsidR="00B45FC3" w:rsidRPr="00526311" w:rsidTr="0063039A">
        <w:trPr>
          <w:cantSplit/>
          <w:trHeight w:val="675"/>
        </w:trPr>
        <w:tc>
          <w:tcPr>
            <w:tcW w:w="5000" w:type="pct"/>
            <w:gridSpan w:val="6"/>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ind w:left="1701" w:hanging="1701"/>
              <w:rPr>
                <w:b/>
                <w:bCs/>
                <w:sz w:val="16"/>
                <w:szCs w:val="16"/>
              </w:rPr>
            </w:pPr>
            <w:r w:rsidRPr="00526311">
              <w:rPr>
                <w:b/>
                <w:bCs/>
                <w:sz w:val="16"/>
                <w:szCs w:val="16"/>
              </w:rPr>
              <w:t>Resultado previsto:</w:t>
            </w:r>
            <w:r w:rsidRPr="00526311">
              <w:rPr>
                <w:b/>
                <w:bCs/>
                <w:sz w:val="16"/>
                <w:szCs w:val="16"/>
              </w:rPr>
              <w:tab/>
            </w:r>
            <w:r w:rsidRPr="00526311">
              <w:rPr>
                <w:sz w:val="16"/>
                <w:szCs w:val="16"/>
                <w:lang w:bidi="th-TH"/>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B45FC3" w:rsidRPr="00526311" w:rsidTr="0063039A">
        <w:trPr>
          <w:cantSplit/>
          <w:trHeight w:val="281"/>
        </w:trPr>
        <w:tc>
          <w:tcPr>
            <w:tcW w:w="1137" w:type="pct"/>
            <w:tcBorders>
              <w:top w:val="single" w:sz="4" w:space="0" w:color="auto"/>
              <w:left w:val="single" w:sz="4" w:space="0" w:color="auto"/>
              <w:bottom w:val="nil"/>
              <w:right w:val="nil"/>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90"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836"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b/>
                <w:sz w:val="16"/>
                <w:szCs w:val="16"/>
              </w:rPr>
            </w:pPr>
            <w:r w:rsidRPr="00526311">
              <w:rPr>
                <w:b/>
                <w:sz w:val="16"/>
                <w:szCs w:val="16"/>
              </w:rPr>
              <w:t>Objetivos</w:t>
            </w:r>
          </w:p>
        </w:tc>
        <w:tc>
          <w:tcPr>
            <w:tcW w:w="1131"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sz w:val="16"/>
                <w:szCs w:val="16"/>
              </w:rPr>
            </w:pPr>
            <w:r w:rsidRPr="00526311">
              <w:rPr>
                <w:b/>
                <w:sz w:val="16"/>
                <w:szCs w:val="16"/>
              </w:rPr>
              <w:t>Datos sobre el rendimiento</w:t>
            </w:r>
          </w:p>
        </w:tc>
        <w:tc>
          <w:tcPr>
            <w:tcW w:w="606" w:type="pct"/>
            <w:gridSpan w:val="2"/>
            <w:tcBorders>
              <w:top w:val="single" w:sz="4" w:space="0" w:color="auto"/>
              <w:left w:val="nil"/>
              <w:bottom w:val="nil"/>
              <w:right w:val="single" w:sz="4" w:space="0" w:color="auto"/>
            </w:tcBorders>
            <w:shd w:val="clear" w:color="auto" w:fill="auto"/>
            <w:vAlign w:val="center"/>
          </w:tcPr>
          <w:p w:rsidR="00B45FC3" w:rsidRPr="00526311" w:rsidRDefault="00B45FC3" w:rsidP="0063039A">
            <w:pPr>
              <w:keepNext/>
              <w:keepLines/>
              <w:ind w:left="-125"/>
              <w:jc w:val="center"/>
              <w:rPr>
                <w:b/>
                <w:bCs/>
                <w:sz w:val="16"/>
                <w:szCs w:val="16"/>
              </w:rPr>
            </w:pPr>
            <w:r w:rsidRPr="00526311">
              <w:rPr>
                <w:b/>
                <w:bCs/>
                <w:sz w:val="16"/>
                <w:szCs w:val="16"/>
              </w:rPr>
              <w:t>Clave de colores</w:t>
            </w:r>
          </w:p>
        </w:tc>
      </w:tr>
      <w:tr w:rsidR="00B45FC3" w:rsidRPr="00526311" w:rsidTr="0063039A">
        <w:trPr>
          <w:cantSplit/>
        </w:trPr>
        <w:tc>
          <w:tcPr>
            <w:tcW w:w="1137" w:type="pct"/>
            <w:tcBorders>
              <w:top w:val="nil"/>
              <w:left w:val="single" w:sz="4" w:space="0" w:color="auto"/>
              <w:bottom w:val="nil"/>
              <w:right w:val="nil"/>
            </w:tcBorders>
            <w:shd w:val="clear" w:color="auto" w:fill="auto"/>
          </w:tcPr>
          <w:p w:rsidR="00B45FC3" w:rsidRPr="00526311" w:rsidRDefault="00B45FC3" w:rsidP="0063039A">
            <w:pPr>
              <w:rPr>
                <w:sz w:val="16"/>
                <w:szCs w:val="16"/>
                <w:lang w:bidi="th-TH"/>
              </w:rPr>
            </w:pPr>
            <w:r w:rsidRPr="00526311">
              <w:rPr>
                <w:sz w:val="16"/>
                <w:szCs w:val="16"/>
                <w:lang w:bidi="th-TH"/>
              </w:rPr>
              <w:t>Número de países con economías en transición que han establecido programas o cursos anuales de formación en P.I. para los profesionales de la P.I.</w:t>
            </w:r>
          </w:p>
        </w:tc>
        <w:tc>
          <w:tcPr>
            <w:tcW w:w="1290" w:type="pct"/>
            <w:tcBorders>
              <w:top w:val="nil"/>
              <w:left w:val="nil"/>
              <w:bottom w:val="nil"/>
              <w:right w:val="nil"/>
            </w:tcBorders>
            <w:shd w:val="clear" w:color="auto" w:fill="auto"/>
          </w:tcPr>
          <w:p w:rsidR="00B45FC3" w:rsidRPr="00526311" w:rsidRDefault="00B45FC3" w:rsidP="0063039A">
            <w:pPr>
              <w:rPr>
                <w:sz w:val="16"/>
                <w:szCs w:val="16"/>
              </w:rPr>
            </w:pPr>
            <w:r w:rsidRPr="00526311">
              <w:rPr>
                <w:sz w:val="16"/>
                <w:szCs w:val="16"/>
              </w:rPr>
              <w:t>Por determinar.</w:t>
            </w:r>
          </w:p>
        </w:tc>
        <w:tc>
          <w:tcPr>
            <w:tcW w:w="836" w:type="pct"/>
            <w:tcBorders>
              <w:top w:val="nil"/>
              <w:left w:val="nil"/>
              <w:bottom w:val="nil"/>
              <w:right w:val="nil"/>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10</w:t>
            </w:r>
          </w:p>
          <w:p w:rsidR="00B45FC3" w:rsidRPr="00526311" w:rsidRDefault="00B45FC3" w:rsidP="0063039A">
            <w:pPr>
              <w:rPr>
                <w:sz w:val="16"/>
                <w:szCs w:val="16"/>
                <w:lang w:bidi="th-TH"/>
              </w:rPr>
            </w:pPr>
          </w:p>
        </w:tc>
        <w:tc>
          <w:tcPr>
            <w:tcW w:w="1131" w:type="pct"/>
            <w:tcBorders>
              <w:top w:val="nil"/>
              <w:left w:val="nil"/>
              <w:bottom w:val="nil"/>
              <w:right w:val="nil"/>
            </w:tcBorders>
            <w:shd w:val="clear" w:color="auto" w:fill="FFFFFF"/>
            <w:tcMar>
              <w:top w:w="110" w:type="dxa"/>
            </w:tcMar>
          </w:tcPr>
          <w:p w:rsidR="00B45FC3" w:rsidRPr="00526311" w:rsidRDefault="00B45FC3" w:rsidP="00DD542D">
            <w:pPr>
              <w:rPr>
                <w:sz w:val="16"/>
                <w:szCs w:val="16"/>
                <w:lang w:bidi="th-TH"/>
              </w:rPr>
            </w:pPr>
            <w:r w:rsidRPr="00526311">
              <w:rPr>
                <w:sz w:val="16"/>
                <w:szCs w:val="16"/>
                <w:lang w:bidi="th-TH"/>
              </w:rPr>
              <w:t xml:space="preserve">6 (Bulgaria, Croacia, Kazajstán, Polonia, </w:t>
            </w:r>
            <w:r w:rsidR="00DD542D" w:rsidRPr="00526311">
              <w:rPr>
                <w:sz w:val="16"/>
                <w:szCs w:val="16"/>
                <w:lang w:bidi="th-TH"/>
              </w:rPr>
              <w:t xml:space="preserve">República Checa, </w:t>
            </w:r>
            <w:r w:rsidRPr="00526311">
              <w:rPr>
                <w:sz w:val="16"/>
                <w:szCs w:val="16"/>
                <w:lang w:bidi="th-TH"/>
              </w:rPr>
              <w:t>Turquía).</w:t>
            </w:r>
          </w:p>
        </w:tc>
        <w:tc>
          <w:tcPr>
            <w:tcW w:w="606" w:type="pct"/>
            <w:gridSpan w:val="2"/>
            <w:tcBorders>
              <w:top w:val="nil"/>
              <w:left w:val="nil"/>
              <w:bottom w:val="nil"/>
              <w:right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r w:rsidR="00B45FC3" w:rsidRPr="00526311" w:rsidTr="0063039A">
        <w:trPr>
          <w:cantSplit/>
        </w:trPr>
        <w:tc>
          <w:tcPr>
            <w:tcW w:w="1137" w:type="pct"/>
            <w:tcBorders>
              <w:top w:val="nil"/>
              <w:left w:val="single" w:sz="4" w:space="0" w:color="auto"/>
              <w:bottom w:val="single" w:sz="4" w:space="0" w:color="auto"/>
            </w:tcBorders>
            <w:shd w:val="clear" w:color="auto" w:fill="auto"/>
          </w:tcPr>
          <w:p w:rsidR="00B45FC3" w:rsidRPr="00526311" w:rsidRDefault="00B45FC3" w:rsidP="0063039A">
            <w:pPr>
              <w:rPr>
                <w:sz w:val="16"/>
                <w:szCs w:val="16"/>
                <w:lang w:bidi="th-TH"/>
              </w:rPr>
            </w:pPr>
            <w:r w:rsidRPr="00526311">
              <w:rPr>
                <w:sz w:val="16"/>
                <w:szCs w:val="16"/>
                <w:lang w:bidi="th-TH"/>
              </w:rPr>
              <w:t>Porcentaje de profesionales de P.I. y funcionarios de oficinas de P.I. que han recibido formación y utilizan en su trabajo las nuevas aptitudes adquiridas.</w:t>
            </w:r>
          </w:p>
        </w:tc>
        <w:tc>
          <w:tcPr>
            <w:tcW w:w="1290" w:type="pct"/>
            <w:tcBorders>
              <w:top w:val="nil"/>
              <w:bottom w:val="single" w:sz="4" w:space="0" w:color="auto"/>
            </w:tcBorders>
            <w:shd w:val="clear" w:color="auto" w:fill="auto"/>
          </w:tcPr>
          <w:p w:rsidR="00B45FC3" w:rsidRPr="00526311" w:rsidRDefault="001A4F69" w:rsidP="0063039A">
            <w:pPr>
              <w:rPr>
                <w:color w:val="002060"/>
                <w:sz w:val="16"/>
                <w:szCs w:val="16"/>
                <w:lang w:bidi="th-TH"/>
              </w:rPr>
            </w:pPr>
            <w:r w:rsidRPr="00526311">
              <w:rPr>
                <w:i/>
                <w:color w:val="002060"/>
                <w:sz w:val="16"/>
                <w:szCs w:val="16"/>
              </w:rPr>
              <w:t>Referencia actualizada a fines de</w:t>
            </w:r>
            <w:r w:rsidR="00B45FC3" w:rsidRPr="00526311">
              <w:rPr>
                <w:i/>
                <w:color w:val="002060"/>
                <w:sz w:val="16"/>
                <w:szCs w:val="16"/>
              </w:rPr>
              <w:t xml:space="preserve"> 2013: </w:t>
            </w:r>
            <w:r w:rsidR="00B45FC3" w:rsidRPr="00526311">
              <w:rPr>
                <w:color w:val="002060"/>
                <w:sz w:val="16"/>
                <w:szCs w:val="16"/>
              </w:rPr>
              <w:t>el 69% de funcionarios de oficinas de P.I. que han recibido formación y utilizan en su trabajo las nuevas aptitudes adquiridas.</w:t>
            </w:r>
          </w:p>
          <w:p w:rsidR="00B45FC3" w:rsidRPr="00526311" w:rsidRDefault="00B45FC3" w:rsidP="0063039A">
            <w:pPr>
              <w:rPr>
                <w:i/>
                <w:color w:val="002060"/>
                <w:sz w:val="8"/>
                <w:szCs w:val="8"/>
              </w:rPr>
            </w:pPr>
          </w:p>
          <w:p w:rsidR="00B45FC3" w:rsidRPr="00526311" w:rsidRDefault="00B45FC3" w:rsidP="0063039A">
            <w:pPr>
              <w:rPr>
                <w:i/>
                <w:color w:val="002060"/>
                <w:sz w:val="16"/>
                <w:szCs w:val="16"/>
              </w:rPr>
            </w:pPr>
            <w:r w:rsidRPr="00526311">
              <w:rPr>
                <w:i/>
                <w:sz w:val="16"/>
                <w:szCs w:val="16"/>
              </w:rPr>
              <w:t>Referencia original en el presupuesto de 2014/15:</w:t>
            </w:r>
            <w:r w:rsidRPr="00526311">
              <w:t xml:space="preserve"> </w:t>
            </w:r>
            <w:r w:rsidRPr="00526311">
              <w:rPr>
                <w:sz w:val="16"/>
                <w:szCs w:val="16"/>
              </w:rPr>
              <w:t>40%.</w:t>
            </w:r>
            <w:r w:rsidRPr="00526311">
              <w:rPr>
                <w:sz w:val="16"/>
                <w:szCs w:val="16"/>
              </w:rPr>
              <w:br/>
            </w:r>
          </w:p>
        </w:tc>
        <w:tc>
          <w:tcPr>
            <w:tcW w:w="836" w:type="pct"/>
            <w:tcBorders>
              <w:top w:val="nil"/>
              <w:bottom w:val="single" w:sz="4" w:space="0" w:color="auto"/>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50%</w:t>
            </w:r>
          </w:p>
        </w:tc>
        <w:tc>
          <w:tcPr>
            <w:tcW w:w="1131" w:type="pct"/>
            <w:tcBorders>
              <w:top w:val="nil"/>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El 80% de los profesionales de P.I. y funcionarios de oficinas de P.I. que han recibido formación y utilizan en su trabajo las nuevas aptitudes adquiridas.</w:t>
            </w:r>
          </w:p>
        </w:tc>
        <w:tc>
          <w:tcPr>
            <w:tcW w:w="606" w:type="pct"/>
            <w:gridSpan w:val="2"/>
            <w:tcBorders>
              <w:top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r w:rsidR="00B45FC3" w:rsidRPr="00526311" w:rsidTr="0063039A">
        <w:trPr>
          <w:cantSplit/>
          <w:trHeight w:val="494"/>
        </w:trPr>
        <w:tc>
          <w:tcPr>
            <w:tcW w:w="5000" w:type="pct"/>
            <w:gridSpan w:val="6"/>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ind w:left="1701" w:hanging="1701"/>
              <w:rPr>
                <w:b/>
                <w:bCs/>
                <w:sz w:val="16"/>
                <w:szCs w:val="16"/>
              </w:rPr>
            </w:pPr>
            <w:r w:rsidRPr="00526311">
              <w:rPr>
                <w:b/>
                <w:bCs/>
                <w:sz w:val="16"/>
                <w:szCs w:val="16"/>
              </w:rPr>
              <w:lastRenderedPageBreak/>
              <w:t>Resultado previsto:</w:t>
            </w:r>
            <w:r w:rsidRPr="00526311">
              <w:rPr>
                <w:b/>
                <w:bCs/>
                <w:sz w:val="16"/>
                <w:szCs w:val="16"/>
              </w:rPr>
              <w:tab/>
            </w:r>
            <w:r w:rsidRPr="00526311">
              <w:rPr>
                <w:sz w:val="16"/>
                <w:szCs w:val="16"/>
                <w:lang w:bidi="th-TH"/>
              </w:rPr>
              <w:t>III.4 Fortalecimiento de los mecanismos y de los programas de cooperación conforme a las necesidades de los países en desarrollo y los PMA</w:t>
            </w:r>
          </w:p>
        </w:tc>
      </w:tr>
      <w:tr w:rsidR="00B45FC3" w:rsidRPr="00526311" w:rsidTr="0063039A">
        <w:trPr>
          <w:cantSplit/>
          <w:trHeight w:val="371"/>
        </w:trPr>
        <w:tc>
          <w:tcPr>
            <w:tcW w:w="1137" w:type="pct"/>
            <w:tcBorders>
              <w:top w:val="single" w:sz="4" w:space="0" w:color="auto"/>
              <w:left w:val="single" w:sz="4" w:space="0" w:color="auto"/>
              <w:bottom w:val="nil"/>
              <w:right w:val="nil"/>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90"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836"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b/>
                <w:sz w:val="16"/>
                <w:szCs w:val="16"/>
              </w:rPr>
            </w:pPr>
            <w:r w:rsidRPr="00526311">
              <w:rPr>
                <w:b/>
                <w:sz w:val="16"/>
                <w:szCs w:val="16"/>
              </w:rPr>
              <w:t>Objetivos</w:t>
            </w:r>
          </w:p>
        </w:tc>
        <w:tc>
          <w:tcPr>
            <w:tcW w:w="1131"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sz w:val="16"/>
                <w:szCs w:val="16"/>
              </w:rPr>
            </w:pPr>
            <w:r w:rsidRPr="00526311">
              <w:rPr>
                <w:b/>
                <w:sz w:val="16"/>
                <w:szCs w:val="16"/>
              </w:rPr>
              <w:t>Datos sobre el rendimiento</w:t>
            </w:r>
          </w:p>
        </w:tc>
        <w:tc>
          <w:tcPr>
            <w:tcW w:w="606" w:type="pct"/>
            <w:gridSpan w:val="2"/>
            <w:tcBorders>
              <w:top w:val="single" w:sz="4" w:space="0" w:color="auto"/>
              <w:left w:val="nil"/>
              <w:bottom w:val="nil"/>
              <w:right w:val="single" w:sz="4" w:space="0" w:color="auto"/>
            </w:tcBorders>
            <w:shd w:val="clear" w:color="auto" w:fill="auto"/>
            <w:vAlign w:val="center"/>
          </w:tcPr>
          <w:p w:rsidR="00B45FC3" w:rsidRPr="00526311" w:rsidRDefault="00B45FC3" w:rsidP="0063039A">
            <w:pPr>
              <w:keepNext/>
              <w:keepLines/>
              <w:ind w:left="-125"/>
              <w:jc w:val="center"/>
              <w:rPr>
                <w:b/>
                <w:bCs/>
                <w:sz w:val="16"/>
                <w:szCs w:val="16"/>
              </w:rPr>
            </w:pPr>
            <w:r w:rsidRPr="00526311">
              <w:rPr>
                <w:b/>
                <w:bCs/>
                <w:sz w:val="16"/>
                <w:szCs w:val="16"/>
              </w:rPr>
              <w:t>Clave de colores</w:t>
            </w:r>
          </w:p>
        </w:tc>
      </w:tr>
      <w:tr w:rsidR="00B45FC3" w:rsidRPr="00526311" w:rsidTr="0063039A">
        <w:trPr>
          <w:cantSplit/>
        </w:trPr>
        <w:tc>
          <w:tcPr>
            <w:tcW w:w="1137" w:type="pct"/>
            <w:tcBorders>
              <w:top w:val="nil"/>
              <w:left w:val="single" w:sz="4" w:space="0" w:color="auto"/>
              <w:bottom w:val="single" w:sz="4" w:space="0" w:color="auto"/>
              <w:right w:val="nil"/>
            </w:tcBorders>
            <w:shd w:val="clear" w:color="auto" w:fill="auto"/>
          </w:tcPr>
          <w:p w:rsidR="00B45FC3" w:rsidRPr="00526311" w:rsidRDefault="00B45FC3" w:rsidP="0063039A">
            <w:pPr>
              <w:tabs>
                <w:tab w:val="left" w:pos="347"/>
              </w:tabs>
              <w:rPr>
                <w:sz w:val="16"/>
                <w:szCs w:val="16"/>
                <w:lang w:bidi="th-TH"/>
              </w:rPr>
            </w:pPr>
            <w:r w:rsidRPr="00526311">
              <w:rPr>
                <w:sz w:val="16"/>
                <w:szCs w:val="16"/>
                <w:lang w:bidi="th-TH"/>
              </w:rPr>
              <w:t>Número de asociaciones establecidas en las que la parte que ofrece asistencia procede de un país desarrollado.</w:t>
            </w:r>
          </w:p>
        </w:tc>
        <w:tc>
          <w:tcPr>
            <w:tcW w:w="1290" w:type="pct"/>
            <w:tcBorders>
              <w:top w:val="nil"/>
              <w:left w:val="nil"/>
              <w:bottom w:val="single" w:sz="4" w:space="0" w:color="auto"/>
              <w:right w:val="nil"/>
            </w:tcBorders>
            <w:shd w:val="clear" w:color="auto" w:fill="auto"/>
          </w:tcPr>
          <w:p w:rsidR="00B45FC3" w:rsidRPr="00526311" w:rsidRDefault="00B45FC3" w:rsidP="0063039A">
            <w:pPr>
              <w:rPr>
                <w:i/>
                <w:sz w:val="16"/>
                <w:szCs w:val="16"/>
              </w:rPr>
            </w:pPr>
            <w:r w:rsidRPr="00526311">
              <w:rPr>
                <w:sz w:val="16"/>
                <w:szCs w:val="16"/>
              </w:rPr>
              <w:t>Por determinar</w:t>
            </w:r>
            <w:r w:rsidRPr="00526311">
              <w:rPr>
                <w:i/>
                <w:sz w:val="16"/>
                <w:szCs w:val="16"/>
              </w:rPr>
              <w:t>.</w:t>
            </w:r>
          </w:p>
        </w:tc>
        <w:tc>
          <w:tcPr>
            <w:tcW w:w="836" w:type="pct"/>
            <w:tcBorders>
              <w:top w:val="nil"/>
              <w:left w:val="nil"/>
              <w:bottom w:val="single" w:sz="4" w:space="0" w:color="auto"/>
              <w:right w:val="nil"/>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Otros 4 memorandos de entendimiento; otras 10 correspondencias en la Base de datos de vinculación.</w:t>
            </w:r>
          </w:p>
          <w:p w:rsidR="00B45FC3" w:rsidRPr="00526311" w:rsidRDefault="00B45FC3" w:rsidP="0063039A">
            <w:pPr>
              <w:rPr>
                <w:sz w:val="16"/>
                <w:szCs w:val="16"/>
                <w:lang w:bidi="th-TH"/>
              </w:rPr>
            </w:pPr>
          </w:p>
        </w:tc>
        <w:tc>
          <w:tcPr>
            <w:tcW w:w="1131" w:type="pct"/>
            <w:tcBorders>
              <w:top w:val="nil"/>
              <w:left w:val="nil"/>
              <w:bottom w:val="single" w:sz="4" w:space="0" w:color="auto"/>
              <w:right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 xml:space="preserve">4 nuevos memorandos de entendimiento (Alemania, Dinamarca, España, Israel) </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En 2014 no se establecieron correspondencias en la base de datos de vinculación debido a la elaboración, en 2014, de un plan concreto de divulgación para impulsar el alojamiento de contenidos y favorecer las correspondencias.</w:t>
            </w:r>
          </w:p>
          <w:p w:rsidR="00B45FC3" w:rsidRPr="00526311" w:rsidRDefault="00B45FC3" w:rsidP="0063039A">
            <w:pPr>
              <w:rPr>
                <w:sz w:val="16"/>
                <w:szCs w:val="16"/>
                <w:lang w:bidi="th-TH"/>
              </w:rPr>
            </w:pPr>
          </w:p>
        </w:tc>
        <w:tc>
          <w:tcPr>
            <w:tcW w:w="606" w:type="pct"/>
            <w:gridSpan w:val="2"/>
            <w:tcBorders>
              <w:top w:val="nil"/>
              <w:left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ind w:right="-107"/>
              <w:jc w:val="center"/>
              <w:rPr>
                <w:b/>
                <w:bCs/>
                <w:color w:val="00B050"/>
                <w:sz w:val="16"/>
                <w:szCs w:val="16"/>
              </w:rPr>
            </w:pPr>
            <w:r w:rsidRPr="00526311">
              <w:rPr>
                <w:b/>
                <w:bCs/>
                <w:color w:val="00B050"/>
                <w:sz w:val="16"/>
                <w:szCs w:val="16"/>
              </w:rPr>
              <w:t>Avanza</w:t>
            </w: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sz w:val="16"/>
                <w:szCs w:val="16"/>
              </w:rPr>
            </w:pPr>
          </w:p>
          <w:p w:rsidR="00B45FC3" w:rsidRPr="00526311" w:rsidRDefault="00B45FC3" w:rsidP="0063039A">
            <w:pPr>
              <w:keepNext/>
              <w:keepLines/>
              <w:jc w:val="center"/>
              <w:rPr>
                <w:b/>
                <w:bCs/>
                <w:sz w:val="16"/>
                <w:szCs w:val="16"/>
              </w:rPr>
            </w:pPr>
          </w:p>
          <w:p w:rsidR="00B45FC3" w:rsidRPr="00526311" w:rsidRDefault="00B45FC3" w:rsidP="0063039A">
            <w:pPr>
              <w:keepNext/>
              <w:keepLines/>
              <w:ind w:left="-49"/>
              <w:jc w:val="center"/>
              <w:rPr>
                <w:b/>
                <w:bCs/>
                <w:sz w:val="16"/>
                <w:szCs w:val="16"/>
              </w:rPr>
            </w:pPr>
            <w:r w:rsidRPr="00526311">
              <w:rPr>
                <w:b/>
                <w:bCs/>
                <w:color w:val="FF0000"/>
                <w:sz w:val="16"/>
                <w:szCs w:val="16"/>
              </w:rPr>
              <w:t>No avanza</w:t>
            </w:r>
          </w:p>
        </w:tc>
      </w:tr>
      <w:tr w:rsidR="00B45FC3" w:rsidRPr="00526311" w:rsidTr="0063039A">
        <w:trPr>
          <w:cantSplit/>
          <w:trHeight w:val="451"/>
        </w:trPr>
        <w:tc>
          <w:tcPr>
            <w:tcW w:w="5000" w:type="pct"/>
            <w:gridSpan w:val="6"/>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ind w:left="1452" w:hanging="1452"/>
              <w:rPr>
                <w:b/>
                <w:bCs/>
                <w:sz w:val="16"/>
                <w:szCs w:val="16"/>
              </w:rPr>
            </w:pPr>
            <w:r w:rsidRPr="00526311">
              <w:rPr>
                <w:b/>
                <w:bCs/>
                <w:sz w:val="16"/>
                <w:szCs w:val="16"/>
              </w:rPr>
              <w:t>Resultado previsto:</w:t>
            </w:r>
            <w:r w:rsidRPr="00526311">
              <w:rPr>
                <w:b/>
                <w:bCs/>
                <w:sz w:val="16"/>
                <w:szCs w:val="16"/>
              </w:rPr>
              <w:tab/>
            </w:r>
            <w:r w:rsidRPr="00526311">
              <w:rPr>
                <w:sz w:val="16"/>
                <w:szCs w:val="16"/>
                <w:lang w:bidi="th-TH"/>
              </w:rPr>
              <w:t>III.6 Mayor capacidad de las pymes para utilizar con éxito la P.I. con el fin de apoyar la innovación</w:t>
            </w:r>
          </w:p>
        </w:tc>
      </w:tr>
      <w:tr w:rsidR="00B45FC3" w:rsidRPr="00526311" w:rsidTr="0063039A">
        <w:trPr>
          <w:cantSplit/>
          <w:trHeight w:val="274"/>
        </w:trPr>
        <w:tc>
          <w:tcPr>
            <w:tcW w:w="1137" w:type="pct"/>
            <w:tcBorders>
              <w:top w:val="single" w:sz="4" w:space="0" w:color="auto"/>
              <w:left w:val="single" w:sz="4" w:space="0" w:color="auto"/>
              <w:bottom w:val="nil"/>
              <w:right w:val="nil"/>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90"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836"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b/>
                <w:sz w:val="16"/>
                <w:szCs w:val="16"/>
              </w:rPr>
            </w:pPr>
            <w:r w:rsidRPr="00526311">
              <w:rPr>
                <w:b/>
                <w:sz w:val="16"/>
                <w:szCs w:val="16"/>
              </w:rPr>
              <w:t>Objetivos</w:t>
            </w:r>
          </w:p>
        </w:tc>
        <w:tc>
          <w:tcPr>
            <w:tcW w:w="1131"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sz w:val="16"/>
                <w:szCs w:val="16"/>
              </w:rPr>
            </w:pPr>
            <w:r w:rsidRPr="00526311">
              <w:rPr>
                <w:b/>
                <w:sz w:val="16"/>
                <w:szCs w:val="16"/>
              </w:rPr>
              <w:t>Datos sobre el rendimiento</w:t>
            </w:r>
          </w:p>
        </w:tc>
        <w:tc>
          <w:tcPr>
            <w:tcW w:w="606" w:type="pct"/>
            <w:gridSpan w:val="2"/>
            <w:tcBorders>
              <w:top w:val="single" w:sz="4" w:space="0" w:color="auto"/>
              <w:left w:val="nil"/>
              <w:bottom w:val="nil"/>
              <w:right w:val="single" w:sz="4" w:space="0" w:color="auto"/>
            </w:tcBorders>
            <w:shd w:val="clear" w:color="auto" w:fill="auto"/>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rPr>
          <w:cantSplit/>
        </w:trPr>
        <w:tc>
          <w:tcPr>
            <w:tcW w:w="1137" w:type="pct"/>
            <w:tcBorders>
              <w:top w:val="nil"/>
              <w:left w:val="single" w:sz="4" w:space="0" w:color="auto"/>
              <w:bottom w:val="nil"/>
              <w:right w:val="nil"/>
            </w:tcBorders>
            <w:shd w:val="clear" w:color="auto" w:fill="auto"/>
          </w:tcPr>
          <w:p w:rsidR="00B45FC3" w:rsidRPr="00526311" w:rsidRDefault="00B45FC3" w:rsidP="0063039A">
            <w:pPr>
              <w:tabs>
                <w:tab w:val="left" w:pos="347"/>
              </w:tabs>
              <w:rPr>
                <w:sz w:val="16"/>
                <w:szCs w:val="16"/>
                <w:lang w:bidi="th-TH"/>
              </w:rPr>
            </w:pPr>
            <w:r w:rsidRPr="00526311">
              <w:rPr>
                <w:sz w:val="16"/>
                <w:szCs w:val="16"/>
                <w:lang w:bidi="th-TH"/>
              </w:rPr>
              <w:t>Porcentaje de participantes en programas de formación destinados a instituciones de apoyo a las pymes que manifiestan satisfacción con el contenido y la organización de esos eventos.</w:t>
            </w:r>
          </w:p>
        </w:tc>
        <w:tc>
          <w:tcPr>
            <w:tcW w:w="1290" w:type="pct"/>
            <w:tcBorders>
              <w:top w:val="nil"/>
              <w:left w:val="nil"/>
              <w:bottom w:val="nil"/>
              <w:right w:val="nil"/>
            </w:tcBorders>
            <w:shd w:val="clear" w:color="auto" w:fill="auto"/>
          </w:tcPr>
          <w:p w:rsidR="00B45FC3" w:rsidRPr="00526311" w:rsidRDefault="00B45FC3" w:rsidP="0063039A">
            <w:pPr>
              <w:rPr>
                <w:sz w:val="16"/>
                <w:szCs w:val="16"/>
              </w:rPr>
            </w:pPr>
            <w:r w:rsidRPr="00526311">
              <w:rPr>
                <w:sz w:val="16"/>
                <w:szCs w:val="16"/>
              </w:rPr>
              <w:t>Por determinar.</w:t>
            </w:r>
          </w:p>
        </w:tc>
        <w:tc>
          <w:tcPr>
            <w:tcW w:w="836" w:type="pct"/>
            <w:tcBorders>
              <w:top w:val="nil"/>
              <w:left w:val="nil"/>
              <w:bottom w:val="nil"/>
              <w:right w:val="nil"/>
            </w:tcBorders>
            <w:shd w:val="clear" w:color="auto" w:fill="auto"/>
            <w:tcMar>
              <w:top w:w="110" w:type="dxa"/>
            </w:tcMar>
          </w:tcPr>
          <w:p w:rsidR="00B45FC3" w:rsidRPr="00526311" w:rsidRDefault="00B45FC3" w:rsidP="0063039A">
            <w:pPr>
              <w:rPr>
                <w:color w:val="002060"/>
                <w:sz w:val="16"/>
                <w:szCs w:val="16"/>
                <w:lang w:bidi="th-TH"/>
              </w:rPr>
            </w:pPr>
            <w:r w:rsidRPr="00526311">
              <w:rPr>
                <w:i/>
                <w:color w:val="002060"/>
                <w:sz w:val="16"/>
                <w:szCs w:val="16"/>
              </w:rPr>
              <w:t xml:space="preserve">Objetivo definido: </w:t>
            </w:r>
            <w:r w:rsidRPr="00526311">
              <w:rPr>
                <w:color w:val="002060"/>
                <w:sz w:val="16"/>
                <w:szCs w:val="16"/>
              </w:rPr>
              <w:t>75%</w:t>
            </w:r>
          </w:p>
          <w:p w:rsidR="00B45FC3" w:rsidRPr="00526311" w:rsidRDefault="00B45FC3" w:rsidP="0063039A">
            <w:pPr>
              <w:rPr>
                <w:i/>
                <w:color w:val="002060"/>
                <w:sz w:val="8"/>
                <w:szCs w:val="8"/>
              </w:rPr>
            </w:pPr>
          </w:p>
          <w:p w:rsidR="00B45FC3" w:rsidRPr="00526311" w:rsidRDefault="00B45FC3" w:rsidP="0063039A">
            <w:pPr>
              <w:rPr>
                <w:sz w:val="16"/>
                <w:szCs w:val="16"/>
                <w:lang w:bidi="th-TH"/>
              </w:rPr>
            </w:pPr>
            <w:r w:rsidRPr="00526311">
              <w:rPr>
                <w:i/>
                <w:sz w:val="16"/>
                <w:szCs w:val="16"/>
              </w:rPr>
              <w:t>Objetivo original en el presup. de 2014/15:</w:t>
            </w:r>
            <w:r w:rsidRPr="00526311">
              <w:t xml:space="preserve"> </w:t>
            </w:r>
            <w:r w:rsidRPr="00526311">
              <w:rPr>
                <w:sz w:val="16"/>
                <w:szCs w:val="16"/>
              </w:rPr>
              <w:t>por determinar.</w:t>
            </w:r>
            <w:r w:rsidRPr="00526311">
              <w:rPr>
                <w:sz w:val="16"/>
                <w:szCs w:val="16"/>
                <w:lang w:bidi="th-TH"/>
              </w:rPr>
              <w:t xml:space="preserve"> </w:t>
            </w:r>
          </w:p>
        </w:tc>
        <w:tc>
          <w:tcPr>
            <w:tcW w:w="1131" w:type="pct"/>
            <w:tcBorders>
              <w:top w:val="nil"/>
              <w:left w:val="nil"/>
              <w:bottom w:val="nil"/>
              <w:right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85%</w:t>
            </w:r>
          </w:p>
        </w:tc>
        <w:tc>
          <w:tcPr>
            <w:tcW w:w="606" w:type="pct"/>
            <w:gridSpan w:val="2"/>
            <w:tcBorders>
              <w:top w:val="nil"/>
              <w:left w:val="nil"/>
              <w:bottom w:val="nil"/>
              <w:right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r w:rsidR="00B45FC3" w:rsidRPr="00526311" w:rsidTr="0063039A">
        <w:trPr>
          <w:cantSplit/>
        </w:trPr>
        <w:tc>
          <w:tcPr>
            <w:tcW w:w="1137" w:type="pct"/>
            <w:tcBorders>
              <w:top w:val="nil"/>
              <w:left w:val="single" w:sz="4" w:space="0" w:color="auto"/>
              <w:bottom w:val="nil"/>
            </w:tcBorders>
            <w:shd w:val="clear" w:color="auto" w:fill="auto"/>
          </w:tcPr>
          <w:p w:rsidR="00B45FC3" w:rsidRPr="00526311" w:rsidRDefault="00B45FC3" w:rsidP="0063039A">
            <w:pPr>
              <w:tabs>
                <w:tab w:val="left" w:pos="347"/>
              </w:tabs>
              <w:rPr>
                <w:sz w:val="16"/>
                <w:szCs w:val="16"/>
                <w:lang w:bidi="th-TH"/>
              </w:rPr>
            </w:pPr>
            <w:r w:rsidRPr="00526311">
              <w:rPr>
                <w:sz w:val="16"/>
                <w:szCs w:val="16"/>
                <w:lang w:bidi="th-TH"/>
              </w:rPr>
              <w:t>Porcentaje de instituciones de apoyo a las pymes que han recibido formación, que a su vez brindan información, apoyo y servicios de consultoría/asesoramiento en gestión de activos de P.I.</w:t>
            </w:r>
          </w:p>
          <w:p w:rsidR="00B45FC3" w:rsidRPr="00526311" w:rsidRDefault="00B45FC3" w:rsidP="0063039A">
            <w:pPr>
              <w:tabs>
                <w:tab w:val="left" w:pos="347"/>
              </w:tabs>
              <w:rPr>
                <w:sz w:val="16"/>
                <w:szCs w:val="16"/>
                <w:lang w:bidi="th-TH"/>
              </w:rPr>
            </w:pPr>
          </w:p>
        </w:tc>
        <w:tc>
          <w:tcPr>
            <w:tcW w:w="1290" w:type="pct"/>
            <w:tcBorders>
              <w:top w:val="nil"/>
              <w:bottom w:val="nil"/>
            </w:tcBorders>
            <w:shd w:val="clear" w:color="auto" w:fill="auto"/>
          </w:tcPr>
          <w:p w:rsidR="00B45FC3" w:rsidRPr="00526311" w:rsidRDefault="00B45FC3" w:rsidP="0063039A">
            <w:pPr>
              <w:rPr>
                <w:sz w:val="16"/>
                <w:szCs w:val="16"/>
              </w:rPr>
            </w:pPr>
            <w:r w:rsidRPr="00526311">
              <w:rPr>
                <w:sz w:val="16"/>
                <w:szCs w:val="16"/>
              </w:rPr>
              <w:t>Por determinar.</w:t>
            </w:r>
          </w:p>
        </w:tc>
        <w:tc>
          <w:tcPr>
            <w:tcW w:w="836" w:type="pct"/>
            <w:tcBorders>
              <w:top w:val="nil"/>
              <w:bottom w:val="nil"/>
            </w:tcBorders>
            <w:shd w:val="clear" w:color="auto" w:fill="auto"/>
            <w:tcMar>
              <w:top w:w="110" w:type="dxa"/>
            </w:tcMar>
          </w:tcPr>
          <w:p w:rsidR="00B45FC3" w:rsidRPr="00526311" w:rsidRDefault="00B45FC3" w:rsidP="0063039A">
            <w:pPr>
              <w:rPr>
                <w:color w:val="002060"/>
                <w:sz w:val="16"/>
                <w:szCs w:val="16"/>
                <w:lang w:bidi="th-TH"/>
              </w:rPr>
            </w:pPr>
            <w:r w:rsidRPr="00526311">
              <w:rPr>
                <w:i/>
                <w:color w:val="002060"/>
                <w:sz w:val="16"/>
                <w:szCs w:val="16"/>
              </w:rPr>
              <w:t xml:space="preserve">Objetivo definido: </w:t>
            </w:r>
            <w:r w:rsidRPr="00526311">
              <w:rPr>
                <w:sz w:val="16"/>
                <w:szCs w:val="16"/>
                <w:lang w:bidi="th-TH"/>
              </w:rPr>
              <w:t>90% (18 instituciones de apoyo).</w:t>
            </w:r>
          </w:p>
          <w:p w:rsidR="00B45FC3" w:rsidRPr="00526311" w:rsidRDefault="00B45FC3" w:rsidP="0063039A">
            <w:pPr>
              <w:rPr>
                <w:i/>
                <w:color w:val="002060"/>
                <w:sz w:val="8"/>
                <w:szCs w:val="8"/>
              </w:rPr>
            </w:pPr>
          </w:p>
          <w:p w:rsidR="00B45FC3" w:rsidRPr="00526311" w:rsidRDefault="00B45FC3" w:rsidP="0063039A">
            <w:pPr>
              <w:rPr>
                <w:sz w:val="16"/>
                <w:szCs w:val="16"/>
                <w:lang w:bidi="th-TH"/>
              </w:rPr>
            </w:pPr>
            <w:r w:rsidRPr="00526311">
              <w:rPr>
                <w:i/>
                <w:sz w:val="16"/>
                <w:szCs w:val="16"/>
              </w:rPr>
              <w:t>Objetivo original en el  presup. de 2014/15:</w:t>
            </w:r>
            <w:r w:rsidRPr="00526311">
              <w:t xml:space="preserve"> </w:t>
            </w:r>
            <w:r w:rsidRPr="00526311">
              <w:rPr>
                <w:sz w:val="16"/>
                <w:szCs w:val="16"/>
              </w:rPr>
              <w:t>por determinar.</w:t>
            </w:r>
            <w:r w:rsidRPr="00526311">
              <w:rPr>
                <w:sz w:val="16"/>
                <w:szCs w:val="16"/>
                <w:lang w:bidi="th-TH"/>
              </w:rPr>
              <w:t xml:space="preserve"> </w:t>
            </w:r>
          </w:p>
        </w:tc>
        <w:tc>
          <w:tcPr>
            <w:tcW w:w="1131" w:type="pct"/>
            <w:tcBorders>
              <w:top w:val="nil"/>
              <w:bottom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90%</w:t>
            </w:r>
          </w:p>
        </w:tc>
        <w:tc>
          <w:tcPr>
            <w:tcW w:w="606"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r w:rsidR="00B45FC3" w:rsidRPr="00526311" w:rsidTr="0063039A">
        <w:trPr>
          <w:cantSplit/>
        </w:trPr>
        <w:tc>
          <w:tcPr>
            <w:tcW w:w="1137" w:type="pct"/>
            <w:tcBorders>
              <w:top w:val="nil"/>
              <w:left w:val="single" w:sz="4" w:space="0" w:color="auto"/>
              <w:bottom w:val="single" w:sz="4" w:space="0" w:color="auto"/>
            </w:tcBorders>
            <w:shd w:val="clear" w:color="auto" w:fill="auto"/>
          </w:tcPr>
          <w:p w:rsidR="00B45FC3" w:rsidRPr="00526311" w:rsidRDefault="00B45FC3" w:rsidP="0063039A">
            <w:pPr>
              <w:tabs>
                <w:tab w:val="left" w:pos="347"/>
              </w:tabs>
              <w:rPr>
                <w:sz w:val="16"/>
                <w:szCs w:val="16"/>
                <w:lang w:bidi="th-TH"/>
              </w:rPr>
            </w:pPr>
            <w:r w:rsidRPr="00526311">
              <w:rPr>
                <w:sz w:val="16"/>
                <w:szCs w:val="16"/>
                <w:lang w:bidi="th-TH"/>
              </w:rPr>
              <w:t>Número de países que han establecido programas de formación en P.I. destinados a las pymes.</w:t>
            </w:r>
            <w:r w:rsidRPr="00526311">
              <w:rPr>
                <w:sz w:val="16"/>
                <w:szCs w:val="16"/>
                <w:lang w:bidi="th-TH"/>
              </w:rPr>
              <w:br/>
            </w:r>
          </w:p>
        </w:tc>
        <w:tc>
          <w:tcPr>
            <w:tcW w:w="1290" w:type="pct"/>
            <w:tcBorders>
              <w:top w:val="nil"/>
              <w:bottom w:val="single" w:sz="4" w:space="0" w:color="auto"/>
            </w:tcBorders>
            <w:shd w:val="clear" w:color="auto" w:fill="auto"/>
          </w:tcPr>
          <w:p w:rsidR="00B45FC3" w:rsidRPr="00526311" w:rsidRDefault="00B45FC3" w:rsidP="0063039A">
            <w:pPr>
              <w:rPr>
                <w:sz w:val="16"/>
                <w:szCs w:val="16"/>
              </w:rPr>
            </w:pPr>
            <w:r w:rsidRPr="00526311">
              <w:rPr>
                <w:sz w:val="16"/>
                <w:szCs w:val="16"/>
              </w:rPr>
              <w:t>Por determinar.</w:t>
            </w:r>
          </w:p>
        </w:tc>
        <w:tc>
          <w:tcPr>
            <w:tcW w:w="836" w:type="pct"/>
            <w:tcBorders>
              <w:top w:val="nil"/>
              <w:bottom w:val="single" w:sz="4" w:space="0" w:color="auto"/>
            </w:tcBorders>
            <w:shd w:val="clear" w:color="auto" w:fill="auto"/>
            <w:tcMar>
              <w:top w:w="110" w:type="dxa"/>
            </w:tcMar>
          </w:tcPr>
          <w:p w:rsidR="00B45FC3" w:rsidRPr="00526311" w:rsidRDefault="00DD542D" w:rsidP="00DD542D">
            <w:pPr>
              <w:rPr>
                <w:sz w:val="16"/>
                <w:szCs w:val="16"/>
                <w:lang w:bidi="th-TH"/>
              </w:rPr>
            </w:pPr>
            <w:r w:rsidRPr="00526311">
              <w:rPr>
                <w:sz w:val="16"/>
                <w:szCs w:val="16"/>
                <w:lang w:bidi="th-TH"/>
              </w:rPr>
              <w:t>Por determinar</w:t>
            </w:r>
          </w:p>
        </w:tc>
        <w:tc>
          <w:tcPr>
            <w:tcW w:w="1131" w:type="pct"/>
            <w:tcBorders>
              <w:top w:val="nil"/>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4 (Armenia, Belarús, Georgia, Kazajstán).</w:t>
            </w:r>
          </w:p>
        </w:tc>
        <w:tc>
          <w:tcPr>
            <w:tcW w:w="606" w:type="pct"/>
            <w:gridSpan w:val="2"/>
            <w:tcBorders>
              <w:top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bl>
    <w:p w:rsidR="00B45FC3" w:rsidRPr="00526311" w:rsidRDefault="00B45FC3"/>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4"/>
        <w:gridCol w:w="2409"/>
        <w:gridCol w:w="1564"/>
        <w:gridCol w:w="2120"/>
        <w:gridCol w:w="1130"/>
      </w:tblGrid>
      <w:tr w:rsidR="00B45FC3" w:rsidRPr="00526311" w:rsidTr="0063039A">
        <w:trPr>
          <w:cantSplit/>
          <w:trHeight w:val="502"/>
        </w:trPr>
        <w:tc>
          <w:tcPr>
            <w:tcW w:w="5000" w:type="pct"/>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ind w:left="1701" w:hanging="1701"/>
              <w:rPr>
                <w:b/>
                <w:bCs/>
                <w:sz w:val="16"/>
                <w:szCs w:val="16"/>
              </w:rPr>
            </w:pPr>
            <w:r w:rsidRPr="00526311">
              <w:rPr>
                <w:b/>
                <w:bCs/>
                <w:sz w:val="16"/>
                <w:szCs w:val="16"/>
              </w:rPr>
              <w:lastRenderedPageBreak/>
              <w:t>Resultado previsto:</w:t>
            </w:r>
            <w:r w:rsidRPr="00526311">
              <w:rPr>
                <w:b/>
                <w:bCs/>
                <w:sz w:val="16"/>
                <w:szCs w:val="16"/>
              </w:rPr>
              <w:tab/>
            </w:r>
            <w:r w:rsidRPr="00526311">
              <w:rPr>
                <w:sz w:val="16"/>
                <w:szCs w:val="16"/>
                <w:lang w:bidi="th-TH"/>
              </w:rPr>
              <w:t>IV.2 Mejora del acceso y uso de información de P.I. por parte de instituciones de P.I. y el público para fomentar la innovación y la creatividad</w:t>
            </w:r>
          </w:p>
        </w:tc>
      </w:tr>
      <w:tr w:rsidR="00B45FC3" w:rsidRPr="00526311" w:rsidTr="0063039A">
        <w:trPr>
          <w:cantSplit/>
          <w:trHeight w:val="319"/>
        </w:trPr>
        <w:tc>
          <w:tcPr>
            <w:tcW w:w="1140" w:type="pct"/>
            <w:tcBorders>
              <w:top w:val="single" w:sz="4" w:space="0" w:color="auto"/>
              <w:left w:val="single" w:sz="4" w:space="0" w:color="auto"/>
              <w:bottom w:val="nil"/>
              <w:right w:val="nil"/>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87"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836"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b/>
                <w:sz w:val="16"/>
                <w:szCs w:val="16"/>
              </w:rPr>
            </w:pPr>
            <w:r w:rsidRPr="00526311">
              <w:rPr>
                <w:b/>
                <w:sz w:val="16"/>
                <w:szCs w:val="16"/>
              </w:rPr>
              <w:t>Objetivos</w:t>
            </w:r>
          </w:p>
        </w:tc>
        <w:tc>
          <w:tcPr>
            <w:tcW w:w="1133"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sz w:val="16"/>
                <w:szCs w:val="16"/>
              </w:rPr>
            </w:pPr>
            <w:r w:rsidRPr="00526311">
              <w:rPr>
                <w:b/>
                <w:sz w:val="16"/>
                <w:szCs w:val="16"/>
              </w:rPr>
              <w:t>Datos sobre el rendimiento</w:t>
            </w:r>
          </w:p>
        </w:tc>
        <w:tc>
          <w:tcPr>
            <w:tcW w:w="605" w:type="pct"/>
            <w:tcBorders>
              <w:top w:val="single" w:sz="4" w:space="0" w:color="auto"/>
              <w:left w:val="nil"/>
              <w:bottom w:val="nil"/>
              <w:right w:val="single" w:sz="4" w:space="0" w:color="auto"/>
            </w:tcBorders>
            <w:shd w:val="clear" w:color="auto" w:fill="auto"/>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rPr>
          <w:cantSplit/>
        </w:trPr>
        <w:tc>
          <w:tcPr>
            <w:tcW w:w="1140" w:type="pct"/>
            <w:tcBorders>
              <w:top w:val="nil"/>
              <w:left w:val="single" w:sz="4" w:space="0" w:color="auto"/>
              <w:bottom w:val="nil"/>
              <w:right w:val="nil"/>
            </w:tcBorders>
            <w:shd w:val="clear" w:color="auto" w:fill="auto"/>
          </w:tcPr>
          <w:p w:rsidR="00B45FC3" w:rsidRPr="00526311" w:rsidRDefault="00B45FC3" w:rsidP="0063039A">
            <w:pPr>
              <w:tabs>
                <w:tab w:val="left" w:pos="347"/>
              </w:tabs>
              <w:rPr>
                <w:sz w:val="16"/>
                <w:szCs w:val="16"/>
                <w:lang w:bidi="th-TH"/>
              </w:rPr>
            </w:pPr>
            <w:r w:rsidRPr="00526311">
              <w:rPr>
                <w:sz w:val="16"/>
                <w:szCs w:val="16"/>
                <w:lang w:bidi="th-TH"/>
              </w:rPr>
              <w:t>Número de OTT o de centros de información establecidos.</w:t>
            </w:r>
          </w:p>
        </w:tc>
        <w:tc>
          <w:tcPr>
            <w:tcW w:w="1287" w:type="pct"/>
            <w:tcBorders>
              <w:top w:val="nil"/>
              <w:left w:val="nil"/>
              <w:bottom w:val="nil"/>
              <w:right w:val="nil"/>
            </w:tcBorders>
            <w:shd w:val="clear" w:color="auto" w:fill="auto"/>
          </w:tcPr>
          <w:p w:rsidR="00B45FC3" w:rsidRPr="00526311" w:rsidRDefault="001A4F69" w:rsidP="0063039A">
            <w:pPr>
              <w:rPr>
                <w:color w:val="002060"/>
                <w:sz w:val="16"/>
                <w:szCs w:val="16"/>
                <w:lang w:bidi="th-TH"/>
              </w:rPr>
            </w:pPr>
            <w:r w:rsidRPr="00526311">
              <w:rPr>
                <w:i/>
                <w:color w:val="002060"/>
                <w:sz w:val="16"/>
                <w:szCs w:val="16"/>
              </w:rPr>
              <w:t>Referencia actualizada a fines de</w:t>
            </w:r>
            <w:r w:rsidR="00B45FC3" w:rsidRPr="00526311">
              <w:rPr>
                <w:i/>
                <w:color w:val="002060"/>
                <w:sz w:val="16"/>
                <w:szCs w:val="16"/>
              </w:rPr>
              <w:t xml:space="preserve"> 2013: </w:t>
            </w:r>
            <w:r w:rsidR="00B45FC3" w:rsidRPr="00526311">
              <w:rPr>
                <w:color w:val="002060"/>
                <w:sz w:val="16"/>
                <w:szCs w:val="16"/>
              </w:rPr>
              <w:t>Dos universidades/instituciones de Georgia recibieron asistencia directa en el desarrollo de su ecosistema de transferencia de conocimientos, política e infraestructura en determinados países de Europa y Asia:  Universidad Estatal Ivane Javakhishvili de Tbilisi y Centro de Transferencia de Tecnología de Georgia, con la posterior elaboración de un plan de acción.</w:t>
            </w:r>
          </w:p>
          <w:p w:rsidR="00B45FC3" w:rsidRPr="00526311" w:rsidRDefault="00B45FC3" w:rsidP="0063039A">
            <w:pPr>
              <w:rPr>
                <w:i/>
                <w:color w:val="002060"/>
                <w:sz w:val="8"/>
                <w:szCs w:val="8"/>
              </w:rPr>
            </w:pPr>
          </w:p>
          <w:p w:rsidR="00B45FC3" w:rsidRPr="00526311" w:rsidRDefault="00B45FC3" w:rsidP="0063039A">
            <w:pPr>
              <w:rPr>
                <w:i/>
                <w:color w:val="002060"/>
                <w:sz w:val="16"/>
                <w:szCs w:val="16"/>
              </w:rPr>
            </w:pPr>
            <w:r w:rsidRPr="00526311">
              <w:rPr>
                <w:i/>
                <w:sz w:val="16"/>
                <w:szCs w:val="16"/>
              </w:rPr>
              <w:t>Referencia original en el presupuesto de 2014/15:</w:t>
            </w:r>
            <w:r w:rsidRPr="00526311">
              <w:t xml:space="preserve"> </w:t>
            </w:r>
            <w:r w:rsidRPr="00526311">
              <w:rPr>
                <w:sz w:val="16"/>
                <w:szCs w:val="16"/>
              </w:rPr>
              <w:t>por determinar.</w:t>
            </w:r>
          </w:p>
        </w:tc>
        <w:tc>
          <w:tcPr>
            <w:tcW w:w="836" w:type="pct"/>
            <w:tcBorders>
              <w:top w:val="nil"/>
              <w:left w:val="nil"/>
              <w:bottom w:val="nil"/>
              <w:right w:val="nil"/>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6 OTT adicionales/cen-tros de información en materia de P.I.</w:t>
            </w:r>
          </w:p>
        </w:tc>
        <w:tc>
          <w:tcPr>
            <w:tcW w:w="1133" w:type="pct"/>
            <w:tcBorders>
              <w:top w:val="nil"/>
              <w:left w:val="nil"/>
              <w:bottom w:val="nil"/>
              <w:right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8 nuevos CATI creados en la Federación de Rusia.</w:t>
            </w:r>
          </w:p>
        </w:tc>
        <w:tc>
          <w:tcPr>
            <w:tcW w:w="605" w:type="pct"/>
            <w:tcBorders>
              <w:top w:val="nil"/>
              <w:left w:val="nil"/>
              <w:bottom w:val="nil"/>
              <w:right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r w:rsidR="00B45FC3" w:rsidRPr="00526311" w:rsidTr="0063039A">
        <w:trPr>
          <w:cantSplit/>
        </w:trPr>
        <w:tc>
          <w:tcPr>
            <w:tcW w:w="1140" w:type="pct"/>
            <w:tcBorders>
              <w:top w:val="nil"/>
              <w:left w:val="single" w:sz="4" w:space="0" w:color="auto"/>
              <w:bottom w:val="nil"/>
            </w:tcBorders>
            <w:shd w:val="clear" w:color="auto" w:fill="auto"/>
          </w:tcPr>
          <w:p w:rsidR="00B45FC3" w:rsidRPr="00526311" w:rsidRDefault="00B45FC3" w:rsidP="0063039A">
            <w:pPr>
              <w:tabs>
                <w:tab w:val="left" w:pos="347"/>
              </w:tabs>
              <w:rPr>
                <w:sz w:val="16"/>
                <w:szCs w:val="16"/>
                <w:lang w:bidi="th-TH"/>
              </w:rPr>
            </w:pPr>
            <w:r w:rsidRPr="00526311">
              <w:rPr>
                <w:sz w:val="16"/>
                <w:szCs w:val="16"/>
                <w:lang w:bidi="th-TH"/>
              </w:rPr>
              <w:t>Número de redes nacionales sostenibles de CATI.</w:t>
            </w:r>
          </w:p>
        </w:tc>
        <w:tc>
          <w:tcPr>
            <w:tcW w:w="1287" w:type="pct"/>
            <w:tcBorders>
              <w:top w:val="nil"/>
              <w:bottom w:val="nil"/>
            </w:tcBorders>
            <w:shd w:val="clear" w:color="auto" w:fill="auto"/>
          </w:tcPr>
          <w:p w:rsidR="00B45FC3" w:rsidRPr="00526311" w:rsidRDefault="001A4F69" w:rsidP="0063039A">
            <w:pPr>
              <w:rPr>
                <w:color w:val="002060"/>
                <w:sz w:val="16"/>
                <w:szCs w:val="16"/>
                <w:lang w:bidi="th-TH"/>
              </w:rPr>
            </w:pPr>
            <w:r w:rsidRPr="00526311">
              <w:rPr>
                <w:i/>
                <w:color w:val="002060"/>
                <w:sz w:val="16"/>
                <w:szCs w:val="16"/>
              </w:rPr>
              <w:t>Referencia actualizada a fines de</w:t>
            </w:r>
            <w:r w:rsidR="00B45FC3" w:rsidRPr="00526311">
              <w:rPr>
                <w:i/>
                <w:color w:val="002060"/>
                <w:sz w:val="16"/>
                <w:szCs w:val="16"/>
              </w:rPr>
              <w:t xml:space="preserve"> 2013: </w:t>
            </w:r>
            <w:r w:rsidR="00B45FC3" w:rsidRPr="00526311">
              <w:rPr>
                <w:color w:val="002060"/>
                <w:sz w:val="16"/>
                <w:szCs w:val="16"/>
              </w:rPr>
              <w:t xml:space="preserve">1 red de CATI sostenible (de 3 creadas) </w:t>
            </w:r>
          </w:p>
          <w:p w:rsidR="00B45FC3" w:rsidRPr="00526311" w:rsidRDefault="00B45FC3" w:rsidP="0063039A">
            <w:pPr>
              <w:rPr>
                <w:i/>
                <w:color w:val="002060"/>
                <w:sz w:val="8"/>
                <w:szCs w:val="8"/>
              </w:rPr>
            </w:pPr>
          </w:p>
          <w:p w:rsidR="00B45FC3" w:rsidRPr="00526311" w:rsidRDefault="00542D75" w:rsidP="0063039A">
            <w:pPr>
              <w:rPr>
                <w:sz w:val="16"/>
                <w:szCs w:val="16"/>
              </w:rPr>
            </w:pPr>
            <w:r w:rsidRPr="00526311">
              <w:rPr>
                <w:i/>
                <w:sz w:val="16"/>
                <w:szCs w:val="16"/>
              </w:rPr>
              <w:t>Referencia original en el presupuesto de 2014/15</w:t>
            </w:r>
            <w:r w:rsidR="00B45FC3" w:rsidRPr="00526311">
              <w:rPr>
                <w:i/>
                <w:sz w:val="16"/>
                <w:szCs w:val="16"/>
              </w:rPr>
              <w:t>:</w:t>
            </w:r>
            <w:r w:rsidR="00B45FC3" w:rsidRPr="00526311">
              <w:t xml:space="preserve"> </w:t>
            </w:r>
            <w:r w:rsidR="00B45FC3" w:rsidRPr="00526311">
              <w:rPr>
                <w:sz w:val="16"/>
                <w:szCs w:val="16"/>
              </w:rPr>
              <w:t>1 red nacional de CATI: (en total al final del primer trimestre de 2013:</w:t>
            </w:r>
          </w:p>
          <w:p w:rsidR="00B45FC3" w:rsidRPr="00526311" w:rsidRDefault="00B45FC3" w:rsidP="0063039A">
            <w:pPr>
              <w:rPr>
                <w:i/>
                <w:color w:val="002060"/>
                <w:sz w:val="16"/>
                <w:szCs w:val="16"/>
              </w:rPr>
            </w:pPr>
            <w:r w:rsidRPr="00526311">
              <w:rPr>
                <w:i/>
                <w:sz w:val="16"/>
                <w:szCs w:val="16"/>
              </w:rPr>
              <w:t>determinados países de Europa y Asia (1)</w:t>
            </w:r>
          </w:p>
        </w:tc>
        <w:tc>
          <w:tcPr>
            <w:tcW w:w="836" w:type="pct"/>
            <w:tcBorders>
              <w:top w:val="nil"/>
              <w:bottom w:val="nil"/>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2 redes nacionales de CATI (en total):</w:t>
            </w:r>
          </w:p>
          <w:p w:rsidR="00B45FC3" w:rsidRPr="00526311" w:rsidRDefault="00B45FC3" w:rsidP="0063039A">
            <w:pPr>
              <w:rPr>
                <w:sz w:val="16"/>
                <w:szCs w:val="16"/>
                <w:lang w:bidi="th-TH"/>
              </w:rPr>
            </w:pPr>
            <w:r w:rsidRPr="00526311">
              <w:rPr>
                <w:sz w:val="16"/>
                <w:szCs w:val="16"/>
                <w:lang w:bidi="th-TH"/>
              </w:rPr>
              <w:t>determinados países de Europa y Asia (2)</w:t>
            </w:r>
          </w:p>
        </w:tc>
        <w:tc>
          <w:tcPr>
            <w:tcW w:w="1133" w:type="pct"/>
            <w:tcBorders>
              <w:top w:val="nil"/>
              <w:bottom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Determinados países de Europa y Asia (1).</w:t>
            </w:r>
          </w:p>
        </w:tc>
        <w:tc>
          <w:tcPr>
            <w:tcW w:w="605" w:type="pct"/>
            <w:tcBorders>
              <w:top w:val="nil"/>
              <w:bottom w:val="nil"/>
              <w:right w:val="single" w:sz="4" w:space="0" w:color="auto"/>
            </w:tcBorders>
            <w:shd w:val="clear" w:color="auto" w:fill="auto"/>
            <w:tcMar>
              <w:top w:w="110" w:type="dxa"/>
            </w:tcMar>
          </w:tcPr>
          <w:p w:rsidR="00B45FC3" w:rsidRPr="00526311" w:rsidRDefault="00B45FC3" w:rsidP="0063039A">
            <w:pPr>
              <w:keepNext/>
              <w:keepLines/>
              <w:jc w:val="center"/>
              <w:outlineLvl w:val="7"/>
              <w:rPr>
                <w:b/>
                <w:bCs/>
                <w:color w:val="00B050"/>
                <w:sz w:val="16"/>
                <w:szCs w:val="16"/>
              </w:rPr>
            </w:pPr>
            <w:r w:rsidRPr="00526311">
              <w:rPr>
                <w:b/>
                <w:bCs/>
                <w:color w:val="00B050"/>
                <w:sz w:val="16"/>
                <w:szCs w:val="16"/>
              </w:rPr>
              <w:t>Avanza</w:t>
            </w:r>
          </w:p>
        </w:tc>
      </w:tr>
      <w:tr w:rsidR="00B45FC3" w:rsidRPr="00526311" w:rsidTr="0063039A">
        <w:trPr>
          <w:cantSplit/>
        </w:trPr>
        <w:tc>
          <w:tcPr>
            <w:tcW w:w="1140" w:type="pct"/>
            <w:tcBorders>
              <w:top w:val="nil"/>
              <w:bottom w:val="single" w:sz="4" w:space="0" w:color="auto"/>
            </w:tcBorders>
            <w:shd w:val="clear" w:color="auto" w:fill="auto"/>
          </w:tcPr>
          <w:p w:rsidR="00B45FC3" w:rsidRPr="00526311" w:rsidRDefault="00B45FC3" w:rsidP="0063039A">
            <w:pPr>
              <w:tabs>
                <w:tab w:val="left" w:pos="347"/>
              </w:tabs>
              <w:rPr>
                <w:sz w:val="16"/>
                <w:szCs w:val="16"/>
                <w:lang w:bidi="th-TH"/>
              </w:rPr>
            </w:pPr>
            <w:r w:rsidRPr="00526311">
              <w:rPr>
                <w:sz w:val="16"/>
                <w:szCs w:val="16"/>
                <w:lang w:bidi="th-TH"/>
              </w:rPr>
              <w:t>Promedio de usuarios que utilizan los servicios de los CATI por trimestre y por país.</w:t>
            </w:r>
          </w:p>
        </w:tc>
        <w:tc>
          <w:tcPr>
            <w:tcW w:w="1287" w:type="pct"/>
            <w:tcBorders>
              <w:top w:val="nil"/>
              <w:bottom w:val="single" w:sz="4" w:space="0" w:color="auto"/>
            </w:tcBorders>
            <w:shd w:val="clear" w:color="auto" w:fill="auto"/>
          </w:tcPr>
          <w:p w:rsidR="00B45FC3" w:rsidRPr="00526311" w:rsidRDefault="001A4F69" w:rsidP="0063039A">
            <w:pPr>
              <w:rPr>
                <w:color w:val="002060"/>
                <w:sz w:val="16"/>
                <w:szCs w:val="16"/>
                <w:lang w:bidi="th-TH"/>
              </w:rPr>
            </w:pPr>
            <w:r w:rsidRPr="00526311">
              <w:rPr>
                <w:i/>
                <w:color w:val="002060"/>
                <w:sz w:val="16"/>
                <w:szCs w:val="16"/>
              </w:rPr>
              <w:t>Referencia actualizada a fines de</w:t>
            </w:r>
            <w:r w:rsidR="00B45FC3" w:rsidRPr="00526311">
              <w:rPr>
                <w:i/>
                <w:color w:val="002060"/>
                <w:sz w:val="16"/>
                <w:szCs w:val="16"/>
              </w:rPr>
              <w:t xml:space="preserve"> 2013: </w:t>
            </w:r>
            <w:r w:rsidR="00B45FC3" w:rsidRPr="00526311">
              <w:rPr>
                <w:color w:val="002060"/>
                <w:sz w:val="16"/>
                <w:szCs w:val="16"/>
              </w:rPr>
              <w:t>532 (min.) a 1370 (m</w:t>
            </w:r>
            <w:r w:rsidR="00DD542D" w:rsidRPr="00526311">
              <w:rPr>
                <w:color w:val="002060"/>
                <w:sz w:val="16"/>
                <w:szCs w:val="16"/>
              </w:rPr>
              <w:t>á</w:t>
            </w:r>
            <w:r w:rsidR="00B45FC3" w:rsidRPr="00526311">
              <w:rPr>
                <w:color w:val="002060"/>
                <w:sz w:val="16"/>
                <w:szCs w:val="16"/>
              </w:rPr>
              <w:t>x.) promedio del número de usuarios atendidos por los CATI al día en 2013.</w:t>
            </w:r>
          </w:p>
          <w:p w:rsidR="00B45FC3" w:rsidRPr="00526311" w:rsidRDefault="00B45FC3" w:rsidP="0063039A">
            <w:pPr>
              <w:rPr>
                <w:i/>
                <w:color w:val="002060"/>
                <w:sz w:val="8"/>
                <w:szCs w:val="8"/>
              </w:rPr>
            </w:pPr>
          </w:p>
          <w:p w:rsidR="00B45FC3" w:rsidRPr="00526311" w:rsidRDefault="00B45FC3" w:rsidP="0063039A">
            <w:pPr>
              <w:rPr>
                <w:sz w:val="16"/>
                <w:szCs w:val="16"/>
              </w:rPr>
            </w:pPr>
            <w:r w:rsidRPr="00526311">
              <w:rPr>
                <w:i/>
                <w:sz w:val="16"/>
                <w:szCs w:val="16"/>
              </w:rPr>
              <w:t>Referencia original en el presupuesto de 2014/15:</w:t>
            </w:r>
            <w:r w:rsidRPr="00526311">
              <w:t xml:space="preserve"> </w:t>
            </w:r>
            <w:r w:rsidRPr="00526311">
              <w:rPr>
                <w:sz w:val="16"/>
                <w:szCs w:val="16"/>
              </w:rPr>
              <w:t>200 (min.) – 630 (m</w:t>
            </w:r>
            <w:r w:rsidR="00DD542D" w:rsidRPr="00526311">
              <w:rPr>
                <w:sz w:val="16"/>
                <w:szCs w:val="16"/>
              </w:rPr>
              <w:t>á</w:t>
            </w:r>
            <w:r w:rsidRPr="00526311">
              <w:rPr>
                <w:sz w:val="16"/>
                <w:szCs w:val="16"/>
              </w:rPr>
              <w:t>x.)</w:t>
            </w:r>
          </w:p>
          <w:p w:rsidR="00B45FC3" w:rsidRPr="00526311" w:rsidRDefault="00B45FC3" w:rsidP="0063039A">
            <w:pPr>
              <w:rPr>
                <w:i/>
                <w:color w:val="002060"/>
                <w:sz w:val="16"/>
                <w:szCs w:val="16"/>
              </w:rPr>
            </w:pPr>
          </w:p>
        </w:tc>
        <w:tc>
          <w:tcPr>
            <w:tcW w:w="836" w:type="pct"/>
            <w:tcBorders>
              <w:top w:val="nil"/>
              <w:bottom w:val="single" w:sz="4" w:space="0" w:color="auto"/>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300 (min.) – 750 (máx.).</w:t>
            </w:r>
          </w:p>
        </w:tc>
        <w:tc>
          <w:tcPr>
            <w:tcW w:w="1133" w:type="pct"/>
            <w:tcBorders>
              <w:top w:val="nil"/>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513 (min.) - 1.521 (</w:t>
            </w:r>
            <w:r w:rsidR="00DD542D" w:rsidRPr="00526311">
              <w:rPr>
                <w:sz w:val="16"/>
                <w:szCs w:val="16"/>
                <w:lang w:bidi="th-TH"/>
              </w:rPr>
              <w:t>máx.</w:t>
            </w:r>
            <w:r w:rsidRPr="00526311">
              <w:rPr>
                <w:sz w:val="16"/>
                <w:szCs w:val="16"/>
                <w:lang w:bidi="th-TH"/>
              </w:rPr>
              <w:t>) promedio del número de usuarios atendidos por los CATI al día en 2014.</w:t>
            </w:r>
          </w:p>
        </w:tc>
        <w:tc>
          <w:tcPr>
            <w:tcW w:w="605" w:type="pct"/>
            <w:tcBorders>
              <w:top w:val="nil"/>
              <w:bottom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r w:rsidR="00B45FC3" w:rsidRPr="00526311" w:rsidTr="0063039A">
        <w:trPr>
          <w:cantSplit/>
          <w:trHeight w:val="665"/>
        </w:trPr>
        <w:tc>
          <w:tcPr>
            <w:tcW w:w="5000" w:type="pct"/>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ind w:left="1701" w:hanging="1701"/>
              <w:rPr>
                <w:b/>
                <w:bCs/>
                <w:sz w:val="16"/>
                <w:szCs w:val="16"/>
              </w:rPr>
            </w:pPr>
            <w:r w:rsidRPr="00526311">
              <w:rPr>
                <w:b/>
                <w:bCs/>
                <w:sz w:val="16"/>
                <w:szCs w:val="16"/>
              </w:rPr>
              <w:t>Resultado previsto:</w:t>
            </w:r>
            <w:r w:rsidRPr="00526311">
              <w:rPr>
                <w:b/>
                <w:bCs/>
                <w:sz w:val="16"/>
                <w:szCs w:val="16"/>
              </w:rPr>
              <w:tab/>
            </w:r>
            <w:r w:rsidRPr="00526311">
              <w:rPr>
                <w:sz w:val="16"/>
                <w:szCs w:val="16"/>
                <w:lang w:bidi="th-TH"/>
              </w:rPr>
              <w:t xml:space="preserve">IV.4 </w:t>
            </w:r>
            <w:r w:rsidR="00CC3305" w:rsidRPr="00526311">
              <w:rPr>
                <w:sz w:val="16"/>
                <w:szCs w:val="16"/>
                <w:lang w:bidi="th-TH"/>
              </w:rPr>
              <w:t>Mejora en la infraestructura técnica y de conocimientos de las Oficinas y demás instituciones de P.I. que les permita prestar mejores servicios (más económicos, más rápidos y de mejor calidad) a sus partes interesadas</w:t>
            </w:r>
          </w:p>
        </w:tc>
      </w:tr>
      <w:tr w:rsidR="00B45FC3" w:rsidRPr="00526311" w:rsidTr="0063039A">
        <w:trPr>
          <w:cantSplit/>
          <w:trHeight w:val="382"/>
        </w:trPr>
        <w:tc>
          <w:tcPr>
            <w:tcW w:w="1140" w:type="pct"/>
            <w:tcBorders>
              <w:top w:val="single" w:sz="4" w:space="0" w:color="auto"/>
              <w:left w:val="single" w:sz="4" w:space="0" w:color="auto"/>
              <w:bottom w:val="nil"/>
              <w:right w:val="nil"/>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87"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836"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b/>
                <w:sz w:val="16"/>
                <w:szCs w:val="16"/>
              </w:rPr>
            </w:pPr>
            <w:r w:rsidRPr="00526311">
              <w:rPr>
                <w:b/>
                <w:sz w:val="16"/>
                <w:szCs w:val="16"/>
              </w:rPr>
              <w:t>Objetivos</w:t>
            </w:r>
          </w:p>
        </w:tc>
        <w:tc>
          <w:tcPr>
            <w:tcW w:w="1131"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sz w:val="16"/>
                <w:szCs w:val="16"/>
              </w:rPr>
            </w:pPr>
            <w:r w:rsidRPr="00526311">
              <w:rPr>
                <w:b/>
                <w:sz w:val="16"/>
                <w:szCs w:val="16"/>
              </w:rPr>
              <w:t>Datos sobre el rendimiento</w:t>
            </w:r>
          </w:p>
        </w:tc>
        <w:tc>
          <w:tcPr>
            <w:tcW w:w="606" w:type="pct"/>
            <w:tcBorders>
              <w:top w:val="single" w:sz="4" w:space="0" w:color="auto"/>
              <w:left w:val="nil"/>
              <w:bottom w:val="nil"/>
              <w:right w:val="single" w:sz="4" w:space="0" w:color="auto"/>
            </w:tcBorders>
            <w:shd w:val="clear" w:color="auto" w:fill="auto"/>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rPr>
          <w:cantSplit/>
        </w:trPr>
        <w:tc>
          <w:tcPr>
            <w:tcW w:w="1140" w:type="pct"/>
            <w:tcBorders>
              <w:top w:val="nil"/>
              <w:left w:val="single" w:sz="4" w:space="0" w:color="auto"/>
              <w:bottom w:val="single" w:sz="4" w:space="0" w:color="auto"/>
              <w:right w:val="nil"/>
            </w:tcBorders>
            <w:shd w:val="clear" w:color="auto" w:fill="auto"/>
          </w:tcPr>
          <w:p w:rsidR="00B45FC3" w:rsidRPr="00526311" w:rsidRDefault="00B45FC3" w:rsidP="0063039A">
            <w:pPr>
              <w:tabs>
                <w:tab w:val="left" w:pos="347"/>
              </w:tabs>
              <w:rPr>
                <w:sz w:val="16"/>
                <w:szCs w:val="16"/>
                <w:lang w:bidi="th-TH"/>
              </w:rPr>
            </w:pPr>
            <w:r w:rsidRPr="00526311">
              <w:rPr>
                <w:sz w:val="16"/>
                <w:szCs w:val="16"/>
                <w:lang w:bidi="th-TH"/>
              </w:rPr>
              <w:t>Media del nivel de los servicios prestados por las Oficinas de P.I. que reciben asistencia (en una escala del 1 al 5).</w:t>
            </w:r>
          </w:p>
        </w:tc>
        <w:tc>
          <w:tcPr>
            <w:tcW w:w="1287" w:type="pct"/>
            <w:tcBorders>
              <w:top w:val="nil"/>
              <w:left w:val="nil"/>
              <w:bottom w:val="single" w:sz="4" w:space="0" w:color="auto"/>
              <w:right w:val="nil"/>
            </w:tcBorders>
            <w:shd w:val="clear" w:color="auto" w:fill="auto"/>
          </w:tcPr>
          <w:p w:rsidR="00B45FC3" w:rsidRPr="00526311" w:rsidRDefault="001A4F69" w:rsidP="0063039A">
            <w:pPr>
              <w:rPr>
                <w:color w:val="002060"/>
                <w:sz w:val="16"/>
                <w:szCs w:val="16"/>
                <w:lang w:bidi="th-TH"/>
              </w:rPr>
            </w:pPr>
            <w:r w:rsidRPr="00526311">
              <w:rPr>
                <w:i/>
                <w:color w:val="002060"/>
                <w:sz w:val="16"/>
                <w:szCs w:val="16"/>
                <w:lang w:bidi="th-TH"/>
              </w:rPr>
              <w:t>Referencia actualizada a fines de</w:t>
            </w:r>
            <w:r w:rsidR="00B45FC3" w:rsidRPr="00526311">
              <w:rPr>
                <w:i/>
                <w:color w:val="002060"/>
                <w:sz w:val="16"/>
                <w:szCs w:val="16"/>
                <w:lang w:bidi="th-TH"/>
              </w:rPr>
              <w:t xml:space="preserve"> 2013: </w:t>
            </w:r>
            <w:r w:rsidR="00B45FC3" w:rsidRPr="00526311">
              <w:rPr>
                <w:color w:val="002060"/>
                <w:sz w:val="16"/>
                <w:szCs w:val="16"/>
                <w:lang w:bidi="th-TH"/>
              </w:rPr>
              <w:t>3.</w:t>
            </w:r>
          </w:p>
          <w:p w:rsidR="00B45FC3" w:rsidRPr="00526311" w:rsidRDefault="00B45FC3" w:rsidP="0063039A">
            <w:pPr>
              <w:rPr>
                <w:i/>
                <w:color w:val="002060"/>
                <w:sz w:val="8"/>
                <w:szCs w:val="8"/>
              </w:rPr>
            </w:pPr>
          </w:p>
          <w:p w:rsidR="00B45FC3" w:rsidRPr="00526311" w:rsidRDefault="00B45FC3" w:rsidP="0063039A">
            <w:pPr>
              <w:rPr>
                <w:i/>
                <w:color w:val="002060"/>
                <w:sz w:val="16"/>
                <w:szCs w:val="16"/>
              </w:rPr>
            </w:pPr>
            <w:r w:rsidRPr="00526311">
              <w:rPr>
                <w:i/>
                <w:sz w:val="16"/>
                <w:szCs w:val="16"/>
              </w:rPr>
              <w:t>Referencia original en el presupuesto de 2014/15:</w:t>
            </w:r>
            <w:r w:rsidRPr="00526311">
              <w:t xml:space="preserve"> </w:t>
            </w:r>
            <w:r w:rsidRPr="00526311">
              <w:rPr>
                <w:sz w:val="16"/>
                <w:szCs w:val="16"/>
              </w:rPr>
              <w:t>por determinar.</w:t>
            </w:r>
          </w:p>
        </w:tc>
        <w:tc>
          <w:tcPr>
            <w:tcW w:w="836" w:type="pct"/>
            <w:tcBorders>
              <w:top w:val="nil"/>
              <w:left w:val="nil"/>
              <w:bottom w:val="single" w:sz="4" w:space="0" w:color="auto"/>
              <w:right w:val="nil"/>
            </w:tcBorders>
            <w:shd w:val="clear" w:color="auto" w:fill="auto"/>
            <w:tcMar>
              <w:top w:w="110" w:type="dxa"/>
            </w:tcMar>
          </w:tcPr>
          <w:p w:rsidR="00B45FC3" w:rsidRPr="00526311" w:rsidRDefault="00DD542D" w:rsidP="0063039A">
            <w:pPr>
              <w:pStyle w:val="Default"/>
              <w:rPr>
                <w:rFonts w:eastAsia="Times New Roman"/>
                <w:color w:val="002060"/>
                <w:sz w:val="16"/>
                <w:szCs w:val="16"/>
                <w:lang w:val="es-ES" w:eastAsia="en-US"/>
              </w:rPr>
            </w:pPr>
            <w:r w:rsidRPr="00526311">
              <w:rPr>
                <w:rFonts w:eastAsia="Times New Roman"/>
                <w:i/>
                <w:color w:val="002060"/>
                <w:sz w:val="16"/>
                <w:szCs w:val="16"/>
                <w:lang w:val="es-ES" w:eastAsia="en-US"/>
              </w:rPr>
              <w:t>Objetivo definido</w:t>
            </w:r>
            <w:r w:rsidR="00B45FC3" w:rsidRPr="00526311">
              <w:rPr>
                <w:rFonts w:eastAsia="Times New Roman"/>
                <w:i/>
                <w:color w:val="002060"/>
                <w:sz w:val="16"/>
                <w:szCs w:val="16"/>
                <w:lang w:val="es-ES" w:eastAsia="en-US"/>
              </w:rPr>
              <w:t xml:space="preserve">: </w:t>
            </w:r>
            <w:r w:rsidR="00B45FC3" w:rsidRPr="00526311">
              <w:rPr>
                <w:rFonts w:eastAsia="Times New Roman"/>
                <w:color w:val="002060"/>
                <w:sz w:val="16"/>
                <w:szCs w:val="16"/>
                <w:lang w:val="es-ES" w:eastAsia="en-US"/>
              </w:rPr>
              <w:t>3.</w:t>
            </w:r>
          </w:p>
          <w:p w:rsidR="00B45FC3" w:rsidRPr="00526311" w:rsidRDefault="00B45FC3" w:rsidP="0063039A">
            <w:pPr>
              <w:rPr>
                <w:i/>
                <w:color w:val="002060"/>
                <w:sz w:val="8"/>
                <w:szCs w:val="8"/>
              </w:rPr>
            </w:pPr>
          </w:p>
          <w:p w:rsidR="00B45FC3" w:rsidRPr="00526311" w:rsidRDefault="00B45FC3" w:rsidP="0063039A">
            <w:pPr>
              <w:rPr>
                <w:sz w:val="16"/>
                <w:szCs w:val="16"/>
              </w:rPr>
            </w:pPr>
            <w:r w:rsidRPr="00526311">
              <w:rPr>
                <w:i/>
                <w:sz w:val="16"/>
                <w:szCs w:val="16"/>
              </w:rPr>
              <w:t>Objetivo original en el presup</w:t>
            </w:r>
            <w:r w:rsidR="00DD542D" w:rsidRPr="00526311">
              <w:rPr>
                <w:i/>
                <w:sz w:val="16"/>
                <w:szCs w:val="16"/>
              </w:rPr>
              <w:t>uesto</w:t>
            </w:r>
            <w:r w:rsidRPr="00526311">
              <w:rPr>
                <w:i/>
                <w:sz w:val="16"/>
                <w:szCs w:val="16"/>
              </w:rPr>
              <w:t xml:space="preserve"> de 2014/15:</w:t>
            </w:r>
            <w:r w:rsidRPr="00526311">
              <w:t xml:space="preserve"> </w:t>
            </w:r>
            <w:r w:rsidRPr="00526311">
              <w:rPr>
                <w:sz w:val="16"/>
                <w:szCs w:val="16"/>
              </w:rPr>
              <w:t>por determinar.</w:t>
            </w:r>
          </w:p>
          <w:p w:rsidR="00B45FC3" w:rsidRPr="00526311" w:rsidRDefault="00B45FC3" w:rsidP="0063039A">
            <w:pPr>
              <w:rPr>
                <w:sz w:val="16"/>
                <w:szCs w:val="16"/>
                <w:lang w:bidi="th-TH"/>
              </w:rPr>
            </w:pPr>
          </w:p>
        </w:tc>
        <w:tc>
          <w:tcPr>
            <w:tcW w:w="1131" w:type="pct"/>
            <w:tcBorders>
              <w:top w:val="nil"/>
              <w:left w:val="nil"/>
              <w:bottom w:val="single" w:sz="4" w:space="0" w:color="auto"/>
              <w:right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Determinados países de Europa y Asia (3,2).</w:t>
            </w:r>
          </w:p>
        </w:tc>
        <w:tc>
          <w:tcPr>
            <w:tcW w:w="606" w:type="pct"/>
            <w:tcBorders>
              <w:top w:val="nil"/>
              <w:left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bl>
    <w:p w:rsidR="00B45FC3" w:rsidRPr="00526311" w:rsidRDefault="00B45FC3" w:rsidP="0063039A">
      <w:pPr>
        <w:rPr>
          <w:color w:val="000000"/>
          <w:szCs w:val="22"/>
        </w:rPr>
      </w:pPr>
    </w:p>
    <w:p w:rsidR="00B45FC3" w:rsidRPr="00526311" w:rsidRDefault="00B45FC3">
      <w:pPr>
        <w:rPr>
          <w:color w:val="000000"/>
          <w:szCs w:val="22"/>
        </w:rPr>
      </w:pPr>
      <w:r w:rsidRPr="00526311">
        <w:rPr>
          <w:color w:val="000000"/>
          <w:szCs w:val="22"/>
        </w:rPr>
        <w:br w:type="page"/>
      </w:r>
    </w:p>
    <w:p w:rsidR="00B45FC3" w:rsidRPr="00526311" w:rsidRDefault="00B45FC3" w:rsidP="0063039A">
      <w:pPr>
        <w:rPr>
          <w:color w:val="000000"/>
          <w:szCs w:val="22"/>
        </w:rPr>
      </w:pPr>
    </w:p>
    <w:p w:rsidR="00B45FC3" w:rsidRPr="00526311" w:rsidRDefault="00B45FC3" w:rsidP="0063039A">
      <w:pPr>
        <w:rPr>
          <w:b/>
          <w:sz w:val="18"/>
          <w:szCs w:val="18"/>
        </w:rPr>
      </w:pPr>
      <w:r w:rsidRPr="00526311">
        <w:rPr>
          <w:color w:val="000000"/>
          <w:szCs w:val="22"/>
        </w:rPr>
        <w:t xml:space="preserve">UTILIZACIÓN DE LOS </w:t>
      </w:r>
      <w:r w:rsidRPr="00526311">
        <w:rPr>
          <w:szCs w:val="22"/>
        </w:rPr>
        <w:t>RECURSOS</w:t>
      </w:r>
    </w:p>
    <w:p w:rsidR="00B45FC3" w:rsidRPr="00526311" w:rsidRDefault="00B45FC3" w:rsidP="0063039A"/>
    <w:p w:rsidR="00B45FC3" w:rsidRPr="00526311" w:rsidRDefault="00B45FC3" w:rsidP="0063039A">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B45FC3" w:rsidRPr="00526311" w:rsidRDefault="00B45FC3"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pStyle w:val="NormalWeb"/>
        <w:spacing w:before="0" w:beforeAutospacing="0" w:after="0" w:afterAutospacing="0"/>
        <w:jc w:val="center"/>
        <w:rPr>
          <w:sz w:val="20"/>
          <w:szCs w:val="20"/>
          <w:lang w:val="es-ES"/>
        </w:rPr>
      </w:pPr>
    </w:p>
    <w:p w:rsidR="00B45FC3" w:rsidRPr="00526311" w:rsidRDefault="00DD7B62" w:rsidP="0063039A">
      <w:pPr>
        <w:jc w:val="center"/>
      </w:pPr>
      <w:r w:rsidRPr="00526311">
        <w:rPr>
          <w:noProof/>
          <w:lang w:val="en-US" w:eastAsia="en-US"/>
        </w:rPr>
        <w:drawing>
          <wp:inline distT="0" distB="0" distL="0" distR="0" wp14:anchorId="01E09949" wp14:editId="206544FC">
            <wp:extent cx="5619750" cy="5907704"/>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19750" cy="5907704"/>
                    </a:xfrm>
                    <a:prstGeom prst="rect">
                      <a:avLst/>
                    </a:prstGeom>
                    <a:noFill/>
                    <a:ln>
                      <a:noFill/>
                    </a:ln>
                  </pic:spPr>
                </pic:pic>
              </a:graphicData>
            </a:graphic>
          </wp:inline>
        </w:drawing>
      </w:r>
    </w:p>
    <w:p w:rsidR="00B45FC3" w:rsidRPr="00526311" w:rsidRDefault="00B45FC3" w:rsidP="0063039A"/>
    <w:p w:rsidR="00B45FC3" w:rsidRPr="00526311" w:rsidRDefault="00B45FC3" w:rsidP="0063039A"/>
    <w:p w:rsidR="00B45FC3" w:rsidRPr="00526311" w:rsidRDefault="00B45FC3"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B45FC3" w:rsidRPr="00526311" w:rsidRDefault="00B45FC3"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pStyle w:val="NormalWeb"/>
        <w:keepNext/>
        <w:keepLines/>
        <w:spacing w:before="0" w:beforeAutospacing="0" w:after="0" w:afterAutospacing="0"/>
        <w:jc w:val="center"/>
        <w:rPr>
          <w:lang w:val="es-ES"/>
        </w:rPr>
      </w:pPr>
    </w:p>
    <w:p w:rsidR="00B45FC3" w:rsidRPr="00526311" w:rsidRDefault="00FF6E74" w:rsidP="0063039A">
      <w:pPr>
        <w:rPr>
          <w:i/>
          <w:sz w:val="16"/>
          <w:szCs w:val="16"/>
        </w:rPr>
      </w:pPr>
      <w:r w:rsidRPr="00526311">
        <w:rPr>
          <w:noProof/>
          <w:lang w:val="en-US" w:eastAsia="en-US"/>
        </w:rPr>
        <w:drawing>
          <wp:inline distT="0" distB="0" distL="0" distR="0" wp14:anchorId="68144B9E" wp14:editId="6DA5D598">
            <wp:extent cx="5940425" cy="1254724"/>
            <wp:effectExtent l="0" t="0" r="3175" b="3175"/>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0425" cy="1254724"/>
                    </a:xfrm>
                    <a:prstGeom prst="rect">
                      <a:avLst/>
                    </a:prstGeom>
                    <a:noFill/>
                    <a:ln>
                      <a:noFill/>
                    </a:ln>
                  </pic:spPr>
                </pic:pic>
              </a:graphicData>
            </a:graphic>
          </wp:inline>
        </w:drawing>
      </w:r>
    </w:p>
    <w:p w:rsidR="00B45FC3" w:rsidRPr="00526311" w:rsidRDefault="00B45FC3" w:rsidP="0063039A">
      <w:pPr>
        <w:rPr>
          <w:sz w:val="16"/>
          <w:szCs w:val="16"/>
        </w:rPr>
      </w:pPr>
      <w:r w:rsidRPr="00526311">
        <w:rPr>
          <w:i/>
          <w:sz w:val="16"/>
          <w:szCs w:val="16"/>
        </w:rPr>
        <w:t>NOTA:  El presupuesto de 2014/15 tras las transferencias refleja las transferencias efectuadas al 31 de marzo de 2015 para hacer frente a las necesidades durante el bienio de 2014/15, según lo previsto en el artículo 5.5 del Reglamento Financiero.</w:t>
      </w:r>
    </w:p>
    <w:p w:rsidR="00B45FC3" w:rsidRPr="00526311" w:rsidRDefault="00B45FC3" w:rsidP="0063039A">
      <w:pPr>
        <w:widowControl w:val="0"/>
        <w:autoSpaceDE w:val="0"/>
        <w:autoSpaceDN w:val="0"/>
        <w:adjustRightInd w:val="0"/>
      </w:pPr>
    </w:p>
    <w:p w:rsidR="00B45FC3" w:rsidRPr="00526311" w:rsidRDefault="00B45FC3"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B45FC3" w:rsidRPr="00526311" w:rsidRDefault="00B45FC3" w:rsidP="0063039A">
      <w:pPr>
        <w:rPr>
          <w:sz w:val="20"/>
          <w:u w:val="single"/>
        </w:rPr>
      </w:pPr>
    </w:p>
    <w:p w:rsidR="00B45FC3" w:rsidRPr="00526311" w:rsidRDefault="00B45FC3" w:rsidP="00B45FC3">
      <w:pPr>
        <w:pStyle w:val="ListParagraph"/>
        <w:numPr>
          <w:ilvl w:val="0"/>
          <w:numId w:val="55"/>
        </w:numPr>
        <w:tabs>
          <w:tab w:val="left" w:pos="709"/>
        </w:tabs>
        <w:autoSpaceDE w:val="0"/>
        <w:autoSpaceDN w:val="0"/>
        <w:ind w:left="0" w:firstLine="0"/>
        <w:jc w:val="both"/>
        <w:rPr>
          <w:rFonts w:cs="Arial"/>
          <w:lang w:val="es-ES" w:eastAsia="ko-KR"/>
        </w:rPr>
      </w:pPr>
      <w:r w:rsidRPr="00526311">
        <w:rPr>
          <w:rFonts w:cs="Arial"/>
          <w:lang w:val="es-ES" w:eastAsia="ko-KR"/>
        </w:rPr>
        <w:t>Los ajustes efectuados respecto de los distintos resultados en el presupuesto de 2014/15 tras las transferencias son consecuencia de la metodología nueva y más precisa para la consignación de los recursos de personal tras las mejoras introducidas en el sistema de planificación de la gestión del rendimiento institucional con respecto al ejercicio de planificación anual del trabajo.</w:t>
      </w:r>
    </w:p>
    <w:p w:rsidR="00B45FC3" w:rsidRPr="00526311" w:rsidRDefault="00B45FC3" w:rsidP="0063039A">
      <w:pPr>
        <w:autoSpaceDE w:val="0"/>
        <w:autoSpaceDN w:val="0"/>
        <w:jc w:val="both"/>
        <w:rPr>
          <w:sz w:val="20"/>
          <w:lang w:eastAsia="ko-KR"/>
        </w:rPr>
      </w:pPr>
    </w:p>
    <w:p w:rsidR="00B45FC3" w:rsidRPr="00526311" w:rsidRDefault="00B45FC3"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B45FC3" w:rsidRPr="00526311" w:rsidRDefault="00B45FC3" w:rsidP="0063039A">
      <w:pPr>
        <w:autoSpaceDE w:val="0"/>
        <w:autoSpaceDN w:val="0"/>
        <w:jc w:val="both"/>
        <w:rPr>
          <w:sz w:val="20"/>
          <w:u w:val="single"/>
          <w:lang w:eastAsia="ko-KR"/>
        </w:rPr>
      </w:pPr>
    </w:p>
    <w:p w:rsidR="00B45FC3" w:rsidRPr="00526311" w:rsidRDefault="00B45FC3" w:rsidP="00B45FC3">
      <w:pPr>
        <w:pStyle w:val="ListParagraph"/>
        <w:numPr>
          <w:ilvl w:val="0"/>
          <w:numId w:val="55"/>
        </w:numPr>
        <w:tabs>
          <w:tab w:val="left" w:pos="709"/>
        </w:tabs>
        <w:autoSpaceDE w:val="0"/>
        <w:autoSpaceDN w:val="0"/>
        <w:ind w:left="0" w:firstLine="0"/>
        <w:jc w:val="both"/>
        <w:rPr>
          <w:lang w:val="es-ES"/>
        </w:rPr>
      </w:pPr>
      <w:r w:rsidRPr="00526311">
        <w:rPr>
          <w:lang w:val="es-ES"/>
        </w:rPr>
        <w:t>La ligera infrautilización de los recursos no relativos a personal se debe principalmente a lo siguiente:  i) la aplicación de medidas costoeficaces en las misiones del personal y eventos, y ii) el aplazamiento a 2015 de determinadas actividades en la región.</w:t>
      </w:r>
    </w:p>
    <w:p w:rsidR="00B45FC3" w:rsidRPr="00526311" w:rsidRDefault="00B45FC3" w:rsidP="0063039A">
      <w:pPr>
        <w:rPr>
          <w:sz w:val="20"/>
        </w:rPr>
      </w:pPr>
    </w:p>
    <w:p w:rsidR="00B45FC3" w:rsidRPr="00526311" w:rsidRDefault="00B45FC3" w:rsidP="0063039A">
      <w:pPr>
        <w:rPr>
          <w:sz w:val="20"/>
        </w:rPr>
      </w:pPr>
    </w:p>
    <w:p w:rsidR="00B45FC3" w:rsidRPr="00526311" w:rsidRDefault="00B45FC3">
      <w:pPr>
        <w:rPr>
          <w:b/>
          <w:bCs/>
          <w:iCs/>
          <w:caps/>
          <w:sz w:val="20"/>
        </w:rPr>
      </w:pPr>
      <w:r w:rsidRPr="00526311">
        <w:rPr>
          <w:b/>
          <w:sz w:val="20"/>
        </w:rPr>
        <w:br w:type="page"/>
      </w:r>
    </w:p>
    <w:p w:rsidR="00B45FC3" w:rsidRPr="00526311" w:rsidRDefault="00173D9F" w:rsidP="0063039A">
      <w:pPr>
        <w:pStyle w:val="Heading2"/>
        <w:ind w:left="2410" w:hanging="2410"/>
        <w:rPr>
          <w:b/>
          <w:szCs w:val="20"/>
        </w:rPr>
      </w:pPr>
      <w:bookmarkStart w:id="42" w:name="_Toc422927418"/>
      <w:r w:rsidRPr="00526311">
        <w:rPr>
          <w:b/>
          <w:caps w:val="0"/>
          <w:szCs w:val="20"/>
        </w:rPr>
        <w:lastRenderedPageBreak/>
        <w:t>PROGRAMA 11</w:t>
      </w:r>
      <w:r w:rsidRPr="00526311">
        <w:rPr>
          <w:b/>
          <w:caps w:val="0"/>
          <w:szCs w:val="20"/>
        </w:rPr>
        <w:tab/>
        <w:t>ACADEMIA DE LA OMPI</w:t>
      </w:r>
      <w:bookmarkEnd w:id="42"/>
    </w:p>
    <w:p w:rsidR="00B45FC3" w:rsidRPr="00526311" w:rsidRDefault="00B45FC3" w:rsidP="0063039A">
      <w:pPr>
        <w:ind w:left="1985" w:hanging="1985"/>
        <w:rPr>
          <w:b/>
          <w:sz w:val="20"/>
        </w:rPr>
      </w:pPr>
    </w:p>
    <w:p w:rsidR="00B45FC3" w:rsidRPr="00526311" w:rsidRDefault="00B45FC3" w:rsidP="0063039A">
      <w:pPr>
        <w:ind w:left="2410" w:hanging="2410"/>
        <w:rPr>
          <w:b/>
          <w:sz w:val="20"/>
        </w:rPr>
      </w:pPr>
      <w:r w:rsidRPr="00526311">
        <w:rPr>
          <w:b/>
          <w:sz w:val="20"/>
        </w:rPr>
        <w:t>Director de programa</w:t>
      </w:r>
      <w:r w:rsidRPr="00526311">
        <w:rPr>
          <w:b/>
          <w:sz w:val="20"/>
        </w:rPr>
        <w:tab/>
        <w:t>Sr. M. Matus</w:t>
      </w:r>
    </w:p>
    <w:p w:rsidR="00B45FC3" w:rsidRPr="00526311" w:rsidRDefault="00B45FC3" w:rsidP="0063039A">
      <w:pPr>
        <w:rPr>
          <w:sz w:val="20"/>
        </w:rPr>
      </w:pPr>
    </w:p>
    <w:p w:rsidR="00B45FC3" w:rsidRPr="00526311" w:rsidRDefault="00B45FC3" w:rsidP="0063039A">
      <w:pPr>
        <w:rPr>
          <w:sz w:val="20"/>
        </w:rPr>
      </w:pPr>
    </w:p>
    <w:p w:rsidR="00B45FC3" w:rsidRPr="00526311" w:rsidRDefault="00B45FC3" w:rsidP="0063039A">
      <w:pPr>
        <w:rPr>
          <w:bCs/>
          <w:szCs w:val="22"/>
        </w:rPr>
      </w:pPr>
      <w:r w:rsidRPr="00526311">
        <w:rPr>
          <w:bCs/>
          <w:szCs w:val="22"/>
        </w:rPr>
        <w:t>RESEÑA DE LOS AVANCES LOGRADOS EN 2014</w:t>
      </w:r>
    </w:p>
    <w:p w:rsidR="00B45FC3" w:rsidRPr="00526311" w:rsidRDefault="00B45FC3" w:rsidP="0063039A">
      <w:pPr>
        <w:jc w:val="both"/>
      </w:pPr>
    </w:p>
    <w:p w:rsidR="00B45FC3" w:rsidRPr="00526311" w:rsidRDefault="00B45FC3" w:rsidP="00B45FC3">
      <w:pPr>
        <w:pStyle w:val="ListParagraph"/>
        <w:numPr>
          <w:ilvl w:val="0"/>
          <w:numId w:val="59"/>
        </w:numPr>
        <w:tabs>
          <w:tab w:val="left" w:pos="709"/>
        </w:tabs>
        <w:autoSpaceDE w:val="0"/>
        <w:autoSpaceDN w:val="0"/>
        <w:adjustRightInd w:val="0"/>
        <w:ind w:left="0" w:firstLine="0"/>
        <w:jc w:val="both"/>
        <w:rPr>
          <w:rFonts w:eastAsiaTheme="minorHAnsi" w:cs="Arial"/>
          <w:sz w:val="22"/>
          <w:szCs w:val="22"/>
          <w:lang w:val="es-ES"/>
        </w:rPr>
      </w:pPr>
      <w:r w:rsidRPr="00526311">
        <w:rPr>
          <w:rFonts w:eastAsiaTheme="minorHAnsi" w:cs="Arial"/>
          <w:lang w:val="es-ES"/>
        </w:rPr>
        <w:t>En 2014, la Academia de la OMPI dio inicio a un proceso de reforma con miras a volver a situarse en la posición de principal entidad de la Organización en materia de formación y fortalecimiento de capacidades en P.I. para funcionarios gubernamentales y otras partes interesadas.  Durante la reforma, la Academia procuró mantener, en la medida de lo posible, la cantidad, calidad y frecuencia de los programas de formación propuestos regularmente para cumplir con las obligaciones ya asumidas con los asociados;  responder a nuevas peticiones urgentes de los Estados miembros y demás sectores interesados;  y preservar la continuidad de la formación impartida.</w:t>
      </w:r>
    </w:p>
    <w:p w:rsidR="00B45FC3" w:rsidRPr="00526311" w:rsidRDefault="00B45FC3" w:rsidP="0063039A">
      <w:pPr>
        <w:tabs>
          <w:tab w:val="left" w:pos="709"/>
        </w:tabs>
        <w:autoSpaceDE w:val="0"/>
        <w:autoSpaceDN w:val="0"/>
        <w:adjustRightInd w:val="0"/>
        <w:jc w:val="both"/>
        <w:rPr>
          <w:rFonts w:eastAsiaTheme="minorHAnsi"/>
        </w:rPr>
      </w:pPr>
    </w:p>
    <w:p w:rsidR="00B45FC3" w:rsidRPr="00526311" w:rsidRDefault="00B45FC3" w:rsidP="00B45FC3">
      <w:pPr>
        <w:pStyle w:val="ListParagraph"/>
        <w:numPr>
          <w:ilvl w:val="0"/>
          <w:numId w:val="59"/>
        </w:numPr>
        <w:tabs>
          <w:tab w:val="left" w:pos="709"/>
        </w:tabs>
        <w:autoSpaceDE w:val="0"/>
        <w:autoSpaceDN w:val="0"/>
        <w:adjustRightInd w:val="0"/>
        <w:ind w:left="0" w:firstLine="0"/>
        <w:jc w:val="both"/>
        <w:rPr>
          <w:rFonts w:eastAsiaTheme="minorHAnsi" w:cs="Arial"/>
          <w:lang w:val="es-ES"/>
        </w:rPr>
      </w:pPr>
      <w:r w:rsidRPr="00526311">
        <w:rPr>
          <w:rFonts w:eastAsiaTheme="minorHAnsi" w:cs="Arial"/>
          <w:lang w:val="es-ES"/>
        </w:rPr>
        <w:t>En 2014, la Academia siguió organizando una gran variedad de actividades de formación y de enseñanza para satisfacer las necesidades de fortalecimiento de capacidades de los países en desarrollo, los PMA y los países con economías en transición, mediante una combinación de:  i) actividades de formación presencial para funcionarios gubernamentales de oficinas de propiedad industrial o de derecho de autor y otras instituciones del sector público que participan directa o indirectamente en la gestión de P.I. o en negociaciones internacionales en ese ámbito (Programa de Desarrollo Profesional);  ii) una cartera de 17 cursos de enseñanza a distancia en 14 idiomas (Programa de enseñanza a distancia);  iii) una serie de programas de máster conjuntos en Derecho de la propiedad intelectual y otras actividades diseñadas para la promoción de los estudios superiores de P.I. (Programa para instituciones académicas), así como actividades especiales para estudiantes, jóvenes profesionales de la P.I. (Programa de cursos de verano de la OMPI).  Un importante logro en 2014 fue la extensión, a los demás programas de la Academia, de la plataforma de la OMPI de enseñanza a distancia (WeLC), elaborada por el Programa de enseñanza a distancia en 2011, con el fin de facilitar los trámites de inscripción, selección y matriculación de candidatos.</w:t>
      </w:r>
    </w:p>
    <w:p w:rsidR="00B45FC3" w:rsidRPr="00526311" w:rsidRDefault="00B45FC3" w:rsidP="0063039A">
      <w:pPr>
        <w:tabs>
          <w:tab w:val="left" w:pos="709"/>
        </w:tabs>
        <w:autoSpaceDE w:val="0"/>
        <w:autoSpaceDN w:val="0"/>
        <w:adjustRightInd w:val="0"/>
        <w:jc w:val="both"/>
        <w:rPr>
          <w:rFonts w:eastAsiaTheme="minorHAnsi"/>
        </w:rPr>
      </w:pPr>
    </w:p>
    <w:p w:rsidR="00B45FC3" w:rsidRPr="00526311" w:rsidRDefault="00B45FC3" w:rsidP="00B45FC3">
      <w:pPr>
        <w:pStyle w:val="ListParagraph"/>
        <w:numPr>
          <w:ilvl w:val="0"/>
          <w:numId w:val="59"/>
        </w:numPr>
        <w:autoSpaceDE w:val="0"/>
        <w:autoSpaceDN w:val="0"/>
        <w:adjustRightInd w:val="0"/>
        <w:ind w:left="0" w:firstLine="0"/>
        <w:jc w:val="both"/>
        <w:rPr>
          <w:rFonts w:eastAsiaTheme="minorHAnsi" w:cs="Arial"/>
          <w:lang w:val="es-ES"/>
        </w:rPr>
      </w:pPr>
      <w:r w:rsidRPr="00526311">
        <w:rPr>
          <w:rFonts w:eastAsiaTheme="minorHAnsi" w:cs="Arial"/>
          <w:lang w:val="es-ES"/>
        </w:rPr>
        <w:t xml:space="preserve">Con respecto al Programa de Desarrollo Profesional, en 2014, la Academia organizó 20 cursos de formación en asociación con las autoridades encargadas de la propiedad industrial y/o los derechos de autor de </w:t>
      </w:r>
      <w:r w:rsidRPr="00526311">
        <w:rPr>
          <w:lang w:val="es-ES"/>
        </w:rPr>
        <w:t xml:space="preserve">Alemania, Argelia, </w:t>
      </w:r>
      <w:r w:rsidRPr="00526311">
        <w:rPr>
          <w:rFonts w:eastAsiaTheme="minorHAnsi"/>
          <w:lang w:val="es-ES"/>
        </w:rPr>
        <w:t>Austria</w:t>
      </w:r>
      <w:r w:rsidRPr="00526311">
        <w:rPr>
          <w:lang w:val="es-ES"/>
        </w:rPr>
        <w:t xml:space="preserve">, Canadá, </w:t>
      </w:r>
      <w:r w:rsidRPr="00526311">
        <w:rPr>
          <w:rFonts w:eastAsiaTheme="minorHAnsi"/>
          <w:lang w:val="es-ES"/>
        </w:rPr>
        <w:t>Costa Rica</w:t>
      </w:r>
      <w:r w:rsidRPr="00526311">
        <w:rPr>
          <w:lang w:val="es-ES"/>
        </w:rPr>
        <w:t xml:space="preserve">, España, Finlandia, Francia, </w:t>
      </w:r>
      <w:r w:rsidRPr="00526311">
        <w:rPr>
          <w:rFonts w:eastAsiaTheme="minorHAnsi"/>
          <w:lang w:val="es-ES"/>
        </w:rPr>
        <w:t>Israel</w:t>
      </w:r>
      <w:r w:rsidRPr="00526311">
        <w:rPr>
          <w:lang w:val="es-ES"/>
        </w:rPr>
        <w:t xml:space="preserve">, Marruecos, México, Noruega, </w:t>
      </w:r>
      <w:r w:rsidRPr="00526311">
        <w:rPr>
          <w:rFonts w:eastAsiaTheme="minorHAnsi"/>
          <w:lang w:val="es-ES"/>
        </w:rPr>
        <w:t>Paraguay</w:t>
      </w:r>
      <w:r w:rsidRPr="00526311">
        <w:rPr>
          <w:lang w:val="es-ES"/>
        </w:rPr>
        <w:t>, Perú, Reino Unido y Suiza</w:t>
      </w:r>
      <w:r w:rsidRPr="00526311">
        <w:rPr>
          <w:rFonts w:eastAsiaTheme="minorHAnsi" w:cs="Arial"/>
          <w:lang w:val="es-ES"/>
        </w:rPr>
        <w:t>, así como la OMC y el Centro de Estudios Internacionales de la Propiedad Intelectual (CEIPI), en Estrasburgo (Francia).  En total, se beneficiaron de esas actividades 216 participantes de países en desarrollo, PMA y países en transición, lo que representa una disminución del 14% en comparación con 2013.  Esa disminución se debió principalmente a que no se realizó en 2014 el “Curso OMPI-Suecia</w:t>
      </w:r>
      <w:r w:rsidRPr="00526311">
        <w:rPr>
          <w:lang w:val="es-ES"/>
        </w:rPr>
        <w:t xml:space="preserve"> </w:t>
      </w:r>
      <w:r w:rsidRPr="00526311">
        <w:rPr>
          <w:rFonts w:eastAsiaTheme="minorHAnsi" w:cs="Arial"/>
          <w:lang w:val="es-ES"/>
        </w:rPr>
        <w:t>de nivel avanzado sobre la propiedad industrial en la economía mundial”, impartido tradicionalmente cada año a 25 funcionarios.  El programa del curso siguió incluyendo los siguientes temas principales:  patentes, marcas, derecho de autor y derechos conexos, gestión colectiva del derecho de autor y los derechos conexos, administración de las oficinas de P.I. para los encargados de la adopción de políticas, y se amplió hasta incluir dos nuevos cursos sobre desarrollo de marcas y transferencia de tecnología y licencias.  Además, como parte del proceso de reforma, el modelo de formación fue sometido a revisión para seguir mejorándolo y desarrollándolo en 2014.</w:t>
      </w:r>
    </w:p>
    <w:p w:rsidR="00B45FC3" w:rsidRPr="00526311" w:rsidRDefault="00B45FC3">
      <w:pPr>
        <w:rPr>
          <w:rFonts w:eastAsiaTheme="minorHAnsi"/>
        </w:rPr>
      </w:pPr>
      <w:r w:rsidRPr="00526311">
        <w:rPr>
          <w:rFonts w:eastAsiaTheme="minorHAnsi"/>
        </w:rPr>
        <w:br w:type="page"/>
      </w:r>
    </w:p>
    <w:tbl>
      <w:tblPr>
        <w:tblW w:w="0" w:type="auto"/>
        <w:tblInd w:w="18" w:type="dxa"/>
        <w:tblBorders>
          <w:bottom w:val="single" w:sz="4" w:space="0" w:color="auto"/>
        </w:tblBorders>
        <w:tblLook w:val="01E0" w:firstRow="1" w:lastRow="1" w:firstColumn="1" w:lastColumn="1" w:noHBand="0" w:noVBand="0"/>
      </w:tblPr>
      <w:tblGrid>
        <w:gridCol w:w="8312"/>
      </w:tblGrid>
      <w:tr w:rsidR="00B45FC3" w:rsidRPr="00526311" w:rsidTr="0063039A">
        <w:trPr>
          <w:trHeight w:val="540"/>
        </w:trPr>
        <w:tc>
          <w:tcPr>
            <w:tcW w:w="8312" w:type="dxa"/>
            <w:shd w:val="clear" w:color="auto" w:fill="auto"/>
          </w:tcPr>
          <w:p w:rsidR="00B45FC3" w:rsidRPr="00526311" w:rsidRDefault="00B45FC3" w:rsidP="0063039A">
            <w:pPr>
              <w:ind w:right="-108"/>
              <w:jc w:val="both"/>
              <w:rPr>
                <w:sz w:val="20"/>
              </w:rPr>
            </w:pPr>
            <w:r w:rsidRPr="00526311">
              <w:rPr>
                <w:i/>
                <w:sz w:val="20"/>
              </w:rPr>
              <w:lastRenderedPageBreak/>
              <w:t>Distribución geográfica de los participantes en el Programa de Perfeccionamiento Profesional, 2012 – 2014</w:t>
            </w:r>
          </w:p>
        </w:tc>
      </w:tr>
    </w:tbl>
    <w:p w:rsidR="00B45FC3" w:rsidRPr="00526311" w:rsidRDefault="00B45FC3" w:rsidP="0063039A">
      <w:pPr>
        <w:autoSpaceDE w:val="0"/>
        <w:autoSpaceDN w:val="0"/>
        <w:adjustRightInd w:val="0"/>
        <w:jc w:val="center"/>
        <w:rPr>
          <w:rFonts w:eastAsiaTheme="minorHAnsi"/>
          <w:sz w:val="20"/>
        </w:rPr>
      </w:pPr>
      <w:r w:rsidRPr="00526311">
        <w:rPr>
          <w:rFonts w:eastAsiaTheme="minorHAnsi"/>
          <w:noProof/>
          <w:sz w:val="20"/>
          <w:lang w:val="en-US" w:eastAsia="en-US"/>
        </w:rPr>
        <w:drawing>
          <wp:inline distT="0" distB="0" distL="0" distR="0" wp14:anchorId="0B36DDC5" wp14:editId="52E694B3">
            <wp:extent cx="5940425" cy="2252458"/>
            <wp:effectExtent l="0" t="0" r="3175"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0425" cy="2252458"/>
                    </a:xfrm>
                    <a:prstGeom prst="rect">
                      <a:avLst/>
                    </a:prstGeom>
                    <a:noFill/>
                    <a:ln>
                      <a:noFill/>
                    </a:ln>
                  </pic:spPr>
                </pic:pic>
              </a:graphicData>
            </a:graphic>
          </wp:inline>
        </w:drawing>
      </w:r>
    </w:p>
    <w:p w:rsidR="00B45FC3" w:rsidRPr="00526311" w:rsidRDefault="00B45FC3" w:rsidP="0063039A">
      <w:pPr>
        <w:autoSpaceDE w:val="0"/>
        <w:autoSpaceDN w:val="0"/>
        <w:adjustRightInd w:val="0"/>
        <w:jc w:val="center"/>
        <w:rPr>
          <w:rFonts w:eastAsiaTheme="minorHAnsi"/>
          <w:sz w:val="20"/>
        </w:rPr>
      </w:pPr>
    </w:p>
    <w:p w:rsidR="00B45FC3" w:rsidRPr="00526311" w:rsidRDefault="00B45FC3" w:rsidP="00B45FC3">
      <w:pPr>
        <w:pStyle w:val="ListParagraph"/>
        <w:numPr>
          <w:ilvl w:val="0"/>
          <w:numId w:val="59"/>
        </w:numPr>
        <w:tabs>
          <w:tab w:val="left" w:pos="709"/>
        </w:tabs>
        <w:autoSpaceDE w:val="0"/>
        <w:autoSpaceDN w:val="0"/>
        <w:adjustRightInd w:val="0"/>
        <w:ind w:left="0" w:firstLine="0"/>
        <w:jc w:val="both"/>
        <w:rPr>
          <w:rFonts w:ascii="Times New Roman" w:hAnsi="Times New Roman"/>
          <w:sz w:val="24"/>
          <w:lang w:val="es-ES"/>
        </w:rPr>
      </w:pPr>
      <w:r w:rsidRPr="00526311">
        <w:rPr>
          <w:lang w:val="es-ES"/>
        </w:rPr>
        <w:t xml:space="preserve">El Programa de enseñanza a distancia siguió atrayendo a participantes de todo el mundo, incluidos grupos objetivo especiales, compuestos por miembros del personal de oficinas de P.I., de CATI y de academias nacionales.  En 2014, se completó y se puso en marcha satisfactoriamente con la Oficina de P.I. de Croacia un curso adaptado.  Además, se iniciaron dos nuevas adaptaciones con las Oficinas de P.I. de Camboya y Viet Nam, aumentando el número de idiomas de los cursos generales, que pasaron de 12, en 2013, a 14 (español, alemán, árabe, camboyano, chino, coreano, croata, francés, japonés, portugués, ruso, tailandés, ucraniano y vietnamita), en 2014.  </w:t>
      </w:r>
      <w:r w:rsidRPr="00526311">
        <w:rPr>
          <w:rFonts w:eastAsiaTheme="minorHAnsi" w:cs="Arial"/>
          <w:lang w:val="es-ES"/>
        </w:rPr>
        <w:t xml:space="preserve">En 2014, 34.935 personas (30.552 para los cursos generales y 4.383 para los cursos de nivel avanzado) de más de 192 países utilizaron la plataforma mejorada de enseñanza a distancia (WeLC).  Se inauguraron en 2014 dos nuevos cursos piloto de enseñanza a distancia:  i) </w:t>
      </w:r>
      <w:r w:rsidRPr="00526311">
        <w:rPr>
          <w:rFonts w:eastAsiaTheme="minorHAnsi" w:cs="Arial"/>
          <w:i/>
          <w:lang w:val="es-ES"/>
        </w:rPr>
        <w:t>Propiedad intelectual, conocimientos tradicionales y expresiones culturales tradicionales (DL-203)</w:t>
      </w:r>
      <w:r w:rsidRPr="00526311">
        <w:rPr>
          <w:rFonts w:eastAsiaTheme="minorHAnsi" w:cs="Arial"/>
          <w:lang w:val="es-ES"/>
        </w:rPr>
        <w:t xml:space="preserve"> y ii) </w:t>
      </w:r>
      <w:r w:rsidRPr="00526311">
        <w:rPr>
          <w:rFonts w:eastAsiaTheme="minorHAnsi" w:cs="Arial"/>
          <w:i/>
          <w:lang w:val="es-ES"/>
        </w:rPr>
        <w:t>Gestión</w:t>
      </w:r>
      <w:r w:rsidRPr="00526311">
        <w:rPr>
          <w:rFonts w:eastAsiaTheme="minorHAnsi" w:cs="Arial"/>
          <w:lang w:val="es-ES"/>
        </w:rPr>
        <w:t xml:space="preserve"> </w:t>
      </w:r>
      <w:r w:rsidRPr="00526311">
        <w:rPr>
          <w:rFonts w:eastAsiaTheme="minorHAnsi" w:cs="Arial"/>
          <w:i/>
          <w:lang w:val="es-ES"/>
        </w:rPr>
        <w:t>colectiva del Derecho de autor y los derechos conexos (DL-501)</w:t>
      </w:r>
      <w:r w:rsidRPr="00526311">
        <w:rPr>
          <w:rFonts w:eastAsiaTheme="minorHAnsi" w:cs="Arial"/>
          <w:lang w:val="es-ES"/>
        </w:rPr>
        <w:t>.  Comenzó en 2014 la elaboración del curso de enseñanza a distancia sobre</w:t>
      </w:r>
      <w:r w:rsidRPr="00526311">
        <w:rPr>
          <w:lang w:val="es-ES"/>
        </w:rPr>
        <w:t xml:space="preserve"> </w:t>
      </w:r>
      <w:r w:rsidRPr="00526311">
        <w:rPr>
          <w:i/>
          <w:lang w:val="es-ES"/>
        </w:rPr>
        <w:t>P.I. y</w:t>
      </w:r>
      <w:r w:rsidRPr="00526311">
        <w:rPr>
          <w:lang w:val="es-ES"/>
        </w:rPr>
        <w:t xml:space="preserve"> </w:t>
      </w:r>
      <w:r w:rsidRPr="00526311">
        <w:rPr>
          <w:i/>
          <w:iCs/>
          <w:lang w:val="es-ES"/>
        </w:rPr>
        <w:t>salud pública</w:t>
      </w:r>
      <w:r w:rsidRPr="00526311">
        <w:rPr>
          <w:lang w:val="es-ES"/>
        </w:rPr>
        <w:t>, que se pondrá en marcha como curso piloto en 2015.  En 2014, se aplicó un enfoque más sistemático al proceso anual de revisión de cursos, y el contenido del curso de enseñanza a distancia fue objeto de una minuciosa revisión (Fase I), cuyos resultados serán aplicados en 2015 (Fase II).</w:t>
      </w:r>
    </w:p>
    <w:p w:rsidR="00B45FC3" w:rsidRPr="00526311" w:rsidRDefault="00B45FC3" w:rsidP="0063039A">
      <w:pPr>
        <w:rPr>
          <w:sz w:val="20"/>
        </w:rPr>
      </w:pPr>
    </w:p>
    <w:p w:rsidR="00B45FC3" w:rsidRPr="00526311" w:rsidRDefault="00B45FC3" w:rsidP="0063039A">
      <w:pPr>
        <w:autoSpaceDE w:val="0"/>
        <w:autoSpaceDN w:val="0"/>
        <w:adjustRightInd w:val="0"/>
        <w:jc w:val="both"/>
        <w:rPr>
          <w:rFonts w:eastAsiaTheme="minorHAnsi"/>
          <w:sz w:val="20"/>
        </w:rPr>
      </w:pPr>
    </w:p>
    <w:p w:rsidR="00B45FC3" w:rsidRPr="00526311" w:rsidRDefault="00B45FC3" w:rsidP="0063039A">
      <w:pPr>
        <w:autoSpaceDE w:val="0"/>
        <w:autoSpaceDN w:val="0"/>
        <w:adjustRightInd w:val="0"/>
        <w:jc w:val="both"/>
        <w:rPr>
          <w:rFonts w:eastAsiaTheme="minorHAnsi"/>
          <w:sz w:val="20"/>
        </w:rPr>
      </w:pPr>
      <w:r w:rsidRPr="00526311">
        <w:rPr>
          <w:rFonts w:eastAsiaTheme="minorHAnsi"/>
          <w:i/>
          <w:sz w:val="20"/>
        </w:rPr>
        <w:t>Distribución geográfica de los participantes en todos los Programas de Enseñanza a Distancia, 2012 </w:t>
      </w:r>
      <w:r w:rsidRPr="00526311">
        <w:rPr>
          <w:rFonts w:eastAsiaTheme="minorHAnsi"/>
          <w:i/>
          <w:sz w:val="20"/>
        </w:rPr>
        <w:noBreakHyphen/>
        <w:t> 2014</w:t>
      </w:r>
      <w:r w:rsidRPr="00526311">
        <w:rPr>
          <w:rStyle w:val="FootnoteReference"/>
          <w:rFonts w:eastAsiaTheme="minorHAnsi"/>
          <w:sz w:val="20"/>
        </w:rPr>
        <w:footnoteReference w:id="36"/>
      </w:r>
    </w:p>
    <w:p w:rsidR="00B45FC3" w:rsidRPr="00526311" w:rsidRDefault="00B45FC3" w:rsidP="0063039A">
      <w:pPr>
        <w:autoSpaceDE w:val="0"/>
        <w:autoSpaceDN w:val="0"/>
        <w:adjustRightInd w:val="0"/>
        <w:jc w:val="both"/>
        <w:rPr>
          <w:rFonts w:eastAsiaTheme="minorHAnsi"/>
          <w:sz w:val="20"/>
        </w:rPr>
      </w:pPr>
    </w:p>
    <w:p w:rsidR="00B45FC3" w:rsidRPr="00526311" w:rsidRDefault="00B45FC3" w:rsidP="0063039A">
      <w:pPr>
        <w:autoSpaceDE w:val="0"/>
        <w:autoSpaceDN w:val="0"/>
        <w:adjustRightInd w:val="0"/>
        <w:jc w:val="center"/>
        <w:rPr>
          <w:rFonts w:eastAsiaTheme="minorHAnsi"/>
          <w:sz w:val="20"/>
        </w:rPr>
      </w:pPr>
      <w:r w:rsidRPr="00526311">
        <w:rPr>
          <w:rFonts w:eastAsiaTheme="minorHAnsi"/>
          <w:noProof/>
          <w:sz w:val="20"/>
          <w:lang w:val="en-US" w:eastAsia="en-US"/>
        </w:rPr>
        <w:drawing>
          <wp:inline distT="0" distB="0" distL="0" distR="0" wp14:anchorId="72E37177" wp14:editId="1A84C54A">
            <wp:extent cx="5940425" cy="2264674"/>
            <wp:effectExtent l="0" t="0" r="3175" b="254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0425" cy="2264674"/>
                    </a:xfrm>
                    <a:prstGeom prst="rect">
                      <a:avLst/>
                    </a:prstGeom>
                    <a:noFill/>
                    <a:ln>
                      <a:noFill/>
                    </a:ln>
                  </pic:spPr>
                </pic:pic>
              </a:graphicData>
            </a:graphic>
          </wp:inline>
        </w:drawing>
      </w:r>
    </w:p>
    <w:p w:rsidR="00B45FC3" w:rsidRPr="00526311" w:rsidRDefault="00B45FC3" w:rsidP="0063039A">
      <w:pPr>
        <w:autoSpaceDE w:val="0"/>
        <w:autoSpaceDN w:val="0"/>
        <w:adjustRightInd w:val="0"/>
        <w:jc w:val="both"/>
        <w:rPr>
          <w:rFonts w:eastAsiaTheme="minorHAnsi"/>
          <w:sz w:val="20"/>
        </w:rPr>
      </w:pPr>
      <w:r w:rsidRPr="00526311">
        <w:rPr>
          <w:rFonts w:eastAsiaTheme="minorHAnsi"/>
          <w:sz w:val="20"/>
        </w:rPr>
        <w:t xml:space="preserve"> </w:t>
      </w:r>
    </w:p>
    <w:p w:rsidR="00B45FC3" w:rsidRPr="00526311" w:rsidRDefault="00B45FC3" w:rsidP="00B45FC3">
      <w:pPr>
        <w:pStyle w:val="ListParagraph"/>
        <w:numPr>
          <w:ilvl w:val="0"/>
          <w:numId w:val="59"/>
        </w:numPr>
        <w:autoSpaceDE w:val="0"/>
        <w:autoSpaceDN w:val="0"/>
        <w:adjustRightInd w:val="0"/>
        <w:ind w:left="0" w:firstLine="0"/>
        <w:jc w:val="both"/>
        <w:rPr>
          <w:rFonts w:cs="Arial"/>
          <w:lang w:val="es-ES"/>
        </w:rPr>
      </w:pPr>
      <w:r w:rsidRPr="00526311">
        <w:rPr>
          <w:rFonts w:cs="Arial"/>
          <w:lang w:val="es-ES"/>
        </w:rPr>
        <w:t xml:space="preserve">El Programa de instituciones académicas siguió ofreciendo cursos de máster conjuntos en derecho de P.I. en beneficio de los nacionales de países en desarrollo y países con economías en transición, en cooperación con distintas universidades y con la asistencia financiera del Gobierno del </w:t>
      </w:r>
      <w:r w:rsidRPr="00526311">
        <w:rPr>
          <w:rFonts w:cs="Arial"/>
          <w:lang w:val="es-ES"/>
        </w:rPr>
        <w:lastRenderedPageBreak/>
        <w:t xml:space="preserve">Japón y el Gobierno de la República de Corea en relación con cuatro programas.  En 2014, se impartió formación a 196 personas en total, 92 estudiantes de 58 países recibieron becas para asistir a uno de los siete programas de máster conjuntos en derecho de P.I. ofrecidos por la Academia de la OMPI conjuntamente con:  la </w:t>
      </w:r>
      <w:r w:rsidRPr="00526311">
        <w:rPr>
          <w:rFonts w:cs="Arial"/>
          <w:i/>
          <w:lang w:val="es-ES"/>
        </w:rPr>
        <w:t>Africa University</w:t>
      </w:r>
      <w:r w:rsidRPr="00526311">
        <w:rPr>
          <w:rFonts w:cs="Arial"/>
          <w:lang w:val="es-ES"/>
        </w:rPr>
        <w:t xml:space="preserve"> (AU) y la Organización Regional Africana de la Propiedad Intelectual (ARIPO) (Zimbabwe);  la Universidad Austral y el Instituto Nacional de Propiedad Industrial (INPI) (Argentina);  la Universidad de Haifa (Israel);  la </w:t>
      </w:r>
      <w:r w:rsidRPr="00526311">
        <w:rPr>
          <w:rFonts w:cs="Arial"/>
          <w:i/>
          <w:lang w:val="es-ES"/>
        </w:rPr>
        <w:t xml:space="preserve">Queensland University of Technology </w:t>
      </w:r>
      <w:r w:rsidRPr="00526311">
        <w:rPr>
          <w:rFonts w:cs="Arial"/>
          <w:lang w:val="es-ES"/>
        </w:rPr>
        <w:t xml:space="preserve">(QUT) (Australia);  la Universidad Nacional de Seúl (SNU) y la Oficina Surcoreana de la Propiedad intelectual (KIPO) (República de Corea);  la Universidad de Turín (Italia) y el Centro International de Formación de la Organización International del Trabajo (OIT);  y la Universidad de Yaundé II y la Organización Africana de la Propiedad Intelectual (OAPI) (Camerún).  Se organizó el Coloquio para profesores de P.I., en cooperación con la OMC y en beneficio de 247 personas.  El Coloquio siguió constituyendo un foro de diálogo y debate sobre los últimos avances en ámbitos clave de la P.I. y sobre aspectos docentes y pedagógicos.  Además, 5 personas recibieron becas de la OMPI para participar en la Reunión anual de la Asociación Internacional para el Progreso de la Enseñanza y de la Investigación de la Propiedad Intelectual (ATRIP).  Con la asistencia de la OMPI, dos universidades de Indonesia (la </w:t>
      </w:r>
      <w:r w:rsidRPr="00526311">
        <w:rPr>
          <w:rFonts w:cs="Arial"/>
          <w:i/>
          <w:lang w:val="es-ES"/>
        </w:rPr>
        <w:t>Universitas Padjadjaran</w:t>
      </w:r>
      <w:r w:rsidRPr="00526311">
        <w:rPr>
          <w:rFonts w:cs="Arial"/>
          <w:lang w:val="es-ES"/>
        </w:rPr>
        <w:t xml:space="preserve"> y la Universidad de Indonesia) empezaron a ofrecer nuevos programas de enseñanza de la P.I.  En Bangladesh, China, Jamaica y Venezuela otros cuatro programas estaban en curso de establecimiento.  En 2014, la Academia recibió nuevas peticiones de asociación, que examinó en sintonía con la nueva política elaborada a ese respecto.</w:t>
      </w:r>
    </w:p>
    <w:p w:rsidR="00B45FC3" w:rsidRPr="00526311" w:rsidRDefault="00B45FC3" w:rsidP="0063039A">
      <w:pPr>
        <w:autoSpaceDE w:val="0"/>
        <w:autoSpaceDN w:val="0"/>
        <w:adjustRightInd w:val="0"/>
        <w:jc w:val="both"/>
        <w:rPr>
          <w:rFonts w:eastAsiaTheme="minorHAnsi"/>
        </w:rPr>
      </w:pPr>
    </w:p>
    <w:p w:rsidR="00B45FC3" w:rsidRPr="00526311" w:rsidRDefault="00B45FC3" w:rsidP="00B45FC3">
      <w:pPr>
        <w:pStyle w:val="ListParagraph"/>
        <w:numPr>
          <w:ilvl w:val="0"/>
          <w:numId w:val="59"/>
        </w:numPr>
        <w:tabs>
          <w:tab w:val="left" w:pos="709"/>
        </w:tabs>
        <w:autoSpaceDE w:val="0"/>
        <w:autoSpaceDN w:val="0"/>
        <w:adjustRightInd w:val="0"/>
        <w:ind w:left="0" w:firstLine="0"/>
        <w:jc w:val="both"/>
        <w:rPr>
          <w:rFonts w:eastAsiaTheme="minorHAnsi" w:cs="Arial"/>
          <w:lang w:val="es-ES"/>
        </w:rPr>
      </w:pPr>
      <w:r w:rsidRPr="00526311">
        <w:rPr>
          <w:rFonts w:eastAsiaTheme="minorHAnsi" w:cs="Arial"/>
          <w:lang w:val="es-ES"/>
        </w:rPr>
        <w:t>La Academia organizó nueve sesiones del Programa de cursos de verano de la OMPI en tres idiomas (español, inglés y ruso) en cooperación con nueve instituciones nacionales de Chile, Croacia, Federación de Rusia, Jamaica, México, República de Corea, Singapur, Sudáfrica y Suiza.  En 2014, 352 participantes tomaron parte en los cursos de verano;  la mayor parte de ellos procedía de América Latina y el Caribe (124 participantes, es decir, el 35%), seguidos por los participantes de países en transición (85 participantes, es decir, el 24%), mientras que los participantes de Asia y el Pacífico, África, los países Árabes y otros países, fueron respectivamente 72 ( es decir, el 21%), 39 (es decir, el 11%,), cinco (es decir, el 1%) y 27 (es decir, el 8%).  Las sesiones del Programa de cursos de verano siguieron realizándose por rotación, tomando en consideración el equilibrio geográfico.</w:t>
      </w:r>
    </w:p>
    <w:p w:rsidR="00B45FC3" w:rsidRPr="00526311" w:rsidRDefault="00B45FC3" w:rsidP="0063039A">
      <w:pPr>
        <w:autoSpaceDE w:val="0"/>
        <w:autoSpaceDN w:val="0"/>
        <w:adjustRightInd w:val="0"/>
        <w:jc w:val="both"/>
        <w:rPr>
          <w:rFonts w:eastAsiaTheme="minorHAnsi"/>
        </w:rPr>
      </w:pPr>
    </w:p>
    <w:p w:rsidR="00B45FC3" w:rsidRPr="00526311" w:rsidRDefault="00B45FC3" w:rsidP="00B45FC3">
      <w:pPr>
        <w:pStyle w:val="ListParagraph"/>
        <w:numPr>
          <w:ilvl w:val="0"/>
          <w:numId w:val="59"/>
        </w:numPr>
        <w:tabs>
          <w:tab w:val="left" w:pos="709"/>
        </w:tabs>
        <w:autoSpaceDE w:val="0"/>
        <w:autoSpaceDN w:val="0"/>
        <w:adjustRightInd w:val="0"/>
        <w:ind w:left="0" w:firstLine="0"/>
        <w:jc w:val="both"/>
        <w:rPr>
          <w:rFonts w:cs="Arial"/>
          <w:bCs/>
          <w:lang w:val="es-ES"/>
        </w:rPr>
      </w:pPr>
      <w:r w:rsidRPr="00526311">
        <w:rPr>
          <w:rFonts w:cs="Arial"/>
          <w:bCs/>
          <w:lang w:val="es-ES"/>
        </w:rPr>
        <w:t>En 2014, el diseño, la planificación y la ejecución de las actividades del programa 11 siguieron basándose en las recomendaciones pertinentes de la Agenda para el Desarrollo.  Los programas de la Academia se orientaron al desarrollo y atendieron las exigencias de las partes interesadas (recomendación 1) y procuraron presentar la P.I. a diferentes niveles académicos y generar un mayor nivel de sensibilización pública hacia la P.I. (recomendación 3).  Priorizar los principios de la A.D. es el eje de la concepción del proceso de reforma de la Academia.</w:t>
      </w:r>
    </w:p>
    <w:p w:rsidR="00B45FC3" w:rsidRPr="00526311" w:rsidRDefault="00B45FC3" w:rsidP="0063039A">
      <w:pPr>
        <w:autoSpaceDE w:val="0"/>
        <w:autoSpaceDN w:val="0"/>
        <w:adjustRightInd w:val="0"/>
        <w:rPr>
          <w:rFonts w:eastAsiaTheme="minorHAnsi"/>
          <w:szCs w:val="22"/>
        </w:rPr>
      </w:pPr>
    </w:p>
    <w:p w:rsidR="00B45FC3" w:rsidRPr="00526311" w:rsidRDefault="00B45FC3" w:rsidP="00B45FC3">
      <w:pPr>
        <w:pStyle w:val="ListParagraph"/>
        <w:numPr>
          <w:ilvl w:val="0"/>
          <w:numId w:val="59"/>
        </w:numPr>
        <w:tabs>
          <w:tab w:val="left" w:pos="709"/>
        </w:tabs>
        <w:autoSpaceDE w:val="0"/>
        <w:autoSpaceDN w:val="0"/>
        <w:adjustRightInd w:val="0"/>
        <w:ind w:left="0" w:firstLine="0"/>
        <w:jc w:val="both"/>
        <w:rPr>
          <w:rFonts w:cs="Arial"/>
          <w:lang w:val="es-ES"/>
        </w:rPr>
      </w:pPr>
      <w:r w:rsidRPr="00526311">
        <w:rPr>
          <w:rFonts w:cs="Arial"/>
          <w:lang w:val="es-ES"/>
        </w:rPr>
        <w:t>En 2014, el proyecto sobre establecimiento de academias de P.I. se incorporó en el presupuesto ordinario de la Academia.  El proyecto giró en torno a la cooperación continua con los países en los que la ejecución se vio demorada durante la fase piloto por motivos políticos (Egipto y Túnez) y a identificar nuevos países beneficiarios.  Se prepararon estrategias de cooperación para Bangladesh, Camboya, Costa Rica, Ecuador y Turquía, tomando en consideración las estrategias nacionales de P.I. recientemente establecidas, de estar disponibles.  Se firmaron dos nuevos acuerdos con los Gobiernos de Camboya y el Ecuador para el establecimiento de academias de P.I.  La cooperación inició formalmente con el Ecuador en septiembre de 2014.  En la decimocuarta sesión del CDIP se presentó y aprobó un informe externo independiente de evaluación de la fase piloto.</w:t>
      </w:r>
    </w:p>
    <w:p w:rsidR="00B45FC3" w:rsidRPr="00526311" w:rsidRDefault="00B45FC3" w:rsidP="0063039A">
      <w:pPr>
        <w:autoSpaceDE w:val="0"/>
        <w:autoSpaceDN w:val="0"/>
        <w:adjustRightInd w:val="0"/>
        <w:rPr>
          <w:rFonts w:eastAsiaTheme="minorHAnsi"/>
        </w:rPr>
      </w:pPr>
    </w:p>
    <w:p w:rsidR="00B45FC3" w:rsidRPr="00526311" w:rsidRDefault="00B45FC3" w:rsidP="0063039A">
      <w:pPr>
        <w:autoSpaceDE w:val="0"/>
        <w:autoSpaceDN w:val="0"/>
        <w:adjustRightInd w:val="0"/>
        <w:rPr>
          <w:rFonts w:eastAsiaTheme="minorHAnsi"/>
        </w:rPr>
      </w:pPr>
    </w:p>
    <w:p w:rsidR="00B45FC3" w:rsidRPr="00526311" w:rsidRDefault="00B45FC3" w:rsidP="0063039A">
      <w:pPr>
        <w:keepNext/>
        <w:rPr>
          <w:szCs w:val="22"/>
        </w:rPr>
      </w:pPr>
      <w:r w:rsidRPr="00526311">
        <w:rPr>
          <w:szCs w:val="22"/>
        </w:rPr>
        <w:lastRenderedPageBreak/>
        <w:t>DATOS SOBRE EL RENDIMIENTO</w:t>
      </w:r>
    </w:p>
    <w:p w:rsidR="00B45FC3" w:rsidRPr="00526311" w:rsidRDefault="00B45FC3" w:rsidP="0063039A">
      <w:pPr>
        <w:keepNext/>
        <w:autoSpaceDE w:val="0"/>
        <w:autoSpaceDN w:val="0"/>
        <w:adjustRightInd w:val="0"/>
        <w:rPr>
          <w:rFonts w:eastAsiaTheme="minorHAnsi"/>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983"/>
        <w:gridCol w:w="1560"/>
        <w:gridCol w:w="2694"/>
        <w:gridCol w:w="1134"/>
      </w:tblGrid>
      <w:tr w:rsidR="00B45FC3" w:rsidRPr="00526311" w:rsidTr="0063039A">
        <w:tc>
          <w:tcPr>
            <w:tcW w:w="5000" w:type="pct"/>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spacing w:before="120" w:after="120"/>
              <w:ind w:left="1701" w:hanging="1701"/>
              <w:rPr>
                <w:b/>
                <w:bCs/>
                <w:sz w:val="16"/>
                <w:szCs w:val="16"/>
              </w:rPr>
            </w:pPr>
            <w:r w:rsidRPr="00526311">
              <w:rPr>
                <w:b/>
                <w:bCs/>
                <w:sz w:val="16"/>
                <w:szCs w:val="16"/>
              </w:rPr>
              <w:t>Resultado previsto:</w:t>
            </w:r>
            <w:r w:rsidRPr="00526311">
              <w:rPr>
                <w:bCs/>
                <w:sz w:val="16"/>
                <w:szCs w:val="16"/>
              </w:rPr>
              <w:tab/>
              <w:t xml:space="preserve">III.2 </w:t>
            </w:r>
            <w:r w:rsidR="008729FC" w:rsidRPr="00526311">
              <w:rPr>
                <w:bCs/>
                <w:sz w:val="16"/>
                <w:szCs w:val="16"/>
              </w:rPr>
              <w:t>Aumento de las capacidades en recursos humanos para hacer frente a la gran diversidad de exigencias que supone la utilización eficaz de la P.I. para fomentar el desarrollo en los países en desarrollo, PMA y países con economías en transición</w:t>
            </w:r>
          </w:p>
        </w:tc>
      </w:tr>
      <w:tr w:rsidR="00B45FC3" w:rsidRPr="00526311" w:rsidTr="0063039A">
        <w:tc>
          <w:tcPr>
            <w:tcW w:w="1120" w:type="pct"/>
            <w:tcBorders>
              <w:top w:val="single" w:sz="4" w:space="0" w:color="auto"/>
              <w:bottom w:val="nil"/>
            </w:tcBorders>
            <w:shd w:val="clear" w:color="auto" w:fill="auto"/>
            <w:vAlign w:val="center"/>
          </w:tcPr>
          <w:p w:rsidR="00B45FC3" w:rsidRPr="00526311" w:rsidRDefault="00B45FC3" w:rsidP="0063039A">
            <w:pPr>
              <w:keepNext/>
              <w:rPr>
                <w:sz w:val="16"/>
                <w:szCs w:val="16"/>
              </w:rPr>
            </w:pPr>
            <w:r w:rsidRPr="00526311">
              <w:rPr>
                <w:b/>
                <w:sz w:val="16"/>
                <w:szCs w:val="16"/>
              </w:rPr>
              <w:t>Indicadores de rendimiento</w:t>
            </w:r>
          </w:p>
        </w:tc>
        <w:tc>
          <w:tcPr>
            <w:tcW w:w="1044" w:type="pct"/>
            <w:tcBorders>
              <w:top w:val="single" w:sz="4" w:space="0" w:color="auto"/>
              <w:bottom w:val="nil"/>
            </w:tcBorders>
            <w:shd w:val="clear" w:color="auto" w:fill="auto"/>
            <w:vAlign w:val="center"/>
          </w:tcPr>
          <w:p w:rsidR="00B45FC3" w:rsidRPr="00526311" w:rsidRDefault="00B45FC3" w:rsidP="0063039A">
            <w:pPr>
              <w:keepNext/>
              <w:rPr>
                <w:b/>
                <w:bCs/>
                <w:sz w:val="16"/>
                <w:szCs w:val="16"/>
              </w:rPr>
            </w:pPr>
            <w:r w:rsidRPr="00526311">
              <w:rPr>
                <w:b/>
                <w:bCs/>
                <w:sz w:val="16"/>
                <w:szCs w:val="16"/>
              </w:rPr>
              <w:t>Referencia</w:t>
            </w:r>
          </w:p>
        </w:tc>
        <w:tc>
          <w:tcPr>
            <w:tcW w:w="821" w:type="pct"/>
            <w:tcBorders>
              <w:top w:val="single" w:sz="4" w:space="0" w:color="auto"/>
              <w:bottom w:val="nil"/>
            </w:tcBorders>
            <w:shd w:val="clear" w:color="auto" w:fill="auto"/>
            <w:tcMar>
              <w:top w:w="110" w:type="dxa"/>
            </w:tcMar>
            <w:vAlign w:val="center"/>
          </w:tcPr>
          <w:p w:rsidR="00B45FC3" w:rsidRPr="00526311" w:rsidRDefault="00B45FC3" w:rsidP="0063039A">
            <w:pPr>
              <w:keepNext/>
              <w:rPr>
                <w:b/>
                <w:sz w:val="16"/>
                <w:szCs w:val="16"/>
              </w:rPr>
            </w:pPr>
            <w:r w:rsidRPr="00526311">
              <w:rPr>
                <w:b/>
                <w:sz w:val="16"/>
                <w:szCs w:val="16"/>
              </w:rPr>
              <w:t>Objetivos</w:t>
            </w:r>
          </w:p>
        </w:tc>
        <w:tc>
          <w:tcPr>
            <w:tcW w:w="1418" w:type="pct"/>
            <w:tcBorders>
              <w:top w:val="single" w:sz="4" w:space="0" w:color="auto"/>
              <w:bottom w:val="nil"/>
            </w:tcBorders>
            <w:shd w:val="clear" w:color="auto" w:fill="FFFFFF"/>
            <w:tcMar>
              <w:top w:w="110" w:type="dxa"/>
            </w:tcMar>
            <w:vAlign w:val="center"/>
          </w:tcPr>
          <w:p w:rsidR="00B45FC3" w:rsidRPr="00526311" w:rsidRDefault="00B45FC3" w:rsidP="0063039A">
            <w:pPr>
              <w:keepNext/>
              <w:rPr>
                <w:sz w:val="16"/>
                <w:szCs w:val="16"/>
              </w:rPr>
            </w:pPr>
            <w:r w:rsidRPr="00526311">
              <w:rPr>
                <w:b/>
                <w:sz w:val="16"/>
                <w:szCs w:val="16"/>
              </w:rPr>
              <w:t>Datos sobre el rendimiento</w:t>
            </w:r>
          </w:p>
        </w:tc>
        <w:tc>
          <w:tcPr>
            <w:tcW w:w="597" w:type="pct"/>
            <w:tcBorders>
              <w:top w:val="single" w:sz="4" w:space="0" w:color="auto"/>
              <w:bottom w:val="nil"/>
            </w:tcBorders>
            <w:shd w:val="clear" w:color="auto" w:fill="auto"/>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c>
          <w:tcPr>
            <w:tcW w:w="1120" w:type="pct"/>
            <w:tcBorders>
              <w:top w:val="nil"/>
              <w:bottom w:val="nil"/>
            </w:tcBorders>
            <w:shd w:val="clear" w:color="auto" w:fill="auto"/>
          </w:tcPr>
          <w:p w:rsidR="00B45FC3" w:rsidRPr="00526311" w:rsidRDefault="00B45FC3" w:rsidP="0063039A">
            <w:pPr>
              <w:keepNext/>
              <w:rPr>
                <w:sz w:val="16"/>
                <w:szCs w:val="16"/>
              </w:rPr>
            </w:pPr>
            <w:r w:rsidRPr="00526311">
              <w:rPr>
                <w:sz w:val="16"/>
                <w:szCs w:val="16"/>
              </w:rPr>
              <w:t>Cartera revisada de cursos de formación en P.I. para los países en desarrollo, PMA y países con economías en transición/ pertinencia del contenido de los cursos de formación para las necesidades de fortalecimiento de capacidades de los países en desarrollo, los PMA y los países con economías en transición</w:t>
            </w:r>
          </w:p>
        </w:tc>
        <w:tc>
          <w:tcPr>
            <w:tcW w:w="1044" w:type="pct"/>
            <w:tcBorders>
              <w:top w:val="nil"/>
              <w:bottom w:val="nil"/>
            </w:tcBorders>
            <w:shd w:val="clear" w:color="auto" w:fill="auto"/>
          </w:tcPr>
          <w:p w:rsidR="00B45FC3" w:rsidRPr="00526311" w:rsidRDefault="00B45FC3" w:rsidP="0063039A">
            <w:pPr>
              <w:keepNext/>
              <w:rPr>
                <w:sz w:val="16"/>
                <w:szCs w:val="16"/>
              </w:rPr>
            </w:pPr>
            <w:r w:rsidRPr="00526311">
              <w:rPr>
                <w:sz w:val="16"/>
                <w:szCs w:val="16"/>
              </w:rPr>
              <w:t>No se ha revisado la cartera de manera global desde la creación de la Academia</w:t>
            </w:r>
          </w:p>
        </w:tc>
        <w:tc>
          <w:tcPr>
            <w:tcW w:w="821" w:type="pct"/>
            <w:tcBorders>
              <w:top w:val="nil"/>
              <w:bottom w:val="nil"/>
            </w:tcBorders>
            <w:shd w:val="clear" w:color="auto" w:fill="auto"/>
            <w:tcMar>
              <w:top w:w="110" w:type="dxa"/>
            </w:tcMar>
          </w:tcPr>
          <w:p w:rsidR="00B45FC3" w:rsidRPr="00526311" w:rsidRDefault="00B45FC3" w:rsidP="0063039A">
            <w:pPr>
              <w:keepNext/>
              <w:autoSpaceDE w:val="0"/>
              <w:autoSpaceDN w:val="0"/>
              <w:adjustRightInd w:val="0"/>
              <w:rPr>
                <w:sz w:val="16"/>
                <w:szCs w:val="16"/>
              </w:rPr>
            </w:pPr>
            <w:r w:rsidRPr="00526311">
              <w:rPr>
                <w:sz w:val="16"/>
                <w:szCs w:val="16"/>
              </w:rPr>
              <w:t>Cartera revisada disponible a fines del bienio</w:t>
            </w:r>
          </w:p>
        </w:tc>
        <w:tc>
          <w:tcPr>
            <w:tcW w:w="1418" w:type="pct"/>
            <w:tcBorders>
              <w:top w:val="nil"/>
              <w:bottom w:val="nil"/>
            </w:tcBorders>
            <w:shd w:val="clear" w:color="auto" w:fill="FFFFFF"/>
            <w:tcMar>
              <w:top w:w="110" w:type="dxa"/>
            </w:tcMar>
          </w:tcPr>
          <w:p w:rsidR="00B45FC3" w:rsidRPr="00526311" w:rsidRDefault="00B45FC3" w:rsidP="0063039A">
            <w:pPr>
              <w:keepNext/>
              <w:rPr>
                <w:sz w:val="16"/>
                <w:szCs w:val="16"/>
              </w:rPr>
            </w:pPr>
            <w:r w:rsidRPr="00526311">
              <w:rPr>
                <w:sz w:val="16"/>
                <w:szCs w:val="16"/>
                <w:lang w:bidi="th-TH"/>
              </w:rPr>
              <w:t>Las consultas con las Oficinas Regionales estaban en curso en 2014, al igual que la preparación del cuestionario de evaluación de las necesidades en materia de formación para la revisión de la cartera de cursos de formación</w:t>
            </w:r>
          </w:p>
        </w:tc>
        <w:tc>
          <w:tcPr>
            <w:tcW w:w="597" w:type="pct"/>
            <w:tcBorders>
              <w:top w:val="nil"/>
              <w:bottom w:val="nil"/>
            </w:tcBorders>
            <w:shd w:val="clear" w:color="auto" w:fill="auto"/>
            <w:tcMar>
              <w:top w:w="110" w:type="dxa"/>
            </w:tcMar>
          </w:tcPr>
          <w:p w:rsidR="00B45FC3" w:rsidRPr="00526311" w:rsidRDefault="00B45FC3" w:rsidP="0063039A">
            <w:pPr>
              <w:keepNext/>
              <w:keepLines/>
              <w:jc w:val="center"/>
              <w:rPr>
                <w:b/>
                <w:bCs/>
                <w:color w:val="808080"/>
                <w:sz w:val="16"/>
                <w:szCs w:val="16"/>
              </w:rPr>
            </w:pPr>
            <w:r w:rsidRPr="00526311">
              <w:rPr>
                <w:b/>
                <w:bCs/>
                <w:color w:val="00B050"/>
                <w:sz w:val="16"/>
                <w:szCs w:val="16"/>
              </w:rPr>
              <w:t>Avanza</w:t>
            </w:r>
          </w:p>
        </w:tc>
      </w:tr>
      <w:tr w:rsidR="00B45FC3" w:rsidRPr="00526311" w:rsidTr="0063039A">
        <w:tc>
          <w:tcPr>
            <w:tcW w:w="1120" w:type="pct"/>
            <w:tcBorders>
              <w:top w:val="nil"/>
              <w:left w:val="single" w:sz="4" w:space="0" w:color="auto"/>
              <w:bottom w:val="single" w:sz="4" w:space="0" w:color="auto"/>
            </w:tcBorders>
            <w:shd w:val="clear" w:color="auto" w:fill="auto"/>
          </w:tcPr>
          <w:p w:rsidR="00B45FC3" w:rsidRPr="00526311" w:rsidRDefault="00B45FC3" w:rsidP="0063039A">
            <w:pPr>
              <w:rPr>
                <w:sz w:val="16"/>
                <w:szCs w:val="16"/>
              </w:rPr>
            </w:pPr>
            <w:r w:rsidRPr="00526311">
              <w:rPr>
                <w:sz w:val="16"/>
                <w:szCs w:val="16"/>
              </w:rPr>
              <w:t>Acceso ampliado y plurilingüe a la enseñanza a distancia de diversos aspectos de la P.I. para los países en desarrollo, los PMA y los países con economías en transición / pertinencia del contenido de la cartera de cursos de enseñanza a distancia para las necesidades de fortalecimiento de capacidades de los países en desarrollo, los PMA y los países con economías en transición</w:t>
            </w:r>
          </w:p>
          <w:p w:rsidR="00B45FC3" w:rsidRPr="00526311" w:rsidRDefault="00B45FC3" w:rsidP="0063039A">
            <w:pPr>
              <w:rPr>
                <w:sz w:val="16"/>
                <w:szCs w:val="16"/>
              </w:rPr>
            </w:pPr>
          </w:p>
        </w:tc>
        <w:tc>
          <w:tcPr>
            <w:tcW w:w="1044" w:type="pct"/>
            <w:tcBorders>
              <w:top w:val="nil"/>
              <w:bottom w:val="single" w:sz="4" w:space="0" w:color="auto"/>
            </w:tcBorders>
            <w:shd w:val="clear" w:color="auto" w:fill="auto"/>
          </w:tcPr>
          <w:p w:rsidR="00B45FC3" w:rsidRPr="00526311" w:rsidRDefault="00B45FC3" w:rsidP="0063039A">
            <w:pPr>
              <w:rPr>
                <w:i/>
                <w:color w:val="002060"/>
                <w:sz w:val="16"/>
                <w:szCs w:val="16"/>
              </w:rPr>
            </w:pPr>
            <w:r w:rsidRPr="00526311">
              <w:rPr>
                <w:i/>
                <w:color w:val="002060"/>
                <w:sz w:val="16"/>
                <w:szCs w:val="16"/>
              </w:rPr>
              <w:t xml:space="preserve">Referencia actualizada a fines de 2013:  </w:t>
            </w:r>
          </w:p>
          <w:p w:rsidR="00B45FC3" w:rsidRPr="00526311" w:rsidRDefault="00B45FC3" w:rsidP="0063039A">
            <w:pPr>
              <w:rPr>
                <w:color w:val="002060"/>
                <w:sz w:val="16"/>
                <w:szCs w:val="16"/>
              </w:rPr>
            </w:pPr>
            <w:r w:rsidRPr="00526311">
              <w:rPr>
                <w:color w:val="002060"/>
                <w:sz w:val="16"/>
                <w:szCs w:val="16"/>
              </w:rPr>
              <w:t>En 2013:</w:t>
            </w:r>
          </w:p>
          <w:p w:rsidR="00B45FC3" w:rsidRPr="00526311" w:rsidRDefault="00B45FC3" w:rsidP="00B45FC3">
            <w:pPr>
              <w:pStyle w:val="ListParagraph"/>
              <w:numPr>
                <w:ilvl w:val="0"/>
                <w:numId w:val="57"/>
              </w:numPr>
              <w:ind w:left="175" w:hanging="175"/>
              <w:rPr>
                <w:rFonts w:cs="Arial"/>
                <w:color w:val="002060"/>
                <w:sz w:val="16"/>
                <w:szCs w:val="16"/>
                <w:lang w:val="es-ES"/>
              </w:rPr>
            </w:pPr>
            <w:r w:rsidRPr="00526311">
              <w:rPr>
                <w:rFonts w:cs="Arial"/>
                <w:color w:val="002060"/>
                <w:sz w:val="16"/>
                <w:szCs w:val="16"/>
                <w:lang w:val="es-ES"/>
              </w:rPr>
              <w:t>5 cursos de enseñanza a distancia disponibles en los 6 idiomas de las NN.UU. y en portugués;</w:t>
            </w:r>
          </w:p>
          <w:p w:rsidR="00B45FC3" w:rsidRPr="00526311" w:rsidRDefault="00B45FC3" w:rsidP="00B45FC3">
            <w:pPr>
              <w:pStyle w:val="ListParagraph"/>
              <w:numPr>
                <w:ilvl w:val="0"/>
                <w:numId w:val="57"/>
              </w:numPr>
              <w:ind w:left="175" w:hanging="175"/>
              <w:rPr>
                <w:rFonts w:cs="Arial"/>
                <w:color w:val="002060"/>
                <w:sz w:val="16"/>
                <w:szCs w:val="16"/>
                <w:lang w:val="es-ES"/>
              </w:rPr>
            </w:pPr>
            <w:r w:rsidRPr="00526311">
              <w:rPr>
                <w:rFonts w:cs="Arial"/>
                <w:color w:val="002060"/>
                <w:sz w:val="16"/>
                <w:szCs w:val="16"/>
                <w:lang w:val="es-ES"/>
              </w:rPr>
              <w:t>2 cursos de enseñanza a distancia disponibles en 5 idiomas de las NN.UU. y en portugués;</w:t>
            </w:r>
          </w:p>
          <w:p w:rsidR="00B45FC3" w:rsidRPr="00526311" w:rsidRDefault="00B45FC3" w:rsidP="00B45FC3">
            <w:pPr>
              <w:pStyle w:val="ListParagraph"/>
              <w:numPr>
                <w:ilvl w:val="0"/>
                <w:numId w:val="57"/>
              </w:numPr>
              <w:ind w:left="175" w:hanging="175"/>
              <w:rPr>
                <w:rFonts w:cs="Arial"/>
                <w:color w:val="002060"/>
                <w:sz w:val="16"/>
                <w:szCs w:val="16"/>
                <w:lang w:val="es-ES"/>
              </w:rPr>
            </w:pPr>
            <w:r w:rsidRPr="00526311">
              <w:rPr>
                <w:rFonts w:cs="Arial"/>
                <w:color w:val="002060"/>
                <w:sz w:val="16"/>
                <w:szCs w:val="16"/>
                <w:lang w:val="es-ES"/>
              </w:rPr>
              <w:t>1 curso disponible en 4 idiomas de las NN.UU. y en portugués;  y</w:t>
            </w:r>
          </w:p>
          <w:p w:rsidR="00B45FC3" w:rsidRPr="00526311" w:rsidRDefault="00B45FC3" w:rsidP="00B45FC3">
            <w:pPr>
              <w:pStyle w:val="ListParagraph"/>
              <w:numPr>
                <w:ilvl w:val="0"/>
                <w:numId w:val="57"/>
              </w:numPr>
              <w:ind w:left="175" w:hanging="175"/>
              <w:rPr>
                <w:rFonts w:cs="Arial"/>
                <w:color w:val="002060"/>
                <w:sz w:val="16"/>
                <w:szCs w:val="16"/>
                <w:lang w:val="es-ES"/>
              </w:rPr>
            </w:pPr>
            <w:r w:rsidRPr="00526311">
              <w:rPr>
                <w:rFonts w:cs="Arial"/>
                <w:color w:val="002060"/>
                <w:sz w:val="16"/>
                <w:szCs w:val="16"/>
                <w:lang w:val="es-ES"/>
              </w:rPr>
              <w:t>4 cursos de enseñanza a distancia disponibles únicamente en inglés</w:t>
            </w:r>
          </w:p>
          <w:p w:rsidR="00B45FC3" w:rsidRPr="00526311" w:rsidRDefault="00B45FC3" w:rsidP="0063039A">
            <w:pPr>
              <w:rPr>
                <w:sz w:val="16"/>
                <w:szCs w:val="16"/>
                <w:lang w:bidi="th-TH"/>
              </w:rPr>
            </w:pPr>
          </w:p>
          <w:p w:rsidR="00B45FC3" w:rsidRPr="00526311" w:rsidRDefault="00B45FC3" w:rsidP="0063039A">
            <w:pPr>
              <w:rPr>
                <w:i/>
                <w:color w:val="002060"/>
                <w:sz w:val="16"/>
                <w:szCs w:val="16"/>
              </w:rPr>
            </w:pPr>
            <w:r w:rsidRPr="00526311">
              <w:rPr>
                <w:sz w:val="16"/>
                <w:szCs w:val="16"/>
                <w:lang w:bidi="th-TH"/>
              </w:rPr>
              <w:t>El 70% de los participantes e</w:t>
            </w:r>
            <w:r w:rsidRPr="00526311">
              <w:rPr>
                <w:sz w:val="16"/>
                <w:szCs w:val="16"/>
              </w:rPr>
              <w:t xml:space="preserve">n los cursos de nivel avanzado indicó que su rendimiento </w:t>
            </w:r>
            <w:r w:rsidRPr="00526311">
              <w:rPr>
                <w:sz w:val="16"/>
                <w:szCs w:val="16"/>
                <w:lang w:bidi="th-TH"/>
              </w:rPr>
              <w:t>profesional y/o académico mejoró como consecuencia de la participación en el curso de enseñanza a distancia.</w:t>
            </w:r>
            <w:r w:rsidRPr="00526311">
              <w:rPr>
                <w:sz w:val="16"/>
                <w:szCs w:val="16"/>
                <w:lang w:bidi="th-TH"/>
              </w:rPr>
              <w:br/>
            </w:r>
          </w:p>
        </w:tc>
        <w:tc>
          <w:tcPr>
            <w:tcW w:w="821" w:type="pct"/>
            <w:tcBorders>
              <w:top w:val="nil"/>
              <w:bottom w:val="single" w:sz="4" w:space="0" w:color="auto"/>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Todos los cursos disponibles en los idiomas de NN.UU.</w:t>
            </w:r>
          </w:p>
        </w:tc>
        <w:tc>
          <w:tcPr>
            <w:tcW w:w="1418" w:type="pct"/>
            <w:tcBorders>
              <w:top w:val="nil"/>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En 2014:</w:t>
            </w:r>
          </w:p>
          <w:p w:rsidR="00B45FC3" w:rsidRPr="00526311" w:rsidRDefault="00B45FC3" w:rsidP="00B45FC3">
            <w:pPr>
              <w:pStyle w:val="ListParagraph"/>
              <w:numPr>
                <w:ilvl w:val="0"/>
                <w:numId w:val="56"/>
              </w:numPr>
              <w:ind w:left="176" w:hanging="176"/>
              <w:rPr>
                <w:rFonts w:cs="Arial"/>
                <w:sz w:val="16"/>
                <w:szCs w:val="16"/>
                <w:lang w:val="es-ES" w:bidi="th-TH"/>
              </w:rPr>
            </w:pPr>
            <w:r w:rsidRPr="00526311">
              <w:rPr>
                <w:rFonts w:cs="Arial"/>
                <w:sz w:val="16"/>
                <w:szCs w:val="16"/>
                <w:lang w:val="es-ES" w:bidi="th-TH"/>
              </w:rPr>
              <w:t>9 cursos de enseñanza a distancia disponibles en los 6 idiomas de las NN.UU. y en portugués;</w:t>
            </w:r>
          </w:p>
          <w:p w:rsidR="00B45FC3" w:rsidRPr="00526311" w:rsidRDefault="00B45FC3" w:rsidP="00B45FC3">
            <w:pPr>
              <w:pStyle w:val="ListParagraph"/>
              <w:numPr>
                <w:ilvl w:val="0"/>
                <w:numId w:val="56"/>
              </w:numPr>
              <w:ind w:left="176" w:hanging="176"/>
              <w:rPr>
                <w:rFonts w:cs="Arial"/>
                <w:sz w:val="16"/>
                <w:szCs w:val="16"/>
                <w:lang w:val="es-ES" w:bidi="th-TH"/>
              </w:rPr>
            </w:pPr>
            <w:r w:rsidRPr="00526311">
              <w:rPr>
                <w:rFonts w:cs="Arial"/>
                <w:sz w:val="16"/>
                <w:szCs w:val="16"/>
                <w:lang w:val="es-ES" w:bidi="th-TH"/>
              </w:rPr>
              <w:t>1 curso de enseñanza a distancia disponible en 5 idiomas de las NN.UU. y en portugués;</w:t>
            </w:r>
          </w:p>
          <w:p w:rsidR="00B45FC3" w:rsidRPr="00526311" w:rsidRDefault="00B45FC3" w:rsidP="00B45FC3">
            <w:pPr>
              <w:pStyle w:val="ListParagraph"/>
              <w:numPr>
                <w:ilvl w:val="0"/>
                <w:numId w:val="56"/>
              </w:numPr>
              <w:ind w:left="176" w:hanging="176"/>
              <w:rPr>
                <w:rFonts w:cs="Arial"/>
                <w:sz w:val="16"/>
                <w:szCs w:val="16"/>
                <w:lang w:val="es-ES" w:bidi="th-TH"/>
              </w:rPr>
            </w:pPr>
            <w:r w:rsidRPr="00526311">
              <w:rPr>
                <w:rFonts w:cs="Arial"/>
                <w:sz w:val="16"/>
                <w:szCs w:val="16"/>
                <w:lang w:val="es-ES" w:bidi="th-TH"/>
              </w:rPr>
              <w:t>1 curso disponible en 3 idiomas de las NN.UU.;  y</w:t>
            </w:r>
          </w:p>
          <w:p w:rsidR="00B45FC3" w:rsidRPr="00526311" w:rsidRDefault="00B45FC3" w:rsidP="00B45FC3">
            <w:pPr>
              <w:pStyle w:val="ListParagraph"/>
              <w:numPr>
                <w:ilvl w:val="0"/>
                <w:numId w:val="56"/>
              </w:numPr>
              <w:ind w:left="176" w:hanging="176"/>
              <w:rPr>
                <w:rFonts w:cs="Arial"/>
                <w:sz w:val="16"/>
                <w:szCs w:val="16"/>
                <w:lang w:val="es-ES" w:bidi="th-TH"/>
              </w:rPr>
            </w:pPr>
            <w:r w:rsidRPr="00526311">
              <w:rPr>
                <w:rFonts w:cs="Arial"/>
                <w:sz w:val="16"/>
                <w:szCs w:val="16"/>
                <w:lang w:val="es-ES" w:bidi="th-TH"/>
              </w:rPr>
              <w:t>1 curso de enseñanza a distancia disponible únicamente en inglés (se prevé reemplazar en 2015 el curso DL 401 por el DL 501-Gestión colectiva del derecho de autor y los derechos conexos)</w:t>
            </w:r>
            <w:r w:rsidRPr="00526311">
              <w:rPr>
                <w:rStyle w:val="FootnoteReference"/>
                <w:rFonts w:cs="Arial"/>
                <w:sz w:val="16"/>
                <w:szCs w:val="16"/>
                <w:lang w:val="es-ES" w:bidi="th-TH"/>
              </w:rPr>
              <w:footnoteReference w:id="37"/>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El 78% de los participantes en los cursos de nivel avanzado indicó que su rendimiento profesional y/o académico mejoró como consecuencia de la participación en el curso de enseñanza a distancia.</w:t>
            </w:r>
          </w:p>
        </w:tc>
        <w:tc>
          <w:tcPr>
            <w:tcW w:w="597" w:type="pct"/>
            <w:tcBorders>
              <w:top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bl>
    <w:p w:rsidR="00B45FC3" w:rsidRPr="00526311" w:rsidRDefault="00B45FC3">
      <w:r w:rsidRPr="00526311">
        <w:br w:type="page"/>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983"/>
        <w:gridCol w:w="1560"/>
        <w:gridCol w:w="2694"/>
        <w:gridCol w:w="1134"/>
      </w:tblGrid>
      <w:tr w:rsidR="00B45FC3" w:rsidRPr="00526311" w:rsidTr="0063039A">
        <w:tc>
          <w:tcPr>
            <w:tcW w:w="1120" w:type="pct"/>
            <w:tcBorders>
              <w:top w:val="single" w:sz="4" w:space="0" w:color="auto"/>
              <w:left w:val="single" w:sz="4" w:space="0" w:color="auto"/>
              <w:bottom w:val="nil"/>
            </w:tcBorders>
            <w:shd w:val="clear" w:color="auto" w:fill="auto"/>
            <w:vAlign w:val="center"/>
          </w:tcPr>
          <w:p w:rsidR="00B45FC3" w:rsidRPr="00526311" w:rsidRDefault="00B45FC3" w:rsidP="0063039A">
            <w:pPr>
              <w:keepNext/>
              <w:rPr>
                <w:sz w:val="16"/>
                <w:szCs w:val="16"/>
              </w:rPr>
            </w:pPr>
            <w:r w:rsidRPr="00526311">
              <w:rPr>
                <w:b/>
                <w:sz w:val="16"/>
                <w:szCs w:val="16"/>
              </w:rPr>
              <w:lastRenderedPageBreak/>
              <w:t>Indicadores de rendimiento</w:t>
            </w:r>
          </w:p>
        </w:tc>
        <w:tc>
          <w:tcPr>
            <w:tcW w:w="1044" w:type="pct"/>
            <w:tcBorders>
              <w:top w:val="single" w:sz="4" w:space="0" w:color="auto"/>
              <w:bottom w:val="nil"/>
            </w:tcBorders>
            <w:shd w:val="clear" w:color="auto" w:fill="auto"/>
            <w:vAlign w:val="center"/>
          </w:tcPr>
          <w:p w:rsidR="00B45FC3" w:rsidRPr="00526311" w:rsidRDefault="00B45FC3" w:rsidP="0063039A">
            <w:pPr>
              <w:keepNext/>
              <w:rPr>
                <w:b/>
                <w:bCs/>
                <w:sz w:val="16"/>
                <w:szCs w:val="16"/>
              </w:rPr>
            </w:pPr>
            <w:r w:rsidRPr="00526311">
              <w:rPr>
                <w:b/>
                <w:bCs/>
                <w:sz w:val="16"/>
                <w:szCs w:val="16"/>
              </w:rPr>
              <w:t>Referencia</w:t>
            </w:r>
          </w:p>
        </w:tc>
        <w:tc>
          <w:tcPr>
            <w:tcW w:w="821" w:type="pct"/>
            <w:tcBorders>
              <w:top w:val="single" w:sz="4" w:space="0" w:color="auto"/>
              <w:bottom w:val="nil"/>
            </w:tcBorders>
            <w:shd w:val="clear" w:color="auto" w:fill="auto"/>
            <w:tcMar>
              <w:top w:w="110" w:type="dxa"/>
            </w:tcMar>
            <w:vAlign w:val="center"/>
          </w:tcPr>
          <w:p w:rsidR="00B45FC3" w:rsidRPr="00526311" w:rsidRDefault="00B45FC3" w:rsidP="0063039A">
            <w:pPr>
              <w:keepNext/>
              <w:rPr>
                <w:b/>
                <w:sz w:val="16"/>
                <w:szCs w:val="16"/>
              </w:rPr>
            </w:pPr>
            <w:r w:rsidRPr="00526311">
              <w:rPr>
                <w:b/>
                <w:sz w:val="16"/>
                <w:szCs w:val="16"/>
              </w:rPr>
              <w:t>Objetivos</w:t>
            </w:r>
          </w:p>
        </w:tc>
        <w:tc>
          <w:tcPr>
            <w:tcW w:w="1418" w:type="pct"/>
            <w:tcBorders>
              <w:top w:val="single" w:sz="4" w:space="0" w:color="auto"/>
              <w:bottom w:val="nil"/>
            </w:tcBorders>
            <w:shd w:val="clear" w:color="auto" w:fill="FFFFFF"/>
            <w:tcMar>
              <w:top w:w="110" w:type="dxa"/>
            </w:tcMar>
            <w:vAlign w:val="center"/>
          </w:tcPr>
          <w:p w:rsidR="00B45FC3" w:rsidRPr="00526311" w:rsidRDefault="00B45FC3" w:rsidP="0063039A">
            <w:pPr>
              <w:keepNext/>
              <w:rPr>
                <w:sz w:val="16"/>
                <w:szCs w:val="16"/>
              </w:rPr>
            </w:pPr>
            <w:r w:rsidRPr="00526311">
              <w:rPr>
                <w:b/>
                <w:sz w:val="16"/>
                <w:szCs w:val="16"/>
              </w:rPr>
              <w:t>Datos sobre el rendimiento</w:t>
            </w:r>
          </w:p>
        </w:tc>
        <w:tc>
          <w:tcPr>
            <w:tcW w:w="597" w:type="pct"/>
            <w:tcBorders>
              <w:top w:val="single" w:sz="4" w:space="0" w:color="auto"/>
              <w:bottom w:val="nil"/>
              <w:right w:val="single" w:sz="4" w:space="0" w:color="auto"/>
            </w:tcBorders>
            <w:shd w:val="clear" w:color="auto" w:fill="auto"/>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c>
          <w:tcPr>
            <w:tcW w:w="1120" w:type="pct"/>
            <w:tcBorders>
              <w:top w:val="nil"/>
              <w:left w:val="single" w:sz="4" w:space="0" w:color="auto"/>
              <w:bottom w:val="nil"/>
            </w:tcBorders>
            <w:shd w:val="clear" w:color="auto" w:fill="auto"/>
          </w:tcPr>
          <w:p w:rsidR="00B45FC3" w:rsidRPr="00526311" w:rsidRDefault="00B45FC3" w:rsidP="0063039A">
            <w:pPr>
              <w:rPr>
                <w:sz w:val="16"/>
                <w:szCs w:val="16"/>
              </w:rPr>
            </w:pPr>
          </w:p>
        </w:tc>
        <w:tc>
          <w:tcPr>
            <w:tcW w:w="1044" w:type="pct"/>
            <w:tcBorders>
              <w:top w:val="nil"/>
              <w:bottom w:val="nil"/>
            </w:tcBorders>
            <w:shd w:val="clear" w:color="auto" w:fill="auto"/>
          </w:tcPr>
          <w:p w:rsidR="00B45FC3" w:rsidRPr="00526311" w:rsidRDefault="00B45FC3" w:rsidP="0063039A">
            <w:pPr>
              <w:rPr>
                <w:i/>
                <w:color w:val="002060"/>
                <w:sz w:val="16"/>
                <w:szCs w:val="16"/>
              </w:rPr>
            </w:pPr>
            <w:r w:rsidRPr="00526311">
              <w:rPr>
                <w:i/>
                <w:sz w:val="16"/>
                <w:szCs w:val="16"/>
                <w:lang w:bidi="th-TH"/>
              </w:rPr>
              <w:t xml:space="preserve">Referencia original en el presupuesto de 2014/15:  </w:t>
            </w:r>
            <w:r w:rsidRPr="00526311">
              <w:rPr>
                <w:sz w:val="16"/>
                <w:szCs w:val="16"/>
              </w:rPr>
              <w:t>No todos los cursos están disponibles en todos los idiomas;  el personal de la Academia es el único encargado de revisar el contenido de los cursos de manera ocasional</w:t>
            </w:r>
          </w:p>
        </w:tc>
        <w:tc>
          <w:tcPr>
            <w:tcW w:w="821" w:type="pct"/>
            <w:tcBorders>
              <w:top w:val="nil"/>
              <w:bottom w:val="nil"/>
            </w:tcBorders>
            <w:shd w:val="clear" w:color="auto" w:fill="auto"/>
            <w:tcMar>
              <w:top w:w="110" w:type="dxa"/>
            </w:tcMar>
          </w:tcPr>
          <w:p w:rsidR="00B45FC3" w:rsidRPr="00526311" w:rsidRDefault="00B45FC3" w:rsidP="0063039A">
            <w:pPr>
              <w:autoSpaceDE w:val="0"/>
              <w:autoSpaceDN w:val="0"/>
              <w:adjustRightInd w:val="0"/>
              <w:rPr>
                <w:sz w:val="16"/>
                <w:szCs w:val="16"/>
              </w:rPr>
            </w:pPr>
          </w:p>
        </w:tc>
        <w:tc>
          <w:tcPr>
            <w:tcW w:w="1418" w:type="pct"/>
            <w:tcBorders>
              <w:top w:val="nil"/>
              <w:bottom w:val="nil"/>
            </w:tcBorders>
            <w:shd w:val="clear" w:color="auto" w:fill="FFFFFF"/>
            <w:tcMar>
              <w:top w:w="110" w:type="dxa"/>
            </w:tcMar>
          </w:tcPr>
          <w:p w:rsidR="00B45FC3" w:rsidRPr="00526311" w:rsidRDefault="00B45FC3" w:rsidP="0063039A">
            <w:pPr>
              <w:rPr>
                <w:sz w:val="16"/>
                <w:szCs w:val="16"/>
                <w:lang w:bidi="th-TH"/>
              </w:rPr>
            </w:pPr>
          </w:p>
        </w:tc>
        <w:tc>
          <w:tcPr>
            <w:tcW w:w="597" w:type="pct"/>
            <w:tcBorders>
              <w:top w:val="nil"/>
              <w:bottom w:val="nil"/>
              <w:right w:val="single" w:sz="4" w:space="0" w:color="auto"/>
            </w:tcBorders>
            <w:shd w:val="clear" w:color="auto" w:fill="auto"/>
            <w:tcMar>
              <w:top w:w="110" w:type="dxa"/>
            </w:tcMar>
          </w:tcPr>
          <w:p w:rsidR="00B45FC3" w:rsidRPr="00526311" w:rsidRDefault="00B45FC3" w:rsidP="0063039A">
            <w:pPr>
              <w:jc w:val="center"/>
              <w:rPr>
                <w:b/>
                <w:bCs/>
                <w:color w:val="00B050"/>
                <w:sz w:val="16"/>
                <w:szCs w:val="16"/>
              </w:rPr>
            </w:pPr>
          </w:p>
        </w:tc>
      </w:tr>
      <w:tr w:rsidR="00B45FC3" w:rsidRPr="00526311" w:rsidTr="0063039A">
        <w:tc>
          <w:tcPr>
            <w:tcW w:w="1120" w:type="pct"/>
            <w:tcBorders>
              <w:top w:val="nil"/>
              <w:left w:val="single" w:sz="4" w:space="0" w:color="auto"/>
              <w:bottom w:val="nil"/>
            </w:tcBorders>
            <w:shd w:val="clear" w:color="auto" w:fill="auto"/>
          </w:tcPr>
          <w:p w:rsidR="00B45FC3" w:rsidRPr="00526311" w:rsidRDefault="00B45FC3" w:rsidP="0063039A">
            <w:pPr>
              <w:rPr>
                <w:sz w:val="16"/>
                <w:szCs w:val="16"/>
              </w:rPr>
            </w:pPr>
            <w:r w:rsidRPr="00526311">
              <w:rPr>
                <w:sz w:val="16"/>
                <w:szCs w:val="16"/>
              </w:rPr>
              <w:t>Fomento del acceso a los estudios superiores en P.I. para los países en desarrollo, los PMA y los países con economías en transición / número de universidades de países en desarrollo, PMA y países con economías en transición que ofrecen nuevos programas docentes de P.I.</w:t>
            </w:r>
          </w:p>
        </w:tc>
        <w:tc>
          <w:tcPr>
            <w:tcW w:w="1044" w:type="pct"/>
            <w:tcBorders>
              <w:top w:val="nil"/>
              <w:bottom w:val="nil"/>
            </w:tcBorders>
            <w:shd w:val="clear" w:color="auto" w:fill="auto"/>
          </w:tcPr>
          <w:p w:rsidR="00B45FC3" w:rsidRPr="00526311" w:rsidRDefault="00B45FC3" w:rsidP="0063039A">
            <w:pPr>
              <w:rPr>
                <w:sz w:val="16"/>
                <w:szCs w:val="16"/>
              </w:rPr>
            </w:pPr>
            <w:r w:rsidRPr="00526311">
              <w:rPr>
                <w:sz w:val="16"/>
                <w:szCs w:val="16"/>
              </w:rPr>
              <w:t>La enseñanza universitaria de la P.I. está disponible únicamente en un número limitado de países en desarrollo, PMA y países con economías en transición;  la OMPI ofrece un programa conjunto de máster en P.I. con siete universidades, dos de ellas en África y una en América Latina</w:t>
            </w:r>
          </w:p>
        </w:tc>
        <w:tc>
          <w:tcPr>
            <w:tcW w:w="821" w:type="pct"/>
            <w:tcBorders>
              <w:top w:val="nil"/>
              <w:bottom w:val="nil"/>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Al final del bienio habrá cinco universidades de países en desarrollo, PMA y países con economías en transición que ofrezcan nuevos programas docentes en P.I.</w:t>
            </w:r>
          </w:p>
        </w:tc>
        <w:tc>
          <w:tcPr>
            <w:tcW w:w="1418" w:type="pct"/>
            <w:tcBorders>
              <w:top w:val="nil"/>
              <w:bottom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 xml:space="preserve">Con la asistencia de la OMPI, dos universidades de Indonesia (la </w:t>
            </w:r>
            <w:r w:rsidRPr="00526311">
              <w:rPr>
                <w:i/>
                <w:sz w:val="16"/>
                <w:szCs w:val="16"/>
                <w:lang w:bidi="th-TH"/>
              </w:rPr>
              <w:t>Universitas Padjadjaran</w:t>
            </w:r>
            <w:r w:rsidRPr="00526311">
              <w:rPr>
                <w:sz w:val="16"/>
                <w:szCs w:val="16"/>
                <w:lang w:bidi="th-TH"/>
              </w:rPr>
              <w:t xml:space="preserve"> y la Universidad de Indonesia) empezaron a ofrecer nuevos programas de enseñanza de la P.I.  Cuatro universidades estaban estableciendo nuevos programas de enseñanza de la P.I. a finales de 2014:</w:t>
            </w:r>
          </w:p>
          <w:p w:rsidR="00B45FC3" w:rsidRPr="00526311" w:rsidRDefault="00B45FC3" w:rsidP="00B45FC3">
            <w:pPr>
              <w:pStyle w:val="ListParagraph"/>
              <w:numPr>
                <w:ilvl w:val="0"/>
                <w:numId w:val="58"/>
              </w:numPr>
              <w:rPr>
                <w:rFonts w:cs="Arial"/>
                <w:sz w:val="16"/>
                <w:szCs w:val="16"/>
                <w:lang w:val="es-ES" w:bidi="th-TH"/>
              </w:rPr>
            </w:pPr>
            <w:r w:rsidRPr="00526311">
              <w:rPr>
                <w:rFonts w:cs="Arial"/>
                <w:i/>
                <w:sz w:val="16"/>
                <w:szCs w:val="16"/>
                <w:lang w:val="es-ES" w:bidi="th-TH"/>
              </w:rPr>
              <w:t>Bangladesh Institute de Management</w:t>
            </w:r>
            <w:r w:rsidRPr="00526311">
              <w:rPr>
                <w:rFonts w:cs="Arial"/>
                <w:sz w:val="16"/>
                <w:szCs w:val="16"/>
                <w:lang w:val="es-ES" w:bidi="th-TH"/>
              </w:rPr>
              <w:t>;</w:t>
            </w:r>
          </w:p>
          <w:p w:rsidR="00B45FC3" w:rsidRPr="00485CF4" w:rsidRDefault="00B45FC3" w:rsidP="00B45FC3">
            <w:pPr>
              <w:pStyle w:val="ListParagraph"/>
              <w:numPr>
                <w:ilvl w:val="0"/>
                <w:numId w:val="58"/>
              </w:numPr>
              <w:rPr>
                <w:rFonts w:cs="Arial"/>
                <w:sz w:val="16"/>
                <w:szCs w:val="16"/>
                <w:lang w:bidi="th-TH"/>
              </w:rPr>
            </w:pPr>
            <w:r w:rsidRPr="00485CF4">
              <w:rPr>
                <w:rFonts w:cs="Arial"/>
                <w:i/>
                <w:sz w:val="16"/>
                <w:szCs w:val="16"/>
                <w:lang w:bidi="th-TH"/>
              </w:rPr>
              <w:t>University of West Indies,</w:t>
            </w:r>
            <w:r w:rsidRPr="00485CF4">
              <w:rPr>
                <w:rFonts w:cs="Arial"/>
                <w:sz w:val="16"/>
                <w:szCs w:val="16"/>
                <w:lang w:bidi="th-TH"/>
              </w:rPr>
              <w:t xml:space="preserve"> en Jamaica;</w:t>
            </w:r>
          </w:p>
          <w:p w:rsidR="00B45FC3" w:rsidRPr="00526311" w:rsidRDefault="00B45FC3" w:rsidP="00B45FC3">
            <w:pPr>
              <w:pStyle w:val="ListParagraph"/>
              <w:numPr>
                <w:ilvl w:val="0"/>
                <w:numId w:val="58"/>
              </w:numPr>
              <w:rPr>
                <w:rFonts w:cs="Arial"/>
                <w:sz w:val="16"/>
                <w:szCs w:val="16"/>
                <w:lang w:val="es-ES" w:bidi="th-TH"/>
              </w:rPr>
            </w:pPr>
            <w:r w:rsidRPr="00526311">
              <w:rPr>
                <w:rFonts w:cs="Arial"/>
                <w:i/>
                <w:sz w:val="16"/>
                <w:szCs w:val="16"/>
                <w:lang w:val="es-ES" w:bidi="th-TH"/>
              </w:rPr>
              <w:t>Renmin University</w:t>
            </w:r>
            <w:r w:rsidRPr="00526311">
              <w:rPr>
                <w:rFonts w:cs="Arial"/>
                <w:sz w:val="16"/>
                <w:szCs w:val="16"/>
                <w:lang w:val="es-ES" w:bidi="th-TH"/>
              </w:rPr>
              <w:t>, en China; y</w:t>
            </w:r>
          </w:p>
          <w:p w:rsidR="00B45FC3" w:rsidRPr="00526311" w:rsidRDefault="00B45FC3" w:rsidP="00B45FC3">
            <w:pPr>
              <w:pStyle w:val="ListParagraph"/>
              <w:numPr>
                <w:ilvl w:val="0"/>
                <w:numId w:val="58"/>
              </w:numPr>
              <w:rPr>
                <w:lang w:val="es-ES"/>
              </w:rPr>
            </w:pPr>
            <w:r w:rsidRPr="00526311">
              <w:rPr>
                <w:rFonts w:cs="Arial"/>
                <w:sz w:val="16"/>
                <w:szCs w:val="16"/>
                <w:lang w:val="es-ES" w:bidi="th-TH"/>
              </w:rPr>
              <w:t>Universidad Central de Venezuela, en Caracas (Venezuela)</w:t>
            </w:r>
          </w:p>
        </w:tc>
        <w:tc>
          <w:tcPr>
            <w:tcW w:w="597" w:type="pct"/>
            <w:tcBorders>
              <w:top w:val="nil"/>
              <w:bottom w:val="nil"/>
              <w:right w:val="single" w:sz="4" w:space="0" w:color="auto"/>
            </w:tcBorders>
            <w:shd w:val="clear" w:color="auto" w:fill="auto"/>
            <w:tcMar>
              <w:top w:w="110" w:type="dxa"/>
            </w:tcMar>
          </w:tcPr>
          <w:p w:rsidR="00B45FC3" w:rsidRPr="00526311" w:rsidRDefault="00B45FC3" w:rsidP="0063039A">
            <w:pPr>
              <w:keepNext/>
              <w:keepLines/>
              <w:jc w:val="center"/>
              <w:rPr>
                <w:bCs/>
                <w:color w:val="808080"/>
                <w:sz w:val="16"/>
                <w:szCs w:val="16"/>
              </w:rPr>
            </w:pPr>
            <w:r w:rsidRPr="00526311">
              <w:rPr>
                <w:b/>
                <w:bCs/>
                <w:color w:val="00B050"/>
                <w:sz w:val="16"/>
                <w:szCs w:val="16"/>
              </w:rPr>
              <w:t>Avanza</w:t>
            </w:r>
          </w:p>
        </w:tc>
      </w:tr>
      <w:tr w:rsidR="00B45FC3" w:rsidRPr="00526311" w:rsidTr="0063039A">
        <w:tc>
          <w:tcPr>
            <w:tcW w:w="1120" w:type="pct"/>
            <w:tcBorders>
              <w:top w:val="nil"/>
              <w:left w:val="single" w:sz="4" w:space="0" w:color="auto"/>
              <w:bottom w:val="nil"/>
            </w:tcBorders>
            <w:shd w:val="clear" w:color="auto" w:fill="auto"/>
          </w:tcPr>
          <w:p w:rsidR="00B45FC3" w:rsidRPr="00526311" w:rsidRDefault="00B45FC3" w:rsidP="0063039A">
            <w:pPr>
              <w:rPr>
                <w:sz w:val="16"/>
                <w:szCs w:val="16"/>
              </w:rPr>
            </w:pPr>
            <w:r w:rsidRPr="00526311">
              <w:rPr>
                <w:sz w:val="16"/>
                <w:szCs w:val="16"/>
              </w:rPr>
              <w:t>Establecimiento progresivo de una red de expertos en P.I. en los países en desarrollo, PMA y países con economías en transición</w:t>
            </w:r>
          </w:p>
        </w:tc>
        <w:tc>
          <w:tcPr>
            <w:tcW w:w="1044" w:type="pct"/>
            <w:tcBorders>
              <w:top w:val="nil"/>
              <w:bottom w:val="nil"/>
            </w:tcBorders>
            <w:shd w:val="clear" w:color="auto" w:fill="auto"/>
          </w:tcPr>
          <w:p w:rsidR="00B45FC3" w:rsidRPr="00526311" w:rsidRDefault="00B45FC3" w:rsidP="0063039A">
            <w:pPr>
              <w:rPr>
                <w:sz w:val="16"/>
                <w:szCs w:val="16"/>
              </w:rPr>
            </w:pPr>
            <w:r w:rsidRPr="00526311">
              <w:rPr>
                <w:i/>
                <w:color w:val="002060"/>
                <w:sz w:val="16"/>
                <w:szCs w:val="16"/>
              </w:rPr>
              <w:t>Referencia actualizada a fines de 2013:  326 académicos procedentes de países en desarrollo, PMA y países con economías en transición miembros de la ATRIP</w:t>
            </w:r>
          </w:p>
          <w:p w:rsidR="00B45FC3" w:rsidRPr="00526311" w:rsidRDefault="00B45FC3" w:rsidP="0063039A">
            <w:pPr>
              <w:rPr>
                <w:sz w:val="16"/>
                <w:szCs w:val="16"/>
              </w:rPr>
            </w:pPr>
          </w:p>
          <w:p w:rsidR="00B45FC3" w:rsidRPr="00526311" w:rsidRDefault="00B45FC3" w:rsidP="0063039A">
            <w:pPr>
              <w:rPr>
                <w:i/>
                <w:sz w:val="16"/>
                <w:szCs w:val="16"/>
              </w:rPr>
            </w:pPr>
            <w:r w:rsidRPr="00526311">
              <w:rPr>
                <w:i/>
                <w:sz w:val="16"/>
                <w:szCs w:val="16"/>
              </w:rPr>
              <w:t>Referencia original en el presupuesto de 2014/15:</w:t>
            </w:r>
            <w:r w:rsidRPr="00526311">
              <w:rPr>
                <w:sz w:val="16"/>
                <w:szCs w:val="16"/>
              </w:rPr>
              <w:t xml:space="preserve">  Número de académicos de países en desarrollo, PMA y países con economías en transición miembros de la ATRIP</w:t>
            </w:r>
          </w:p>
        </w:tc>
        <w:tc>
          <w:tcPr>
            <w:tcW w:w="821" w:type="pct"/>
            <w:tcBorders>
              <w:top w:val="nil"/>
              <w:bottom w:val="nil"/>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Aumento del 15% en relación con la referencia</w:t>
            </w:r>
          </w:p>
        </w:tc>
        <w:tc>
          <w:tcPr>
            <w:tcW w:w="1418" w:type="pct"/>
            <w:tcBorders>
              <w:top w:val="nil"/>
              <w:bottom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362 académicos de países en desarrollo, PMA y países con economías en transición son miembros, según lo informado por la ATRIP (+11%)</w:t>
            </w:r>
          </w:p>
        </w:tc>
        <w:tc>
          <w:tcPr>
            <w:tcW w:w="597" w:type="pct"/>
            <w:tcBorders>
              <w:top w:val="nil"/>
              <w:bottom w:val="nil"/>
              <w:right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r w:rsidR="00B45FC3" w:rsidRPr="00526311" w:rsidTr="0063039A">
        <w:tc>
          <w:tcPr>
            <w:tcW w:w="1120" w:type="pct"/>
            <w:tcBorders>
              <w:top w:val="nil"/>
              <w:left w:val="single" w:sz="4" w:space="0" w:color="auto"/>
              <w:bottom w:val="single" w:sz="4" w:space="0" w:color="auto"/>
            </w:tcBorders>
            <w:shd w:val="clear" w:color="auto" w:fill="auto"/>
          </w:tcPr>
          <w:p w:rsidR="00B45FC3" w:rsidRPr="00526311" w:rsidRDefault="00B45FC3" w:rsidP="0063039A">
            <w:pPr>
              <w:rPr>
                <w:sz w:val="16"/>
                <w:szCs w:val="16"/>
              </w:rPr>
            </w:pPr>
            <w:r w:rsidRPr="00526311">
              <w:rPr>
                <w:sz w:val="16"/>
                <w:szCs w:val="16"/>
              </w:rPr>
              <w:t>Número de nuevas academias nacionales establecidas tras la finalización de la fase piloto</w:t>
            </w:r>
          </w:p>
          <w:p w:rsidR="00B45FC3" w:rsidRPr="00526311" w:rsidRDefault="00B45FC3" w:rsidP="0063039A">
            <w:pPr>
              <w:rPr>
                <w:sz w:val="16"/>
                <w:szCs w:val="16"/>
              </w:rPr>
            </w:pPr>
          </w:p>
        </w:tc>
        <w:tc>
          <w:tcPr>
            <w:tcW w:w="1044" w:type="pct"/>
            <w:tcBorders>
              <w:top w:val="nil"/>
              <w:bottom w:val="single" w:sz="4" w:space="0" w:color="auto"/>
            </w:tcBorders>
            <w:shd w:val="clear" w:color="auto" w:fill="auto"/>
          </w:tcPr>
          <w:p w:rsidR="00B45FC3" w:rsidRPr="00526311" w:rsidRDefault="00B45FC3" w:rsidP="0063039A">
            <w:pPr>
              <w:rPr>
                <w:sz w:val="16"/>
                <w:szCs w:val="16"/>
                <w:lang w:bidi="th-TH"/>
              </w:rPr>
            </w:pPr>
            <w:r w:rsidRPr="00526311">
              <w:rPr>
                <w:i/>
                <w:color w:val="002060"/>
                <w:sz w:val="16"/>
                <w:szCs w:val="16"/>
              </w:rPr>
              <w:t xml:space="preserve">Referencia actualizada a fines de 2013:  </w:t>
            </w:r>
            <w:r w:rsidRPr="00526311">
              <w:rPr>
                <w:sz w:val="16"/>
                <w:szCs w:val="16"/>
                <w:lang w:bidi="th-TH"/>
              </w:rPr>
              <w:t xml:space="preserve"> </w:t>
            </w:r>
            <w:r w:rsidRPr="00526311">
              <w:rPr>
                <w:color w:val="002060"/>
                <w:sz w:val="16"/>
                <w:szCs w:val="16"/>
                <w:lang w:bidi="th-TH"/>
              </w:rPr>
              <w:t>La fase II de la fase piloto del proyecto no se había completado a finales de 2013</w:t>
            </w:r>
          </w:p>
          <w:p w:rsidR="00B45FC3" w:rsidRPr="00526311" w:rsidRDefault="00B45FC3" w:rsidP="0063039A">
            <w:pPr>
              <w:rPr>
                <w:color w:val="002060"/>
                <w:sz w:val="16"/>
                <w:szCs w:val="16"/>
              </w:rPr>
            </w:pPr>
          </w:p>
          <w:p w:rsidR="00B45FC3" w:rsidRPr="00526311" w:rsidRDefault="00B45FC3" w:rsidP="0063039A">
            <w:pPr>
              <w:rPr>
                <w:i/>
                <w:color w:val="002060"/>
                <w:sz w:val="16"/>
                <w:szCs w:val="16"/>
              </w:rPr>
            </w:pPr>
            <w:r w:rsidRPr="00526311">
              <w:rPr>
                <w:i/>
                <w:sz w:val="16"/>
                <w:szCs w:val="16"/>
              </w:rPr>
              <w:t xml:space="preserve">Referencia original en el presupuesto de 2014/15:  </w:t>
            </w:r>
            <w:r w:rsidRPr="00526311">
              <w:rPr>
                <w:sz w:val="16"/>
                <w:szCs w:val="16"/>
              </w:rPr>
              <w:t>0</w:t>
            </w:r>
          </w:p>
        </w:tc>
        <w:tc>
          <w:tcPr>
            <w:tcW w:w="821" w:type="pct"/>
            <w:tcBorders>
              <w:top w:val="nil"/>
              <w:bottom w:val="single" w:sz="4" w:space="0" w:color="auto"/>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4</w:t>
            </w:r>
          </w:p>
        </w:tc>
        <w:tc>
          <w:tcPr>
            <w:tcW w:w="1418" w:type="pct"/>
            <w:tcBorders>
              <w:top w:val="nil"/>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La fase II de la fase piloto del proyecto se completó y evaluó en 2014.</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Se firmaron dos nuevos acuerdos con los Gobiernos de Camboya y del Ecuador para el establecimiento de academias nacionales.  La cooperación con el Ecuador se inició formalmente en septiembre de 2014.</w:t>
            </w:r>
          </w:p>
          <w:p w:rsidR="00B45FC3" w:rsidRPr="00526311" w:rsidRDefault="00B45FC3" w:rsidP="0063039A">
            <w:pPr>
              <w:rPr>
                <w:sz w:val="16"/>
                <w:szCs w:val="16"/>
                <w:lang w:bidi="th-TH"/>
              </w:rPr>
            </w:pPr>
            <w:r w:rsidRPr="00526311">
              <w:rPr>
                <w:sz w:val="16"/>
                <w:szCs w:val="16"/>
                <w:lang w:bidi="th-TH"/>
              </w:rPr>
              <w:t xml:space="preserve"> </w:t>
            </w:r>
          </w:p>
        </w:tc>
        <w:tc>
          <w:tcPr>
            <w:tcW w:w="597" w:type="pct"/>
            <w:tcBorders>
              <w:top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bl>
    <w:p w:rsidR="00B45FC3" w:rsidRPr="00526311" w:rsidRDefault="00B45FC3" w:rsidP="0063039A">
      <w:pPr>
        <w:autoSpaceDE w:val="0"/>
        <w:autoSpaceDN w:val="0"/>
        <w:adjustRightInd w:val="0"/>
        <w:rPr>
          <w:rFonts w:eastAsiaTheme="minorHAnsi"/>
          <w:color w:val="000000"/>
        </w:rPr>
      </w:pPr>
    </w:p>
    <w:p w:rsidR="00B45FC3" w:rsidRPr="00526311" w:rsidRDefault="00B45FC3" w:rsidP="0063039A"/>
    <w:p w:rsidR="00B45FC3" w:rsidRPr="00526311" w:rsidRDefault="00B45FC3" w:rsidP="0063039A">
      <w:pPr>
        <w:keepNext/>
        <w:rPr>
          <w:b/>
          <w:sz w:val="24"/>
        </w:rPr>
      </w:pPr>
      <w:r w:rsidRPr="00526311">
        <w:rPr>
          <w:szCs w:val="22"/>
        </w:rPr>
        <w:lastRenderedPageBreak/>
        <w:t>UTILIZACIÓN DE LOS RECURSOS</w:t>
      </w:r>
    </w:p>
    <w:p w:rsidR="00B45FC3" w:rsidRPr="00526311" w:rsidRDefault="00B45FC3" w:rsidP="0063039A">
      <w:pPr>
        <w:keepNext/>
      </w:pPr>
    </w:p>
    <w:p w:rsidR="00B45FC3" w:rsidRPr="00526311" w:rsidRDefault="00B45FC3" w:rsidP="0063039A">
      <w:pPr>
        <w:pStyle w:val="NormalWeb"/>
        <w:keepNext/>
        <w:spacing w:before="0" w:beforeAutospacing="0" w:after="0" w:afterAutospacing="0"/>
        <w:jc w:val="center"/>
        <w:rPr>
          <w:sz w:val="20"/>
          <w:szCs w:val="20"/>
          <w:lang w:val="es-ES"/>
        </w:rPr>
      </w:pPr>
      <w:r w:rsidRPr="00526311">
        <w:rPr>
          <w:sz w:val="20"/>
          <w:szCs w:val="20"/>
          <w:lang w:val="es-ES"/>
        </w:rPr>
        <w:t>Presupuesto y gastos reales (por resultado)</w:t>
      </w:r>
    </w:p>
    <w:p w:rsidR="00B45FC3" w:rsidRPr="00526311" w:rsidRDefault="00B45FC3" w:rsidP="0063039A">
      <w:pPr>
        <w:pStyle w:val="NormalWeb"/>
        <w:keepNext/>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pStyle w:val="NormalWeb"/>
        <w:keepNext/>
        <w:spacing w:before="0" w:beforeAutospacing="0" w:after="0" w:afterAutospacing="0"/>
        <w:jc w:val="center"/>
        <w:rPr>
          <w:sz w:val="20"/>
          <w:szCs w:val="20"/>
          <w:lang w:val="es-ES"/>
        </w:rPr>
      </w:pPr>
    </w:p>
    <w:p w:rsidR="00B45FC3" w:rsidRPr="00526311" w:rsidRDefault="00DD7B62" w:rsidP="0063039A">
      <w:pPr>
        <w:keepNext/>
        <w:jc w:val="center"/>
      </w:pPr>
      <w:r w:rsidRPr="00526311">
        <w:rPr>
          <w:noProof/>
          <w:lang w:val="en-US" w:eastAsia="en-US"/>
        </w:rPr>
        <w:drawing>
          <wp:inline distT="0" distB="0" distL="0" distR="0" wp14:anchorId="7291604D" wp14:editId="4E28618F">
            <wp:extent cx="5553075" cy="1496118"/>
            <wp:effectExtent l="0" t="0" r="0" b="889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53075" cy="1496118"/>
                    </a:xfrm>
                    <a:prstGeom prst="rect">
                      <a:avLst/>
                    </a:prstGeom>
                    <a:noFill/>
                    <a:ln>
                      <a:noFill/>
                    </a:ln>
                  </pic:spPr>
                </pic:pic>
              </a:graphicData>
            </a:graphic>
          </wp:inline>
        </w:drawing>
      </w:r>
    </w:p>
    <w:p w:rsidR="00B45FC3" w:rsidRPr="00526311" w:rsidRDefault="00B45FC3" w:rsidP="0063039A">
      <w:pPr>
        <w:pStyle w:val="NormalWeb"/>
        <w:keepNext/>
        <w:keepLines/>
        <w:spacing w:before="0" w:beforeAutospacing="0" w:after="0" w:afterAutospacing="0"/>
        <w:jc w:val="center"/>
        <w:rPr>
          <w:color w:val="000000"/>
          <w:sz w:val="20"/>
          <w:szCs w:val="20"/>
          <w:lang w:val="es-ES"/>
        </w:rPr>
      </w:pPr>
    </w:p>
    <w:p w:rsidR="00B45FC3" w:rsidRPr="00526311" w:rsidRDefault="00B45FC3" w:rsidP="0063039A">
      <w:pPr>
        <w:pStyle w:val="NormalWeb"/>
        <w:keepNext/>
        <w:keepLines/>
        <w:spacing w:before="0" w:beforeAutospacing="0" w:after="0" w:afterAutospacing="0"/>
        <w:jc w:val="center"/>
        <w:rPr>
          <w:sz w:val="20"/>
          <w:szCs w:val="20"/>
          <w:lang w:val="es-ES"/>
        </w:rPr>
      </w:pPr>
    </w:p>
    <w:p w:rsidR="00B45FC3" w:rsidRPr="00526311" w:rsidRDefault="00B45FC3"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B45FC3" w:rsidRPr="00526311" w:rsidRDefault="00B45FC3"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pStyle w:val="NormalWeb"/>
        <w:keepNext/>
        <w:keepLines/>
        <w:spacing w:before="0" w:beforeAutospacing="0" w:after="0" w:afterAutospacing="0"/>
        <w:jc w:val="center"/>
        <w:rPr>
          <w:sz w:val="20"/>
          <w:szCs w:val="20"/>
          <w:lang w:val="es-ES"/>
        </w:rPr>
      </w:pPr>
    </w:p>
    <w:p w:rsidR="00B45FC3" w:rsidRPr="00526311" w:rsidRDefault="00FF6E74" w:rsidP="0063039A">
      <w:pPr>
        <w:jc w:val="center"/>
        <w:rPr>
          <w:sz w:val="16"/>
          <w:szCs w:val="16"/>
        </w:rPr>
      </w:pPr>
      <w:r w:rsidRPr="00526311">
        <w:rPr>
          <w:noProof/>
          <w:lang w:val="en-US" w:eastAsia="en-US"/>
        </w:rPr>
        <w:drawing>
          <wp:inline distT="0" distB="0" distL="0" distR="0" wp14:anchorId="7E3380E3" wp14:editId="18E491C8">
            <wp:extent cx="5940425" cy="1277572"/>
            <wp:effectExtent l="0" t="0" r="3175"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0425" cy="1277572"/>
                    </a:xfrm>
                    <a:prstGeom prst="rect">
                      <a:avLst/>
                    </a:prstGeom>
                    <a:noFill/>
                    <a:ln>
                      <a:noFill/>
                    </a:ln>
                  </pic:spPr>
                </pic:pic>
              </a:graphicData>
            </a:graphic>
          </wp:inline>
        </w:drawing>
      </w:r>
    </w:p>
    <w:p w:rsidR="00B45FC3" w:rsidRPr="00526311" w:rsidRDefault="00B45FC3" w:rsidP="0063039A">
      <w:pPr>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B45FC3" w:rsidRPr="00526311" w:rsidRDefault="00B45FC3" w:rsidP="0063039A">
      <w:pPr>
        <w:keepNext/>
        <w:autoSpaceDE w:val="0"/>
        <w:autoSpaceDN w:val="0"/>
        <w:rPr>
          <w:sz w:val="20"/>
        </w:rPr>
      </w:pPr>
    </w:p>
    <w:p w:rsidR="00B45FC3" w:rsidRPr="00526311" w:rsidRDefault="00B45FC3" w:rsidP="0063039A">
      <w:pPr>
        <w:widowControl w:val="0"/>
        <w:autoSpaceDE w:val="0"/>
        <w:autoSpaceDN w:val="0"/>
        <w:adjustRightInd w:val="0"/>
        <w:rPr>
          <w:sz w:val="20"/>
        </w:rPr>
      </w:pPr>
    </w:p>
    <w:p w:rsidR="00B45FC3" w:rsidRPr="00526311" w:rsidRDefault="00B45FC3" w:rsidP="0063039A">
      <w:pPr>
        <w:keepNext/>
        <w:rPr>
          <w:sz w:val="20"/>
          <w:u w:val="single"/>
        </w:rPr>
      </w:pPr>
      <w:r w:rsidRPr="00526311">
        <w:rPr>
          <w:sz w:val="20"/>
        </w:rPr>
        <w:t>A.</w:t>
      </w:r>
      <w:r w:rsidRPr="00526311">
        <w:rPr>
          <w:sz w:val="20"/>
        </w:rPr>
        <w:tab/>
      </w:r>
      <w:r w:rsidRPr="00526311">
        <w:rPr>
          <w:sz w:val="20"/>
          <w:u w:val="single"/>
        </w:rPr>
        <w:t xml:space="preserve">Presupuesto </w:t>
      </w:r>
      <w:r w:rsidR="00011744" w:rsidRPr="00526311">
        <w:rPr>
          <w:sz w:val="20"/>
          <w:u w:val="single"/>
        </w:rPr>
        <w:t xml:space="preserve">de </w:t>
      </w:r>
      <w:r w:rsidRPr="00526311">
        <w:rPr>
          <w:sz w:val="20"/>
          <w:u w:val="single"/>
        </w:rPr>
        <w:t>2014/15 tras las transferencias</w:t>
      </w:r>
    </w:p>
    <w:p w:rsidR="00B45FC3" w:rsidRPr="00526311" w:rsidRDefault="00B45FC3" w:rsidP="0063039A">
      <w:pPr>
        <w:keepNext/>
        <w:rPr>
          <w:sz w:val="20"/>
          <w:u w:val="single"/>
        </w:rPr>
      </w:pPr>
    </w:p>
    <w:p w:rsidR="00B45FC3" w:rsidRPr="00526311" w:rsidRDefault="00B45FC3" w:rsidP="00B45FC3">
      <w:pPr>
        <w:pStyle w:val="ListParagraph"/>
        <w:keepNext/>
        <w:numPr>
          <w:ilvl w:val="0"/>
          <w:numId w:val="59"/>
        </w:numPr>
        <w:tabs>
          <w:tab w:val="left" w:pos="709"/>
        </w:tabs>
        <w:autoSpaceDE w:val="0"/>
        <w:autoSpaceDN w:val="0"/>
        <w:adjustRightInd w:val="0"/>
        <w:ind w:left="0" w:firstLine="0"/>
        <w:jc w:val="both"/>
        <w:rPr>
          <w:lang w:val="es-ES"/>
        </w:rPr>
      </w:pPr>
      <w:r w:rsidRPr="00526311">
        <w:rPr>
          <w:lang w:val="es-ES"/>
        </w:rPr>
        <w:t xml:space="preserve">La disminución de los recursos de personal en el presupuesto de 2014/15 </w:t>
      </w:r>
      <w:r w:rsidR="007D4926">
        <w:rPr>
          <w:lang w:val="es-ES"/>
        </w:rPr>
        <w:t>tras</w:t>
      </w:r>
      <w:r w:rsidRPr="00526311">
        <w:rPr>
          <w:lang w:val="es-ES"/>
        </w:rPr>
        <w:t xml:space="preserve"> las transferencias se debe principalmente a la redistribución de los recursos de personal del programa, para hacer frente a las necesidades relacionadas con las </w:t>
      </w:r>
      <w:r w:rsidRPr="00526311">
        <w:rPr>
          <w:lang w:val="es-ES" w:eastAsia="ko-KR"/>
        </w:rPr>
        <w:t>plataformas de la OMPI y las aplicaciones de TI en el Sector de Desarrollo.  Ello ha quedado compensado por la redistribución de recursos de personal hacia el programa después de la transición en la gestión de la Academia, hacia finales de 2014.  Como consecuencia, se produjo el aumento neto de un puesto en la Academia, en comparación con el presupuesto aprobado de 2014/15.</w:t>
      </w:r>
    </w:p>
    <w:p w:rsidR="00B45FC3" w:rsidRPr="00526311" w:rsidRDefault="00B45FC3" w:rsidP="0063039A">
      <w:pPr>
        <w:autoSpaceDE w:val="0"/>
        <w:autoSpaceDN w:val="0"/>
        <w:jc w:val="both"/>
        <w:rPr>
          <w:sz w:val="20"/>
          <w:lang w:eastAsia="ko-KR"/>
        </w:rPr>
      </w:pPr>
    </w:p>
    <w:p w:rsidR="00B45FC3" w:rsidRPr="00526311" w:rsidRDefault="00B45FC3"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B45FC3" w:rsidRPr="00526311" w:rsidRDefault="00B45FC3" w:rsidP="0063039A">
      <w:pPr>
        <w:tabs>
          <w:tab w:val="left" w:pos="709"/>
        </w:tabs>
        <w:jc w:val="both"/>
        <w:rPr>
          <w:sz w:val="20"/>
          <w:u w:val="single"/>
          <w:lang w:eastAsia="ko-KR"/>
        </w:rPr>
      </w:pPr>
    </w:p>
    <w:p w:rsidR="00B45FC3" w:rsidRPr="00526311" w:rsidRDefault="00B45FC3" w:rsidP="00B45FC3">
      <w:pPr>
        <w:pStyle w:val="ListParagraph"/>
        <w:numPr>
          <w:ilvl w:val="0"/>
          <w:numId w:val="59"/>
        </w:numPr>
        <w:tabs>
          <w:tab w:val="left" w:pos="709"/>
        </w:tabs>
        <w:autoSpaceDE w:val="0"/>
        <w:autoSpaceDN w:val="0"/>
        <w:adjustRightInd w:val="0"/>
        <w:ind w:left="0" w:firstLine="0"/>
        <w:jc w:val="both"/>
        <w:rPr>
          <w:rFonts w:cs="Arial"/>
          <w:color w:val="000000"/>
          <w:lang w:val="es-ES"/>
        </w:rPr>
      </w:pPr>
      <w:r w:rsidRPr="00526311">
        <w:rPr>
          <w:rFonts w:cs="Arial"/>
          <w:color w:val="000000"/>
          <w:lang w:val="es-ES"/>
        </w:rPr>
        <w:t>La utilización del presupuesto se ha mantenido dentro de los límites establecidos (40-60%) durante el primer año del bienio y está bien encaminada.</w:t>
      </w:r>
    </w:p>
    <w:p w:rsidR="00B45FC3" w:rsidRPr="00526311" w:rsidRDefault="00B45FC3" w:rsidP="0063039A">
      <w:pPr>
        <w:rPr>
          <w:sz w:val="20"/>
        </w:rPr>
      </w:pPr>
    </w:p>
    <w:p w:rsidR="00B45FC3" w:rsidRPr="00526311" w:rsidRDefault="00B45FC3" w:rsidP="0063039A">
      <w:pPr>
        <w:rPr>
          <w:sz w:val="20"/>
        </w:rPr>
      </w:pPr>
    </w:p>
    <w:p w:rsidR="00B45FC3" w:rsidRPr="00526311" w:rsidRDefault="00B45FC3">
      <w:pPr>
        <w:rPr>
          <w:b/>
          <w:bCs/>
          <w:iCs/>
          <w:caps/>
          <w:sz w:val="20"/>
        </w:rPr>
      </w:pPr>
      <w:r w:rsidRPr="00526311">
        <w:rPr>
          <w:b/>
          <w:sz w:val="20"/>
        </w:rPr>
        <w:br w:type="page"/>
      </w:r>
    </w:p>
    <w:p w:rsidR="00B45FC3" w:rsidRPr="00526311" w:rsidRDefault="00173D9F" w:rsidP="0063039A">
      <w:pPr>
        <w:pStyle w:val="Heading2"/>
        <w:tabs>
          <w:tab w:val="left" w:pos="-284"/>
        </w:tabs>
        <w:ind w:left="2410" w:hanging="2410"/>
        <w:rPr>
          <w:b/>
          <w:szCs w:val="20"/>
        </w:rPr>
      </w:pPr>
      <w:bookmarkStart w:id="43" w:name="_Toc422927419"/>
      <w:r w:rsidRPr="00526311">
        <w:rPr>
          <w:b/>
          <w:caps w:val="0"/>
          <w:szCs w:val="20"/>
        </w:rPr>
        <w:lastRenderedPageBreak/>
        <w:t>PROGRAMA 30</w:t>
      </w:r>
      <w:r w:rsidRPr="00526311">
        <w:rPr>
          <w:b/>
          <w:caps w:val="0"/>
          <w:szCs w:val="20"/>
        </w:rPr>
        <w:tab/>
        <w:t>LAS PEQUEÑAS Y MEDIANAS EMPRESAS (PYMES) Y LA INNOVACIÓN</w:t>
      </w:r>
      <w:bookmarkEnd w:id="43"/>
    </w:p>
    <w:p w:rsidR="00B45FC3" w:rsidRPr="00526311" w:rsidRDefault="00B45FC3" w:rsidP="0063039A">
      <w:pPr>
        <w:ind w:left="1985" w:hanging="1985"/>
        <w:rPr>
          <w:b/>
          <w:sz w:val="20"/>
        </w:rPr>
      </w:pPr>
    </w:p>
    <w:p w:rsidR="00B45FC3" w:rsidRPr="00526311" w:rsidRDefault="00B45FC3" w:rsidP="0063039A">
      <w:pPr>
        <w:ind w:left="2410" w:hanging="2410"/>
        <w:rPr>
          <w:b/>
          <w:sz w:val="20"/>
        </w:rPr>
      </w:pPr>
      <w:r w:rsidRPr="00526311">
        <w:rPr>
          <w:b/>
          <w:sz w:val="20"/>
        </w:rPr>
        <w:t>Director de programa</w:t>
      </w:r>
      <w:r w:rsidRPr="00526311">
        <w:rPr>
          <w:b/>
          <w:sz w:val="20"/>
        </w:rPr>
        <w:tab/>
      </w:r>
      <w:r w:rsidR="00040286" w:rsidRPr="00526311">
        <w:rPr>
          <w:b/>
          <w:sz w:val="20"/>
        </w:rPr>
        <w:t>Director General</w:t>
      </w:r>
    </w:p>
    <w:p w:rsidR="00B45FC3" w:rsidRPr="00526311" w:rsidRDefault="00B45FC3" w:rsidP="0063039A">
      <w:pPr>
        <w:rPr>
          <w:sz w:val="20"/>
        </w:rPr>
      </w:pPr>
    </w:p>
    <w:p w:rsidR="00B45FC3" w:rsidRPr="00526311" w:rsidRDefault="00B45FC3" w:rsidP="0063039A">
      <w:pPr>
        <w:tabs>
          <w:tab w:val="left" w:pos="720"/>
        </w:tabs>
        <w:rPr>
          <w:sz w:val="20"/>
        </w:rPr>
      </w:pPr>
    </w:p>
    <w:p w:rsidR="00B45FC3" w:rsidRPr="00526311" w:rsidRDefault="00B45FC3" w:rsidP="0063039A">
      <w:pPr>
        <w:rPr>
          <w:bCs/>
          <w:szCs w:val="22"/>
        </w:rPr>
      </w:pPr>
      <w:r w:rsidRPr="00526311">
        <w:rPr>
          <w:bCs/>
          <w:szCs w:val="22"/>
        </w:rPr>
        <w:t>RESEÑA DE LOS AVANCES LOGRADOS EN 2014</w:t>
      </w:r>
    </w:p>
    <w:p w:rsidR="00B45FC3" w:rsidRPr="00526311" w:rsidRDefault="00B45FC3" w:rsidP="0063039A"/>
    <w:p w:rsidR="00B45FC3" w:rsidRPr="00526311" w:rsidRDefault="00B45FC3" w:rsidP="0063039A">
      <w:pPr>
        <w:jc w:val="both"/>
      </w:pPr>
    </w:p>
    <w:p w:rsidR="00B45FC3" w:rsidRPr="00526311" w:rsidRDefault="00B45FC3" w:rsidP="0063039A">
      <w:r w:rsidRPr="00526311">
        <w:t>PEQUEÑAS Y MEDIANAS EMPRESAS (PYMES)</w:t>
      </w:r>
    </w:p>
    <w:p w:rsidR="00B45FC3" w:rsidRPr="00526311" w:rsidRDefault="00B45FC3" w:rsidP="0063039A"/>
    <w:p w:rsidR="00B45FC3" w:rsidRPr="00526311" w:rsidRDefault="00B45FC3" w:rsidP="00B45FC3">
      <w:pPr>
        <w:pStyle w:val="ListParagraph"/>
        <w:numPr>
          <w:ilvl w:val="0"/>
          <w:numId w:val="60"/>
        </w:numPr>
        <w:tabs>
          <w:tab w:val="left" w:pos="-1560"/>
          <w:tab w:val="left" w:pos="709"/>
        </w:tabs>
        <w:ind w:left="0" w:firstLine="0"/>
        <w:jc w:val="both"/>
        <w:rPr>
          <w:lang w:val="es-ES"/>
        </w:rPr>
      </w:pPr>
      <w:r w:rsidRPr="00526311">
        <w:rPr>
          <w:lang w:val="es-ES"/>
        </w:rPr>
        <w:t>Se siguió colaborando con las oficinas nacionales y regionales de P.I. y otras instituciones para ayudar a los empresarios y a las pymes a utilizar el sistema de P.I., principalmente mediante:  a) la adaptación o traducción al contexto local de los contenidos relacionados con la P.I. dirigidos a las empresas, y b) programas de formación de formadores.  Con respecto a estos últimos, se organizaron 15 programas relativos a la gestión eficaz de los activos de P.I. por parte de las pymes, de los que se beneficiaron más de 561 participantes.  El objetivo de estos programas era crear una masa crítica de formadores en países concretos con los conocimientos, las habilidades y la experiencia que se precisan para prestar asistencia básica a las pymes en relación con la gestión de activos de P.I.  El programa también contribuyó a promover el empoderamiento de la mujer en el ámbito de la P.I.  Con ese fin, la OMPI</w:t>
      </w:r>
      <w:r w:rsidRPr="00526311">
        <w:rPr>
          <w:szCs w:val="24"/>
          <w:lang w:val="es-ES"/>
        </w:rPr>
        <w:t xml:space="preserve">, la </w:t>
      </w:r>
      <w:r w:rsidRPr="00526311">
        <w:rPr>
          <w:lang w:val="es-ES"/>
        </w:rPr>
        <w:t>Oficina Surcoreana de Propiedad Intelectual (KIPO) y la Asociación Surcoreana de Inventoras (KWIA) organizaron un taller internacional para mujeres inventoras y empresarias, en el que participaron 137 mujeres inventoras y empresarias procedentes de 17 países.</w:t>
      </w:r>
    </w:p>
    <w:p w:rsidR="00B45FC3" w:rsidRPr="00526311" w:rsidRDefault="00B45FC3" w:rsidP="0063039A">
      <w:pPr>
        <w:pStyle w:val="ListParagraph"/>
        <w:tabs>
          <w:tab w:val="left" w:pos="709"/>
        </w:tabs>
        <w:ind w:left="0"/>
        <w:jc w:val="both"/>
        <w:rPr>
          <w:lang w:val="es-ES"/>
        </w:rPr>
      </w:pPr>
    </w:p>
    <w:p w:rsidR="00B45FC3" w:rsidRPr="00526311" w:rsidRDefault="00B45FC3" w:rsidP="00B45FC3">
      <w:pPr>
        <w:pStyle w:val="ListParagraph"/>
        <w:numPr>
          <w:ilvl w:val="0"/>
          <w:numId w:val="60"/>
        </w:numPr>
        <w:tabs>
          <w:tab w:val="left" w:pos="0"/>
          <w:tab w:val="left" w:pos="709"/>
        </w:tabs>
        <w:ind w:left="0" w:firstLine="0"/>
        <w:jc w:val="both"/>
        <w:rPr>
          <w:lang w:val="es-ES"/>
        </w:rPr>
      </w:pPr>
      <w:r w:rsidRPr="00485CF4">
        <w:t xml:space="preserve">En 2014, se finalizó un nuevo libro titulado:  </w:t>
      </w:r>
      <w:r w:rsidRPr="00485CF4">
        <w:rPr>
          <w:i/>
        </w:rPr>
        <w:t>In Confidence - An Introduction to Trade Secrets for Small and Medium-sized Enterprises</w:t>
      </w:r>
      <w:r w:rsidRPr="00485CF4">
        <w:t xml:space="preserve">.  </w:t>
      </w:r>
      <w:r w:rsidRPr="00526311">
        <w:rPr>
          <w:lang w:val="es-ES"/>
        </w:rPr>
        <w:t xml:space="preserve">Otra obra titulada </w:t>
      </w:r>
      <w:r w:rsidRPr="00526311">
        <w:rPr>
          <w:rFonts w:cs="Arial"/>
          <w:i/>
          <w:iCs/>
          <w:lang w:val="es-ES"/>
        </w:rPr>
        <w:t>Beyond Taste:  Intellectual Property for Healthy Agro-Food SMEs</w:t>
      </w:r>
      <w:r w:rsidRPr="00526311">
        <w:rPr>
          <w:rFonts w:cs="Arial"/>
          <w:iCs/>
          <w:lang w:val="es-ES"/>
        </w:rPr>
        <w:t xml:space="preserve"> y las versiones actualizadas de tres publicaciones anteriores (</w:t>
      </w:r>
      <w:r w:rsidRPr="00526311">
        <w:rPr>
          <w:rFonts w:cs="Arial"/>
          <w:i/>
          <w:iCs/>
          <w:lang w:val="es-ES"/>
        </w:rPr>
        <w:t xml:space="preserve">El </w:t>
      </w:r>
      <w:r w:rsidRPr="00526311">
        <w:rPr>
          <w:i/>
          <w:lang w:val="es-ES"/>
        </w:rPr>
        <w:t>secreto está en la marca:  Introducción a las marcas dirigida a las pequeñas y medianas empresas;  Inventar el futuro:  Introducción a las patentes dirigida a las pequeñas y medianas empresas;  y Una puntada a tiempo:  Uso inteligente de la P.I. por las empresas textiles</w:t>
      </w:r>
      <w:r w:rsidRPr="00526311">
        <w:rPr>
          <w:lang w:val="es-ES"/>
        </w:rPr>
        <w:t xml:space="preserve">) estaban en espera de la aprobación necesaria para su publicación.  Se actualizó el libro titulado:  </w:t>
      </w:r>
      <w:r w:rsidRPr="00526311">
        <w:rPr>
          <w:i/>
          <w:lang w:val="es-ES"/>
        </w:rPr>
        <w:t>Intellectual Capital Readiness:  The Use of Intangibles to Access Capital Markets – An Introduction for Business and Investors</w:t>
      </w:r>
      <w:r w:rsidRPr="00526311">
        <w:rPr>
          <w:lang w:val="es-ES"/>
        </w:rPr>
        <w:t>, finalizado inicialmente en 2012, con miras a su publicación en 2015, y se elaboró una nueva guía sobre la P.I. y las finanzas, cuya revisión final está en curso.  La OMPI también contribuyó al proyecto inicial de un libro sobre el aprovechamiento de la propiedad intelectual como activo empresarial estratégico</w:t>
      </w:r>
      <w:r w:rsidRPr="00526311">
        <w:rPr>
          <w:i/>
          <w:lang w:val="es-ES"/>
        </w:rPr>
        <w:t xml:space="preserve"> </w:t>
      </w:r>
      <w:r w:rsidRPr="00526311">
        <w:rPr>
          <w:lang w:val="es-ES"/>
        </w:rPr>
        <w:t>(</w:t>
      </w:r>
      <w:r w:rsidRPr="00526311">
        <w:rPr>
          <w:i/>
          <w:lang w:val="es-ES"/>
        </w:rPr>
        <w:t>gestión estratégica de la P.I.</w:t>
      </w:r>
      <w:r w:rsidRPr="00526311">
        <w:rPr>
          <w:lang w:val="es-ES"/>
        </w:rPr>
        <w:t>).</w:t>
      </w:r>
      <w:r w:rsidRPr="00526311">
        <w:rPr>
          <w:rStyle w:val="FootnoteReference"/>
          <w:lang w:val="es-ES"/>
        </w:rPr>
        <w:footnoteReference w:id="38"/>
      </w:r>
    </w:p>
    <w:p w:rsidR="00B45FC3" w:rsidRPr="00526311" w:rsidRDefault="00B45FC3" w:rsidP="0063039A">
      <w:pPr>
        <w:pStyle w:val="ListParagraph"/>
        <w:tabs>
          <w:tab w:val="left" w:pos="709"/>
        </w:tabs>
        <w:ind w:left="0"/>
        <w:jc w:val="both"/>
        <w:rPr>
          <w:lang w:val="es-ES"/>
        </w:rPr>
      </w:pPr>
    </w:p>
    <w:p w:rsidR="00B45FC3" w:rsidRPr="00526311" w:rsidRDefault="00B45FC3" w:rsidP="00B45FC3">
      <w:pPr>
        <w:pStyle w:val="ListParagraph"/>
        <w:numPr>
          <w:ilvl w:val="0"/>
          <w:numId w:val="60"/>
        </w:numPr>
        <w:tabs>
          <w:tab w:val="left" w:pos="0"/>
          <w:tab w:val="left" w:pos="709"/>
        </w:tabs>
        <w:ind w:left="0" w:firstLine="0"/>
        <w:jc w:val="both"/>
        <w:rPr>
          <w:lang w:val="es-ES"/>
        </w:rPr>
      </w:pPr>
      <w:r w:rsidRPr="00526311">
        <w:rPr>
          <w:lang w:val="es-ES"/>
        </w:rPr>
        <w:t>Asistieron 709 personas al curso internacional sobre la gestión de activos de P.I. para el éxito de las empresas basado en IP PANORAMA</w:t>
      </w:r>
      <w:r w:rsidRPr="00526311">
        <w:rPr>
          <w:vertAlign w:val="superscript"/>
          <w:lang w:val="es-ES"/>
        </w:rPr>
        <w:t>TM</w:t>
      </w:r>
      <w:r w:rsidRPr="00526311">
        <w:rPr>
          <w:lang w:val="es-ES"/>
        </w:rPr>
        <w:t>, impartido por Internet y con entrega de certificado, y 38 personas participaron posteriormente en un programa sobre la gestión de activos de P.I., impartido por otros medios en Seúl (República de Corea), que fue realizado por la OMPI y ejecutado de forma coordinada por la OMPI, la KIPO, la Asociación Surcoreana de Promoción de las Invenciones (KIPA) y el Instituto Especializado de Ciencia y Tecnología de Corea (KAIST).</w:t>
      </w:r>
    </w:p>
    <w:p w:rsidR="00B45FC3" w:rsidRPr="00526311" w:rsidRDefault="00B45FC3" w:rsidP="0063039A">
      <w:pPr>
        <w:pStyle w:val="ListParagraph"/>
        <w:tabs>
          <w:tab w:val="left" w:pos="709"/>
        </w:tabs>
        <w:ind w:left="0"/>
        <w:jc w:val="both"/>
        <w:rPr>
          <w:lang w:val="es-ES"/>
        </w:rPr>
      </w:pPr>
    </w:p>
    <w:p w:rsidR="00B45FC3" w:rsidRPr="00526311" w:rsidRDefault="00B45FC3" w:rsidP="00B45FC3">
      <w:pPr>
        <w:pStyle w:val="ListParagraph"/>
        <w:numPr>
          <w:ilvl w:val="0"/>
          <w:numId w:val="60"/>
        </w:numPr>
        <w:tabs>
          <w:tab w:val="left" w:pos="0"/>
          <w:tab w:val="left" w:pos="709"/>
        </w:tabs>
        <w:ind w:left="0" w:firstLine="0"/>
        <w:jc w:val="both"/>
        <w:rPr>
          <w:lang w:val="es-ES"/>
        </w:rPr>
      </w:pPr>
      <w:r w:rsidRPr="00526311">
        <w:rPr>
          <w:rFonts w:cs="Arial"/>
          <w:bCs/>
          <w:lang w:val="es-ES"/>
        </w:rPr>
        <w:t>Se prosiguieron los esfuerzos por comunicar directamente con las pymes a través del sitio</w:t>
      </w:r>
      <w:r w:rsidRPr="00526311">
        <w:rPr>
          <w:lang w:val="es-ES"/>
        </w:rPr>
        <w:t xml:space="preserve"> web para pymes en los seis idiomas oficiales de las Naciones Unidas y el boletín mensual de noticias, que se distribuyó a más de 40.000 suscriptores de todo el mundo.  Se elaboraron cinco nuevos estudios monográficos de la P.I. y las pymes sobre los temas siguientes:  i) Ezequiel Farca (México);  ii) </w:t>
      </w:r>
      <w:r w:rsidRPr="00526311">
        <w:rPr>
          <w:i/>
          <w:lang w:val="es-ES"/>
        </w:rPr>
        <w:t xml:space="preserve">Haldiram </w:t>
      </w:r>
      <w:r w:rsidRPr="00526311">
        <w:rPr>
          <w:lang w:val="es-ES"/>
        </w:rPr>
        <w:t xml:space="preserve">(India);  iii) </w:t>
      </w:r>
      <w:r w:rsidRPr="00526311">
        <w:rPr>
          <w:i/>
          <w:lang w:val="es-ES"/>
        </w:rPr>
        <w:t>Wondereight</w:t>
      </w:r>
      <w:r w:rsidRPr="00526311">
        <w:rPr>
          <w:lang w:val="es-ES"/>
        </w:rPr>
        <w:t xml:space="preserve"> (Líbano);  iv) Desarrollar programas informáticos asequibles para la pequeña empresa</w:t>
      </w:r>
      <w:r w:rsidRPr="00526311">
        <w:rPr>
          <w:i/>
          <w:lang w:val="es-ES"/>
        </w:rPr>
        <w:t>:  HSCO LLP</w:t>
      </w:r>
      <w:r w:rsidRPr="00526311">
        <w:rPr>
          <w:lang w:val="es-ES"/>
        </w:rPr>
        <w:t xml:space="preserve"> (Reino Unido/Jordania), y v) Para que la energía fluya con seguridad:  </w:t>
      </w:r>
      <w:r w:rsidRPr="00526311">
        <w:rPr>
          <w:i/>
          <w:lang w:val="es-ES"/>
        </w:rPr>
        <w:t>PipeWay Engenharia</w:t>
      </w:r>
      <w:r w:rsidRPr="00526311">
        <w:rPr>
          <w:lang w:val="es-ES"/>
        </w:rPr>
        <w:t xml:space="preserve"> (Brasil), de los cuales los últimos dos fueron publicados en IP Advantage.</w:t>
      </w:r>
    </w:p>
    <w:p w:rsidR="00B45FC3" w:rsidRPr="00526311" w:rsidRDefault="00B45FC3" w:rsidP="0063039A">
      <w:pPr>
        <w:pStyle w:val="ListParagraph"/>
        <w:tabs>
          <w:tab w:val="left" w:pos="709"/>
        </w:tabs>
        <w:ind w:left="0"/>
        <w:rPr>
          <w:lang w:val="es-ES"/>
        </w:rPr>
      </w:pPr>
    </w:p>
    <w:p w:rsidR="00B45FC3" w:rsidRPr="00526311" w:rsidRDefault="00B45FC3" w:rsidP="00B45FC3">
      <w:pPr>
        <w:pStyle w:val="ListParagraph"/>
        <w:numPr>
          <w:ilvl w:val="0"/>
          <w:numId w:val="60"/>
        </w:numPr>
        <w:tabs>
          <w:tab w:val="left" w:pos="0"/>
          <w:tab w:val="left" w:pos="709"/>
        </w:tabs>
        <w:ind w:left="0" w:firstLine="0"/>
        <w:jc w:val="both"/>
        <w:rPr>
          <w:rFonts w:cs="Arial"/>
          <w:lang w:val="es-ES"/>
        </w:rPr>
      </w:pPr>
      <w:r w:rsidRPr="00526311">
        <w:rPr>
          <w:rFonts w:cs="Arial"/>
          <w:bCs/>
          <w:lang w:val="es-ES"/>
        </w:rPr>
        <w:t xml:space="preserve">En el marco del programa y con arreglo a las recomendaciones 1, 4, 10 y 11 de la A.D., se organizaron 20 seminarios, talleres o programas de formación de formadores sobre la gestión de la P.I. para las pymes en 19 países, principalmente países en desarrollo y PMA de África, la región árabe, Asia y el Pacífico, y América Latina y el Caribe, o se participó en ellos.  Estos programas beneficiaron a más de 900 representantes de pymes y de instituciones de apoyo a las pymes de 50 países, de los que 15 eran PMA y 35 eran países en desarrollo y con economías en transición.  Asumiendo un mayor protagonismo, las oficinas de P.I. o las cámaras de comercio de los Estados miembros interesados </w:t>
      </w:r>
      <w:r w:rsidRPr="00526311">
        <w:rPr>
          <w:rFonts w:cs="Arial"/>
          <w:bCs/>
          <w:lang w:val="es-ES"/>
        </w:rPr>
        <w:lastRenderedPageBreak/>
        <w:t>participaron activamente en la etapa de planificación e hicieron contribuciones sustanciales durante las fases de desarrollo y ejecución de los programas, en particular en lo tocante a la selección de los oradores y los temas del programa.  P</w:t>
      </w:r>
      <w:r w:rsidRPr="00526311">
        <w:rPr>
          <w:rFonts w:cs="Arial"/>
          <w:lang w:val="es-ES"/>
        </w:rPr>
        <w:t>or otra parte, en el marco del programa de formación de formadores se celebró una mesa redonda en torno a la cuestión de la sensibilización y la utilización de la P.I. por la pymes, en la que se determinaron las dificultades a que se enfrentaban las pymes locales y las instituciones de apoyo a las pymes, y se propuso una hoja de ruta para superar esas dificultades, con arreglo a la recomendación 4.</w:t>
      </w:r>
    </w:p>
    <w:p w:rsidR="00B45FC3" w:rsidRPr="00526311" w:rsidRDefault="00B45FC3" w:rsidP="0063039A">
      <w:pPr>
        <w:pStyle w:val="ListParagraph"/>
        <w:tabs>
          <w:tab w:val="left" w:pos="0"/>
          <w:tab w:val="left" w:pos="709"/>
        </w:tabs>
        <w:ind w:left="0"/>
        <w:jc w:val="both"/>
        <w:rPr>
          <w:rFonts w:cs="Arial"/>
          <w:lang w:val="es-ES"/>
        </w:rPr>
      </w:pPr>
    </w:p>
    <w:p w:rsidR="00B45FC3" w:rsidRPr="00526311" w:rsidRDefault="00B45FC3" w:rsidP="0063039A">
      <w:pPr>
        <w:autoSpaceDE w:val="0"/>
        <w:autoSpaceDN w:val="0"/>
        <w:adjustRightInd w:val="0"/>
        <w:jc w:val="both"/>
        <w:rPr>
          <w:caps/>
        </w:rPr>
      </w:pPr>
      <w:r w:rsidRPr="00526311">
        <w:rPr>
          <w:caps/>
        </w:rPr>
        <w:t>Política de innovación</w:t>
      </w:r>
    </w:p>
    <w:p w:rsidR="00B45FC3" w:rsidRPr="00526311" w:rsidRDefault="00B45FC3" w:rsidP="0063039A">
      <w:pPr>
        <w:pStyle w:val="ListParagraph"/>
        <w:tabs>
          <w:tab w:val="left" w:pos="0"/>
          <w:tab w:val="left" w:pos="709"/>
        </w:tabs>
        <w:ind w:left="0"/>
        <w:jc w:val="both"/>
        <w:rPr>
          <w:rFonts w:cs="Arial"/>
          <w:caps/>
          <w:lang w:val="es-ES"/>
        </w:rPr>
      </w:pPr>
    </w:p>
    <w:p w:rsidR="00B45FC3" w:rsidRPr="00526311" w:rsidRDefault="00B45FC3" w:rsidP="00B45FC3">
      <w:pPr>
        <w:pStyle w:val="ListParagraph"/>
        <w:numPr>
          <w:ilvl w:val="0"/>
          <w:numId w:val="60"/>
        </w:numPr>
        <w:tabs>
          <w:tab w:val="left" w:pos="0"/>
          <w:tab w:val="left" w:pos="709"/>
        </w:tabs>
        <w:ind w:left="0" w:firstLine="0"/>
        <w:jc w:val="both"/>
        <w:rPr>
          <w:rFonts w:cs="Arial"/>
          <w:lang w:val="es-ES"/>
        </w:rPr>
      </w:pPr>
      <w:r w:rsidRPr="00526311">
        <w:rPr>
          <w:rFonts w:cs="Arial"/>
          <w:lang w:val="es-ES"/>
        </w:rPr>
        <w:t xml:space="preserve">En 2014, se prosiguió la labor de determinación de los ámbitos de interacción entre </w:t>
      </w:r>
      <w:r w:rsidRPr="00526311">
        <w:rPr>
          <w:rFonts w:cs="Arial"/>
          <w:bCs/>
          <w:lang w:val="es-ES"/>
        </w:rPr>
        <w:t xml:space="preserve">la política de innovación y la P.I. </w:t>
      </w:r>
      <w:r w:rsidRPr="00526311">
        <w:rPr>
          <w:rFonts w:cs="Arial"/>
          <w:lang w:val="es-ES"/>
        </w:rPr>
        <w:t xml:space="preserve"> Una vez finalizada la ejecución del proyecto piloto sobre la integración de la P.I. en la formulación de la política de innovación en Se</w:t>
      </w:r>
      <w:r w:rsidRPr="00526311">
        <w:rPr>
          <w:lang w:val="es-ES"/>
        </w:rPr>
        <w:t>rbia durante el bienio anterior,</w:t>
      </w:r>
      <w:r w:rsidRPr="00526311">
        <w:rPr>
          <w:rFonts w:cs="Arial"/>
          <w:lang w:val="es-ES"/>
        </w:rPr>
        <w:t xml:space="preserve"> en 2014 se dio inicio a los proyectos nacionales en el Camerún, Rwanda, Sri Lanka y Trinidad y Tabago.  Los proyectos nacionales en el Camerún, Rwanda, Serbia y Sri Lanka se concluyeron en 2014.  La terminación del proyecto nacional de Trinidad y Tabago estaba prevista para 2015.  El objetivo de estos proyectos era hacer un balance general del sistema de innovación en los países seleccionados y determinar a los principales actores, su participación en el sistema de innovación, su nivel de conocimientos y confianza en el sistema de P.I., así como las insuficiencias y necesidades del sistema de innovación desde la perspectiva de la P.I., con miras a recabar más información para la elaboración de estrategias nacionales de P.I. más eficaces y contribuir a la prestación por la OMPI de servicios de apoyo más apropiados, mejor concebidos y adaptados a las necesidades.  Uno de los resultados positivos de estos proyectos fue la colaboración que se consiguió entablar en torno a un proyecto más grande, financiado por la Unión Europea en el Caribe que llevaba por título IPICA:  Potenciación de la transferencia de conocimientos en el Caribe mediante regímenes eficaces de derechos de P.I. y de transferencia de conocimientos, coordinado por la Universidad de Alicante.</w:t>
      </w:r>
    </w:p>
    <w:p w:rsidR="00B45FC3" w:rsidRPr="00526311" w:rsidRDefault="00B45FC3" w:rsidP="0063039A">
      <w:pPr>
        <w:tabs>
          <w:tab w:val="left" w:pos="709"/>
        </w:tabs>
        <w:autoSpaceDE w:val="0"/>
        <w:autoSpaceDN w:val="0"/>
        <w:adjustRightInd w:val="0"/>
        <w:jc w:val="both"/>
      </w:pPr>
    </w:p>
    <w:p w:rsidR="00B45FC3" w:rsidRPr="00526311" w:rsidRDefault="00B45FC3" w:rsidP="0063039A">
      <w:pPr>
        <w:tabs>
          <w:tab w:val="left" w:pos="709"/>
        </w:tabs>
        <w:autoSpaceDE w:val="0"/>
        <w:autoSpaceDN w:val="0"/>
        <w:adjustRightInd w:val="0"/>
        <w:jc w:val="both"/>
      </w:pPr>
      <w:r w:rsidRPr="00526311">
        <w:t>ESTRUCTURAS DE INNOVACIÓN</w:t>
      </w:r>
    </w:p>
    <w:p w:rsidR="00B45FC3" w:rsidRPr="00526311" w:rsidRDefault="00B45FC3" w:rsidP="0063039A">
      <w:pPr>
        <w:tabs>
          <w:tab w:val="left" w:pos="709"/>
        </w:tabs>
        <w:autoSpaceDE w:val="0"/>
        <w:autoSpaceDN w:val="0"/>
        <w:adjustRightInd w:val="0"/>
        <w:jc w:val="both"/>
      </w:pPr>
    </w:p>
    <w:p w:rsidR="00B45FC3" w:rsidRPr="00526311" w:rsidRDefault="00B45FC3" w:rsidP="00B45FC3">
      <w:pPr>
        <w:pStyle w:val="ListParagraph"/>
        <w:numPr>
          <w:ilvl w:val="0"/>
          <w:numId w:val="60"/>
        </w:numPr>
        <w:tabs>
          <w:tab w:val="left" w:pos="709"/>
        </w:tabs>
        <w:ind w:left="0" w:firstLine="0"/>
        <w:jc w:val="both"/>
        <w:rPr>
          <w:lang w:val="es-ES"/>
        </w:rPr>
      </w:pPr>
      <w:r w:rsidRPr="00526311">
        <w:rPr>
          <w:lang w:val="es-ES"/>
        </w:rPr>
        <w:t xml:space="preserve">Merced a los proyectos de comercialización de la P.I. a medida, los programas de fortalecimiento de capacidades y los servicios de asesoramiento prestados a los Estados miembros de la OMPI, el programa también posibilitó el establecimiento de una infraestructura jurídica e institucional adecuada y la formación de capital humano profesional para promover la creación y la gestión estratégica de los derechos de P.I. respecto de los conocimientos y los resultados de la investigación desde las etapas iniciales hasta su llegada a los mercados de tecnología, mediante la utilización del sistema de P.I, y de herramientas y procesos de comercialización.  Gracias a los servicios de formación personalizada, el número de interesados (funcionarios gubernamentales, administradores de tecnología, científicos y agentes de patentes) que se beneficiaron de formación en 2014 aumentó en relación con años anteriores:  1.300 personas fueron formadas a través de actividades </w:t>
      </w:r>
      <w:r w:rsidRPr="00526311">
        <w:rPr>
          <w:i/>
          <w:lang w:val="es-ES"/>
        </w:rPr>
        <w:t>in situ</w:t>
      </w:r>
      <w:r w:rsidRPr="00526311">
        <w:rPr>
          <w:lang w:val="es-ES"/>
        </w:rPr>
        <w:t xml:space="preserve"> y otros 90 interesados del sector de la innovación, incluidas mujeres emprendedoras de África, recibieron formación a través de más de 120 módulos de formación práctica a distancia y videoconferencias.  También se mejoraron los métodos de evaluación en 2014, entre otras cosas, mediante:  a) la introducción de la perspectiva de género en los cuestionarios de evaluación, de conformidad con la política sobre igualdad de género de la Organización, adoptada en 2014, y b) el cómputo del número posible de usuarios indirectos de los materiales de formación y de los conocimientos que se difunden a través de las actividades de fortalecimiento de capacidad.</w:t>
      </w:r>
    </w:p>
    <w:p w:rsidR="00B45FC3" w:rsidRPr="00526311" w:rsidRDefault="00B45FC3" w:rsidP="0063039A">
      <w:pPr>
        <w:tabs>
          <w:tab w:val="left" w:pos="709"/>
        </w:tabs>
      </w:pPr>
    </w:p>
    <w:p w:rsidR="00B45FC3" w:rsidRPr="00526311" w:rsidRDefault="00B45FC3" w:rsidP="00B45FC3">
      <w:pPr>
        <w:pStyle w:val="ListParagraph"/>
        <w:numPr>
          <w:ilvl w:val="0"/>
          <w:numId w:val="60"/>
        </w:numPr>
        <w:tabs>
          <w:tab w:val="left" w:pos="709"/>
        </w:tabs>
        <w:ind w:left="0" w:firstLine="0"/>
        <w:jc w:val="both"/>
        <w:rPr>
          <w:rFonts w:cs="Arial"/>
          <w:lang w:val="es-ES"/>
        </w:rPr>
      </w:pPr>
      <w:r w:rsidRPr="00526311">
        <w:rPr>
          <w:rFonts w:cs="Arial"/>
          <w:lang w:val="es-ES"/>
        </w:rPr>
        <w:t>En 2014 se revisó el proyecto de creación de oficinas de transferencia de tecnología (OTT) en la región árabe con el fin de ampliar su alcance geográfico en atención a las peticiones de los Estados miembros.  En ese contexto, la ejecución del plan de acción para Túnez se centró en la infraestructura jurídica e institucional de las instituciones beneficiarias en Túnez.  Se avanzó en el proceso de consolidación de cuatro OTT en Túnez destinado a lograr su independencia operativa y sostenibilidad.</w:t>
      </w:r>
    </w:p>
    <w:p w:rsidR="00B45FC3" w:rsidRPr="00526311" w:rsidRDefault="00B45FC3" w:rsidP="0063039A">
      <w:pPr>
        <w:tabs>
          <w:tab w:val="left" w:pos="709"/>
        </w:tabs>
      </w:pPr>
    </w:p>
    <w:p w:rsidR="00B45FC3" w:rsidRPr="00526311" w:rsidRDefault="00B45FC3" w:rsidP="00B45FC3">
      <w:pPr>
        <w:pStyle w:val="ListParagraph"/>
        <w:numPr>
          <w:ilvl w:val="0"/>
          <w:numId w:val="60"/>
        </w:numPr>
        <w:tabs>
          <w:tab w:val="left" w:pos="0"/>
          <w:tab w:val="left" w:pos="709"/>
        </w:tabs>
        <w:ind w:left="0" w:firstLine="0"/>
        <w:jc w:val="both"/>
        <w:rPr>
          <w:rFonts w:cs="Arial"/>
          <w:lang w:val="es-ES"/>
        </w:rPr>
      </w:pPr>
      <w:r w:rsidRPr="00526311">
        <w:rPr>
          <w:rFonts w:cs="Arial"/>
          <w:lang w:val="es-ES"/>
        </w:rPr>
        <w:t>El programa de la Iniciativa Universitaria se revisó con vistas a mejorarlo y adaptarlo a las necesidades cambiantes de las universidades e instituciones de I+D en los Estados miembros de la OMPI, en particular en los países en desarrollo y desarrollados.  Se prestó asistencia a 16 universidades e instituciones de I+D en materia de formulación de políticas institucionales de P.I.</w:t>
      </w:r>
    </w:p>
    <w:p w:rsidR="00B45FC3" w:rsidRPr="00526311" w:rsidRDefault="00B45FC3" w:rsidP="0063039A">
      <w:pPr>
        <w:tabs>
          <w:tab w:val="left" w:pos="709"/>
        </w:tabs>
      </w:pPr>
    </w:p>
    <w:p w:rsidR="00B45FC3" w:rsidRPr="00526311" w:rsidRDefault="00B45FC3" w:rsidP="00B45FC3">
      <w:pPr>
        <w:pStyle w:val="ListParagraph"/>
        <w:numPr>
          <w:ilvl w:val="0"/>
          <w:numId w:val="60"/>
        </w:numPr>
        <w:tabs>
          <w:tab w:val="left" w:pos="0"/>
          <w:tab w:val="left" w:pos="709"/>
        </w:tabs>
        <w:ind w:left="0" w:firstLine="0"/>
        <w:jc w:val="both"/>
        <w:rPr>
          <w:rFonts w:cs="Arial"/>
          <w:lang w:val="es-ES"/>
        </w:rPr>
      </w:pPr>
      <w:r w:rsidRPr="00526311">
        <w:rPr>
          <w:rFonts w:cs="Arial"/>
          <w:lang w:val="es-ES"/>
        </w:rPr>
        <w:t>En colaboración con asociados internos y externos se organizaron</w:t>
      </w:r>
      <w:r w:rsidRPr="00526311">
        <w:rPr>
          <w:rFonts w:cs="Arial"/>
          <w:szCs w:val="24"/>
          <w:lang w:val="es-ES"/>
        </w:rPr>
        <w:t xml:space="preserve"> </w:t>
      </w:r>
      <w:r w:rsidRPr="00526311">
        <w:rPr>
          <w:rFonts w:cs="Arial"/>
          <w:lang w:val="es-ES"/>
        </w:rPr>
        <w:t xml:space="preserve">en 2014 unos 33 programas de formación, que se desglosan de la manera siguiente:  nueve programas sobre la redacción de patentes, 15 sobre la gestión de los derechos de P.I. para las universidades e instituciones de I+D, siete </w:t>
      </w:r>
      <w:r w:rsidRPr="00526311">
        <w:rPr>
          <w:rFonts w:cs="Arial"/>
          <w:lang w:val="es-ES"/>
        </w:rPr>
        <w:lastRenderedPageBreak/>
        <w:t>cursos de formación sobre la negociación de licencias de tecnología y dos cursos de formación para la valoración de la P.I.</w:t>
      </w:r>
    </w:p>
    <w:p w:rsidR="00B45FC3" w:rsidRPr="00526311" w:rsidRDefault="00B45FC3" w:rsidP="0063039A">
      <w:pPr>
        <w:tabs>
          <w:tab w:val="left" w:pos="709"/>
        </w:tabs>
      </w:pPr>
    </w:p>
    <w:p w:rsidR="00B45FC3" w:rsidRPr="00526311" w:rsidRDefault="00B45FC3" w:rsidP="00B45FC3">
      <w:pPr>
        <w:pStyle w:val="ListParagraph"/>
        <w:numPr>
          <w:ilvl w:val="0"/>
          <w:numId w:val="60"/>
        </w:numPr>
        <w:tabs>
          <w:tab w:val="left" w:pos="709"/>
        </w:tabs>
        <w:ind w:left="0" w:firstLine="0"/>
        <w:jc w:val="both"/>
        <w:rPr>
          <w:rFonts w:cs="Arial"/>
          <w:lang w:val="es-ES"/>
        </w:rPr>
      </w:pPr>
      <w:r w:rsidRPr="00526311">
        <w:rPr>
          <w:rFonts w:cs="Arial"/>
          <w:lang w:val="es-ES"/>
        </w:rPr>
        <w:t>Las alianzas con el Centro Común de Investigación de la Comisión Europea y la Organización Europea de Investigaciones Nucleares (CERN) se vieron reforzadas gracias a la muy fecunda colaboración lograda en torno al programa de la iniciativa del Danubio y la creación de oficinas de transferencia de tecnología (OTT) en la región árabe.</w:t>
      </w:r>
    </w:p>
    <w:p w:rsidR="00B45FC3" w:rsidRPr="00526311" w:rsidRDefault="00B45FC3" w:rsidP="0063039A">
      <w:pPr>
        <w:tabs>
          <w:tab w:val="left" w:pos="709"/>
        </w:tabs>
        <w:jc w:val="both"/>
      </w:pPr>
    </w:p>
    <w:p w:rsidR="00B45FC3" w:rsidRPr="00526311" w:rsidRDefault="00B45FC3" w:rsidP="00B45FC3">
      <w:pPr>
        <w:pStyle w:val="ListParagraph"/>
        <w:numPr>
          <w:ilvl w:val="0"/>
          <w:numId w:val="60"/>
        </w:numPr>
        <w:tabs>
          <w:tab w:val="left" w:pos="709"/>
        </w:tabs>
        <w:ind w:left="0" w:firstLine="0"/>
        <w:jc w:val="both"/>
        <w:rPr>
          <w:rFonts w:cs="Arial"/>
          <w:lang w:val="es-ES"/>
        </w:rPr>
      </w:pPr>
      <w:r w:rsidRPr="00526311">
        <w:rPr>
          <w:rFonts w:cs="Arial"/>
          <w:lang w:val="es-ES"/>
        </w:rPr>
        <w:t>Con arreglo a las recomendaciones 19, 25, 26 y 28 de la A.D. y en el marco del proyecto de propiedad intelectual y transferencia de tecnología:  desafíos comunes y búsqueda de soluciones, concluyó el examen realizado por expertos internacionales de los seis estudios sobre distintas facetas de la transferencia de tecnología, que fueron presentados</w:t>
      </w:r>
      <w:r w:rsidRPr="00526311">
        <w:rPr>
          <w:lang w:val="es-ES"/>
        </w:rPr>
        <w:t xml:space="preserve"> </w:t>
      </w:r>
      <w:r w:rsidRPr="00526311">
        <w:rPr>
          <w:rFonts w:cs="Arial"/>
          <w:lang w:val="es-ES"/>
        </w:rPr>
        <w:t>al CDIP en su decimocuarta sesión en noviembre de 2014.  Una vez finalizados los estudios, se elaboró un documento conceptual</w:t>
      </w:r>
      <w:r w:rsidRPr="00526311">
        <w:rPr>
          <w:rFonts w:cs="Arial"/>
          <w:szCs w:val="24"/>
          <w:lang w:val="es-ES"/>
        </w:rPr>
        <w:t xml:space="preserve"> </w:t>
      </w:r>
      <w:r w:rsidRPr="00526311">
        <w:rPr>
          <w:rFonts w:cs="Arial"/>
          <w:lang w:val="es-ES"/>
        </w:rPr>
        <w:t>sobre la búsqueda de soluciones, tal como se había previsto en el documento de proyecto aprobado, para que sirviera de base de los debates en el foro internacional de expertos de alto nivel, que debía celebrarse en febrero de 2015 en Ginebra.</w:t>
      </w:r>
    </w:p>
    <w:p w:rsidR="00B45FC3" w:rsidRPr="00526311" w:rsidRDefault="00B45FC3" w:rsidP="0063039A">
      <w:pPr>
        <w:pStyle w:val="ListParagraph"/>
        <w:tabs>
          <w:tab w:val="left" w:pos="0"/>
          <w:tab w:val="left" w:pos="709"/>
        </w:tabs>
        <w:ind w:left="0"/>
        <w:jc w:val="both"/>
        <w:rPr>
          <w:rFonts w:cs="Arial"/>
          <w:lang w:val="es-ES"/>
        </w:rPr>
      </w:pPr>
    </w:p>
    <w:p w:rsidR="00B45FC3" w:rsidRPr="00526311" w:rsidRDefault="00B45FC3" w:rsidP="00B45FC3">
      <w:pPr>
        <w:pStyle w:val="ListParagraph"/>
        <w:numPr>
          <w:ilvl w:val="0"/>
          <w:numId w:val="60"/>
        </w:numPr>
        <w:tabs>
          <w:tab w:val="left" w:pos="0"/>
          <w:tab w:val="left" w:pos="709"/>
        </w:tabs>
        <w:ind w:left="0" w:firstLine="0"/>
        <w:jc w:val="both"/>
        <w:rPr>
          <w:rFonts w:cs="Arial"/>
          <w:lang w:val="es-ES"/>
        </w:rPr>
      </w:pPr>
      <w:r w:rsidRPr="00526311">
        <w:rPr>
          <w:rFonts w:cs="Arial"/>
          <w:lang w:val="es-ES"/>
        </w:rPr>
        <w:t>En relación con la recomendación 36 de la A.D. y en el marco del proyecto sobre los proyectos de colaboración abierta y modelos de P.I., se celebró una reunión de expertos</w:t>
      </w:r>
      <w:r w:rsidRPr="00526311">
        <w:rPr>
          <w:rFonts w:cs="Arial"/>
          <w:szCs w:val="24"/>
          <w:lang w:val="es-ES"/>
        </w:rPr>
        <w:t xml:space="preserve"> </w:t>
      </w:r>
      <w:r w:rsidRPr="00526311">
        <w:rPr>
          <w:rFonts w:cs="Arial"/>
          <w:lang w:val="es-ES"/>
        </w:rPr>
        <w:t>en enero de 2014 en la sede de la OMPI, que se presentó como “Conferencia de la OMPI sobre la innovación compartida:  Proyectos de colaboración y futuro del conocimiento”.  Por otra parte, se terminaron dos estudios, a saber, el</w:t>
      </w:r>
      <w:r w:rsidRPr="00526311">
        <w:rPr>
          <w:lang w:val="es-ES"/>
        </w:rPr>
        <w:t xml:space="preserve"> estudio de evaluación detallado y el estudio sobre los flujos mundiales de conocimiento, que debían incorporarse en la plataforma interactiva programada, y se presentaron en la decimocuarta sesión del CDIP</w:t>
      </w:r>
      <w:r w:rsidRPr="00526311">
        <w:rPr>
          <w:rFonts w:cs="Arial"/>
          <w:lang w:val="es-ES"/>
        </w:rPr>
        <w:t>.</w:t>
      </w:r>
    </w:p>
    <w:p w:rsidR="00B45FC3" w:rsidRPr="00526311" w:rsidRDefault="00B45FC3" w:rsidP="0063039A">
      <w:pPr>
        <w:tabs>
          <w:tab w:val="left" w:pos="709"/>
        </w:tabs>
        <w:jc w:val="both"/>
        <w:rPr>
          <w:sz w:val="20"/>
        </w:rPr>
      </w:pPr>
    </w:p>
    <w:p w:rsidR="00B45FC3" w:rsidRPr="00526311" w:rsidRDefault="00B45FC3" w:rsidP="0063039A">
      <w:pPr>
        <w:jc w:val="both"/>
        <w:rPr>
          <w:sz w:val="20"/>
        </w:rPr>
      </w:pPr>
    </w:p>
    <w:p w:rsidR="00B45FC3" w:rsidRPr="00526311" w:rsidRDefault="00B45FC3" w:rsidP="0063039A">
      <w:pPr>
        <w:jc w:val="both"/>
      </w:pPr>
      <w:r w:rsidRPr="00526311">
        <w:t>DATOS SOBRE EL RENDIMIENTO</w:t>
      </w:r>
    </w:p>
    <w:p w:rsidR="00B45FC3" w:rsidRPr="00526311" w:rsidRDefault="00B45FC3" w:rsidP="0063039A">
      <w:pPr>
        <w:tabs>
          <w:tab w:val="left" w:pos="720"/>
        </w:tabs>
        <w:rPr>
          <w:sz w:val="20"/>
        </w:rPr>
      </w:pPr>
    </w:p>
    <w:tbl>
      <w:tblPr>
        <w:tblW w:w="496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6"/>
        <w:gridCol w:w="1701"/>
        <w:gridCol w:w="1420"/>
        <w:gridCol w:w="2832"/>
        <w:gridCol w:w="143"/>
        <w:gridCol w:w="144"/>
        <w:gridCol w:w="1136"/>
      </w:tblGrid>
      <w:tr w:rsidR="00B45FC3" w:rsidRPr="00526311" w:rsidTr="0063039A">
        <w:trPr>
          <w:cantSplit/>
        </w:trPr>
        <w:tc>
          <w:tcPr>
            <w:tcW w:w="5000" w:type="pct"/>
            <w:gridSpan w:val="7"/>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spacing w:before="120" w:after="120"/>
              <w:ind w:left="1701" w:hanging="1701"/>
              <w:rPr>
                <w:b/>
                <w:bCs/>
                <w:sz w:val="16"/>
                <w:szCs w:val="16"/>
              </w:rPr>
            </w:pPr>
            <w:r w:rsidRPr="00526311">
              <w:rPr>
                <w:b/>
                <w:bCs/>
                <w:sz w:val="16"/>
                <w:szCs w:val="16"/>
              </w:rPr>
              <w:t>Resultado previsto:</w:t>
            </w:r>
            <w:r w:rsidRPr="00526311">
              <w:rPr>
                <w:b/>
                <w:bCs/>
                <w:sz w:val="16"/>
                <w:szCs w:val="16"/>
              </w:rPr>
              <w:tab/>
            </w:r>
            <w:r w:rsidRPr="00526311">
              <w:rPr>
                <w:bCs/>
                <w:sz w:val="16"/>
                <w:szCs w:val="16"/>
              </w:rPr>
              <w:t>III.1 Estrategias y planes nacionales de innovación y de P.I. que estén en sintonía con los objetivos nacionales de desarrollo</w:t>
            </w:r>
          </w:p>
        </w:tc>
      </w:tr>
      <w:tr w:rsidR="00B45FC3" w:rsidRPr="00526311" w:rsidTr="0063039A">
        <w:trPr>
          <w:cantSplit/>
        </w:trPr>
        <w:tc>
          <w:tcPr>
            <w:tcW w:w="1119" w:type="pct"/>
            <w:tcBorders>
              <w:top w:val="single" w:sz="4" w:space="0" w:color="auto"/>
            </w:tcBorders>
            <w:vAlign w:val="center"/>
          </w:tcPr>
          <w:p w:rsidR="00B45FC3" w:rsidRPr="00526311" w:rsidRDefault="00B45FC3" w:rsidP="0063039A">
            <w:pPr>
              <w:rPr>
                <w:sz w:val="16"/>
                <w:szCs w:val="16"/>
              </w:rPr>
            </w:pPr>
            <w:r w:rsidRPr="00526311">
              <w:rPr>
                <w:b/>
                <w:sz w:val="16"/>
                <w:szCs w:val="16"/>
              </w:rPr>
              <w:t>Indicadores de rendimiento</w:t>
            </w:r>
          </w:p>
        </w:tc>
        <w:tc>
          <w:tcPr>
            <w:tcW w:w="895"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747" w:type="pct"/>
            <w:tcBorders>
              <w:top w:val="single" w:sz="4" w:space="0" w:color="auto"/>
            </w:tcBorders>
            <w:tcMar>
              <w:top w:w="110" w:type="dxa"/>
            </w:tcMar>
            <w:vAlign w:val="center"/>
          </w:tcPr>
          <w:p w:rsidR="00B45FC3" w:rsidRPr="00526311" w:rsidRDefault="00B45FC3" w:rsidP="0063039A">
            <w:pPr>
              <w:rPr>
                <w:b/>
                <w:sz w:val="16"/>
                <w:szCs w:val="16"/>
              </w:rPr>
            </w:pPr>
            <w:r w:rsidRPr="00526311">
              <w:rPr>
                <w:b/>
                <w:sz w:val="16"/>
                <w:szCs w:val="16"/>
              </w:rPr>
              <w:t>Objetivos</w:t>
            </w:r>
          </w:p>
        </w:tc>
        <w:tc>
          <w:tcPr>
            <w:tcW w:w="1641" w:type="pct"/>
            <w:gridSpan w:val="3"/>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597" w:type="pct"/>
            <w:tcBorders>
              <w:top w:val="single" w:sz="4" w:space="0" w:color="auto"/>
            </w:tcBorders>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rPr>
          <w:cantSplit/>
        </w:trPr>
        <w:tc>
          <w:tcPr>
            <w:tcW w:w="1119" w:type="pct"/>
            <w:tcBorders>
              <w:bottom w:val="single" w:sz="4" w:space="0" w:color="auto"/>
            </w:tcBorders>
          </w:tcPr>
          <w:p w:rsidR="00B45FC3" w:rsidRPr="00526311" w:rsidRDefault="00B45FC3" w:rsidP="0063039A">
            <w:pPr>
              <w:rPr>
                <w:sz w:val="16"/>
                <w:szCs w:val="16"/>
              </w:rPr>
            </w:pPr>
            <w:r w:rsidRPr="00526311">
              <w:rPr>
                <w:sz w:val="16"/>
                <w:szCs w:val="16"/>
                <w:lang w:bidi="th-TH"/>
              </w:rPr>
              <w:t>Número de países con políticas nacionales de innovación iniciadas, en curso o adoptadas</w:t>
            </w:r>
          </w:p>
        </w:tc>
        <w:tc>
          <w:tcPr>
            <w:tcW w:w="895" w:type="pct"/>
            <w:tcBorders>
              <w:bottom w:val="single" w:sz="4" w:space="0" w:color="auto"/>
            </w:tcBorders>
            <w:shd w:val="clear" w:color="auto" w:fill="auto"/>
          </w:tcPr>
          <w:p w:rsidR="00B45FC3" w:rsidRPr="00526311" w:rsidRDefault="00B45FC3"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1 país.</w:t>
            </w:r>
          </w:p>
          <w:p w:rsidR="00B45FC3" w:rsidRPr="00526311" w:rsidRDefault="00B45FC3" w:rsidP="0063039A">
            <w:pPr>
              <w:rPr>
                <w:color w:val="002060"/>
                <w:sz w:val="16"/>
                <w:szCs w:val="16"/>
              </w:rPr>
            </w:pPr>
          </w:p>
          <w:p w:rsidR="00B45FC3" w:rsidRPr="00526311" w:rsidRDefault="00B45FC3" w:rsidP="003454DE">
            <w:pPr>
              <w:rPr>
                <w:sz w:val="16"/>
                <w:szCs w:val="16"/>
              </w:rPr>
            </w:pPr>
            <w:r w:rsidRPr="00526311">
              <w:rPr>
                <w:i/>
                <w:sz w:val="16"/>
                <w:szCs w:val="16"/>
              </w:rPr>
              <w:t>Referencia original en el presupuesto de 2014/15:  por determinar</w:t>
            </w:r>
            <w:r w:rsidRPr="00526311">
              <w:rPr>
                <w:i/>
                <w:sz w:val="16"/>
                <w:szCs w:val="16"/>
              </w:rPr>
              <w:br/>
            </w:r>
          </w:p>
        </w:tc>
        <w:tc>
          <w:tcPr>
            <w:tcW w:w="747" w:type="pct"/>
            <w:tcBorders>
              <w:bottom w:val="single" w:sz="4" w:space="0" w:color="auto"/>
            </w:tcBorders>
            <w:tcMar>
              <w:top w:w="110" w:type="dxa"/>
            </w:tcMar>
          </w:tcPr>
          <w:p w:rsidR="00B45FC3" w:rsidRPr="00526311" w:rsidRDefault="00B45FC3" w:rsidP="0063039A">
            <w:pPr>
              <w:rPr>
                <w:sz w:val="16"/>
                <w:szCs w:val="16"/>
                <w:lang w:bidi="th-TH"/>
              </w:rPr>
            </w:pPr>
            <w:r w:rsidRPr="00526311">
              <w:rPr>
                <w:sz w:val="16"/>
                <w:szCs w:val="16"/>
                <w:lang w:bidi="th-TH"/>
              </w:rPr>
              <w:t>5 países</w:t>
            </w:r>
          </w:p>
        </w:tc>
        <w:tc>
          <w:tcPr>
            <w:tcW w:w="1641" w:type="pct"/>
            <w:gridSpan w:val="3"/>
            <w:tcBorders>
              <w:bottom w:val="single" w:sz="4" w:space="0" w:color="auto"/>
            </w:tcBorders>
            <w:shd w:val="clear" w:color="auto" w:fill="FFFFFF"/>
            <w:tcMar>
              <w:top w:w="110" w:type="dxa"/>
            </w:tcMar>
          </w:tcPr>
          <w:p w:rsidR="00B45FC3" w:rsidRPr="00526311" w:rsidRDefault="00B45FC3" w:rsidP="0063039A">
            <w:pPr>
              <w:rPr>
                <w:sz w:val="16"/>
                <w:szCs w:val="16"/>
              </w:rPr>
            </w:pPr>
            <w:r w:rsidRPr="00526311">
              <w:rPr>
                <w:sz w:val="16"/>
                <w:szCs w:val="16"/>
              </w:rPr>
              <w:t>Se iniciaron políticas nacionales de innovación en cuatro países:  Camerún, Rwanda, Serbia y Sri Lanka</w:t>
            </w:r>
          </w:p>
        </w:tc>
        <w:tc>
          <w:tcPr>
            <w:tcW w:w="597" w:type="pct"/>
            <w:tcBorders>
              <w:bottom w:val="single" w:sz="4" w:space="0" w:color="auto"/>
            </w:tcBorders>
            <w:tcMar>
              <w:top w:w="110" w:type="dxa"/>
            </w:tcMar>
          </w:tcPr>
          <w:p w:rsidR="00B45FC3" w:rsidRPr="00526311" w:rsidRDefault="00B45FC3" w:rsidP="0063039A">
            <w:pPr>
              <w:keepNext/>
              <w:keepLines/>
              <w:jc w:val="center"/>
              <w:rPr>
                <w:b/>
                <w:bCs/>
                <w:color w:val="808080"/>
                <w:sz w:val="16"/>
                <w:szCs w:val="16"/>
              </w:rPr>
            </w:pPr>
            <w:r w:rsidRPr="00526311">
              <w:rPr>
                <w:b/>
                <w:color w:val="00B050"/>
                <w:sz w:val="16"/>
                <w:szCs w:val="16"/>
              </w:rPr>
              <w:t>Avanza</w:t>
            </w:r>
            <w:r w:rsidRPr="00526311">
              <w:rPr>
                <w:rStyle w:val="Style5"/>
                <w:b/>
                <w:i/>
                <w:color w:val="00B050"/>
                <w:sz w:val="16"/>
                <w:szCs w:val="16"/>
              </w:rPr>
              <w:t xml:space="preserve"> </w:t>
            </w:r>
          </w:p>
        </w:tc>
      </w:tr>
      <w:tr w:rsidR="00B45FC3" w:rsidRPr="00526311" w:rsidTr="0063039A">
        <w:trPr>
          <w:cantSplit/>
        </w:trPr>
        <w:tc>
          <w:tcPr>
            <w:tcW w:w="5000" w:type="pct"/>
            <w:gridSpan w:val="7"/>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spacing w:before="120" w:after="120"/>
              <w:ind w:left="1701" w:hanging="1701"/>
              <w:rPr>
                <w:b/>
                <w:bCs/>
                <w:sz w:val="16"/>
                <w:szCs w:val="16"/>
              </w:rPr>
            </w:pPr>
            <w:r w:rsidRPr="00526311">
              <w:rPr>
                <w:b/>
                <w:bCs/>
                <w:sz w:val="16"/>
                <w:szCs w:val="16"/>
              </w:rPr>
              <w:t>Resultado previsto:</w:t>
            </w:r>
            <w:r w:rsidRPr="00526311">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B45FC3" w:rsidRPr="00526311" w:rsidTr="0063039A">
        <w:trPr>
          <w:cantSplit/>
        </w:trPr>
        <w:tc>
          <w:tcPr>
            <w:tcW w:w="1119" w:type="pct"/>
            <w:tcBorders>
              <w:top w:val="single" w:sz="4" w:space="0" w:color="auto"/>
            </w:tcBorders>
            <w:vAlign w:val="center"/>
          </w:tcPr>
          <w:p w:rsidR="00B45FC3" w:rsidRPr="00526311" w:rsidRDefault="00B45FC3" w:rsidP="0063039A">
            <w:pPr>
              <w:rPr>
                <w:sz w:val="16"/>
                <w:szCs w:val="16"/>
              </w:rPr>
            </w:pPr>
            <w:r w:rsidRPr="00526311">
              <w:rPr>
                <w:b/>
                <w:sz w:val="16"/>
                <w:szCs w:val="16"/>
              </w:rPr>
              <w:t>Indicadores de rendimiento</w:t>
            </w:r>
          </w:p>
        </w:tc>
        <w:tc>
          <w:tcPr>
            <w:tcW w:w="895"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747" w:type="pct"/>
            <w:tcBorders>
              <w:top w:val="single" w:sz="4" w:space="0" w:color="auto"/>
            </w:tcBorders>
            <w:tcMar>
              <w:top w:w="110" w:type="dxa"/>
            </w:tcMar>
            <w:vAlign w:val="center"/>
          </w:tcPr>
          <w:p w:rsidR="00B45FC3" w:rsidRPr="00526311" w:rsidRDefault="00B45FC3" w:rsidP="0063039A">
            <w:pPr>
              <w:rPr>
                <w:b/>
                <w:sz w:val="16"/>
                <w:szCs w:val="16"/>
              </w:rPr>
            </w:pPr>
            <w:r w:rsidRPr="00526311">
              <w:rPr>
                <w:b/>
                <w:sz w:val="16"/>
                <w:szCs w:val="16"/>
              </w:rPr>
              <w:t>Objetivos</w:t>
            </w:r>
          </w:p>
        </w:tc>
        <w:tc>
          <w:tcPr>
            <w:tcW w:w="1565" w:type="pct"/>
            <w:gridSpan w:val="2"/>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673" w:type="pct"/>
            <w:gridSpan w:val="2"/>
            <w:tcBorders>
              <w:top w:val="single" w:sz="4" w:space="0" w:color="auto"/>
            </w:tcBorders>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rPr>
          <w:cantSplit/>
        </w:trPr>
        <w:tc>
          <w:tcPr>
            <w:tcW w:w="1119" w:type="pct"/>
            <w:tcBorders>
              <w:bottom w:val="single" w:sz="4" w:space="0" w:color="auto"/>
            </w:tcBorders>
          </w:tcPr>
          <w:p w:rsidR="00B45FC3" w:rsidRPr="00526311" w:rsidRDefault="00B45FC3" w:rsidP="0063039A">
            <w:pPr>
              <w:rPr>
                <w:sz w:val="16"/>
                <w:szCs w:val="16"/>
                <w:lang w:bidi="th-TH"/>
              </w:rPr>
            </w:pPr>
            <w:r w:rsidRPr="00526311">
              <w:rPr>
                <w:sz w:val="16"/>
                <w:szCs w:val="16"/>
                <w:lang w:bidi="th-TH"/>
              </w:rPr>
              <w:t>Porcentaje de funcionarios de oficinas de P.I. formados que utilizan en su trabajo las nuevas aptitudes adquiridas</w:t>
            </w:r>
          </w:p>
        </w:tc>
        <w:tc>
          <w:tcPr>
            <w:tcW w:w="895" w:type="pct"/>
            <w:tcBorders>
              <w:bottom w:val="single" w:sz="4" w:space="0" w:color="auto"/>
            </w:tcBorders>
            <w:shd w:val="clear" w:color="auto" w:fill="auto"/>
          </w:tcPr>
          <w:p w:rsidR="00B45FC3" w:rsidRPr="00526311" w:rsidRDefault="00B45FC3" w:rsidP="0063039A">
            <w:pPr>
              <w:rPr>
                <w:i/>
                <w:color w:val="002060"/>
                <w:sz w:val="16"/>
                <w:szCs w:val="16"/>
              </w:rPr>
            </w:pPr>
            <w:r w:rsidRPr="00526311">
              <w:rPr>
                <w:i/>
                <w:color w:val="002060"/>
                <w:sz w:val="16"/>
                <w:szCs w:val="16"/>
              </w:rPr>
              <w:t>Referencia actualizada a fines de 2013:  n</w:t>
            </w:r>
            <w:r w:rsidR="003454DE" w:rsidRPr="00526311">
              <w:rPr>
                <w:i/>
                <w:color w:val="002060"/>
                <w:sz w:val="16"/>
                <w:szCs w:val="16"/>
              </w:rPr>
              <w:t>.</w:t>
            </w:r>
            <w:r w:rsidRPr="00526311">
              <w:rPr>
                <w:i/>
                <w:color w:val="002060"/>
                <w:sz w:val="16"/>
                <w:szCs w:val="16"/>
              </w:rPr>
              <w:t>d</w:t>
            </w:r>
            <w:r w:rsidR="003454DE" w:rsidRPr="00526311">
              <w:rPr>
                <w:i/>
                <w:color w:val="002060"/>
                <w:sz w:val="16"/>
                <w:szCs w:val="16"/>
              </w:rPr>
              <w:t>.</w:t>
            </w:r>
          </w:p>
          <w:p w:rsidR="00B45FC3" w:rsidRPr="00526311" w:rsidRDefault="00B45FC3" w:rsidP="0063039A">
            <w:pPr>
              <w:rPr>
                <w:color w:val="002060"/>
                <w:sz w:val="16"/>
                <w:szCs w:val="16"/>
              </w:rPr>
            </w:pPr>
          </w:p>
          <w:p w:rsidR="00B45FC3" w:rsidRPr="00526311" w:rsidRDefault="00B45FC3" w:rsidP="0063039A">
            <w:pPr>
              <w:rPr>
                <w:sz w:val="16"/>
                <w:szCs w:val="16"/>
                <w:lang w:bidi="th-TH"/>
              </w:rPr>
            </w:pPr>
            <w:r w:rsidRPr="00526311">
              <w:rPr>
                <w:i/>
                <w:sz w:val="16"/>
                <w:szCs w:val="16"/>
              </w:rPr>
              <w:t xml:space="preserve">Referencia original en el presupuesto de 2014/15):  </w:t>
            </w:r>
            <w:r w:rsidRPr="00526311">
              <w:rPr>
                <w:sz w:val="16"/>
                <w:szCs w:val="16"/>
              </w:rPr>
              <w:t>por determinar</w:t>
            </w:r>
            <w:r w:rsidRPr="00526311">
              <w:rPr>
                <w:sz w:val="16"/>
                <w:szCs w:val="16"/>
              </w:rPr>
              <w:br/>
            </w:r>
          </w:p>
        </w:tc>
        <w:tc>
          <w:tcPr>
            <w:tcW w:w="747" w:type="pct"/>
            <w:tcBorders>
              <w:bottom w:val="single" w:sz="4" w:space="0" w:color="auto"/>
            </w:tcBorders>
            <w:tcMar>
              <w:top w:w="110" w:type="dxa"/>
            </w:tcMar>
          </w:tcPr>
          <w:p w:rsidR="00B45FC3" w:rsidRPr="00526311" w:rsidRDefault="00B45FC3" w:rsidP="0063039A">
            <w:pPr>
              <w:autoSpaceDE w:val="0"/>
              <w:autoSpaceDN w:val="0"/>
              <w:adjustRightInd w:val="0"/>
              <w:rPr>
                <w:sz w:val="16"/>
                <w:szCs w:val="16"/>
              </w:rPr>
            </w:pPr>
            <w:r w:rsidRPr="00526311">
              <w:rPr>
                <w:sz w:val="16"/>
                <w:szCs w:val="16"/>
              </w:rPr>
              <w:t>50%</w:t>
            </w:r>
          </w:p>
        </w:tc>
        <w:tc>
          <w:tcPr>
            <w:tcW w:w="1565" w:type="pct"/>
            <w:gridSpan w:val="2"/>
            <w:tcBorders>
              <w:bottom w:val="single" w:sz="4" w:space="0" w:color="auto"/>
            </w:tcBorders>
            <w:shd w:val="clear" w:color="auto" w:fill="FFFFFF"/>
            <w:tcMar>
              <w:top w:w="110" w:type="dxa"/>
            </w:tcMar>
          </w:tcPr>
          <w:p w:rsidR="00B45FC3" w:rsidRPr="00526311" w:rsidRDefault="00B45FC3" w:rsidP="0063039A">
            <w:pPr>
              <w:rPr>
                <w:sz w:val="16"/>
                <w:szCs w:val="16"/>
              </w:rPr>
            </w:pPr>
            <w:r w:rsidRPr="00526311">
              <w:rPr>
                <w:sz w:val="16"/>
                <w:szCs w:val="16"/>
                <w:lang w:bidi="th-TH"/>
              </w:rPr>
              <w:t>Más del 60% de los funcionarios de oficinas de P.I. formados notificaron que utilizaban en su trabajo las nuevas aptitudes adquiridas</w:t>
            </w:r>
          </w:p>
        </w:tc>
        <w:tc>
          <w:tcPr>
            <w:tcW w:w="673" w:type="pct"/>
            <w:gridSpan w:val="2"/>
            <w:tcBorders>
              <w:bottom w:val="single" w:sz="4" w:space="0" w:color="auto"/>
            </w:tcBorders>
            <w:tcMar>
              <w:top w:w="110" w:type="dxa"/>
            </w:tcMar>
          </w:tcPr>
          <w:p w:rsidR="00B45FC3" w:rsidRPr="00526311" w:rsidRDefault="00B45FC3" w:rsidP="0063039A">
            <w:pPr>
              <w:keepNext/>
              <w:keepLines/>
              <w:jc w:val="center"/>
              <w:rPr>
                <w:sz w:val="16"/>
                <w:szCs w:val="16"/>
              </w:rPr>
            </w:pPr>
            <w:r w:rsidRPr="00526311">
              <w:rPr>
                <w:b/>
                <w:color w:val="00B050"/>
                <w:sz w:val="16"/>
                <w:szCs w:val="16"/>
              </w:rPr>
              <w:t>Avanza</w:t>
            </w:r>
          </w:p>
        </w:tc>
      </w:tr>
      <w:tr w:rsidR="00B45FC3" w:rsidRPr="00526311" w:rsidTr="0063039A">
        <w:trPr>
          <w:cantSplit/>
        </w:trPr>
        <w:tc>
          <w:tcPr>
            <w:tcW w:w="5000" w:type="pct"/>
            <w:gridSpan w:val="7"/>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spacing w:before="120" w:after="120"/>
              <w:ind w:left="1452" w:hanging="1452"/>
              <w:rPr>
                <w:b/>
                <w:bCs/>
                <w:sz w:val="16"/>
                <w:szCs w:val="16"/>
              </w:rPr>
            </w:pPr>
            <w:r w:rsidRPr="00526311">
              <w:rPr>
                <w:b/>
                <w:bCs/>
                <w:sz w:val="16"/>
                <w:szCs w:val="16"/>
              </w:rPr>
              <w:lastRenderedPageBreak/>
              <w:t>Resultado previsto:</w:t>
            </w:r>
            <w:r w:rsidRPr="00526311">
              <w:rPr>
                <w:b/>
                <w:bCs/>
                <w:sz w:val="16"/>
                <w:szCs w:val="16"/>
              </w:rPr>
              <w:tab/>
            </w:r>
            <w:r w:rsidRPr="00526311">
              <w:rPr>
                <w:bCs/>
                <w:sz w:val="16"/>
                <w:szCs w:val="16"/>
              </w:rPr>
              <w:t>III.6 Mayor capacidad de las pymes para utilizar con éxito la P.I. con el fin de apoyar la innovación</w:t>
            </w:r>
          </w:p>
        </w:tc>
      </w:tr>
      <w:tr w:rsidR="00B45FC3" w:rsidRPr="00526311" w:rsidTr="0063039A">
        <w:trPr>
          <w:cantSplit/>
        </w:trPr>
        <w:tc>
          <w:tcPr>
            <w:tcW w:w="1119" w:type="pct"/>
            <w:tcBorders>
              <w:top w:val="single" w:sz="4" w:space="0" w:color="auto"/>
            </w:tcBorders>
            <w:vAlign w:val="center"/>
          </w:tcPr>
          <w:p w:rsidR="00B45FC3" w:rsidRPr="00526311" w:rsidRDefault="00B45FC3" w:rsidP="0063039A">
            <w:pPr>
              <w:keepNext/>
              <w:keepLines/>
              <w:rPr>
                <w:sz w:val="16"/>
                <w:szCs w:val="16"/>
              </w:rPr>
            </w:pPr>
            <w:r w:rsidRPr="00526311">
              <w:rPr>
                <w:b/>
                <w:sz w:val="16"/>
                <w:szCs w:val="16"/>
              </w:rPr>
              <w:t>Indicadores de rendimiento</w:t>
            </w:r>
          </w:p>
        </w:tc>
        <w:tc>
          <w:tcPr>
            <w:tcW w:w="895" w:type="pct"/>
            <w:tcBorders>
              <w:top w:val="single" w:sz="4" w:space="0" w:color="auto"/>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747" w:type="pct"/>
            <w:tcBorders>
              <w:top w:val="single" w:sz="4" w:space="0" w:color="auto"/>
            </w:tcBorders>
            <w:tcMar>
              <w:top w:w="110" w:type="dxa"/>
            </w:tcMar>
            <w:vAlign w:val="center"/>
          </w:tcPr>
          <w:p w:rsidR="00B45FC3" w:rsidRPr="00526311" w:rsidRDefault="00B45FC3" w:rsidP="0063039A">
            <w:pPr>
              <w:keepNext/>
              <w:keepLines/>
              <w:rPr>
                <w:b/>
                <w:sz w:val="16"/>
                <w:szCs w:val="16"/>
              </w:rPr>
            </w:pPr>
            <w:r w:rsidRPr="00526311">
              <w:rPr>
                <w:b/>
                <w:sz w:val="16"/>
                <w:szCs w:val="16"/>
              </w:rPr>
              <w:t>Objetivos</w:t>
            </w:r>
          </w:p>
        </w:tc>
        <w:tc>
          <w:tcPr>
            <w:tcW w:w="1641" w:type="pct"/>
            <w:gridSpan w:val="3"/>
            <w:tcBorders>
              <w:top w:val="single" w:sz="4" w:space="0" w:color="auto"/>
            </w:tcBorders>
            <w:shd w:val="clear" w:color="auto" w:fill="FFFFFF"/>
            <w:tcMar>
              <w:top w:w="110" w:type="dxa"/>
            </w:tcMar>
            <w:vAlign w:val="center"/>
          </w:tcPr>
          <w:p w:rsidR="00B45FC3" w:rsidRPr="00526311" w:rsidRDefault="00B45FC3" w:rsidP="0063039A">
            <w:pPr>
              <w:keepNext/>
              <w:keepLines/>
              <w:rPr>
                <w:sz w:val="16"/>
                <w:szCs w:val="16"/>
              </w:rPr>
            </w:pPr>
            <w:r w:rsidRPr="00526311">
              <w:rPr>
                <w:b/>
                <w:sz w:val="16"/>
                <w:szCs w:val="16"/>
              </w:rPr>
              <w:t>Datos sobre el rendimiento</w:t>
            </w:r>
          </w:p>
        </w:tc>
        <w:tc>
          <w:tcPr>
            <w:tcW w:w="597" w:type="pct"/>
            <w:tcBorders>
              <w:top w:val="single" w:sz="4" w:space="0" w:color="auto"/>
            </w:tcBorders>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rPr>
          <w:cantSplit/>
          <w:trHeight w:val="1393"/>
        </w:trPr>
        <w:tc>
          <w:tcPr>
            <w:tcW w:w="1119" w:type="pct"/>
            <w:tcBorders>
              <w:bottom w:val="nil"/>
            </w:tcBorders>
          </w:tcPr>
          <w:p w:rsidR="00B45FC3" w:rsidRPr="00526311" w:rsidRDefault="00B45FC3" w:rsidP="0063039A">
            <w:pPr>
              <w:keepNext/>
              <w:keepLines/>
              <w:rPr>
                <w:sz w:val="16"/>
                <w:szCs w:val="16"/>
                <w:lang w:bidi="th-TH"/>
              </w:rPr>
            </w:pPr>
            <w:r w:rsidRPr="00526311">
              <w:rPr>
                <w:sz w:val="16"/>
                <w:szCs w:val="16"/>
                <w:lang w:bidi="th-TH"/>
              </w:rPr>
              <w:t>Número de suscripciones al Boletín para las pymes</w:t>
            </w:r>
          </w:p>
        </w:tc>
        <w:tc>
          <w:tcPr>
            <w:tcW w:w="895" w:type="pct"/>
            <w:tcBorders>
              <w:bottom w:val="nil"/>
            </w:tcBorders>
            <w:shd w:val="clear" w:color="auto" w:fill="auto"/>
          </w:tcPr>
          <w:p w:rsidR="00B45FC3" w:rsidRPr="00526311" w:rsidRDefault="00B45FC3" w:rsidP="0063039A">
            <w:pPr>
              <w:keepNext/>
              <w:keepLines/>
              <w:rPr>
                <w:color w:val="002060"/>
                <w:sz w:val="16"/>
                <w:szCs w:val="16"/>
              </w:rPr>
            </w:pPr>
            <w:r w:rsidRPr="00526311">
              <w:rPr>
                <w:i/>
                <w:color w:val="002060"/>
                <w:sz w:val="16"/>
                <w:szCs w:val="16"/>
              </w:rPr>
              <w:t xml:space="preserve">Referencia actualizada a fines de 2013:  </w:t>
            </w:r>
            <w:r w:rsidRPr="00526311">
              <w:rPr>
                <w:color w:val="002060"/>
                <w:sz w:val="16"/>
                <w:szCs w:val="16"/>
              </w:rPr>
              <w:t>41.101</w:t>
            </w:r>
          </w:p>
          <w:p w:rsidR="00B45FC3" w:rsidRPr="00526311" w:rsidRDefault="00B45FC3" w:rsidP="0063039A">
            <w:pPr>
              <w:keepNext/>
              <w:keepLines/>
              <w:rPr>
                <w:i/>
                <w:sz w:val="8"/>
                <w:szCs w:val="8"/>
              </w:rPr>
            </w:pPr>
          </w:p>
          <w:p w:rsidR="00B45FC3" w:rsidRPr="00526311" w:rsidRDefault="00B45FC3" w:rsidP="0063039A">
            <w:pPr>
              <w:keepNext/>
              <w:keepLines/>
              <w:rPr>
                <w:sz w:val="16"/>
                <w:szCs w:val="16"/>
                <w:lang w:bidi="th-TH"/>
              </w:rPr>
            </w:pPr>
            <w:r w:rsidRPr="00526311">
              <w:rPr>
                <w:i/>
                <w:sz w:val="16"/>
                <w:szCs w:val="16"/>
                <w:lang w:bidi="th-TH"/>
              </w:rPr>
              <w:t xml:space="preserve">Referencia original en el presupuesto de 2014/15):  </w:t>
            </w:r>
            <w:r w:rsidRPr="00526311">
              <w:rPr>
                <w:sz w:val="16"/>
                <w:szCs w:val="16"/>
                <w:lang w:bidi="th-TH"/>
              </w:rPr>
              <w:t>por determinar</w:t>
            </w:r>
          </w:p>
        </w:tc>
        <w:tc>
          <w:tcPr>
            <w:tcW w:w="747" w:type="pct"/>
            <w:tcBorders>
              <w:bottom w:val="nil"/>
            </w:tcBorders>
            <w:tcMar>
              <w:top w:w="110" w:type="dxa"/>
            </w:tcMar>
          </w:tcPr>
          <w:p w:rsidR="00B45FC3" w:rsidRPr="00526311" w:rsidRDefault="00B45FC3" w:rsidP="0063039A">
            <w:pPr>
              <w:keepNext/>
              <w:keepLines/>
              <w:rPr>
                <w:color w:val="002060"/>
                <w:sz w:val="16"/>
                <w:szCs w:val="16"/>
              </w:rPr>
            </w:pPr>
            <w:r w:rsidRPr="00526311">
              <w:rPr>
                <w:color w:val="002060"/>
                <w:sz w:val="16"/>
                <w:szCs w:val="16"/>
              </w:rPr>
              <w:t>Objetivo definido:  40.000</w:t>
            </w:r>
          </w:p>
          <w:p w:rsidR="00B45FC3" w:rsidRPr="00526311" w:rsidRDefault="00B45FC3" w:rsidP="0063039A">
            <w:pPr>
              <w:keepNext/>
              <w:keepLines/>
              <w:rPr>
                <w:sz w:val="16"/>
                <w:szCs w:val="16"/>
              </w:rPr>
            </w:pPr>
          </w:p>
          <w:p w:rsidR="00B45FC3" w:rsidRPr="00526311" w:rsidRDefault="00B45FC3" w:rsidP="0063039A">
            <w:pPr>
              <w:keepNext/>
              <w:keepLines/>
              <w:rPr>
                <w:sz w:val="16"/>
                <w:szCs w:val="16"/>
              </w:rPr>
            </w:pPr>
            <w:r w:rsidRPr="00526311">
              <w:rPr>
                <w:sz w:val="16"/>
                <w:szCs w:val="16"/>
              </w:rPr>
              <w:t>Objetivo original en el presupuesto por programas de 2014/15:  por determinar</w:t>
            </w:r>
          </w:p>
          <w:p w:rsidR="00B45FC3" w:rsidRPr="00526311" w:rsidRDefault="00B45FC3" w:rsidP="0063039A">
            <w:pPr>
              <w:keepNext/>
              <w:keepLines/>
              <w:rPr>
                <w:sz w:val="16"/>
                <w:szCs w:val="16"/>
              </w:rPr>
            </w:pPr>
          </w:p>
          <w:p w:rsidR="00B45FC3" w:rsidRPr="00526311" w:rsidRDefault="00B45FC3" w:rsidP="0063039A">
            <w:pPr>
              <w:keepNext/>
              <w:keepLines/>
              <w:rPr>
                <w:sz w:val="16"/>
                <w:szCs w:val="16"/>
                <w:lang w:bidi="th-TH"/>
              </w:rPr>
            </w:pPr>
          </w:p>
        </w:tc>
        <w:tc>
          <w:tcPr>
            <w:tcW w:w="1641" w:type="pct"/>
            <w:gridSpan w:val="3"/>
            <w:tcBorders>
              <w:bottom w:val="nil"/>
            </w:tcBorders>
            <w:shd w:val="clear" w:color="auto" w:fill="FFFFFF"/>
            <w:tcMar>
              <w:top w:w="110" w:type="dxa"/>
            </w:tcMar>
          </w:tcPr>
          <w:p w:rsidR="00B45FC3" w:rsidRPr="00526311" w:rsidRDefault="00B45FC3" w:rsidP="0063039A">
            <w:pPr>
              <w:keepNext/>
              <w:keepLines/>
              <w:jc w:val="both"/>
              <w:rPr>
                <w:sz w:val="16"/>
                <w:szCs w:val="16"/>
                <w:lang w:bidi="th-TH"/>
              </w:rPr>
            </w:pPr>
            <w:r w:rsidRPr="00526311">
              <w:rPr>
                <w:sz w:val="16"/>
                <w:szCs w:val="16"/>
                <w:lang w:bidi="th-TH"/>
              </w:rPr>
              <w:t xml:space="preserve">Se registraron 40.510 suscripciones al Boletín para las pymes en 2014 </w:t>
            </w:r>
          </w:p>
        </w:tc>
        <w:tc>
          <w:tcPr>
            <w:tcW w:w="597" w:type="pct"/>
            <w:tcBorders>
              <w:bottom w:val="nil"/>
            </w:tcBorders>
            <w:tcMar>
              <w:top w:w="110" w:type="dxa"/>
            </w:tcMar>
          </w:tcPr>
          <w:p w:rsidR="00B45FC3" w:rsidRPr="00526311" w:rsidRDefault="00B45FC3" w:rsidP="0063039A">
            <w:pPr>
              <w:keepNext/>
              <w:keepLines/>
              <w:jc w:val="center"/>
              <w:rPr>
                <w:bCs/>
                <w:sz w:val="16"/>
                <w:szCs w:val="16"/>
              </w:rPr>
            </w:pPr>
            <w:r w:rsidRPr="00526311">
              <w:rPr>
                <w:b/>
                <w:color w:val="00B050"/>
                <w:sz w:val="16"/>
                <w:szCs w:val="16"/>
              </w:rPr>
              <w:t>Avanza</w:t>
            </w:r>
          </w:p>
        </w:tc>
      </w:tr>
      <w:tr w:rsidR="00B45FC3" w:rsidRPr="00526311" w:rsidTr="0063039A">
        <w:trPr>
          <w:cantSplit/>
        </w:trPr>
        <w:tc>
          <w:tcPr>
            <w:tcW w:w="1119" w:type="pct"/>
            <w:tcBorders>
              <w:top w:val="nil"/>
              <w:bottom w:val="nil"/>
            </w:tcBorders>
          </w:tcPr>
          <w:p w:rsidR="00B45FC3" w:rsidRPr="00526311" w:rsidRDefault="00B45FC3" w:rsidP="0063039A">
            <w:pPr>
              <w:keepNext/>
              <w:keepLines/>
              <w:rPr>
                <w:sz w:val="16"/>
                <w:szCs w:val="16"/>
                <w:lang w:bidi="th-TH"/>
              </w:rPr>
            </w:pPr>
            <w:r w:rsidRPr="00526311">
              <w:rPr>
                <w:sz w:val="16"/>
                <w:szCs w:val="16"/>
                <w:lang w:bidi="th-TH"/>
              </w:rPr>
              <w:t xml:space="preserve">Número de directrices y material sobre pymes descargado del sitio web. </w:t>
            </w:r>
          </w:p>
        </w:tc>
        <w:tc>
          <w:tcPr>
            <w:tcW w:w="895" w:type="pct"/>
            <w:tcBorders>
              <w:top w:val="nil"/>
              <w:bottom w:val="nil"/>
            </w:tcBorders>
            <w:shd w:val="clear" w:color="auto" w:fill="auto"/>
          </w:tcPr>
          <w:p w:rsidR="00B45FC3" w:rsidRPr="00526311" w:rsidRDefault="00B45FC3" w:rsidP="0063039A">
            <w:pPr>
              <w:keepNext/>
              <w:keepLines/>
              <w:outlineLvl w:val="7"/>
              <w:rPr>
                <w:i/>
                <w:color w:val="002060"/>
                <w:sz w:val="16"/>
                <w:szCs w:val="16"/>
              </w:rPr>
            </w:pPr>
            <w:r w:rsidRPr="00526311">
              <w:rPr>
                <w:i/>
                <w:color w:val="002060"/>
                <w:sz w:val="16"/>
                <w:szCs w:val="16"/>
              </w:rPr>
              <w:t xml:space="preserve">Referencia actualizada a fines de 2013: </w:t>
            </w:r>
          </w:p>
          <w:p w:rsidR="00B45FC3" w:rsidRPr="00526311" w:rsidRDefault="00B45FC3" w:rsidP="0063039A">
            <w:pPr>
              <w:keepNext/>
              <w:keepLines/>
              <w:rPr>
                <w:color w:val="002060"/>
                <w:sz w:val="16"/>
                <w:szCs w:val="16"/>
              </w:rPr>
            </w:pPr>
            <w:r w:rsidRPr="00526311">
              <w:rPr>
                <w:color w:val="002060"/>
                <w:sz w:val="16"/>
                <w:szCs w:val="16"/>
              </w:rPr>
              <w:t>número de descargas:  77.617 (2013)</w:t>
            </w:r>
          </w:p>
          <w:p w:rsidR="00B45FC3" w:rsidRPr="00526311" w:rsidRDefault="00B45FC3" w:rsidP="0063039A">
            <w:pPr>
              <w:keepNext/>
              <w:keepLines/>
              <w:rPr>
                <w:color w:val="002060"/>
                <w:sz w:val="16"/>
                <w:szCs w:val="16"/>
              </w:rPr>
            </w:pPr>
          </w:p>
          <w:p w:rsidR="00B45FC3" w:rsidRPr="00526311" w:rsidRDefault="00B45FC3" w:rsidP="0063039A">
            <w:pPr>
              <w:keepNext/>
              <w:keepLines/>
              <w:rPr>
                <w:i/>
                <w:color w:val="002060"/>
                <w:sz w:val="16"/>
                <w:szCs w:val="16"/>
              </w:rPr>
            </w:pPr>
            <w:r w:rsidRPr="00526311">
              <w:rPr>
                <w:color w:val="002060"/>
                <w:sz w:val="16"/>
                <w:szCs w:val="16"/>
              </w:rPr>
              <w:t>Número de visitas a la página web:  1.210.803 (2013)</w:t>
            </w:r>
          </w:p>
          <w:p w:rsidR="00B45FC3" w:rsidRPr="00526311" w:rsidRDefault="00B45FC3" w:rsidP="0063039A">
            <w:pPr>
              <w:keepNext/>
              <w:keepLines/>
              <w:rPr>
                <w:i/>
                <w:sz w:val="8"/>
                <w:szCs w:val="8"/>
              </w:rPr>
            </w:pPr>
          </w:p>
          <w:p w:rsidR="00B45FC3" w:rsidRPr="00526311" w:rsidRDefault="00B45FC3" w:rsidP="0063039A">
            <w:pPr>
              <w:keepNext/>
              <w:keepLines/>
              <w:rPr>
                <w:sz w:val="16"/>
                <w:szCs w:val="16"/>
                <w:lang w:bidi="th-TH"/>
              </w:rPr>
            </w:pPr>
            <w:r w:rsidRPr="00526311">
              <w:rPr>
                <w:i/>
                <w:sz w:val="16"/>
                <w:szCs w:val="16"/>
                <w:lang w:bidi="th-TH"/>
              </w:rPr>
              <w:t>Referencia origin</w:t>
            </w:r>
            <w:r w:rsidR="003454DE" w:rsidRPr="00526311">
              <w:rPr>
                <w:i/>
                <w:sz w:val="16"/>
                <w:szCs w:val="16"/>
                <w:lang w:bidi="th-TH"/>
              </w:rPr>
              <w:t>al en el presupuesto de 2014/15</w:t>
            </w:r>
            <w:r w:rsidRPr="00526311">
              <w:rPr>
                <w:i/>
                <w:sz w:val="16"/>
                <w:szCs w:val="16"/>
                <w:lang w:bidi="th-TH"/>
              </w:rPr>
              <w:t xml:space="preserve">:  </w:t>
            </w:r>
            <w:r w:rsidRPr="00526311">
              <w:rPr>
                <w:sz w:val="16"/>
                <w:szCs w:val="16"/>
                <w:lang w:bidi="th-TH"/>
              </w:rPr>
              <w:t xml:space="preserve">por determinar </w:t>
            </w:r>
          </w:p>
          <w:p w:rsidR="00B45FC3" w:rsidRPr="00526311" w:rsidRDefault="00B45FC3" w:rsidP="0063039A">
            <w:pPr>
              <w:keepNext/>
              <w:keepLines/>
              <w:rPr>
                <w:sz w:val="16"/>
                <w:szCs w:val="16"/>
                <w:lang w:bidi="th-TH"/>
              </w:rPr>
            </w:pPr>
          </w:p>
        </w:tc>
        <w:tc>
          <w:tcPr>
            <w:tcW w:w="747" w:type="pct"/>
            <w:tcBorders>
              <w:top w:val="nil"/>
              <w:bottom w:val="nil"/>
            </w:tcBorders>
            <w:tcMar>
              <w:top w:w="110" w:type="dxa"/>
            </w:tcMar>
          </w:tcPr>
          <w:p w:rsidR="00B45FC3" w:rsidRPr="00526311" w:rsidRDefault="00B45FC3" w:rsidP="0063039A">
            <w:pPr>
              <w:keepNext/>
              <w:keepLines/>
              <w:rPr>
                <w:sz w:val="16"/>
                <w:szCs w:val="16"/>
              </w:rPr>
            </w:pPr>
            <w:r w:rsidRPr="00526311">
              <w:rPr>
                <w:sz w:val="16"/>
                <w:szCs w:val="16"/>
              </w:rPr>
              <w:t>Por determinar.</w:t>
            </w:r>
          </w:p>
          <w:p w:rsidR="00B45FC3" w:rsidRPr="00526311" w:rsidRDefault="00B45FC3" w:rsidP="0063039A">
            <w:pPr>
              <w:keepNext/>
              <w:keepLines/>
              <w:rPr>
                <w:sz w:val="16"/>
                <w:szCs w:val="16"/>
              </w:rPr>
            </w:pPr>
          </w:p>
          <w:p w:rsidR="00B45FC3" w:rsidRPr="00526311" w:rsidRDefault="00B45FC3" w:rsidP="0063039A">
            <w:pPr>
              <w:keepNext/>
              <w:keepLines/>
              <w:rPr>
                <w:sz w:val="16"/>
                <w:szCs w:val="16"/>
                <w:lang w:bidi="th-TH"/>
              </w:rPr>
            </w:pPr>
          </w:p>
        </w:tc>
        <w:tc>
          <w:tcPr>
            <w:tcW w:w="1641" w:type="pct"/>
            <w:gridSpan w:val="3"/>
            <w:tcBorders>
              <w:top w:val="nil"/>
              <w:bottom w:val="nil"/>
            </w:tcBorders>
            <w:shd w:val="clear" w:color="auto" w:fill="FFFFFF"/>
            <w:tcMar>
              <w:top w:w="110" w:type="dxa"/>
            </w:tcMar>
          </w:tcPr>
          <w:p w:rsidR="00B45FC3" w:rsidRPr="00526311" w:rsidRDefault="00B45FC3" w:rsidP="0063039A">
            <w:pPr>
              <w:keepNext/>
              <w:keepLines/>
              <w:rPr>
                <w:sz w:val="16"/>
                <w:szCs w:val="16"/>
              </w:rPr>
            </w:pPr>
            <w:r w:rsidRPr="00526311">
              <w:rPr>
                <w:sz w:val="16"/>
                <w:szCs w:val="16"/>
              </w:rPr>
              <w:t>2014:</w:t>
            </w:r>
          </w:p>
          <w:p w:rsidR="00B45FC3" w:rsidRPr="00526311" w:rsidRDefault="00B45FC3" w:rsidP="0063039A">
            <w:pPr>
              <w:keepNext/>
              <w:keepLines/>
              <w:rPr>
                <w:sz w:val="16"/>
                <w:szCs w:val="16"/>
              </w:rPr>
            </w:pPr>
            <w:r w:rsidRPr="00526311">
              <w:rPr>
                <w:sz w:val="16"/>
                <w:szCs w:val="16"/>
              </w:rPr>
              <w:t>Número de descargas:  70.559</w:t>
            </w:r>
          </w:p>
          <w:p w:rsidR="00B45FC3" w:rsidRPr="00526311" w:rsidRDefault="00B45FC3" w:rsidP="0063039A">
            <w:pPr>
              <w:keepNext/>
              <w:keepLines/>
              <w:rPr>
                <w:sz w:val="16"/>
                <w:szCs w:val="16"/>
                <w:lang w:bidi="th-TH"/>
              </w:rPr>
            </w:pPr>
            <w:r w:rsidRPr="00526311">
              <w:rPr>
                <w:sz w:val="16"/>
                <w:szCs w:val="16"/>
              </w:rPr>
              <w:t xml:space="preserve">Número de visitas a la página web de las pymes:  821.150 </w:t>
            </w:r>
          </w:p>
        </w:tc>
        <w:tc>
          <w:tcPr>
            <w:tcW w:w="597" w:type="pct"/>
            <w:tcBorders>
              <w:top w:val="nil"/>
              <w:bottom w:val="nil"/>
            </w:tcBorders>
            <w:tcMar>
              <w:top w:w="110" w:type="dxa"/>
            </w:tcMar>
          </w:tcPr>
          <w:p w:rsidR="00B45FC3" w:rsidRPr="00526311" w:rsidRDefault="00B45FC3" w:rsidP="0063039A">
            <w:pPr>
              <w:keepNext/>
              <w:keepLines/>
              <w:jc w:val="center"/>
              <w:rPr>
                <w:b/>
                <w:bCs/>
                <w:sz w:val="16"/>
                <w:szCs w:val="16"/>
              </w:rPr>
            </w:pPr>
            <w:r w:rsidRPr="00526311">
              <w:rPr>
                <w:bCs/>
                <w:color w:val="808080" w:themeColor="background1" w:themeShade="80"/>
                <w:sz w:val="16"/>
                <w:szCs w:val="16"/>
              </w:rPr>
              <w:t>No mensurable</w:t>
            </w:r>
          </w:p>
        </w:tc>
      </w:tr>
      <w:tr w:rsidR="00B45FC3" w:rsidRPr="00526311" w:rsidTr="0063039A">
        <w:trPr>
          <w:cantSplit/>
        </w:trPr>
        <w:tc>
          <w:tcPr>
            <w:tcW w:w="1119" w:type="pct"/>
            <w:tcBorders>
              <w:top w:val="nil"/>
              <w:bottom w:val="nil"/>
            </w:tcBorders>
          </w:tcPr>
          <w:p w:rsidR="00B45FC3" w:rsidRPr="00526311" w:rsidRDefault="00B45FC3" w:rsidP="0063039A">
            <w:pPr>
              <w:rPr>
                <w:sz w:val="16"/>
                <w:szCs w:val="16"/>
                <w:lang w:bidi="th-TH"/>
              </w:rPr>
            </w:pPr>
            <w:r w:rsidRPr="00526311">
              <w:rPr>
                <w:sz w:val="16"/>
                <w:szCs w:val="16"/>
                <w:lang w:bidi="th-TH"/>
              </w:rPr>
              <w:t>Número de estudios de caso relacionados con las pymes que han sido consultados por intermedio de la base de datos IP Advantage u otras bases de datos.</w:t>
            </w:r>
          </w:p>
        </w:tc>
        <w:tc>
          <w:tcPr>
            <w:tcW w:w="895" w:type="pct"/>
            <w:tcBorders>
              <w:top w:val="nil"/>
              <w:bottom w:val="nil"/>
            </w:tcBorders>
            <w:shd w:val="clear" w:color="auto" w:fill="auto"/>
          </w:tcPr>
          <w:p w:rsidR="00B45FC3" w:rsidRPr="00526311" w:rsidRDefault="00B45FC3" w:rsidP="0063039A">
            <w:pPr>
              <w:rPr>
                <w:i/>
                <w:sz w:val="16"/>
                <w:szCs w:val="16"/>
              </w:rPr>
            </w:pPr>
            <w:r w:rsidRPr="00526311">
              <w:rPr>
                <w:sz w:val="16"/>
                <w:szCs w:val="16"/>
              </w:rPr>
              <w:t>Por determinar</w:t>
            </w:r>
            <w:r w:rsidRPr="00526311">
              <w:rPr>
                <w:i/>
                <w:sz w:val="16"/>
                <w:szCs w:val="16"/>
              </w:rPr>
              <w:t>.</w:t>
            </w:r>
          </w:p>
        </w:tc>
        <w:tc>
          <w:tcPr>
            <w:tcW w:w="747" w:type="pct"/>
            <w:tcBorders>
              <w:top w:val="nil"/>
              <w:bottom w:val="nil"/>
            </w:tcBorders>
            <w:tcMar>
              <w:top w:w="110" w:type="dxa"/>
            </w:tcMar>
          </w:tcPr>
          <w:p w:rsidR="00B45FC3" w:rsidRPr="00526311" w:rsidRDefault="00B45FC3" w:rsidP="0063039A">
            <w:pPr>
              <w:rPr>
                <w:sz w:val="16"/>
                <w:szCs w:val="16"/>
              </w:rPr>
            </w:pPr>
            <w:r w:rsidRPr="00526311">
              <w:rPr>
                <w:sz w:val="16"/>
                <w:szCs w:val="16"/>
              </w:rPr>
              <w:t>Por determinar.</w:t>
            </w:r>
          </w:p>
          <w:p w:rsidR="00B45FC3" w:rsidRPr="00526311" w:rsidRDefault="00B45FC3" w:rsidP="0063039A">
            <w:pPr>
              <w:rPr>
                <w:sz w:val="16"/>
                <w:szCs w:val="16"/>
              </w:rPr>
            </w:pPr>
          </w:p>
          <w:p w:rsidR="00B45FC3" w:rsidRPr="00526311" w:rsidRDefault="00B45FC3" w:rsidP="0063039A">
            <w:pPr>
              <w:rPr>
                <w:sz w:val="16"/>
                <w:szCs w:val="16"/>
              </w:rPr>
            </w:pPr>
          </w:p>
        </w:tc>
        <w:tc>
          <w:tcPr>
            <w:tcW w:w="1641" w:type="pct"/>
            <w:gridSpan w:val="3"/>
            <w:tcBorders>
              <w:top w:val="nil"/>
              <w:bottom w:val="nil"/>
            </w:tcBorders>
            <w:shd w:val="clear" w:color="auto" w:fill="FFFFFF"/>
            <w:tcMar>
              <w:top w:w="110" w:type="dxa"/>
            </w:tcMar>
          </w:tcPr>
          <w:p w:rsidR="00B45FC3" w:rsidRPr="00526311" w:rsidRDefault="00B45FC3" w:rsidP="0063039A">
            <w:pPr>
              <w:rPr>
                <w:sz w:val="16"/>
                <w:szCs w:val="16"/>
              </w:rPr>
            </w:pPr>
            <w:r w:rsidRPr="00526311">
              <w:rPr>
                <w:sz w:val="16"/>
                <w:szCs w:val="16"/>
              </w:rPr>
              <w:t xml:space="preserve">En 2014, se publicaron 19 nuevos estudios de caso relacionados con las pymes en la base de datos IP Advantage, elevando así el número total de </w:t>
            </w:r>
            <w:r w:rsidRPr="00526311">
              <w:rPr>
                <w:sz w:val="16"/>
                <w:szCs w:val="16"/>
                <w:lang w:bidi="th-TH"/>
              </w:rPr>
              <w:t>estudios de caso relacionados con las pymes a </w:t>
            </w:r>
            <w:r w:rsidRPr="00526311">
              <w:rPr>
                <w:sz w:val="16"/>
                <w:szCs w:val="16"/>
              </w:rPr>
              <w:t>206.  Se registraron 199.700 visitas a la base de datos IP Advantage en 2014;  sin embargo, no es posible determinar el número de veces que se consultaron los estudios de caso relacionados con las pymes.</w:t>
            </w:r>
          </w:p>
        </w:tc>
        <w:tc>
          <w:tcPr>
            <w:tcW w:w="597" w:type="pct"/>
            <w:tcBorders>
              <w:top w:val="nil"/>
              <w:bottom w:val="nil"/>
            </w:tcBorders>
            <w:tcMar>
              <w:top w:w="110" w:type="dxa"/>
            </w:tcMar>
          </w:tcPr>
          <w:p w:rsidR="00B45FC3" w:rsidRPr="00526311" w:rsidRDefault="00B45FC3" w:rsidP="0063039A">
            <w:pPr>
              <w:keepNext/>
              <w:keepLines/>
              <w:jc w:val="center"/>
              <w:rPr>
                <w:rStyle w:val="Style5"/>
                <w:b/>
                <w:color w:val="808080" w:themeColor="background1" w:themeShade="80"/>
                <w:sz w:val="14"/>
                <w:szCs w:val="16"/>
              </w:rPr>
            </w:pPr>
            <w:r w:rsidRPr="00526311">
              <w:rPr>
                <w:bCs/>
                <w:color w:val="808080" w:themeColor="background1" w:themeShade="80"/>
                <w:sz w:val="16"/>
              </w:rPr>
              <w:t>No mensurable</w:t>
            </w:r>
          </w:p>
        </w:tc>
      </w:tr>
      <w:tr w:rsidR="00B45FC3" w:rsidRPr="00526311" w:rsidTr="0063039A">
        <w:trPr>
          <w:cantSplit/>
          <w:trHeight w:val="2023"/>
        </w:trPr>
        <w:tc>
          <w:tcPr>
            <w:tcW w:w="1119" w:type="pct"/>
            <w:tcBorders>
              <w:top w:val="nil"/>
              <w:bottom w:val="single" w:sz="4" w:space="0" w:color="auto"/>
            </w:tcBorders>
          </w:tcPr>
          <w:p w:rsidR="00B45FC3" w:rsidRPr="00526311" w:rsidRDefault="00B45FC3" w:rsidP="0063039A">
            <w:pPr>
              <w:rPr>
                <w:sz w:val="16"/>
                <w:szCs w:val="16"/>
                <w:lang w:bidi="th-TH"/>
              </w:rPr>
            </w:pPr>
            <w:r w:rsidRPr="00526311">
              <w:rPr>
                <w:sz w:val="16"/>
                <w:szCs w:val="16"/>
                <w:lang w:bidi="th-TH"/>
              </w:rPr>
              <w:t>Porcentaje de participantes en los programas de formación destinados a las instituciones de apoyo a las pymes que están satisfechos con el contenido y la organización de las reuniones de formación</w:t>
            </w:r>
          </w:p>
        </w:tc>
        <w:tc>
          <w:tcPr>
            <w:tcW w:w="895" w:type="pct"/>
            <w:tcBorders>
              <w:top w:val="nil"/>
              <w:bottom w:val="single" w:sz="4" w:space="0" w:color="auto"/>
            </w:tcBorders>
            <w:shd w:val="clear" w:color="auto" w:fill="auto"/>
          </w:tcPr>
          <w:p w:rsidR="00B45FC3" w:rsidRPr="00526311" w:rsidRDefault="00B45FC3"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90%</w:t>
            </w:r>
          </w:p>
          <w:p w:rsidR="00B45FC3" w:rsidRPr="00526311" w:rsidRDefault="00B45FC3" w:rsidP="0063039A">
            <w:pPr>
              <w:rPr>
                <w:i/>
                <w:sz w:val="16"/>
                <w:szCs w:val="16"/>
              </w:rPr>
            </w:pPr>
          </w:p>
          <w:p w:rsidR="00B45FC3" w:rsidRPr="00526311" w:rsidRDefault="00B45FC3" w:rsidP="0063039A">
            <w:pPr>
              <w:rPr>
                <w:i/>
                <w:sz w:val="16"/>
                <w:szCs w:val="16"/>
              </w:rPr>
            </w:pPr>
            <w:r w:rsidRPr="00526311">
              <w:rPr>
                <w:i/>
                <w:sz w:val="16"/>
                <w:szCs w:val="16"/>
              </w:rPr>
              <w:t>Referencia origin</w:t>
            </w:r>
            <w:r w:rsidR="003454DE" w:rsidRPr="00526311">
              <w:rPr>
                <w:i/>
                <w:sz w:val="16"/>
                <w:szCs w:val="16"/>
              </w:rPr>
              <w:t>al en el presupuesto de 2014/15</w:t>
            </w:r>
            <w:r w:rsidRPr="00526311">
              <w:rPr>
                <w:i/>
                <w:sz w:val="16"/>
                <w:szCs w:val="16"/>
              </w:rPr>
              <w:t xml:space="preserve">:  </w:t>
            </w:r>
            <w:r w:rsidRPr="00526311">
              <w:rPr>
                <w:sz w:val="16"/>
                <w:szCs w:val="16"/>
              </w:rPr>
              <w:t>por determinar</w:t>
            </w:r>
          </w:p>
        </w:tc>
        <w:tc>
          <w:tcPr>
            <w:tcW w:w="747" w:type="pct"/>
            <w:tcBorders>
              <w:top w:val="nil"/>
              <w:bottom w:val="single" w:sz="4" w:space="0" w:color="auto"/>
            </w:tcBorders>
            <w:tcMar>
              <w:top w:w="110" w:type="dxa"/>
            </w:tcMar>
          </w:tcPr>
          <w:p w:rsidR="00B45FC3" w:rsidRPr="00526311" w:rsidRDefault="00B45FC3" w:rsidP="0063039A">
            <w:pPr>
              <w:rPr>
                <w:sz w:val="16"/>
                <w:szCs w:val="16"/>
              </w:rPr>
            </w:pPr>
            <w:r w:rsidRPr="00526311">
              <w:rPr>
                <w:sz w:val="16"/>
                <w:szCs w:val="16"/>
              </w:rPr>
              <w:t>Por determinar.</w:t>
            </w:r>
          </w:p>
          <w:p w:rsidR="00B45FC3" w:rsidRPr="00526311" w:rsidRDefault="00B45FC3" w:rsidP="0063039A">
            <w:pPr>
              <w:rPr>
                <w:sz w:val="16"/>
                <w:szCs w:val="16"/>
              </w:rPr>
            </w:pPr>
          </w:p>
          <w:p w:rsidR="00B45FC3" w:rsidRPr="00526311" w:rsidRDefault="00B45FC3" w:rsidP="0063039A">
            <w:pPr>
              <w:rPr>
                <w:sz w:val="16"/>
                <w:szCs w:val="16"/>
              </w:rPr>
            </w:pPr>
          </w:p>
        </w:tc>
        <w:tc>
          <w:tcPr>
            <w:tcW w:w="1641" w:type="pct"/>
            <w:gridSpan w:val="3"/>
            <w:tcBorders>
              <w:top w:val="nil"/>
              <w:bottom w:val="single" w:sz="4" w:space="0" w:color="auto"/>
            </w:tcBorders>
            <w:shd w:val="clear" w:color="auto" w:fill="FFFFFF"/>
            <w:tcMar>
              <w:top w:w="110" w:type="dxa"/>
            </w:tcMar>
          </w:tcPr>
          <w:p w:rsidR="00B45FC3" w:rsidRPr="00526311" w:rsidRDefault="00B45FC3" w:rsidP="0063039A">
            <w:pPr>
              <w:rPr>
                <w:sz w:val="16"/>
                <w:szCs w:val="16"/>
              </w:rPr>
            </w:pPr>
            <w:r w:rsidRPr="00526311">
              <w:rPr>
                <w:sz w:val="16"/>
                <w:szCs w:val="16"/>
              </w:rPr>
              <w:t>El 100% de los participantes se declararon satisfechos con el contenido y la organización de esos programas de formación.</w:t>
            </w:r>
          </w:p>
        </w:tc>
        <w:tc>
          <w:tcPr>
            <w:tcW w:w="597" w:type="pct"/>
            <w:tcBorders>
              <w:top w:val="nil"/>
              <w:bottom w:val="single" w:sz="4" w:space="0" w:color="auto"/>
            </w:tcBorders>
            <w:tcMar>
              <w:top w:w="110" w:type="dxa"/>
            </w:tcMar>
          </w:tcPr>
          <w:p w:rsidR="00B45FC3" w:rsidRPr="00526311" w:rsidRDefault="00B45FC3" w:rsidP="0063039A">
            <w:pPr>
              <w:keepNext/>
              <w:keepLines/>
              <w:jc w:val="center"/>
              <w:rPr>
                <w:rStyle w:val="Style5"/>
                <w:b/>
                <w:color w:val="00B050"/>
                <w:sz w:val="16"/>
                <w:szCs w:val="16"/>
              </w:rPr>
            </w:pPr>
            <w:r w:rsidRPr="00526311">
              <w:rPr>
                <w:b/>
                <w:color w:val="00B050"/>
                <w:sz w:val="16"/>
                <w:szCs w:val="16"/>
              </w:rPr>
              <w:t>Avanza</w:t>
            </w:r>
          </w:p>
        </w:tc>
      </w:tr>
      <w:tr w:rsidR="00B45FC3" w:rsidRPr="00526311" w:rsidTr="0063039A">
        <w:trPr>
          <w:cantSplit/>
        </w:trPr>
        <w:tc>
          <w:tcPr>
            <w:tcW w:w="1119" w:type="pct"/>
            <w:tcBorders>
              <w:top w:val="single" w:sz="4" w:space="0" w:color="auto"/>
              <w:bottom w:val="nil"/>
            </w:tcBorders>
            <w:vAlign w:val="center"/>
          </w:tcPr>
          <w:p w:rsidR="00B45FC3" w:rsidRPr="00526311" w:rsidRDefault="00B45FC3" w:rsidP="0063039A">
            <w:pPr>
              <w:keepNext/>
              <w:keepLines/>
              <w:rPr>
                <w:sz w:val="16"/>
                <w:szCs w:val="16"/>
              </w:rPr>
            </w:pPr>
            <w:r w:rsidRPr="00526311">
              <w:rPr>
                <w:b/>
                <w:sz w:val="16"/>
                <w:szCs w:val="16"/>
              </w:rPr>
              <w:lastRenderedPageBreak/>
              <w:t>Indicadores de rendimiento</w:t>
            </w:r>
          </w:p>
        </w:tc>
        <w:tc>
          <w:tcPr>
            <w:tcW w:w="895" w:type="pct"/>
            <w:tcBorders>
              <w:top w:val="single" w:sz="4" w:space="0" w:color="auto"/>
              <w:bottom w:val="nil"/>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747" w:type="pct"/>
            <w:tcBorders>
              <w:top w:val="single" w:sz="4" w:space="0" w:color="auto"/>
              <w:bottom w:val="nil"/>
            </w:tcBorders>
            <w:tcMar>
              <w:top w:w="110" w:type="dxa"/>
            </w:tcMar>
            <w:vAlign w:val="center"/>
          </w:tcPr>
          <w:p w:rsidR="00B45FC3" w:rsidRPr="00526311" w:rsidRDefault="00B45FC3" w:rsidP="0063039A">
            <w:pPr>
              <w:keepNext/>
              <w:keepLines/>
              <w:rPr>
                <w:b/>
                <w:sz w:val="16"/>
                <w:szCs w:val="16"/>
              </w:rPr>
            </w:pPr>
            <w:r w:rsidRPr="00526311">
              <w:rPr>
                <w:b/>
                <w:sz w:val="16"/>
                <w:szCs w:val="16"/>
              </w:rPr>
              <w:t>Objetivos</w:t>
            </w:r>
          </w:p>
        </w:tc>
        <w:tc>
          <w:tcPr>
            <w:tcW w:w="1641" w:type="pct"/>
            <w:gridSpan w:val="3"/>
            <w:tcBorders>
              <w:top w:val="single" w:sz="4" w:space="0" w:color="auto"/>
              <w:bottom w:val="nil"/>
            </w:tcBorders>
            <w:shd w:val="clear" w:color="auto" w:fill="FFFFFF"/>
            <w:tcMar>
              <w:top w:w="110" w:type="dxa"/>
            </w:tcMar>
            <w:vAlign w:val="center"/>
          </w:tcPr>
          <w:p w:rsidR="00B45FC3" w:rsidRPr="00526311" w:rsidRDefault="00B45FC3" w:rsidP="0063039A">
            <w:pPr>
              <w:keepNext/>
              <w:keepLines/>
              <w:rPr>
                <w:sz w:val="16"/>
                <w:szCs w:val="16"/>
              </w:rPr>
            </w:pPr>
            <w:r w:rsidRPr="00526311">
              <w:rPr>
                <w:b/>
                <w:sz w:val="16"/>
                <w:szCs w:val="16"/>
              </w:rPr>
              <w:t>Datos sobre el rendimiento</w:t>
            </w:r>
          </w:p>
        </w:tc>
        <w:tc>
          <w:tcPr>
            <w:tcW w:w="597" w:type="pct"/>
            <w:tcBorders>
              <w:top w:val="single" w:sz="4" w:space="0" w:color="auto"/>
              <w:bottom w:val="nil"/>
            </w:tcBorders>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rPr>
          <w:cantSplit/>
        </w:trPr>
        <w:tc>
          <w:tcPr>
            <w:tcW w:w="1119" w:type="pct"/>
            <w:tcBorders>
              <w:top w:val="nil"/>
              <w:bottom w:val="nil"/>
            </w:tcBorders>
          </w:tcPr>
          <w:p w:rsidR="00B45FC3" w:rsidRPr="00526311" w:rsidRDefault="00B45FC3" w:rsidP="0063039A">
            <w:pPr>
              <w:rPr>
                <w:sz w:val="16"/>
                <w:szCs w:val="16"/>
                <w:lang w:bidi="th-TH"/>
              </w:rPr>
            </w:pPr>
            <w:r w:rsidRPr="00526311">
              <w:rPr>
                <w:sz w:val="16"/>
                <w:szCs w:val="16"/>
                <w:lang w:bidi="th-TH"/>
              </w:rPr>
              <w:t>Porcentaje de instituciones de apoyo a las pymes que han recibido formación, que a su vez brindan información, apoyo y servicios de consultoría/asesoramiento en gestión de activos de P.I.</w:t>
            </w:r>
          </w:p>
        </w:tc>
        <w:tc>
          <w:tcPr>
            <w:tcW w:w="895" w:type="pct"/>
            <w:tcBorders>
              <w:top w:val="nil"/>
              <w:bottom w:val="nil"/>
            </w:tcBorders>
            <w:shd w:val="clear" w:color="auto" w:fill="auto"/>
          </w:tcPr>
          <w:p w:rsidR="00B45FC3" w:rsidRPr="00526311" w:rsidRDefault="00B45FC3" w:rsidP="0063039A">
            <w:pPr>
              <w:rPr>
                <w:sz w:val="16"/>
                <w:szCs w:val="16"/>
              </w:rPr>
            </w:pPr>
            <w:r w:rsidRPr="00526311">
              <w:rPr>
                <w:i/>
                <w:color w:val="002060"/>
                <w:sz w:val="16"/>
                <w:szCs w:val="16"/>
              </w:rPr>
              <w:t xml:space="preserve">Referencia actualizada a fines de 2013: </w:t>
            </w:r>
            <w:r w:rsidRPr="00526311">
              <w:rPr>
                <w:i/>
                <w:sz w:val="16"/>
                <w:szCs w:val="16"/>
              </w:rPr>
              <w:t xml:space="preserve"> </w:t>
            </w:r>
            <w:r w:rsidRPr="00526311">
              <w:rPr>
                <w:sz w:val="16"/>
                <w:szCs w:val="16"/>
              </w:rPr>
              <w:t>El 100% de las 15 instituciones de apoyo a las pymes que recibieron asistencia brindan información, apoyo y servicios de consultoría / asesoramiento en gestión de activos de P.I.</w:t>
            </w:r>
          </w:p>
          <w:p w:rsidR="00B45FC3" w:rsidRPr="00526311" w:rsidRDefault="00B45FC3" w:rsidP="0063039A">
            <w:pPr>
              <w:rPr>
                <w:i/>
                <w:sz w:val="16"/>
                <w:szCs w:val="16"/>
              </w:rPr>
            </w:pPr>
          </w:p>
          <w:p w:rsidR="00B45FC3" w:rsidRPr="00526311" w:rsidRDefault="00B45FC3" w:rsidP="003454DE">
            <w:pPr>
              <w:rPr>
                <w:i/>
                <w:sz w:val="16"/>
                <w:szCs w:val="16"/>
              </w:rPr>
            </w:pPr>
            <w:r w:rsidRPr="00526311">
              <w:rPr>
                <w:i/>
                <w:sz w:val="16"/>
                <w:szCs w:val="16"/>
              </w:rPr>
              <w:t>Referencia original en el presupuesto de 2014/15:</w:t>
            </w:r>
            <w:r w:rsidRPr="00526311">
              <w:rPr>
                <w:sz w:val="16"/>
                <w:szCs w:val="16"/>
              </w:rPr>
              <w:t xml:space="preserve">  por determinar.</w:t>
            </w:r>
          </w:p>
        </w:tc>
        <w:tc>
          <w:tcPr>
            <w:tcW w:w="747" w:type="pct"/>
            <w:tcBorders>
              <w:top w:val="nil"/>
              <w:bottom w:val="nil"/>
            </w:tcBorders>
            <w:tcMar>
              <w:top w:w="110" w:type="dxa"/>
            </w:tcMar>
          </w:tcPr>
          <w:p w:rsidR="00B45FC3" w:rsidRPr="00526311" w:rsidRDefault="00B45FC3" w:rsidP="00BD04FC">
            <w:pPr>
              <w:outlineLvl w:val="7"/>
              <w:rPr>
                <w:color w:val="002060"/>
                <w:sz w:val="16"/>
                <w:szCs w:val="16"/>
              </w:rPr>
            </w:pPr>
            <w:r w:rsidRPr="00526311">
              <w:rPr>
                <w:color w:val="002060"/>
                <w:sz w:val="16"/>
                <w:szCs w:val="16"/>
              </w:rPr>
              <w:t>Objetivo definido:  80%</w:t>
            </w:r>
          </w:p>
          <w:p w:rsidR="00B45FC3" w:rsidRPr="00526311" w:rsidRDefault="00B45FC3" w:rsidP="0063039A">
            <w:pPr>
              <w:rPr>
                <w:sz w:val="16"/>
                <w:szCs w:val="16"/>
              </w:rPr>
            </w:pPr>
          </w:p>
          <w:p w:rsidR="00B45FC3" w:rsidRPr="00526311" w:rsidRDefault="00B45FC3" w:rsidP="0063039A">
            <w:pPr>
              <w:rPr>
                <w:sz w:val="16"/>
                <w:szCs w:val="16"/>
              </w:rPr>
            </w:pPr>
            <w:r w:rsidRPr="00526311">
              <w:rPr>
                <w:sz w:val="16"/>
                <w:szCs w:val="16"/>
              </w:rPr>
              <w:t>Objetivo original en el presupuesto por programas de 2014/15:  por determinar</w:t>
            </w:r>
          </w:p>
        </w:tc>
        <w:tc>
          <w:tcPr>
            <w:tcW w:w="1641" w:type="pct"/>
            <w:gridSpan w:val="3"/>
            <w:tcBorders>
              <w:top w:val="nil"/>
              <w:bottom w:val="nil"/>
            </w:tcBorders>
            <w:shd w:val="clear" w:color="auto" w:fill="FFFFFF"/>
            <w:tcMar>
              <w:top w:w="110" w:type="dxa"/>
            </w:tcMar>
          </w:tcPr>
          <w:p w:rsidR="00B45FC3" w:rsidRPr="00526311" w:rsidRDefault="00B45FC3" w:rsidP="0063039A">
            <w:pPr>
              <w:rPr>
                <w:sz w:val="16"/>
                <w:szCs w:val="16"/>
              </w:rPr>
            </w:pPr>
            <w:r w:rsidRPr="00526311">
              <w:rPr>
                <w:sz w:val="16"/>
                <w:szCs w:val="16"/>
              </w:rPr>
              <w:t>El 100% de las instituciones de apoyo a las pymes que recibieron formación brindaron información, apoyo y servicios de consultoría/asesoramiento en gestión de activos de P.I.</w:t>
            </w:r>
          </w:p>
          <w:p w:rsidR="00B45FC3" w:rsidRPr="00526311" w:rsidRDefault="00B45FC3" w:rsidP="0063039A">
            <w:pPr>
              <w:rPr>
                <w:sz w:val="16"/>
                <w:szCs w:val="16"/>
              </w:rPr>
            </w:pPr>
          </w:p>
        </w:tc>
        <w:tc>
          <w:tcPr>
            <w:tcW w:w="597" w:type="pct"/>
            <w:tcBorders>
              <w:top w:val="nil"/>
              <w:bottom w:val="nil"/>
            </w:tcBorders>
            <w:tcMar>
              <w:top w:w="110" w:type="dxa"/>
            </w:tcMar>
          </w:tcPr>
          <w:p w:rsidR="00B45FC3" w:rsidRPr="00526311" w:rsidRDefault="00B45FC3" w:rsidP="0063039A">
            <w:pPr>
              <w:jc w:val="center"/>
              <w:rPr>
                <w:rStyle w:val="Style5"/>
                <w:b/>
                <w:color w:val="00B050"/>
                <w:sz w:val="16"/>
                <w:szCs w:val="16"/>
              </w:rPr>
            </w:pPr>
            <w:r w:rsidRPr="00526311">
              <w:rPr>
                <w:b/>
                <w:color w:val="00B050"/>
                <w:sz w:val="16"/>
                <w:szCs w:val="16"/>
              </w:rPr>
              <w:t>Avanza</w:t>
            </w:r>
          </w:p>
        </w:tc>
      </w:tr>
      <w:tr w:rsidR="00B45FC3" w:rsidRPr="00526311" w:rsidTr="0063039A">
        <w:trPr>
          <w:cantSplit/>
        </w:trPr>
        <w:tc>
          <w:tcPr>
            <w:tcW w:w="1119" w:type="pct"/>
            <w:tcBorders>
              <w:top w:val="nil"/>
              <w:bottom w:val="single" w:sz="4" w:space="0" w:color="auto"/>
            </w:tcBorders>
          </w:tcPr>
          <w:p w:rsidR="00B45FC3" w:rsidRPr="00526311" w:rsidRDefault="00B45FC3" w:rsidP="0063039A">
            <w:pPr>
              <w:rPr>
                <w:sz w:val="16"/>
                <w:szCs w:val="16"/>
                <w:lang w:bidi="th-TH"/>
              </w:rPr>
            </w:pPr>
            <w:r w:rsidRPr="00526311">
              <w:rPr>
                <w:sz w:val="16"/>
                <w:szCs w:val="16"/>
                <w:lang w:bidi="th-TH"/>
              </w:rPr>
              <w:t>Número de países que han establecido programas de formación en P.I. destinados a las pymes</w:t>
            </w:r>
          </w:p>
        </w:tc>
        <w:tc>
          <w:tcPr>
            <w:tcW w:w="895" w:type="pct"/>
            <w:tcBorders>
              <w:top w:val="nil"/>
              <w:bottom w:val="single" w:sz="4" w:space="0" w:color="auto"/>
            </w:tcBorders>
            <w:shd w:val="clear" w:color="auto" w:fill="auto"/>
          </w:tcPr>
          <w:p w:rsidR="00B45FC3" w:rsidRPr="00526311" w:rsidRDefault="00B45FC3" w:rsidP="0063039A">
            <w:pPr>
              <w:rPr>
                <w:sz w:val="16"/>
                <w:szCs w:val="16"/>
              </w:rPr>
            </w:pPr>
            <w:r w:rsidRPr="00526311">
              <w:rPr>
                <w:sz w:val="16"/>
                <w:szCs w:val="16"/>
              </w:rPr>
              <w:t>Por determinar</w:t>
            </w:r>
          </w:p>
        </w:tc>
        <w:tc>
          <w:tcPr>
            <w:tcW w:w="747" w:type="pct"/>
            <w:tcBorders>
              <w:top w:val="nil"/>
              <w:bottom w:val="single" w:sz="4" w:space="0" w:color="auto"/>
            </w:tcBorders>
            <w:tcMar>
              <w:top w:w="110" w:type="dxa"/>
            </w:tcMar>
          </w:tcPr>
          <w:p w:rsidR="00B45FC3" w:rsidRPr="00526311" w:rsidRDefault="00B45FC3" w:rsidP="0063039A">
            <w:pPr>
              <w:rPr>
                <w:sz w:val="16"/>
                <w:szCs w:val="16"/>
              </w:rPr>
            </w:pPr>
            <w:r w:rsidRPr="00526311">
              <w:rPr>
                <w:sz w:val="16"/>
                <w:szCs w:val="16"/>
              </w:rPr>
              <w:t>Por determinar</w:t>
            </w:r>
          </w:p>
        </w:tc>
        <w:tc>
          <w:tcPr>
            <w:tcW w:w="1641" w:type="pct"/>
            <w:gridSpan w:val="3"/>
            <w:tcBorders>
              <w:top w:val="nil"/>
              <w:bottom w:val="single" w:sz="4" w:space="0" w:color="auto"/>
            </w:tcBorders>
            <w:shd w:val="clear" w:color="auto" w:fill="FFFFFF"/>
            <w:tcMar>
              <w:top w:w="110" w:type="dxa"/>
            </w:tcMar>
          </w:tcPr>
          <w:p w:rsidR="00B45FC3" w:rsidRPr="00526311" w:rsidRDefault="00B45FC3" w:rsidP="0063039A">
            <w:pPr>
              <w:rPr>
                <w:sz w:val="16"/>
                <w:szCs w:val="16"/>
              </w:rPr>
            </w:pPr>
            <w:r w:rsidRPr="00526311">
              <w:rPr>
                <w:sz w:val="16"/>
                <w:szCs w:val="16"/>
              </w:rPr>
              <w:t>Los siguientes 13 países/organizaciones regionales notificaron haber establecido programas de formación en P.I. destinados a las pymes:  ARIPO, Armenia, Argentina, Belarús, Colombia, Emiratos Árabes Unidos, Georgia, Jordania, Kazajstán, Líbano, Papua Nueva Guinea, República Unida de Tanzanía y Uganda.</w:t>
            </w:r>
            <w:r w:rsidRPr="00526311">
              <w:rPr>
                <w:sz w:val="16"/>
                <w:szCs w:val="16"/>
              </w:rPr>
              <w:br/>
            </w:r>
          </w:p>
        </w:tc>
        <w:tc>
          <w:tcPr>
            <w:tcW w:w="597" w:type="pct"/>
            <w:tcBorders>
              <w:top w:val="nil"/>
              <w:bottom w:val="single" w:sz="4" w:space="0" w:color="auto"/>
            </w:tcBorders>
            <w:tcMar>
              <w:top w:w="110" w:type="dxa"/>
            </w:tcMar>
          </w:tcPr>
          <w:p w:rsidR="00B45FC3" w:rsidRPr="00526311" w:rsidRDefault="00B45FC3" w:rsidP="0063039A">
            <w:pPr>
              <w:keepNext/>
              <w:keepLines/>
              <w:jc w:val="center"/>
              <w:rPr>
                <w:rStyle w:val="Style5"/>
                <w:b/>
                <w:color w:val="808080" w:themeColor="background1" w:themeShade="80"/>
                <w:sz w:val="16"/>
                <w:szCs w:val="16"/>
              </w:rPr>
            </w:pPr>
            <w:r w:rsidRPr="00526311">
              <w:rPr>
                <w:rStyle w:val="Style5"/>
                <w:b/>
                <w:color w:val="808080" w:themeColor="background1" w:themeShade="80"/>
                <w:sz w:val="16"/>
                <w:szCs w:val="16"/>
              </w:rPr>
              <w:t>No mensurable</w:t>
            </w:r>
          </w:p>
        </w:tc>
      </w:tr>
      <w:tr w:rsidR="00B45FC3" w:rsidRPr="00526311" w:rsidTr="0063039A">
        <w:trPr>
          <w:cantSplit/>
        </w:trPr>
        <w:tc>
          <w:tcPr>
            <w:tcW w:w="5000" w:type="pct"/>
            <w:gridSpan w:val="7"/>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spacing w:before="120" w:after="120"/>
              <w:ind w:left="1701" w:hanging="1701"/>
              <w:rPr>
                <w:b/>
                <w:bCs/>
                <w:sz w:val="16"/>
                <w:szCs w:val="16"/>
              </w:rPr>
            </w:pPr>
            <w:r w:rsidRPr="00526311">
              <w:rPr>
                <w:b/>
                <w:bCs/>
                <w:sz w:val="16"/>
                <w:szCs w:val="16"/>
              </w:rPr>
              <w:t>Resultado previsto:</w:t>
            </w:r>
            <w:r w:rsidRPr="00526311">
              <w:rPr>
                <w:b/>
                <w:bCs/>
                <w:sz w:val="16"/>
                <w:szCs w:val="16"/>
              </w:rPr>
              <w:tab/>
            </w:r>
            <w:r w:rsidRPr="00526311">
              <w:rPr>
                <w:bCs/>
                <w:sz w:val="16"/>
                <w:szCs w:val="16"/>
              </w:rPr>
              <w:t>IV.2 Mejora del acceso y uso de información de P.I. por parte de instituciones de P.I. y el público para fomentar la innovación y la creatividad</w:t>
            </w:r>
          </w:p>
        </w:tc>
      </w:tr>
      <w:tr w:rsidR="00B45FC3" w:rsidRPr="00526311" w:rsidTr="0063039A">
        <w:trPr>
          <w:cantSplit/>
        </w:trPr>
        <w:tc>
          <w:tcPr>
            <w:tcW w:w="1119" w:type="pct"/>
            <w:tcBorders>
              <w:top w:val="single" w:sz="4" w:space="0" w:color="auto"/>
            </w:tcBorders>
            <w:vAlign w:val="center"/>
          </w:tcPr>
          <w:p w:rsidR="00B45FC3" w:rsidRPr="00526311" w:rsidRDefault="00B45FC3" w:rsidP="0063039A">
            <w:pPr>
              <w:rPr>
                <w:sz w:val="16"/>
                <w:szCs w:val="16"/>
              </w:rPr>
            </w:pPr>
            <w:r w:rsidRPr="00526311">
              <w:rPr>
                <w:b/>
                <w:sz w:val="16"/>
                <w:szCs w:val="16"/>
              </w:rPr>
              <w:t>Indicadores de rendimiento</w:t>
            </w:r>
          </w:p>
        </w:tc>
        <w:tc>
          <w:tcPr>
            <w:tcW w:w="895"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747" w:type="pct"/>
            <w:tcBorders>
              <w:top w:val="single" w:sz="4" w:space="0" w:color="auto"/>
            </w:tcBorders>
            <w:tcMar>
              <w:top w:w="110" w:type="dxa"/>
            </w:tcMar>
            <w:vAlign w:val="center"/>
          </w:tcPr>
          <w:p w:rsidR="00B45FC3" w:rsidRPr="00526311" w:rsidRDefault="00B45FC3" w:rsidP="0063039A">
            <w:pPr>
              <w:rPr>
                <w:b/>
                <w:sz w:val="16"/>
                <w:szCs w:val="16"/>
              </w:rPr>
            </w:pPr>
            <w:r w:rsidRPr="00526311">
              <w:rPr>
                <w:b/>
                <w:sz w:val="16"/>
                <w:szCs w:val="16"/>
              </w:rPr>
              <w:t>Objetivos</w:t>
            </w:r>
          </w:p>
        </w:tc>
        <w:tc>
          <w:tcPr>
            <w:tcW w:w="1490" w:type="pct"/>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748" w:type="pct"/>
            <w:gridSpan w:val="3"/>
            <w:tcBorders>
              <w:top w:val="single" w:sz="4" w:space="0" w:color="auto"/>
            </w:tcBorders>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c>
          <w:tcPr>
            <w:tcW w:w="1119" w:type="pct"/>
          </w:tcPr>
          <w:p w:rsidR="00B45FC3" w:rsidRPr="00526311" w:rsidRDefault="00B45FC3" w:rsidP="0063039A">
            <w:pPr>
              <w:rPr>
                <w:sz w:val="16"/>
                <w:szCs w:val="16"/>
                <w:lang w:bidi="th-TH"/>
              </w:rPr>
            </w:pPr>
            <w:r w:rsidRPr="00526311">
              <w:rPr>
                <w:sz w:val="16"/>
                <w:szCs w:val="16"/>
                <w:lang w:bidi="th-TH"/>
              </w:rPr>
              <w:t>Número de OTT sostenibles establecidas y/o consolidadas en las universidades o las instituciones de I+D</w:t>
            </w:r>
          </w:p>
        </w:tc>
        <w:tc>
          <w:tcPr>
            <w:tcW w:w="895" w:type="pct"/>
            <w:shd w:val="clear" w:color="auto" w:fill="auto"/>
          </w:tcPr>
          <w:p w:rsidR="00B45FC3" w:rsidRPr="00526311" w:rsidRDefault="00B45FC3" w:rsidP="0063039A">
            <w:pPr>
              <w:rPr>
                <w:sz w:val="16"/>
                <w:szCs w:val="16"/>
                <w:lang w:bidi="th-TH"/>
              </w:rPr>
            </w:pPr>
            <w:r w:rsidRPr="00526311">
              <w:rPr>
                <w:sz w:val="16"/>
                <w:szCs w:val="16"/>
                <w:lang w:bidi="th-TH"/>
              </w:rPr>
              <w:t>Por determinar</w:t>
            </w:r>
          </w:p>
        </w:tc>
        <w:tc>
          <w:tcPr>
            <w:tcW w:w="747" w:type="pct"/>
            <w:tcMar>
              <w:top w:w="110" w:type="dxa"/>
            </w:tcMar>
          </w:tcPr>
          <w:p w:rsidR="00B45FC3" w:rsidRPr="00526311" w:rsidRDefault="00B45FC3" w:rsidP="0063039A">
            <w:pPr>
              <w:rPr>
                <w:sz w:val="16"/>
                <w:szCs w:val="16"/>
              </w:rPr>
            </w:pPr>
            <w:r w:rsidRPr="00526311">
              <w:rPr>
                <w:sz w:val="16"/>
                <w:szCs w:val="16"/>
              </w:rPr>
              <w:t>Establecimiento de cinco OTT en la región árabe</w:t>
            </w:r>
          </w:p>
        </w:tc>
        <w:tc>
          <w:tcPr>
            <w:tcW w:w="1490" w:type="pct"/>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En 2014, el proyecto de OTT para la región árabe se revisó con el fin de ampliar su alcance geográfico, en atención a las peticiones de los Estados miembros.  Se avanzó en el proceso de consolidación de cuatro OTT en Túnez con miras a lograr su independencia operativa y sostenibilidad:</w:t>
            </w:r>
          </w:p>
          <w:p w:rsidR="00B45FC3" w:rsidRPr="00485CF4" w:rsidRDefault="00B45FC3" w:rsidP="00B45FC3">
            <w:pPr>
              <w:pStyle w:val="ListParagraph"/>
              <w:numPr>
                <w:ilvl w:val="0"/>
                <w:numId w:val="61"/>
              </w:numPr>
              <w:rPr>
                <w:rFonts w:cs="Arial"/>
                <w:i/>
                <w:sz w:val="16"/>
                <w:szCs w:val="16"/>
                <w:lang w:val="fr-FR" w:bidi="th-TH"/>
              </w:rPr>
            </w:pPr>
            <w:r w:rsidRPr="00485CF4">
              <w:rPr>
                <w:rFonts w:cs="Arial"/>
                <w:i/>
                <w:sz w:val="16"/>
                <w:szCs w:val="16"/>
                <w:lang w:val="fr-FR" w:bidi="th-TH"/>
              </w:rPr>
              <w:t>Centre Technique de la Chimie (CTC)</w:t>
            </w:r>
          </w:p>
          <w:p w:rsidR="00B45FC3" w:rsidRPr="00526311" w:rsidRDefault="00B45FC3" w:rsidP="00B45FC3">
            <w:pPr>
              <w:pStyle w:val="ListParagraph"/>
              <w:numPr>
                <w:ilvl w:val="0"/>
                <w:numId w:val="61"/>
              </w:numPr>
              <w:rPr>
                <w:rFonts w:cs="Arial"/>
                <w:i/>
                <w:sz w:val="16"/>
                <w:szCs w:val="16"/>
                <w:lang w:val="es-ES" w:bidi="th-TH"/>
              </w:rPr>
            </w:pPr>
            <w:r w:rsidRPr="00526311">
              <w:rPr>
                <w:rFonts w:cs="Arial"/>
                <w:sz w:val="16"/>
                <w:szCs w:val="16"/>
                <w:lang w:val="es-ES" w:bidi="th-TH"/>
              </w:rPr>
              <w:t>Parque tecnológico El Ghazala</w:t>
            </w:r>
          </w:p>
          <w:p w:rsidR="00B45FC3" w:rsidRPr="00526311" w:rsidRDefault="00B45FC3" w:rsidP="00B45FC3">
            <w:pPr>
              <w:pStyle w:val="ListParagraph"/>
              <w:numPr>
                <w:ilvl w:val="0"/>
                <w:numId w:val="61"/>
              </w:numPr>
              <w:rPr>
                <w:rFonts w:cs="Arial"/>
                <w:sz w:val="16"/>
                <w:szCs w:val="16"/>
                <w:lang w:val="es-ES" w:bidi="th-TH"/>
              </w:rPr>
            </w:pPr>
            <w:r w:rsidRPr="00526311">
              <w:rPr>
                <w:rFonts w:cs="Arial"/>
                <w:sz w:val="16"/>
                <w:szCs w:val="16"/>
                <w:lang w:val="es-ES" w:bidi="th-TH"/>
              </w:rPr>
              <w:t>Packtec, centro técnico de envasado</w:t>
            </w:r>
          </w:p>
          <w:p w:rsidR="00B45FC3" w:rsidRPr="00526311" w:rsidRDefault="00B45FC3" w:rsidP="00B45FC3">
            <w:pPr>
              <w:pStyle w:val="ListParagraph"/>
              <w:numPr>
                <w:ilvl w:val="0"/>
                <w:numId w:val="61"/>
              </w:numPr>
              <w:rPr>
                <w:rFonts w:cs="Arial"/>
                <w:sz w:val="16"/>
                <w:szCs w:val="16"/>
                <w:lang w:val="es-ES" w:bidi="th-TH"/>
              </w:rPr>
            </w:pPr>
            <w:r w:rsidRPr="00526311">
              <w:rPr>
                <w:rFonts w:cs="Arial"/>
                <w:sz w:val="16"/>
                <w:szCs w:val="16"/>
                <w:lang w:val="es-ES" w:bidi="th-TH"/>
              </w:rPr>
              <w:t>Parque tecnológico de Sidi Thabet (TST)</w:t>
            </w:r>
          </w:p>
          <w:p w:rsidR="00B45FC3" w:rsidRPr="00526311" w:rsidRDefault="00B45FC3" w:rsidP="0063039A">
            <w:pPr>
              <w:pStyle w:val="ListParagraph"/>
              <w:ind w:left="360"/>
              <w:rPr>
                <w:rFonts w:cs="Arial"/>
                <w:sz w:val="16"/>
                <w:szCs w:val="16"/>
                <w:lang w:val="es-ES" w:bidi="th-TH"/>
              </w:rPr>
            </w:pPr>
          </w:p>
          <w:p w:rsidR="00B45FC3" w:rsidRPr="00526311" w:rsidRDefault="00B45FC3" w:rsidP="0063039A">
            <w:pPr>
              <w:rPr>
                <w:sz w:val="16"/>
                <w:szCs w:val="16"/>
                <w:lang w:bidi="th-TH"/>
              </w:rPr>
            </w:pPr>
            <w:r w:rsidRPr="00526311">
              <w:rPr>
                <w:sz w:val="16"/>
                <w:szCs w:val="16"/>
                <w:lang w:bidi="th-TH"/>
              </w:rPr>
              <w:t>Según las respuestas de la encuesta, las siguientes universidades de Filipinas notificaron que la formación y el asesoramiento de la OMPI les habían resultado “útiles” o “sumamente útiles” para reforzar su OTT:</w:t>
            </w:r>
          </w:p>
          <w:p w:rsidR="00B45FC3" w:rsidRPr="00526311" w:rsidRDefault="00B45FC3" w:rsidP="0063039A">
            <w:pPr>
              <w:rPr>
                <w:sz w:val="16"/>
                <w:szCs w:val="16"/>
                <w:lang w:bidi="th-TH"/>
              </w:rPr>
            </w:pPr>
          </w:p>
        </w:tc>
        <w:tc>
          <w:tcPr>
            <w:tcW w:w="748" w:type="pct"/>
            <w:gridSpan w:val="3"/>
            <w:tcMar>
              <w:top w:w="110" w:type="dxa"/>
            </w:tcMar>
          </w:tcPr>
          <w:p w:rsidR="00B45FC3" w:rsidRPr="00526311" w:rsidRDefault="00B45FC3" w:rsidP="0063039A">
            <w:pPr>
              <w:keepNext/>
              <w:keepLines/>
              <w:jc w:val="center"/>
              <w:rPr>
                <w:b/>
                <w:bCs/>
                <w:color w:val="FF0000"/>
                <w:sz w:val="16"/>
                <w:szCs w:val="16"/>
              </w:rPr>
            </w:pPr>
            <w:r w:rsidRPr="00526311">
              <w:rPr>
                <w:b/>
                <w:bCs/>
                <w:color w:val="FF0000"/>
                <w:sz w:val="16"/>
                <w:szCs w:val="16"/>
              </w:rPr>
              <w:t>No avanza</w:t>
            </w:r>
          </w:p>
        </w:tc>
      </w:tr>
    </w:tbl>
    <w:p w:rsidR="00B45FC3" w:rsidRPr="00526311" w:rsidRDefault="00B45FC3">
      <w:r w:rsidRPr="00526311">
        <w:br w:type="page"/>
      </w:r>
    </w:p>
    <w:tbl>
      <w:tblPr>
        <w:tblW w:w="496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1701"/>
        <w:gridCol w:w="1420"/>
        <w:gridCol w:w="2832"/>
        <w:gridCol w:w="1421"/>
      </w:tblGrid>
      <w:tr w:rsidR="00B45FC3" w:rsidRPr="00526311" w:rsidTr="0063039A">
        <w:tc>
          <w:tcPr>
            <w:tcW w:w="1120" w:type="pct"/>
            <w:vAlign w:val="center"/>
          </w:tcPr>
          <w:p w:rsidR="00B45FC3" w:rsidRPr="00526311" w:rsidRDefault="00B45FC3" w:rsidP="0063039A">
            <w:pPr>
              <w:rPr>
                <w:sz w:val="16"/>
                <w:szCs w:val="16"/>
              </w:rPr>
            </w:pPr>
            <w:r w:rsidRPr="00526311">
              <w:rPr>
                <w:b/>
                <w:sz w:val="16"/>
                <w:szCs w:val="16"/>
              </w:rPr>
              <w:lastRenderedPageBreak/>
              <w:t>Indicadores de rendimiento</w:t>
            </w:r>
          </w:p>
        </w:tc>
        <w:tc>
          <w:tcPr>
            <w:tcW w:w="895" w:type="pct"/>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747" w:type="pct"/>
            <w:tcMar>
              <w:top w:w="110" w:type="dxa"/>
            </w:tcMar>
            <w:vAlign w:val="center"/>
          </w:tcPr>
          <w:p w:rsidR="00B45FC3" w:rsidRPr="00526311" w:rsidRDefault="00B45FC3" w:rsidP="0063039A">
            <w:pPr>
              <w:rPr>
                <w:b/>
                <w:sz w:val="16"/>
                <w:szCs w:val="16"/>
              </w:rPr>
            </w:pPr>
            <w:r w:rsidRPr="00526311">
              <w:rPr>
                <w:b/>
                <w:sz w:val="16"/>
                <w:szCs w:val="16"/>
              </w:rPr>
              <w:t>Objetivos</w:t>
            </w:r>
          </w:p>
        </w:tc>
        <w:tc>
          <w:tcPr>
            <w:tcW w:w="1490" w:type="pct"/>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748" w:type="pct"/>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c>
          <w:tcPr>
            <w:tcW w:w="1120" w:type="pct"/>
          </w:tcPr>
          <w:p w:rsidR="00B45FC3" w:rsidRPr="00526311" w:rsidRDefault="00B45FC3" w:rsidP="0063039A">
            <w:pPr>
              <w:rPr>
                <w:sz w:val="16"/>
                <w:szCs w:val="16"/>
                <w:lang w:bidi="th-TH"/>
              </w:rPr>
            </w:pPr>
          </w:p>
        </w:tc>
        <w:tc>
          <w:tcPr>
            <w:tcW w:w="895" w:type="pct"/>
            <w:shd w:val="clear" w:color="auto" w:fill="auto"/>
          </w:tcPr>
          <w:p w:rsidR="00B45FC3" w:rsidRPr="00526311" w:rsidRDefault="00B45FC3" w:rsidP="0063039A">
            <w:pPr>
              <w:rPr>
                <w:sz w:val="16"/>
                <w:szCs w:val="16"/>
                <w:lang w:bidi="th-TH"/>
              </w:rPr>
            </w:pPr>
          </w:p>
        </w:tc>
        <w:tc>
          <w:tcPr>
            <w:tcW w:w="747" w:type="pct"/>
            <w:tcMar>
              <w:top w:w="110" w:type="dxa"/>
            </w:tcMar>
          </w:tcPr>
          <w:p w:rsidR="00B45FC3" w:rsidRPr="00526311" w:rsidRDefault="00B45FC3" w:rsidP="0063039A">
            <w:pPr>
              <w:rPr>
                <w:sz w:val="16"/>
                <w:szCs w:val="16"/>
              </w:rPr>
            </w:pPr>
          </w:p>
        </w:tc>
        <w:tc>
          <w:tcPr>
            <w:tcW w:w="1490" w:type="pct"/>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 xml:space="preserve">i) Universidad Politécnica de Filipinas, Oficina del Vicepresidente de Investigación, Divulgación, Planificación y Desarrollo;  ii) Oficina de Investigación de la </w:t>
            </w:r>
            <w:r w:rsidRPr="00526311">
              <w:rPr>
                <w:i/>
                <w:sz w:val="16"/>
                <w:szCs w:val="16"/>
                <w:lang w:bidi="th-TH"/>
              </w:rPr>
              <w:t>Samar State University, State University of Western Philippines</w:t>
            </w:r>
            <w:r w:rsidRPr="00526311">
              <w:rPr>
                <w:sz w:val="16"/>
                <w:szCs w:val="16"/>
                <w:lang w:bidi="th-TH"/>
              </w:rPr>
              <w:t xml:space="preserve">, OTT de la Facultad de Ingeniería;  iii) </w:t>
            </w:r>
            <w:r w:rsidRPr="00526311">
              <w:rPr>
                <w:i/>
                <w:sz w:val="16"/>
                <w:szCs w:val="16"/>
                <w:lang w:bidi="th-TH"/>
              </w:rPr>
              <w:t>Technology Application and Promotion Institute</w:t>
            </w:r>
            <w:r w:rsidRPr="00526311">
              <w:rPr>
                <w:sz w:val="16"/>
                <w:szCs w:val="16"/>
                <w:lang w:bidi="th-TH"/>
              </w:rPr>
              <w:t xml:space="preserve"> (División de Fomento de la Invención, </w:t>
            </w:r>
            <w:r w:rsidRPr="00526311">
              <w:rPr>
                <w:i/>
                <w:sz w:val="16"/>
                <w:szCs w:val="16"/>
                <w:lang w:bidi="th-TH"/>
              </w:rPr>
              <w:t>Technology University of the Philippines</w:t>
            </w:r>
            <w:r w:rsidRPr="00526311">
              <w:rPr>
                <w:sz w:val="16"/>
                <w:szCs w:val="16"/>
                <w:lang w:bidi="th-TH"/>
              </w:rPr>
              <w:t xml:space="preserve">, Oficina de Apoyo a la Innovación Tecnológica de Visayas;  iv) </w:t>
            </w:r>
            <w:r w:rsidRPr="00526311">
              <w:rPr>
                <w:i/>
                <w:sz w:val="16"/>
                <w:szCs w:val="16"/>
                <w:lang w:bidi="th-TH"/>
              </w:rPr>
              <w:t>University of Santo Tomas</w:t>
            </w:r>
            <w:r w:rsidRPr="00526311">
              <w:rPr>
                <w:sz w:val="16"/>
                <w:szCs w:val="16"/>
                <w:lang w:bidi="th-TH"/>
              </w:rPr>
              <w:t xml:space="preserve">, Oficinas de Apoyo a la Innovación Tecnológica;  v) </w:t>
            </w:r>
            <w:r w:rsidRPr="00526311">
              <w:rPr>
                <w:i/>
                <w:sz w:val="16"/>
                <w:szCs w:val="16"/>
                <w:lang w:bidi="th-TH"/>
              </w:rPr>
              <w:t>University of Southeastern Philippines</w:t>
            </w:r>
            <w:r w:rsidRPr="00526311">
              <w:rPr>
                <w:sz w:val="16"/>
                <w:szCs w:val="16"/>
                <w:lang w:bidi="th-TH"/>
              </w:rPr>
              <w:t>, División de Investigación;  vi) Universidad de Filipinas, Dirección de P.I. y Actividades de Comercialización</w:t>
            </w:r>
          </w:p>
        </w:tc>
        <w:tc>
          <w:tcPr>
            <w:tcW w:w="748" w:type="pct"/>
            <w:tcMar>
              <w:top w:w="110" w:type="dxa"/>
            </w:tcMar>
          </w:tcPr>
          <w:p w:rsidR="00B45FC3" w:rsidRPr="00526311" w:rsidRDefault="00B45FC3" w:rsidP="0063039A">
            <w:pPr>
              <w:keepNext/>
              <w:keepLines/>
              <w:jc w:val="center"/>
              <w:rPr>
                <w:bCs/>
                <w:sz w:val="16"/>
                <w:szCs w:val="16"/>
              </w:rPr>
            </w:pPr>
          </w:p>
        </w:tc>
      </w:tr>
      <w:tr w:rsidR="00B45FC3" w:rsidRPr="00526311" w:rsidTr="0063039A">
        <w:trPr>
          <w:cantSplit/>
        </w:trPr>
        <w:tc>
          <w:tcPr>
            <w:tcW w:w="1120" w:type="pct"/>
          </w:tcPr>
          <w:p w:rsidR="00B45FC3" w:rsidRPr="00526311" w:rsidRDefault="00B45FC3" w:rsidP="0063039A">
            <w:pPr>
              <w:rPr>
                <w:sz w:val="16"/>
                <w:szCs w:val="16"/>
                <w:lang w:bidi="th-TH"/>
              </w:rPr>
            </w:pPr>
            <w:r w:rsidRPr="00526311">
              <w:rPr>
                <w:sz w:val="16"/>
                <w:szCs w:val="16"/>
                <w:lang w:bidi="th-TH"/>
              </w:rPr>
              <w:t>Número de universidades y/o institutos de investigación que han establecido políticas de P.I.</w:t>
            </w:r>
          </w:p>
        </w:tc>
        <w:tc>
          <w:tcPr>
            <w:tcW w:w="895" w:type="pct"/>
            <w:shd w:val="clear" w:color="auto" w:fill="auto"/>
          </w:tcPr>
          <w:p w:rsidR="00B45FC3" w:rsidRPr="00526311" w:rsidRDefault="00B45FC3" w:rsidP="0063039A">
            <w:pPr>
              <w:rPr>
                <w:sz w:val="16"/>
                <w:szCs w:val="16"/>
                <w:lang w:bidi="th-TH"/>
              </w:rPr>
            </w:pPr>
            <w:r w:rsidRPr="00526311">
              <w:rPr>
                <w:sz w:val="16"/>
                <w:szCs w:val="16"/>
                <w:lang w:bidi="th-TH"/>
              </w:rPr>
              <w:t>Por determinar</w:t>
            </w:r>
          </w:p>
        </w:tc>
        <w:tc>
          <w:tcPr>
            <w:tcW w:w="747" w:type="pct"/>
            <w:tcMar>
              <w:top w:w="110" w:type="dxa"/>
            </w:tcMar>
          </w:tcPr>
          <w:p w:rsidR="00B45FC3" w:rsidRPr="00526311" w:rsidRDefault="00B45FC3" w:rsidP="0063039A">
            <w:pPr>
              <w:rPr>
                <w:sz w:val="16"/>
                <w:szCs w:val="16"/>
                <w:lang w:bidi="th-TH"/>
              </w:rPr>
            </w:pPr>
            <w:r w:rsidRPr="00526311">
              <w:rPr>
                <w:sz w:val="16"/>
                <w:szCs w:val="16"/>
                <w:lang w:bidi="th-TH"/>
              </w:rPr>
              <w:t>Otras 20 universidades</w:t>
            </w:r>
          </w:p>
        </w:tc>
        <w:tc>
          <w:tcPr>
            <w:tcW w:w="1490" w:type="pct"/>
            <w:shd w:val="clear" w:color="auto" w:fill="FFFFFF"/>
            <w:tcMar>
              <w:top w:w="110" w:type="dxa"/>
            </w:tcMar>
          </w:tcPr>
          <w:p w:rsidR="00B45FC3" w:rsidRPr="00526311" w:rsidRDefault="00B45FC3" w:rsidP="0063039A">
            <w:pPr>
              <w:rPr>
                <w:sz w:val="16"/>
                <w:szCs w:val="16"/>
              </w:rPr>
            </w:pPr>
            <w:r w:rsidRPr="00526311">
              <w:rPr>
                <w:sz w:val="16"/>
                <w:szCs w:val="16"/>
              </w:rPr>
              <w:t>Se establecieron políticas de P.I. en 150 universidades:</w:t>
            </w:r>
          </w:p>
          <w:p w:rsidR="00B45FC3" w:rsidRPr="00526311" w:rsidRDefault="00B45FC3" w:rsidP="00B45FC3">
            <w:pPr>
              <w:pStyle w:val="ListParagraph"/>
              <w:numPr>
                <w:ilvl w:val="0"/>
                <w:numId w:val="54"/>
              </w:numPr>
              <w:rPr>
                <w:rFonts w:cs="Arial"/>
                <w:sz w:val="16"/>
                <w:szCs w:val="16"/>
                <w:lang w:val="es-ES"/>
              </w:rPr>
            </w:pPr>
            <w:r w:rsidRPr="00526311">
              <w:rPr>
                <w:rFonts w:cs="Arial"/>
                <w:sz w:val="16"/>
                <w:szCs w:val="16"/>
                <w:lang w:val="es-ES"/>
              </w:rPr>
              <w:t>Polonia (148) (como consecuencia de una modificación de la ley en octubre de 2014);</w:t>
            </w:r>
          </w:p>
          <w:p w:rsidR="00B45FC3" w:rsidRPr="00526311" w:rsidRDefault="00B45FC3" w:rsidP="00B45FC3">
            <w:pPr>
              <w:pStyle w:val="ListParagraph"/>
              <w:numPr>
                <w:ilvl w:val="0"/>
                <w:numId w:val="54"/>
              </w:numPr>
              <w:rPr>
                <w:rFonts w:cs="Arial"/>
                <w:sz w:val="16"/>
                <w:szCs w:val="16"/>
                <w:lang w:val="es-ES"/>
              </w:rPr>
            </w:pPr>
            <w:r w:rsidRPr="00526311">
              <w:rPr>
                <w:rFonts w:cs="Arial"/>
                <w:sz w:val="16"/>
                <w:szCs w:val="16"/>
                <w:lang w:val="es-ES"/>
              </w:rPr>
              <w:t>Federación de Rusia (1) y</w:t>
            </w:r>
          </w:p>
          <w:p w:rsidR="00B45FC3" w:rsidRPr="00526311" w:rsidRDefault="00B45FC3" w:rsidP="00B45FC3">
            <w:pPr>
              <w:pStyle w:val="ListParagraph"/>
              <w:numPr>
                <w:ilvl w:val="0"/>
                <w:numId w:val="54"/>
              </w:numPr>
              <w:rPr>
                <w:rFonts w:cs="Arial"/>
                <w:sz w:val="16"/>
                <w:szCs w:val="16"/>
                <w:lang w:val="es-ES"/>
              </w:rPr>
            </w:pPr>
            <w:r w:rsidRPr="00526311">
              <w:rPr>
                <w:rFonts w:cs="Arial"/>
                <w:sz w:val="16"/>
                <w:szCs w:val="16"/>
                <w:lang w:val="es-ES"/>
              </w:rPr>
              <w:t>Uzbekistán (1)</w:t>
            </w:r>
            <w:r w:rsidRPr="00526311">
              <w:rPr>
                <w:rStyle w:val="FootnoteReference"/>
                <w:rFonts w:cs="Arial"/>
                <w:sz w:val="16"/>
                <w:szCs w:val="16"/>
                <w:lang w:val="es-ES"/>
              </w:rPr>
              <w:footnoteReference w:id="39"/>
            </w:r>
          </w:p>
        </w:tc>
        <w:tc>
          <w:tcPr>
            <w:tcW w:w="748" w:type="pct"/>
            <w:tcMar>
              <w:top w:w="110" w:type="dxa"/>
            </w:tcMar>
          </w:tcPr>
          <w:p w:rsidR="00B45FC3" w:rsidRPr="00526311" w:rsidRDefault="00B45FC3" w:rsidP="0063039A">
            <w:pPr>
              <w:keepNext/>
              <w:keepLines/>
              <w:jc w:val="center"/>
              <w:rPr>
                <w:bCs/>
                <w:sz w:val="16"/>
                <w:szCs w:val="16"/>
              </w:rPr>
            </w:pPr>
            <w:r w:rsidRPr="00526311">
              <w:rPr>
                <w:b/>
                <w:color w:val="00B050"/>
                <w:sz w:val="16"/>
                <w:szCs w:val="16"/>
              </w:rPr>
              <w:t>Avanza</w:t>
            </w:r>
          </w:p>
        </w:tc>
      </w:tr>
    </w:tbl>
    <w:p w:rsidR="00B45FC3" w:rsidRPr="00526311" w:rsidRDefault="00B45FC3" w:rsidP="0063039A">
      <w:pPr>
        <w:tabs>
          <w:tab w:val="left" w:pos="720"/>
        </w:tabs>
        <w:rPr>
          <w:sz w:val="20"/>
        </w:rPr>
      </w:pPr>
    </w:p>
    <w:p w:rsidR="00B45FC3" w:rsidRPr="00526311" w:rsidRDefault="00B45FC3" w:rsidP="0063039A">
      <w:pPr>
        <w:rPr>
          <w:color w:val="000000"/>
          <w:sz w:val="20"/>
        </w:rPr>
      </w:pPr>
    </w:p>
    <w:p w:rsidR="00B45FC3" w:rsidRPr="00526311" w:rsidRDefault="00B45FC3" w:rsidP="0063039A">
      <w:pPr>
        <w:keepNext/>
        <w:keepLines/>
      </w:pPr>
      <w:r w:rsidRPr="00526311">
        <w:rPr>
          <w:szCs w:val="22"/>
        </w:rPr>
        <w:t>UTILIZACIÓN DE LOS RECURSOS</w:t>
      </w:r>
    </w:p>
    <w:p w:rsidR="00B45FC3" w:rsidRPr="00526311" w:rsidRDefault="00B45FC3" w:rsidP="0063039A">
      <w:pPr>
        <w:keepNext/>
        <w:keepLines/>
        <w:rPr>
          <w:sz w:val="20"/>
        </w:rPr>
      </w:pPr>
    </w:p>
    <w:p w:rsidR="00B45FC3" w:rsidRPr="00526311" w:rsidRDefault="00B45FC3"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B45FC3" w:rsidRPr="00526311" w:rsidRDefault="00B45FC3"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pStyle w:val="NormalWeb"/>
        <w:keepNext/>
        <w:keepLines/>
        <w:spacing w:before="0" w:beforeAutospacing="0" w:after="0" w:afterAutospacing="0"/>
        <w:jc w:val="center"/>
        <w:rPr>
          <w:sz w:val="20"/>
          <w:szCs w:val="20"/>
          <w:lang w:val="es-ES"/>
        </w:rPr>
      </w:pPr>
    </w:p>
    <w:p w:rsidR="00B45FC3" w:rsidRPr="00526311" w:rsidRDefault="00480C52" w:rsidP="0063039A">
      <w:pPr>
        <w:keepNext/>
        <w:keepLines/>
        <w:jc w:val="center"/>
      </w:pPr>
      <w:r w:rsidRPr="00526311">
        <w:rPr>
          <w:noProof/>
          <w:lang w:val="en-US" w:eastAsia="en-US"/>
        </w:rPr>
        <w:drawing>
          <wp:inline distT="0" distB="0" distL="0" distR="0" wp14:anchorId="034A9F2D" wp14:editId="60C923AA">
            <wp:extent cx="5819775" cy="2800350"/>
            <wp:effectExtent l="0" t="0" r="9525"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19775" cy="2800350"/>
                    </a:xfrm>
                    <a:prstGeom prst="rect">
                      <a:avLst/>
                    </a:prstGeom>
                    <a:noFill/>
                    <a:ln>
                      <a:noFill/>
                    </a:ln>
                  </pic:spPr>
                </pic:pic>
              </a:graphicData>
            </a:graphic>
          </wp:inline>
        </w:drawing>
      </w:r>
    </w:p>
    <w:p w:rsidR="00B45FC3" w:rsidRPr="00526311" w:rsidRDefault="00B45FC3" w:rsidP="0063039A"/>
    <w:p w:rsidR="00B45FC3" w:rsidRPr="00526311" w:rsidRDefault="00B45FC3" w:rsidP="0063039A"/>
    <w:p w:rsidR="00B45FC3" w:rsidRPr="00526311" w:rsidRDefault="00B45FC3" w:rsidP="0063039A">
      <w:pPr>
        <w:pStyle w:val="NormalWeb"/>
        <w:keepNext/>
        <w:keepLines/>
        <w:spacing w:before="0" w:beforeAutospacing="0" w:after="0" w:afterAutospacing="0"/>
        <w:jc w:val="center"/>
        <w:rPr>
          <w:sz w:val="20"/>
          <w:szCs w:val="20"/>
          <w:lang w:val="es-ES"/>
        </w:rPr>
      </w:pPr>
      <w:r w:rsidRPr="00526311">
        <w:rPr>
          <w:sz w:val="20"/>
          <w:szCs w:val="20"/>
          <w:lang w:val="es-ES"/>
        </w:rPr>
        <w:lastRenderedPageBreak/>
        <w:t xml:space="preserve">Presupuesto y gastos reales (de personal y no relativos a personal) </w:t>
      </w:r>
    </w:p>
    <w:p w:rsidR="00B45FC3" w:rsidRPr="00526311" w:rsidRDefault="00B45FC3"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pStyle w:val="NormalWeb"/>
        <w:keepNext/>
        <w:keepLines/>
        <w:spacing w:before="0" w:beforeAutospacing="0" w:after="0" w:afterAutospacing="0"/>
        <w:jc w:val="center"/>
        <w:rPr>
          <w:lang w:val="es-ES"/>
        </w:rPr>
      </w:pPr>
    </w:p>
    <w:p w:rsidR="00B45FC3" w:rsidRPr="00526311" w:rsidRDefault="00FF6E74" w:rsidP="0063039A">
      <w:pPr>
        <w:jc w:val="center"/>
      </w:pPr>
      <w:bookmarkStart w:id="44" w:name="Punto30"/>
      <w:r w:rsidRPr="00526311">
        <w:rPr>
          <w:noProof/>
          <w:lang w:val="en-US" w:eastAsia="en-US"/>
        </w:rPr>
        <w:drawing>
          <wp:inline distT="0" distB="0" distL="0" distR="0" wp14:anchorId="1F6A11F2" wp14:editId="433F2B95">
            <wp:extent cx="5940425" cy="1285188"/>
            <wp:effectExtent l="0" t="0" r="3175"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0425" cy="1285188"/>
                    </a:xfrm>
                    <a:prstGeom prst="rect">
                      <a:avLst/>
                    </a:prstGeom>
                    <a:noFill/>
                    <a:ln>
                      <a:noFill/>
                    </a:ln>
                  </pic:spPr>
                </pic:pic>
              </a:graphicData>
            </a:graphic>
          </wp:inline>
        </w:drawing>
      </w:r>
      <w:bookmarkEnd w:id="44"/>
    </w:p>
    <w:p w:rsidR="00B45FC3" w:rsidRPr="00526311" w:rsidRDefault="00B45FC3" w:rsidP="0063039A">
      <w:pPr>
        <w:widowControl w:val="0"/>
        <w:autoSpaceDE w:val="0"/>
        <w:autoSpaceDN w:val="0"/>
        <w:adjustRightInd w:val="0"/>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B45FC3" w:rsidRPr="00526311" w:rsidRDefault="00B45FC3" w:rsidP="0063039A">
      <w:pPr>
        <w:rPr>
          <w:sz w:val="20"/>
        </w:rPr>
      </w:pPr>
    </w:p>
    <w:p w:rsidR="00B45FC3" w:rsidRPr="00526311" w:rsidRDefault="00B45FC3"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B45FC3" w:rsidRPr="00526311" w:rsidRDefault="00B45FC3" w:rsidP="0063039A">
      <w:pPr>
        <w:rPr>
          <w:sz w:val="20"/>
          <w:u w:val="single"/>
        </w:rPr>
      </w:pPr>
    </w:p>
    <w:p w:rsidR="00B45FC3" w:rsidRPr="00526311" w:rsidRDefault="00B45FC3" w:rsidP="00B45FC3">
      <w:pPr>
        <w:pStyle w:val="ListParagraph"/>
        <w:numPr>
          <w:ilvl w:val="0"/>
          <w:numId w:val="60"/>
        </w:numPr>
        <w:tabs>
          <w:tab w:val="left" w:pos="709"/>
        </w:tabs>
        <w:ind w:left="0" w:firstLine="0"/>
        <w:jc w:val="both"/>
        <w:rPr>
          <w:rFonts w:eastAsia="Arial" w:cs="Arial"/>
          <w:lang w:val="es-ES"/>
        </w:rPr>
      </w:pPr>
      <w:r w:rsidRPr="00526311">
        <w:rPr>
          <w:rFonts w:eastAsia="Arial" w:cs="Arial"/>
          <w:lang w:val="es-ES"/>
        </w:rPr>
        <w:t>La disminución de los recursos de personal observada en el presupuesto de 2014/15 tras las transferencias con respecto al presupuesto aprobado de 2014/15 se debe a los siguientes factores:  i) el traspaso de las responsabilidades relativas a la ejecución de los proyectos de la A.D. sobre los modelos de colaboración abierta y la transferencia de tecnología al programa 5 (Sistema del PCT) y ii) el retraso en la determinación de las aptitudes y competencias idóneas para apoyar las actividades del programa con objeto de compensar la trasferencia de un empleado a otro programa.</w:t>
      </w:r>
    </w:p>
    <w:p w:rsidR="00B45FC3" w:rsidRPr="00526311" w:rsidRDefault="00B45FC3" w:rsidP="0063039A">
      <w:pPr>
        <w:pStyle w:val="ListParagraph"/>
        <w:tabs>
          <w:tab w:val="left" w:pos="709"/>
        </w:tabs>
        <w:ind w:left="0"/>
        <w:contextualSpacing/>
        <w:jc w:val="both"/>
        <w:rPr>
          <w:rFonts w:eastAsia="Arial" w:cs="Arial"/>
          <w:lang w:val="es-ES"/>
        </w:rPr>
      </w:pPr>
    </w:p>
    <w:p w:rsidR="00B45FC3" w:rsidRPr="00526311" w:rsidRDefault="00B45FC3" w:rsidP="00B45FC3">
      <w:pPr>
        <w:pStyle w:val="ListParagraph"/>
        <w:numPr>
          <w:ilvl w:val="0"/>
          <w:numId w:val="60"/>
        </w:numPr>
        <w:tabs>
          <w:tab w:val="left" w:pos="709"/>
        </w:tabs>
        <w:ind w:left="0" w:firstLine="0"/>
        <w:jc w:val="both"/>
        <w:rPr>
          <w:rFonts w:cs="Arial"/>
          <w:lang w:val="es-ES" w:eastAsia="ko-KR"/>
        </w:rPr>
      </w:pPr>
      <w:r w:rsidRPr="00526311">
        <w:rPr>
          <w:rFonts w:cs="Arial"/>
          <w:lang w:val="es-ES" w:eastAsia="ko-KR"/>
        </w:rPr>
        <w:t>El descenso neto que se aprecia en los recursos no relativos a personal refleja el ajuste a la baja resultante principalmente del traspaso al programa 1 de la responsabilidad relativa a la formación sobre la redacción de solicitudes de patente.</w:t>
      </w:r>
    </w:p>
    <w:p w:rsidR="00B45FC3" w:rsidRPr="00526311" w:rsidRDefault="00B45FC3" w:rsidP="0063039A">
      <w:pPr>
        <w:autoSpaceDE w:val="0"/>
        <w:autoSpaceDN w:val="0"/>
        <w:jc w:val="both"/>
        <w:rPr>
          <w:sz w:val="20"/>
          <w:lang w:eastAsia="ko-KR"/>
        </w:rPr>
      </w:pPr>
    </w:p>
    <w:p w:rsidR="00B45FC3" w:rsidRPr="00526311" w:rsidRDefault="00B45FC3"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B45FC3" w:rsidRPr="00526311" w:rsidRDefault="00B45FC3" w:rsidP="0063039A">
      <w:pPr>
        <w:tabs>
          <w:tab w:val="left" w:pos="709"/>
        </w:tabs>
        <w:jc w:val="both"/>
        <w:rPr>
          <w:sz w:val="20"/>
          <w:u w:val="single"/>
          <w:lang w:eastAsia="ko-KR"/>
        </w:rPr>
      </w:pPr>
    </w:p>
    <w:p w:rsidR="00B45FC3" w:rsidRPr="00526311" w:rsidRDefault="00B45FC3" w:rsidP="00526311">
      <w:pPr>
        <w:pStyle w:val="ListParagraph"/>
        <w:numPr>
          <w:ilvl w:val="0"/>
          <w:numId w:val="60"/>
        </w:numPr>
        <w:tabs>
          <w:tab w:val="left" w:pos="709"/>
        </w:tabs>
        <w:ind w:left="0" w:firstLine="0"/>
        <w:jc w:val="both"/>
        <w:rPr>
          <w:lang w:val="es-ES"/>
        </w:rPr>
      </w:pPr>
      <w:r w:rsidRPr="00526311">
        <w:rPr>
          <w:rFonts w:cs="Arial"/>
          <w:lang w:val="es-ES"/>
        </w:rPr>
        <w:t xml:space="preserve">La escasa utilización de los recursos no relativos a personal se debió fundamentalmente a que el ritmo de </w:t>
      </w:r>
      <w:r w:rsidRPr="00526311">
        <w:rPr>
          <w:rFonts w:cs="Arial"/>
          <w:lang w:val="es-ES" w:eastAsia="ko-KR"/>
        </w:rPr>
        <w:t>ejecución</w:t>
      </w:r>
      <w:r w:rsidRPr="00526311">
        <w:rPr>
          <w:rFonts w:cs="Arial"/>
          <w:lang w:val="es-ES"/>
        </w:rPr>
        <w:t xml:space="preserve"> de las actividades fue más lento de lo previsto, especialmente en relación con el resultado previsto</w:t>
      </w:r>
      <w:r w:rsidRPr="00526311">
        <w:rPr>
          <w:lang w:val="es-ES"/>
        </w:rPr>
        <w:t xml:space="preserve"> </w:t>
      </w:r>
      <w:r w:rsidRPr="00526311">
        <w:rPr>
          <w:rFonts w:cs="Arial"/>
          <w:lang w:val="es-ES"/>
        </w:rPr>
        <w:t>IV.</w:t>
      </w:r>
      <w:r w:rsidRPr="00D77AF3">
        <w:rPr>
          <w:rFonts w:cs="Arial"/>
          <w:lang w:val="es-ES"/>
        </w:rPr>
        <w:t xml:space="preserve">2 </w:t>
      </w:r>
      <w:r w:rsidR="00526311" w:rsidRPr="00526311">
        <w:rPr>
          <w:rFonts w:cs="Arial"/>
          <w:lang w:val="es-ES"/>
        </w:rPr>
        <w:t>(</w:t>
      </w:r>
      <w:r w:rsidR="0019082E" w:rsidRPr="00D77AF3">
        <w:rPr>
          <w:rFonts w:cs="Arial"/>
          <w:lang w:val="es-ES"/>
        </w:rPr>
        <w:t xml:space="preserve">Mejora </w:t>
      </w:r>
      <w:r w:rsidR="0019082E" w:rsidRPr="00526311">
        <w:rPr>
          <w:rFonts w:cs="Arial"/>
          <w:lang w:val="es-ES"/>
        </w:rPr>
        <w:t>del acceso y uso de información de P.I. por parte de instituciones de P.I. y el público para fomentar la innovación y la creatividad</w:t>
      </w:r>
      <w:r w:rsidRPr="00526311">
        <w:rPr>
          <w:rFonts w:cs="Arial"/>
          <w:lang w:val="es-ES"/>
        </w:rPr>
        <w:t>).</w:t>
      </w:r>
    </w:p>
    <w:p w:rsidR="00B45FC3" w:rsidRPr="00526311" w:rsidRDefault="00B45FC3" w:rsidP="0063039A">
      <w:pPr>
        <w:rPr>
          <w:sz w:val="20"/>
        </w:rPr>
      </w:pPr>
    </w:p>
    <w:p w:rsidR="00B45FC3" w:rsidRPr="00526311" w:rsidRDefault="00B45FC3" w:rsidP="0063039A">
      <w:pPr>
        <w:rPr>
          <w:sz w:val="20"/>
        </w:rPr>
      </w:pPr>
    </w:p>
    <w:p w:rsidR="00B45FC3" w:rsidRPr="00526311" w:rsidRDefault="00B45FC3">
      <w:pPr>
        <w:rPr>
          <w:rFonts w:eastAsia="Times New Roman"/>
          <w:b/>
          <w:bCs/>
          <w:iCs/>
          <w:caps/>
          <w:sz w:val="20"/>
          <w:lang w:eastAsia="da-DK"/>
        </w:rPr>
      </w:pPr>
      <w:bookmarkStart w:id="45" w:name="_Toc367350587"/>
      <w:r w:rsidRPr="00526311">
        <w:rPr>
          <w:sz w:val="20"/>
        </w:rPr>
        <w:br w:type="page"/>
      </w:r>
    </w:p>
    <w:p w:rsidR="00B45FC3" w:rsidRPr="00526311" w:rsidRDefault="00173D9F" w:rsidP="0063039A">
      <w:pPr>
        <w:pStyle w:val="StyleHeading214ptAuto"/>
        <w:rPr>
          <w:rFonts w:ascii="Arial" w:hAnsi="Arial" w:cs="Arial"/>
          <w:sz w:val="20"/>
          <w:szCs w:val="20"/>
          <w:lang w:val="es-ES"/>
        </w:rPr>
      </w:pPr>
      <w:bookmarkStart w:id="46" w:name="_Toc422927420"/>
      <w:r w:rsidRPr="00526311">
        <w:rPr>
          <w:rFonts w:ascii="Arial" w:hAnsi="Arial" w:cs="Arial"/>
          <w:caps w:val="0"/>
          <w:sz w:val="20"/>
          <w:szCs w:val="20"/>
          <w:lang w:val="es-ES"/>
        </w:rPr>
        <w:lastRenderedPageBreak/>
        <w:t>META ESTRATÉGICA IV</w:t>
      </w:r>
      <w:bookmarkEnd w:id="46"/>
    </w:p>
    <w:p w:rsidR="00B45FC3" w:rsidRPr="00526311" w:rsidRDefault="00B45FC3" w:rsidP="0063039A">
      <w:pPr>
        <w:jc w:val="center"/>
      </w:pPr>
    </w:p>
    <w:bookmarkEnd w:id="45"/>
    <w:p w:rsidR="00B45FC3" w:rsidRPr="00526311" w:rsidRDefault="00B45FC3" w:rsidP="0063039A">
      <w:pPr>
        <w:jc w:val="center"/>
        <w:rPr>
          <w:b/>
          <w:sz w:val="20"/>
        </w:rPr>
      </w:pPr>
      <w:r w:rsidRPr="00526311">
        <w:rPr>
          <w:b/>
          <w:sz w:val="20"/>
        </w:rPr>
        <w:t>COORDINACIÓN Y DESARROLLO DE LA INFRAESTRUCTURA MUNDIAL DE P.I.</w:t>
      </w:r>
    </w:p>
    <w:p w:rsidR="00B45FC3" w:rsidRPr="00526311" w:rsidRDefault="00B45FC3" w:rsidP="0063039A">
      <w:pPr>
        <w:jc w:val="center"/>
        <w:rPr>
          <w:b/>
          <w:sz w:val="20"/>
        </w:rPr>
      </w:pPr>
    </w:p>
    <w:p w:rsidR="00B45FC3" w:rsidRPr="00526311" w:rsidRDefault="00B45FC3" w:rsidP="0063039A">
      <w:pPr>
        <w:jc w:val="center"/>
        <w:rPr>
          <w:b/>
          <w:sz w:val="20"/>
        </w:rPr>
      </w:pPr>
      <w:r w:rsidRPr="00526311">
        <w:rPr>
          <w:b/>
          <w:sz w:val="20"/>
        </w:rPr>
        <w:t>Tablero de control del rendimiento a mediano plazo (2014)</w:t>
      </w:r>
    </w:p>
    <w:p w:rsidR="00B45FC3" w:rsidRPr="00526311" w:rsidRDefault="00B45FC3" w:rsidP="0063039A">
      <w:pPr>
        <w:jc w:val="center"/>
        <w:rPr>
          <w:b/>
          <w:sz w:val="20"/>
        </w:rPr>
      </w:pPr>
    </w:p>
    <w:p w:rsidR="00B45FC3" w:rsidRPr="00526311" w:rsidRDefault="00B45FC3" w:rsidP="0063039A">
      <w:pPr>
        <w:jc w:val="both"/>
        <w:rPr>
          <w:sz w:val="20"/>
        </w:rPr>
      </w:pPr>
      <w:r w:rsidRPr="00526311">
        <w:rPr>
          <w:sz w:val="20"/>
        </w:rPr>
        <w:t>En el siguiente tablero de control se reseñan los avances realizados hacia la consecución de los resultados en 2014, medidos con arreglo a los indicadores del programa o programas que contribuyen al logro de esta meta estratégica.</w:t>
      </w:r>
    </w:p>
    <w:p w:rsidR="00B45FC3" w:rsidRPr="00526311" w:rsidRDefault="00554DC6" w:rsidP="0063039A">
      <w:pPr>
        <w:jc w:val="center"/>
      </w:pPr>
      <w:r w:rsidRPr="00526311">
        <w:rPr>
          <w:noProof/>
          <w:lang w:val="en-US" w:eastAsia="en-US"/>
        </w:rPr>
        <w:drawing>
          <wp:inline distT="0" distB="0" distL="0" distR="0" wp14:anchorId="7270EAA9" wp14:editId="70E7499B">
            <wp:extent cx="5555615" cy="288099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55615" cy="2880995"/>
                    </a:xfrm>
                    <a:prstGeom prst="rect">
                      <a:avLst/>
                    </a:prstGeom>
                    <a:noFill/>
                    <a:ln>
                      <a:noFill/>
                    </a:ln>
                  </pic:spPr>
                </pic:pic>
              </a:graphicData>
            </a:graphic>
          </wp:inline>
        </w:drawing>
      </w:r>
    </w:p>
    <w:p w:rsidR="00B45FC3" w:rsidRPr="00526311" w:rsidRDefault="00B45FC3" w:rsidP="0063039A">
      <w:pPr>
        <w:jc w:val="cente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79"/>
        <w:gridCol w:w="4070"/>
        <w:gridCol w:w="1506"/>
        <w:gridCol w:w="1105"/>
      </w:tblGrid>
      <w:tr w:rsidR="00B45FC3" w:rsidRPr="00526311" w:rsidTr="0063039A">
        <w:trPr>
          <w:cantSplit/>
          <w:trHeight w:val="401"/>
          <w:tblHeader/>
        </w:trPr>
        <w:tc>
          <w:tcPr>
            <w:tcW w:w="1469" w:type="pct"/>
            <w:tcBorders>
              <w:top w:val="single" w:sz="4" w:space="0" w:color="auto"/>
              <w:bottom w:val="single" w:sz="4" w:space="0" w:color="auto"/>
            </w:tcBorders>
            <w:shd w:val="clear" w:color="auto" w:fill="CCFFFF"/>
            <w:tcMar>
              <w:top w:w="113" w:type="dxa"/>
              <w:bottom w:w="85" w:type="dxa"/>
            </w:tcMar>
            <w:vAlign w:val="center"/>
          </w:tcPr>
          <w:p w:rsidR="00B45FC3" w:rsidRPr="00526311" w:rsidRDefault="00B45FC3" w:rsidP="0063039A">
            <w:pPr>
              <w:spacing w:after="120"/>
              <w:jc w:val="center"/>
              <w:rPr>
                <w:b/>
                <w:bCs/>
                <w:sz w:val="18"/>
                <w:szCs w:val="18"/>
              </w:rPr>
            </w:pPr>
            <w:r w:rsidRPr="00526311">
              <w:rPr>
                <w:b/>
                <w:bCs/>
                <w:sz w:val="18"/>
                <w:szCs w:val="18"/>
              </w:rPr>
              <w:t>Resultados previstos</w:t>
            </w:r>
          </w:p>
        </w:tc>
        <w:tc>
          <w:tcPr>
            <w:tcW w:w="2151" w:type="pct"/>
            <w:tcBorders>
              <w:top w:val="single" w:sz="4" w:space="0" w:color="auto"/>
              <w:bottom w:val="single" w:sz="4" w:space="0" w:color="auto"/>
            </w:tcBorders>
            <w:shd w:val="clear" w:color="auto" w:fill="CCFFFF"/>
            <w:tcMar>
              <w:top w:w="113" w:type="dxa"/>
              <w:bottom w:w="85" w:type="dxa"/>
            </w:tcMar>
            <w:vAlign w:val="center"/>
          </w:tcPr>
          <w:p w:rsidR="00B45FC3" w:rsidRPr="00526311" w:rsidRDefault="00B45FC3" w:rsidP="0063039A">
            <w:pPr>
              <w:spacing w:after="120"/>
              <w:jc w:val="center"/>
              <w:rPr>
                <w:b/>
                <w:sz w:val="18"/>
                <w:szCs w:val="18"/>
              </w:rPr>
            </w:pPr>
            <w:r w:rsidRPr="00526311">
              <w:rPr>
                <w:b/>
                <w:sz w:val="18"/>
                <w:szCs w:val="18"/>
              </w:rPr>
              <w:t>Indicadores de rendimiento</w:t>
            </w:r>
          </w:p>
        </w:tc>
        <w:tc>
          <w:tcPr>
            <w:tcW w:w="796" w:type="pct"/>
            <w:tcBorders>
              <w:top w:val="single" w:sz="4" w:space="0" w:color="auto"/>
              <w:bottom w:val="single" w:sz="4" w:space="0" w:color="auto"/>
            </w:tcBorders>
            <w:shd w:val="clear" w:color="auto" w:fill="CCFFFF"/>
            <w:tcMar>
              <w:top w:w="113" w:type="dxa"/>
              <w:bottom w:w="85" w:type="dxa"/>
            </w:tcMar>
            <w:vAlign w:val="center"/>
          </w:tcPr>
          <w:p w:rsidR="00B45FC3" w:rsidRPr="00526311" w:rsidRDefault="00B45FC3" w:rsidP="0063039A">
            <w:pPr>
              <w:spacing w:after="120"/>
              <w:ind w:left="85"/>
              <w:jc w:val="center"/>
              <w:rPr>
                <w:sz w:val="18"/>
                <w:szCs w:val="18"/>
              </w:rPr>
            </w:pPr>
            <w:r w:rsidRPr="00526311">
              <w:rPr>
                <w:b/>
                <w:sz w:val="18"/>
                <w:szCs w:val="18"/>
              </w:rPr>
              <w:t>Programas responsables</w:t>
            </w:r>
          </w:p>
        </w:tc>
        <w:tc>
          <w:tcPr>
            <w:tcW w:w="584" w:type="pct"/>
            <w:tcBorders>
              <w:top w:val="single" w:sz="4" w:space="0" w:color="auto"/>
              <w:bottom w:val="single" w:sz="4" w:space="0" w:color="auto"/>
            </w:tcBorders>
            <w:shd w:val="clear" w:color="auto" w:fill="CCFFFF"/>
          </w:tcPr>
          <w:p w:rsidR="00B45FC3" w:rsidRPr="00526311" w:rsidRDefault="00B45FC3" w:rsidP="0063039A">
            <w:pPr>
              <w:spacing w:after="120"/>
              <w:ind w:left="85"/>
              <w:jc w:val="center"/>
              <w:rPr>
                <w:b/>
                <w:bCs/>
                <w:sz w:val="18"/>
                <w:szCs w:val="18"/>
              </w:rPr>
            </w:pPr>
            <w:r w:rsidRPr="00526311">
              <w:rPr>
                <w:b/>
                <w:bCs/>
                <w:sz w:val="18"/>
                <w:szCs w:val="18"/>
              </w:rPr>
              <w:t>Clave de colores</w:t>
            </w:r>
          </w:p>
        </w:tc>
      </w:tr>
      <w:tr w:rsidR="00B45FC3" w:rsidRPr="00526311" w:rsidTr="0063039A">
        <w:trPr>
          <w:cantSplit/>
          <w:trHeight w:val="363"/>
        </w:trPr>
        <w:tc>
          <w:tcPr>
            <w:tcW w:w="1469" w:type="pct"/>
            <w:vMerge w:val="restart"/>
            <w:tcBorders>
              <w:top w:val="single" w:sz="4" w:space="0" w:color="auto"/>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IV.1 Sistema actualizado y aceptado mundialmente de clasificaciones internacionales y normas técnicas de la OMPI para facilitar el acceso, el uso y la difusión de información de P.I. entre las partes interesadas de todo el mundo</w:t>
            </w:r>
          </w:p>
        </w:tc>
        <w:tc>
          <w:tcPr>
            <w:tcW w:w="2151" w:type="pct"/>
            <w:tcBorders>
              <w:top w:val="single" w:sz="4" w:space="0" w:color="auto"/>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modificaciones y ficheros de información introducidos en la Clasificación de Niza</w:t>
            </w:r>
          </w:p>
        </w:tc>
        <w:tc>
          <w:tcPr>
            <w:tcW w:w="796" w:type="pct"/>
            <w:tcBorders>
              <w:top w:val="single" w:sz="4" w:space="0" w:color="auto"/>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12</w:t>
            </w:r>
          </w:p>
        </w:tc>
        <w:tc>
          <w:tcPr>
            <w:tcW w:w="584" w:type="pct"/>
            <w:tcBorders>
              <w:top w:val="single" w:sz="4" w:space="0" w:color="auto"/>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463"/>
        </w:trPr>
        <w:tc>
          <w:tcPr>
            <w:tcW w:w="1469" w:type="pct"/>
            <w:vMerge/>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nuevas subdivisiones introducidas anualmente en la CIP</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12</w:t>
            </w:r>
          </w:p>
        </w:tc>
        <w:tc>
          <w:tcPr>
            <w:tcW w:w="584" w:type="pct"/>
            <w:tcBorders>
              <w:top w:val="nil"/>
              <w:bottom w:val="nil"/>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FF0000"/>
                <w:szCs w:val="22"/>
              </w:rPr>
              <w:sym w:font="Wingdings" w:char="F06C"/>
            </w:r>
          </w:p>
        </w:tc>
      </w:tr>
      <w:tr w:rsidR="00B45FC3" w:rsidRPr="00526311" w:rsidTr="0063039A">
        <w:trPr>
          <w:cantSplit/>
          <w:trHeight w:val="454"/>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normas técnicas modificadas y nuevas normas técnicas adoptadas</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rPr>
            </w:pPr>
            <w:r w:rsidRPr="00526311">
              <w:rPr>
                <w:sz w:val="16"/>
                <w:szCs w:val="16"/>
              </w:rPr>
              <w:t>Programa 12</w:t>
            </w:r>
          </w:p>
        </w:tc>
        <w:tc>
          <w:tcPr>
            <w:tcW w:w="584"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FF0000"/>
                <w:szCs w:val="22"/>
              </w:rPr>
              <w:sym w:font="Wingdings" w:char="F06C"/>
            </w:r>
          </w:p>
        </w:tc>
      </w:tr>
      <w:tr w:rsidR="00B45FC3" w:rsidRPr="00526311" w:rsidTr="0063039A">
        <w:trPr>
          <w:cantSplit/>
          <w:trHeight w:val="639"/>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usuarios que acceden a las publicaciones en Internet de las clasificaciones y normas internacionales, especialmente de países en desarrollo</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rPr>
            </w:pPr>
            <w:r w:rsidRPr="00526311">
              <w:rPr>
                <w:sz w:val="16"/>
                <w:szCs w:val="16"/>
              </w:rPr>
              <w:t>Programa 12</w:t>
            </w:r>
          </w:p>
        </w:tc>
        <w:tc>
          <w:tcPr>
            <w:tcW w:w="584" w:type="pct"/>
            <w:tcBorders>
              <w:top w:val="nil"/>
              <w:bottom w:val="nil"/>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FF0000"/>
                <w:szCs w:val="22"/>
              </w:rPr>
              <w:sym w:font="Wingdings" w:char="F06C"/>
            </w:r>
            <w:r w:rsidRPr="00526311">
              <w:rPr>
                <w:color w:val="008000"/>
                <w:szCs w:val="22"/>
              </w:rPr>
              <w:sym w:font="Wingdings" w:char="F06C"/>
            </w:r>
            <w:r w:rsidRPr="00526311">
              <w:rPr>
                <w:color w:val="FF0000"/>
                <w:szCs w:val="22"/>
              </w:rPr>
              <w:sym w:font="Wingdings" w:char="F06C"/>
            </w:r>
            <w:r w:rsidRPr="00526311">
              <w:rPr>
                <w:color w:val="008000"/>
                <w:szCs w:val="22"/>
              </w:rPr>
              <w:sym w:font="Wingdings" w:char="F06C"/>
            </w:r>
          </w:p>
          <w:p w:rsidR="00B45FC3" w:rsidRPr="00526311" w:rsidRDefault="00B45FC3" w:rsidP="0063039A">
            <w:pPr>
              <w:jc w:val="center"/>
            </w:pPr>
            <w:r w:rsidRPr="00526311">
              <w:rPr>
                <w:color w:val="008000"/>
                <w:szCs w:val="22"/>
              </w:rPr>
              <w:sym w:font="Wingdings" w:char="F06C"/>
            </w:r>
            <w:r w:rsidRPr="00526311">
              <w:rPr>
                <w:color w:val="FF0000"/>
                <w:szCs w:val="22"/>
              </w:rPr>
              <w:sym w:font="Wingdings" w:char="F06C"/>
            </w:r>
            <w:r w:rsidRPr="00526311">
              <w:rPr>
                <w:color w:val="FF0000"/>
                <w:szCs w:val="22"/>
              </w:rPr>
              <w:sym w:font="Wingdings" w:char="F06C"/>
            </w:r>
          </w:p>
        </w:tc>
      </w:tr>
      <w:tr w:rsidR="00B45FC3" w:rsidRPr="00526311" w:rsidTr="0063039A">
        <w:trPr>
          <w:cantSplit/>
          <w:trHeight w:val="879"/>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IV.2 Mejora del acceso y uso de información de P.I. por parte de instituciones de P.I. y el público para fomentar la innovación y la creatividad</w:t>
            </w: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intermediarios de confianza y titulares de derechos que se han adherido a la red de sistemas TIGAR, incluidos los procedentes de países en desarrollo y PMA</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w:t>
            </w:r>
          </w:p>
        </w:tc>
        <w:tc>
          <w:tcPr>
            <w:tcW w:w="584" w:type="pct"/>
            <w:tcBorders>
              <w:top w:val="nil"/>
              <w:bottom w:val="nil"/>
              <w:right w:val="single" w:sz="4" w:space="0" w:color="auto"/>
            </w:tcBorders>
            <w:shd w:val="clear" w:color="auto" w:fill="FFFFFF"/>
          </w:tcPr>
          <w:p w:rsidR="00B45FC3" w:rsidRPr="00526311" w:rsidRDefault="00B45FC3" w:rsidP="0063039A">
            <w:pPr>
              <w:jc w:val="center"/>
            </w:pPr>
            <w:r w:rsidRPr="00526311">
              <w:rPr>
                <w:szCs w:val="22"/>
              </w:rPr>
              <w:sym w:font="Wingdings" w:char="F06C"/>
            </w:r>
          </w:p>
        </w:tc>
      </w:tr>
      <w:tr w:rsidR="00B45FC3" w:rsidRPr="00526311" w:rsidTr="0063039A">
        <w:trPr>
          <w:cantSplit/>
          <w:trHeight w:val="825"/>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obras protegidas por derecho de autor distribuidas entre intermediarios de confianza y puestas a disposición de las personas con discapacidad visual a escala internacional por medio de la red de sistemas TIGAR</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pPr>
            <w:r w:rsidRPr="00526311">
              <w:rPr>
                <w:color w:val="008000"/>
                <w:szCs w:val="22"/>
              </w:rPr>
              <w:sym w:font="Wingdings" w:char="F06C"/>
            </w:r>
          </w:p>
        </w:tc>
      </w:tr>
      <w:tr w:rsidR="00B45FC3" w:rsidRPr="00526311" w:rsidTr="0063039A">
        <w:trPr>
          <w:cantSplit/>
          <w:trHeight w:val="620"/>
        </w:trPr>
        <w:tc>
          <w:tcPr>
            <w:tcW w:w="1469" w:type="pct"/>
            <w:tcBorders>
              <w:top w:val="nil"/>
              <w:left w:val="single" w:sz="4" w:space="0" w:color="auto"/>
              <w:bottom w:val="single" w:sz="4" w:space="0" w:color="auto"/>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single" w:sz="4" w:space="0" w:color="auto"/>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Porcentaje de personas satisfechas con el apoyo al fortalecimiento de capacidades en infraestructura de derecho de autor</w:t>
            </w:r>
          </w:p>
        </w:tc>
        <w:tc>
          <w:tcPr>
            <w:tcW w:w="796" w:type="pct"/>
            <w:tcBorders>
              <w:top w:val="nil"/>
              <w:bottom w:val="single" w:sz="4" w:space="0" w:color="auto"/>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w:t>
            </w:r>
          </w:p>
        </w:tc>
        <w:tc>
          <w:tcPr>
            <w:tcW w:w="584" w:type="pct"/>
            <w:tcBorders>
              <w:top w:val="nil"/>
              <w:bottom w:val="single" w:sz="4" w:space="0" w:color="auto"/>
              <w:right w:val="single" w:sz="4" w:space="0" w:color="auto"/>
            </w:tcBorders>
            <w:shd w:val="clear" w:color="auto" w:fill="FFFFFF"/>
          </w:tcPr>
          <w:p w:rsidR="00B45FC3" w:rsidRPr="00526311" w:rsidRDefault="00B45FC3" w:rsidP="0063039A">
            <w:pPr>
              <w:spacing w:before="40"/>
              <w:jc w:val="center"/>
            </w:pPr>
            <w:r w:rsidRPr="00526311">
              <w:rPr>
                <w:color w:val="008000"/>
                <w:szCs w:val="22"/>
              </w:rPr>
              <w:sym w:font="Wingdings" w:char="F06C"/>
            </w:r>
          </w:p>
        </w:tc>
      </w:tr>
      <w:tr w:rsidR="00B45FC3" w:rsidRPr="00526311" w:rsidTr="0063039A">
        <w:trPr>
          <w:cantSplit/>
          <w:trHeight w:val="154"/>
        </w:trPr>
        <w:tc>
          <w:tcPr>
            <w:tcW w:w="1469" w:type="pct"/>
            <w:tcBorders>
              <w:top w:val="single" w:sz="4" w:space="0" w:color="auto"/>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single" w:sz="4" w:space="0" w:color="auto"/>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instituciones que utilizan el sistema GDA</w:t>
            </w:r>
          </w:p>
        </w:tc>
        <w:tc>
          <w:tcPr>
            <w:tcW w:w="796" w:type="pct"/>
            <w:tcBorders>
              <w:top w:val="single" w:sz="4" w:space="0" w:color="auto"/>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w:t>
            </w:r>
          </w:p>
        </w:tc>
        <w:tc>
          <w:tcPr>
            <w:tcW w:w="584" w:type="pct"/>
            <w:tcBorders>
              <w:top w:val="single" w:sz="4" w:space="0" w:color="auto"/>
              <w:bottom w:val="nil"/>
              <w:right w:val="single" w:sz="4" w:space="0" w:color="auto"/>
            </w:tcBorders>
            <w:shd w:val="clear" w:color="auto" w:fill="FFFFFF"/>
          </w:tcPr>
          <w:p w:rsidR="00B45FC3" w:rsidRPr="00526311" w:rsidRDefault="00B45FC3" w:rsidP="0063039A">
            <w:pPr>
              <w:spacing w:before="40"/>
              <w:jc w:val="center"/>
            </w:pPr>
            <w:r w:rsidRPr="00526311">
              <w:rPr>
                <w:color w:val="008000"/>
                <w:szCs w:val="22"/>
              </w:rPr>
              <w:sym w:font="Wingdings" w:char="F06C"/>
            </w:r>
          </w:p>
        </w:tc>
      </w:tr>
      <w:tr w:rsidR="00B45FC3" w:rsidRPr="00526311" w:rsidTr="0063039A">
        <w:trPr>
          <w:cantSplit/>
          <w:trHeight w:val="496"/>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Uso de la base de datos de la OMPI sobre gestión colectiva de los derechos</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pPr>
            <w:r w:rsidRPr="00526311">
              <w:rPr>
                <w:color w:val="008000"/>
                <w:szCs w:val="22"/>
              </w:rPr>
              <w:sym w:font="Wingdings" w:char="F06C"/>
            </w:r>
          </w:p>
        </w:tc>
      </w:tr>
      <w:tr w:rsidR="00B45FC3" w:rsidRPr="00526311" w:rsidTr="0063039A">
        <w:trPr>
          <w:cantSplit/>
          <w:trHeight w:val="1163"/>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instrumentos jurídicos, directrices, declaraciones de principios distintas de tratados acordados o suscritos por las partes interesadas en ámbitos como los de la P.I. y el deporte y el derecho de autor en el entorno digital</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pPr>
            <w:r w:rsidRPr="00526311">
              <w:rPr>
                <w:color w:val="008000"/>
                <w:szCs w:val="22"/>
              </w:rPr>
              <w:sym w:font="Wingdings" w:char="F06C"/>
            </w:r>
          </w:p>
        </w:tc>
      </w:tr>
      <w:tr w:rsidR="00B45FC3" w:rsidRPr="00526311" w:rsidTr="0063039A">
        <w:trPr>
          <w:cantSplit/>
          <w:trHeight w:val="256"/>
        </w:trPr>
        <w:tc>
          <w:tcPr>
            <w:tcW w:w="1469" w:type="pct"/>
            <w:vMerge w:val="restar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vMerge w:val="restar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Promedio de usuarios que utilizan los servicios de los CATI por trimestre y por país</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9</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rPr>
                <w:color w:val="008000"/>
                <w:szCs w:val="22"/>
              </w:rPr>
            </w:pPr>
            <w:r w:rsidRPr="00526311">
              <w:rPr>
                <w:color w:val="008000"/>
                <w:szCs w:val="22"/>
              </w:rPr>
              <w:sym w:font="Wingdings" w:char="F06C"/>
            </w:r>
          </w:p>
        </w:tc>
      </w:tr>
      <w:tr w:rsidR="00B45FC3" w:rsidRPr="00526311" w:rsidTr="0063039A">
        <w:trPr>
          <w:cantSplit/>
          <w:trHeight w:val="254"/>
        </w:trPr>
        <w:tc>
          <w:tcPr>
            <w:tcW w:w="1469" w:type="pct"/>
            <w:vMerge/>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vMerge/>
            <w:tcBorders>
              <w:top w:val="nil"/>
              <w:bottom w:val="nil"/>
            </w:tcBorders>
            <w:shd w:val="clear" w:color="auto" w:fill="auto"/>
            <w:tcMar>
              <w:top w:w="113" w:type="dxa"/>
              <w:bottom w:w="85" w:type="dxa"/>
            </w:tcMar>
          </w:tcPr>
          <w:p w:rsidR="00B45FC3" w:rsidRPr="00526311" w:rsidRDefault="00B45FC3" w:rsidP="0063039A">
            <w:pPr>
              <w:rPr>
                <w:sz w:val="16"/>
                <w:szCs w:val="16"/>
              </w:rPr>
            </w:pP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10</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rPr>
                <w:color w:val="008000"/>
                <w:szCs w:val="22"/>
              </w:rPr>
            </w:pPr>
            <w:r w:rsidRPr="00526311">
              <w:rPr>
                <w:color w:val="008000"/>
                <w:szCs w:val="22"/>
              </w:rPr>
              <w:sym w:font="Wingdings" w:char="F06C"/>
            </w:r>
          </w:p>
        </w:tc>
      </w:tr>
      <w:tr w:rsidR="00B45FC3" w:rsidRPr="00526311" w:rsidTr="0063039A">
        <w:trPr>
          <w:cantSplit/>
          <w:trHeight w:val="254"/>
        </w:trPr>
        <w:tc>
          <w:tcPr>
            <w:tcW w:w="1469" w:type="pct"/>
            <w:vMerge/>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vMerge/>
            <w:tcBorders>
              <w:top w:val="nil"/>
              <w:bottom w:val="nil"/>
            </w:tcBorders>
            <w:shd w:val="clear" w:color="auto" w:fill="auto"/>
            <w:tcMar>
              <w:top w:w="113" w:type="dxa"/>
              <w:bottom w:w="85" w:type="dxa"/>
            </w:tcMar>
          </w:tcPr>
          <w:p w:rsidR="00B45FC3" w:rsidRPr="00526311" w:rsidRDefault="00B45FC3" w:rsidP="0063039A">
            <w:pPr>
              <w:rPr>
                <w:sz w:val="16"/>
                <w:szCs w:val="16"/>
              </w:rPr>
            </w:pP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14</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rPr>
                <w:color w:val="008000"/>
                <w:szCs w:val="22"/>
              </w:rPr>
            </w:pPr>
            <w:r w:rsidRPr="00526311">
              <w:rPr>
                <w:color w:val="008000"/>
                <w:szCs w:val="22"/>
              </w:rPr>
              <w:sym w:font="Wingdings" w:char="F06C"/>
            </w:r>
          </w:p>
        </w:tc>
      </w:tr>
      <w:tr w:rsidR="00B45FC3" w:rsidRPr="00526311" w:rsidTr="0063039A">
        <w:trPr>
          <w:cantSplit/>
          <w:trHeight w:val="256"/>
        </w:trPr>
        <w:tc>
          <w:tcPr>
            <w:tcW w:w="1469" w:type="pct"/>
            <w:vMerge w:val="restar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vMerge w:val="restar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redes nacionales sostenibles de CATI</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9</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rPr>
                <w:color w:val="008000"/>
                <w:szCs w:val="22"/>
              </w:rPr>
            </w:pP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p>
          <w:p w:rsidR="00B45FC3" w:rsidRPr="00526311" w:rsidRDefault="00B45FC3" w:rsidP="0063039A">
            <w:pPr>
              <w:spacing w:before="40"/>
              <w:jc w:val="center"/>
              <w:rPr>
                <w:color w:val="008000"/>
                <w:szCs w:val="22"/>
              </w:rPr>
            </w:pPr>
            <w:r w:rsidRPr="00526311">
              <w:rPr>
                <w:color w:val="008000"/>
                <w:szCs w:val="22"/>
              </w:rPr>
              <w:sym w:font="Wingdings" w:char="F06C"/>
            </w:r>
          </w:p>
        </w:tc>
      </w:tr>
      <w:tr w:rsidR="00B45FC3" w:rsidRPr="00526311" w:rsidTr="0063039A">
        <w:trPr>
          <w:cantSplit/>
          <w:trHeight w:val="254"/>
        </w:trPr>
        <w:tc>
          <w:tcPr>
            <w:tcW w:w="1469" w:type="pct"/>
            <w:vMerge/>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vMerge/>
            <w:tcBorders>
              <w:top w:val="nil"/>
              <w:bottom w:val="nil"/>
            </w:tcBorders>
            <w:shd w:val="clear" w:color="auto" w:fill="auto"/>
            <w:tcMar>
              <w:top w:w="113" w:type="dxa"/>
              <w:bottom w:w="85" w:type="dxa"/>
            </w:tcMar>
          </w:tcPr>
          <w:p w:rsidR="00B45FC3" w:rsidRPr="00526311" w:rsidRDefault="00B45FC3" w:rsidP="0063039A">
            <w:pPr>
              <w:rPr>
                <w:sz w:val="16"/>
                <w:szCs w:val="16"/>
              </w:rPr>
            </w:pP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10</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rPr>
                <w:color w:val="008000"/>
                <w:szCs w:val="22"/>
              </w:rPr>
            </w:pPr>
            <w:r w:rsidRPr="00526311">
              <w:rPr>
                <w:color w:val="008000"/>
                <w:szCs w:val="22"/>
              </w:rPr>
              <w:sym w:font="Wingdings" w:char="F06C"/>
            </w:r>
          </w:p>
        </w:tc>
      </w:tr>
      <w:tr w:rsidR="00B45FC3" w:rsidRPr="00526311" w:rsidTr="0063039A">
        <w:trPr>
          <w:cantSplit/>
          <w:trHeight w:val="254"/>
        </w:trPr>
        <w:tc>
          <w:tcPr>
            <w:tcW w:w="1469" w:type="pct"/>
            <w:vMerge/>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vMerge/>
            <w:tcBorders>
              <w:top w:val="nil"/>
              <w:bottom w:val="nil"/>
            </w:tcBorders>
            <w:shd w:val="clear" w:color="auto" w:fill="auto"/>
            <w:tcMar>
              <w:top w:w="113" w:type="dxa"/>
              <w:bottom w:w="85" w:type="dxa"/>
            </w:tcMar>
          </w:tcPr>
          <w:p w:rsidR="00B45FC3" w:rsidRPr="00526311" w:rsidRDefault="00B45FC3" w:rsidP="0063039A">
            <w:pPr>
              <w:rPr>
                <w:sz w:val="16"/>
                <w:szCs w:val="16"/>
              </w:rPr>
            </w:pP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14</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rPr>
                <w:color w:val="008000"/>
                <w:szCs w:val="22"/>
              </w:rPr>
            </w:pPr>
            <w:r w:rsidRPr="00526311">
              <w:rPr>
                <w:color w:val="008000"/>
                <w:szCs w:val="22"/>
              </w:rPr>
              <w:sym w:font="Wingdings" w:char="F06C"/>
            </w:r>
          </w:p>
        </w:tc>
      </w:tr>
      <w:tr w:rsidR="00B45FC3" w:rsidRPr="00526311" w:rsidTr="0063039A">
        <w:trPr>
          <w:cantSplit/>
          <w:trHeight w:val="762"/>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países que utilizan la base de datos de asistencia técnica en P.I. (IP-TAD) y la lista de consultores (IP_ROC)</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9</w:t>
            </w:r>
          </w:p>
        </w:tc>
        <w:tc>
          <w:tcPr>
            <w:tcW w:w="584"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FF0000"/>
                <w:szCs w:val="22"/>
              </w:rPr>
              <w:sym w:font="Wingdings" w:char="F06C"/>
            </w:r>
          </w:p>
        </w:tc>
      </w:tr>
      <w:tr w:rsidR="00B45FC3" w:rsidRPr="00526311" w:rsidTr="0063039A">
        <w:trPr>
          <w:cantSplit/>
          <w:trHeight w:val="323"/>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OTT o de centros de información establecidos</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10</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pPr>
            <w:r w:rsidRPr="00526311">
              <w:rPr>
                <w:color w:val="008000"/>
                <w:szCs w:val="22"/>
              </w:rPr>
              <w:sym w:font="Wingdings" w:char="F06C"/>
            </w:r>
          </w:p>
        </w:tc>
      </w:tr>
      <w:tr w:rsidR="00B45FC3" w:rsidRPr="00526311" w:rsidTr="0063039A">
        <w:trPr>
          <w:cantSplit/>
          <w:trHeight w:val="713"/>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usuarios por trimestre en todos los sistemas (PATENTSCOPE/Base Mundial de Datos sobre Marcas)</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13</w:t>
            </w:r>
          </w:p>
        </w:tc>
        <w:tc>
          <w:tcPr>
            <w:tcW w:w="584" w:type="pct"/>
            <w:tcBorders>
              <w:top w:val="nil"/>
              <w:bottom w:val="nil"/>
              <w:right w:val="single" w:sz="4" w:space="0" w:color="auto"/>
            </w:tcBorders>
            <w:shd w:val="clear" w:color="auto" w:fill="FFFFFF"/>
          </w:tcPr>
          <w:p w:rsidR="00B45FC3" w:rsidRPr="00526311" w:rsidRDefault="00B45FC3" w:rsidP="0063039A">
            <w:pPr>
              <w:jc w:val="center"/>
              <w:rPr>
                <w:color w:val="008000"/>
                <w:szCs w:val="22"/>
              </w:rPr>
            </w:pPr>
            <w:r w:rsidRPr="00526311">
              <w:rPr>
                <w:color w:val="008000"/>
                <w:szCs w:val="22"/>
              </w:rPr>
              <w:sym w:font="Wingdings" w:char="F06C"/>
            </w:r>
            <w:r w:rsidRPr="00526311">
              <w:rPr>
                <w:color w:val="008000"/>
                <w:szCs w:val="22"/>
              </w:rPr>
              <w:sym w:font="Wingdings" w:char="F06C"/>
            </w:r>
          </w:p>
        </w:tc>
      </w:tr>
      <w:tr w:rsidR="00B45FC3" w:rsidRPr="00526311" w:rsidTr="0063039A">
        <w:trPr>
          <w:cantSplit/>
          <w:trHeight w:val="399"/>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idiomas en los que se pueden efectuar búsquedas plurilingües</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13</w:t>
            </w:r>
          </w:p>
        </w:tc>
        <w:tc>
          <w:tcPr>
            <w:tcW w:w="584"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615"/>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pares de idiomas disponibles para la traducción automática de títulos y resúmenes</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13</w:t>
            </w:r>
          </w:p>
        </w:tc>
        <w:tc>
          <w:tcPr>
            <w:tcW w:w="584"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389"/>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usuarios inscritos en ARDI y ASPI que utilizan dichos instrumentos</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14</w:t>
            </w:r>
          </w:p>
        </w:tc>
        <w:tc>
          <w:tcPr>
            <w:tcW w:w="584"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985"/>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Porcentaje de usuarios satisfechos con la prestación de servicios de información sobre patentes con valor añadido (WPIS, cooperación internacional en el examen, familias de patentes  y servicio de consulta sobre la situación jurídica)</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14</w:t>
            </w:r>
          </w:p>
        </w:tc>
        <w:tc>
          <w:tcPr>
            <w:tcW w:w="584" w:type="pct"/>
            <w:tcBorders>
              <w:top w:val="nil"/>
              <w:bottom w:val="nil"/>
              <w:right w:val="single" w:sz="4" w:space="0" w:color="auto"/>
            </w:tcBorders>
            <w:shd w:val="clear" w:color="auto" w:fill="FFFFFF"/>
          </w:tcPr>
          <w:p w:rsidR="00B45FC3" w:rsidRPr="00526311" w:rsidRDefault="00B45FC3" w:rsidP="0063039A">
            <w:pPr>
              <w:jc w:val="center"/>
            </w:pPr>
            <w:r w:rsidRPr="00526311">
              <w:rPr>
                <w:rFonts w:eastAsiaTheme="minorHAnsi"/>
                <w:b/>
                <w:bCs/>
                <w:color w:val="0070C0"/>
                <w:szCs w:val="22"/>
              </w:rPr>
              <w:sym w:font="Wingdings" w:char="F06C"/>
            </w:r>
          </w:p>
        </w:tc>
      </w:tr>
      <w:tr w:rsidR="00B45FC3" w:rsidRPr="00526311" w:rsidTr="0063039A">
        <w:trPr>
          <w:cantSplit/>
          <w:trHeight w:val="163"/>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Porcentaje de usuarios satisfechos con los informes sobre la actividad de patentamiento</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14</w:t>
            </w:r>
          </w:p>
        </w:tc>
        <w:tc>
          <w:tcPr>
            <w:tcW w:w="584" w:type="pct"/>
            <w:tcBorders>
              <w:top w:val="nil"/>
              <w:bottom w:val="nil"/>
              <w:right w:val="single" w:sz="4" w:space="0" w:color="auto"/>
            </w:tcBorders>
            <w:shd w:val="clear" w:color="auto" w:fill="FFFFFF"/>
          </w:tcPr>
          <w:p w:rsidR="00B45FC3" w:rsidRPr="00526311" w:rsidRDefault="00B45FC3" w:rsidP="0063039A">
            <w:pPr>
              <w:jc w:val="center"/>
            </w:pPr>
            <w:r w:rsidRPr="00526311">
              <w:rPr>
                <w:rFonts w:eastAsiaTheme="minorHAnsi"/>
                <w:b/>
                <w:bCs/>
                <w:color w:val="0070C0"/>
                <w:szCs w:val="22"/>
              </w:rPr>
              <w:sym w:font="Wingdings" w:char="F06C"/>
            </w:r>
          </w:p>
        </w:tc>
      </w:tr>
      <w:tr w:rsidR="00B45FC3" w:rsidRPr="00526311" w:rsidTr="0063039A">
        <w:trPr>
          <w:cantSplit/>
          <w:trHeight w:val="583"/>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 xml:space="preserve">Número de países que han verificado los datos e incluido medicamentos esenciales nacionales en </w:t>
            </w:r>
            <w:r w:rsidRPr="00526311">
              <w:rPr>
                <w:i/>
                <w:sz w:val="16"/>
                <w:szCs w:val="16"/>
              </w:rPr>
              <w:t>WIPO Essential</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18</w:t>
            </w:r>
          </w:p>
        </w:tc>
        <w:tc>
          <w:tcPr>
            <w:tcW w:w="584" w:type="pct"/>
            <w:tcBorders>
              <w:top w:val="nil"/>
              <w:bottom w:val="nil"/>
              <w:right w:val="single" w:sz="4" w:space="0" w:color="auto"/>
            </w:tcBorders>
            <w:shd w:val="clear" w:color="auto" w:fill="FFFFFF"/>
          </w:tcPr>
          <w:p w:rsidR="00B45FC3" w:rsidRPr="00526311" w:rsidRDefault="00B45FC3" w:rsidP="0063039A">
            <w:pPr>
              <w:jc w:val="center"/>
            </w:pPr>
            <w:r w:rsidRPr="00526311">
              <w:rPr>
                <w:szCs w:val="22"/>
              </w:rPr>
              <w:sym w:font="Wingdings" w:char="F06C"/>
            </w:r>
          </w:p>
        </w:tc>
      </w:tr>
      <w:tr w:rsidR="00B45FC3" w:rsidRPr="00526311" w:rsidTr="0063039A">
        <w:trPr>
          <w:cantSplit/>
          <w:trHeight w:val="583"/>
        </w:trPr>
        <w:tc>
          <w:tcPr>
            <w:tcW w:w="1469" w:type="pct"/>
            <w:tcBorders>
              <w:top w:val="nil"/>
              <w:left w:val="single" w:sz="4" w:space="0" w:color="auto"/>
              <w:bottom w:val="single" w:sz="4" w:space="0" w:color="auto"/>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single" w:sz="4" w:space="0" w:color="auto"/>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usuarios de las bases de datos mundiales de la OMPI: PATENTSCOPE y Base Mundial de Datos sobre Marcas</w:t>
            </w:r>
          </w:p>
        </w:tc>
        <w:tc>
          <w:tcPr>
            <w:tcW w:w="796" w:type="pct"/>
            <w:tcBorders>
              <w:top w:val="nil"/>
              <w:bottom w:val="single" w:sz="4" w:space="0" w:color="auto"/>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20</w:t>
            </w:r>
          </w:p>
        </w:tc>
        <w:tc>
          <w:tcPr>
            <w:tcW w:w="584" w:type="pct"/>
            <w:tcBorders>
              <w:top w:val="nil"/>
              <w:bottom w:val="single" w:sz="4" w:space="0" w:color="auto"/>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r w:rsidRPr="00526311">
              <w:rPr>
                <w:color w:val="FF0000"/>
                <w:szCs w:val="22"/>
              </w:rPr>
              <w:sym w:font="Wingdings" w:char="F06C"/>
            </w:r>
            <w:r w:rsidRPr="00526311">
              <w:rPr>
                <w:color w:val="008000"/>
                <w:szCs w:val="22"/>
              </w:rPr>
              <w:sym w:font="Wingdings" w:char="F06C"/>
            </w:r>
          </w:p>
          <w:p w:rsidR="00B45FC3" w:rsidRPr="00526311" w:rsidRDefault="00B45FC3" w:rsidP="0063039A">
            <w:pPr>
              <w:jc w:val="center"/>
            </w:pP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p>
        </w:tc>
      </w:tr>
      <w:tr w:rsidR="00B45FC3" w:rsidRPr="00526311" w:rsidTr="0063039A">
        <w:trPr>
          <w:cantSplit/>
          <w:trHeight w:val="310"/>
        </w:trPr>
        <w:tc>
          <w:tcPr>
            <w:tcW w:w="1469" w:type="pct"/>
            <w:vMerge w:val="restart"/>
            <w:tcBorders>
              <w:top w:val="single" w:sz="4" w:space="0" w:color="auto"/>
              <w:left w:val="single" w:sz="4" w:space="0" w:color="auto"/>
              <w:bottom w:val="nil"/>
              <w:right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single" w:sz="4" w:space="0" w:color="auto"/>
              <w:left w:val="nil"/>
              <w:bottom w:val="nil"/>
              <w:right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Aumento del número de usuarios de WIPO Lex</w:t>
            </w:r>
          </w:p>
        </w:tc>
        <w:tc>
          <w:tcPr>
            <w:tcW w:w="796" w:type="pct"/>
            <w:tcBorders>
              <w:top w:val="single" w:sz="4" w:space="0" w:color="auto"/>
              <w:left w:val="nil"/>
              <w:bottom w:val="nil"/>
              <w:right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21</w:t>
            </w:r>
          </w:p>
        </w:tc>
        <w:tc>
          <w:tcPr>
            <w:tcW w:w="584" w:type="pct"/>
            <w:tcBorders>
              <w:top w:val="single" w:sz="4" w:space="0" w:color="auto"/>
              <w:left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551"/>
        </w:trPr>
        <w:tc>
          <w:tcPr>
            <w:tcW w:w="1469" w:type="pct"/>
            <w:vMerge/>
            <w:tcBorders>
              <w:top w:val="nil"/>
              <w:left w:val="single" w:sz="4" w:space="0" w:color="auto"/>
              <w:bottom w:val="nil"/>
              <w:right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left w:val="nil"/>
              <w:bottom w:val="nil"/>
              <w:right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OTT sostenibles establecidas y/o consolidadas en las universidades o las instituciones de I+D</w:t>
            </w:r>
          </w:p>
        </w:tc>
        <w:tc>
          <w:tcPr>
            <w:tcW w:w="796" w:type="pct"/>
            <w:tcBorders>
              <w:top w:val="nil"/>
              <w:left w:val="nil"/>
              <w:bottom w:val="nil"/>
              <w:right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30</w:t>
            </w:r>
          </w:p>
        </w:tc>
        <w:tc>
          <w:tcPr>
            <w:tcW w:w="584" w:type="pct"/>
            <w:tcBorders>
              <w:top w:val="nil"/>
              <w:left w:val="nil"/>
              <w:bottom w:val="nil"/>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FF0000"/>
                <w:szCs w:val="22"/>
              </w:rPr>
              <w:sym w:font="Wingdings" w:char="F06C"/>
            </w:r>
          </w:p>
        </w:tc>
      </w:tr>
      <w:tr w:rsidR="00B45FC3" w:rsidRPr="00526311" w:rsidTr="0063039A">
        <w:trPr>
          <w:cantSplit/>
          <w:trHeight w:val="551"/>
        </w:trPr>
        <w:tc>
          <w:tcPr>
            <w:tcW w:w="1469" w:type="pct"/>
            <w:vMerge/>
            <w:tcBorders>
              <w:top w:val="nil"/>
              <w:left w:val="single" w:sz="4" w:space="0" w:color="auto"/>
              <w:bottom w:val="nil"/>
              <w:right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left w:val="nil"/>
              <w:bottom w:val="nil"/>
              <w:right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universidades y/o institutos de investigación que han establecido políticas de P.I.</w:t>
            </w:r>
          </w:p>
        </w:tc>
        <w:tc>
          <w:tcPr>
            <w:tcW w:w="796" w:type="pct"/>
            <w:tcBorders>
              <w:top w:val="nil"/>
              <w:left w:val="nil"/>
              <w:bottom w:val="nil"/>
              <w:right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30</w:t>
            </w:r>
          </w:p>
        </w:tc>
        <w:tc>
          <w:tcPr>
            <w:tcW w:w="584" w:type="pct"/>
            <w:tcBorders>
              <w:top w:val="nil"/>
              <w:left w:val="nil"/>
              <w:bottom w:val="nil"/>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p>
        </w:tc>
      </w:tr>
      <w:tr w:rsidR="00B45FC3" w:rsidRPr="00526311" w:rsidTr="0063039A">
        <w:trPr>
          <w:cantSplit/>
          <w:trHeight w:val="464"/>
        </w:trPr>
        <w:tc>
          <w:tcPr>
            <w:tcW w:w="1469" w:type="pct"/>
            <w:vMerge w:val="restar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IV.3 Amplia cobertura geográfica en cuanto al contenido y al uso de las bases de datos mundiales de la OMPI en materia de P.I.</w:t>
            </w: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registros contenidos en PATENSCOPE</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13</w:t>
            </w:r>
          </w:p>
        </w:tc>
        <w:tc>
          <w:tcPr>
            <w:tcW w:w="584"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463"/>
        </w:trPr>
        <w:tc>
          <w:tcPr>
            <w:tcW w:w="1469" w:type="pct"/>
            <w:vMerge/>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registros que figuran en la Base Mundial de Datos sobre Marcas</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13</w:t>
            </w:r>
          </w:p>
        </w:tc>
        <w:tc>
          <w:tcPr>
            <w:tcW w:w="584" w:type="pct"/>
            <w:tcBorders>
              <w:top w:val="nil"/>
              <w:bottom w:val="nil"/>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p>
        </w:tc>
      </w:tr>
      <w:tr w:rsidR="00B45FC3" w:rsidRPr="00526311" w:rsidTr="0063039A">
        <w:trPr>
          <w:cantSplit/>
          <w:trHeight w:val="370"/>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colecciones nacionales en PATENTSCOPE</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13</w:t>
            </w:r>
          </w:p>
        </w:tc>
        <w:tc>
          <w:tcPr>
            <w:tcW w:w="584"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445"/>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colecciones nacionales en la Base Mundial de Datos sobre Marcas</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13</w:t>
            </w:r>
          </w:p>
        </w:tc>
        <w:tc>
          <w:tcPr>
            <w:tcW w:w="584"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432"/>
        </w:trPr>
        <w:tc>
          <w:tcPr>
            <w:tcW w:w="1469" w:type="pct"/>
            <w:vMerge w:val="restart"/>
            <w:tcBorders>
              <w:top w:val="nil"/>
              <w:left w:val="single" w:sz="4" w:space="0" w:color="auto"/>
              <w:bottom w:val="nil"/>
              <w:right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IV.4 Mejora en la infraestructura técnica y de conocimientos de las Oficinas y demás instituciones de P.I. que les permita prestar mejores servicios (más económicos, más rápidos y de mejor calidad) a sus partes interesadas</w:t>
            </w:r>
          </w:p>
        </w:tc>
        <w:tc>
          <w:tcPr>
            <w:tcW w:w="2151" w:type="pct"/>
            <w:tcBorders>
              <w:top w:val="nil"/>
              <w:left w:val="nil"/>
              <w:bottom w:val="nil"/>
              <w:right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gobiernos y OGC que firman acuerdos con la OMPI para reestructurar WIPOCOS</w:t>
            </w:r>
          </w:p>
        </w:tc>
        <w:tc>
          <w:tcPr>
            <w:tcW w:w="796" w:type="pct"/>
            <w:tcBorders>
              <w:top w:val="nil"/>
              <w:left w:val="nil"/>
              <w:bottom w:val="nil"/>
              <w:right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w:t>
            </w:r>
          </w:p>
        </w:tc>
        <w:tc>
          <w:tcPr>
            <w:tcW w:w="584" w:type="pct"/>
            <w:tcBorders>
              <w:top w:val="nil"/>
              <w:left w:val="nil"/>
              <w:bottom w:val="nil"/>
              <w:right w:val="single" w:sz="4" w:space="0" w:color="auto"/>
            </w:tcBorders>
            <w:shd w:val="clear" w:color="auto" w:fill="FFFFFF"/>
          </w:tcPr>
          <w:p w:rsidR="00B45FC3" w:rsidRPr="00526311" w:rsidRDefault="00B45FC3" w:rsidP="0063039A">
            <w:pPr>
              <w:spacing w:before="40"/>
              <w:jc w:val="center"/>
              <w:rPr>
                <w:b/>
              </w:rPr>
            </w:pPr>
            <w:r w:rsidRPr="00526311">
              <w:rPr>
                <w:b/>
                <w:color w:val="008000"/>
                <w:szCs w:val="22"/>
              </w:rPr>
              <w:sym w:font="Wingdings" w:char="F06C"/>
            </w:r>
          </w:p>
        </w:tc>
      </w:tr>
      <w:tr w:rsidR="00B45FC3" w:rsidRPr="00526311" w:rsidTr="0063039A">
        <w:trPr>
          <w:cantSplit/>
          <w:trHeight w:val="382"/>
        </w:trPr>
        <w:tc>
          <w:tcPr>
            <w:tcW w:w="1469" w:type="pct"/>
            <w:vMerge/>
            <w:tcBorders>
              <w:top w:val="nil"/>
              <w:left w:val="single" w:sz="4" w:space="0" w:color="auto"/>
              <w:bottom w:val="nil"/>
              <w:right w:val="nil"/>
            </w:tcBorders>
            <w:shd w:val="clear" w:color="auto" w:fill="auto"/>
            <w:tcMar>
              <w:top w:w="113" w:type="dxa"/>
              <w:bottom w:w="85" w:type="dxa"/>
            </w:tcMar>
          </w:tcPr>
          <w:p w:rsidR="00B45FC3" w:rsidRPr="00526311" w:rsidRDefault="00B45FC3" w:rsidP="0063039A">
            <w:pPr>
              <w:rPr>
                <w:sz w:val="16"/>
                <w:szCs w:val="16"/>
              </w:rPr>
            </w:pPr>
          </w:p>
        </w:tc>
        <w:tc>
          <w:tcPr>
            <w:tcW w:w="2151" w:type="pct"/>
            <w:vMerge w:val="restart"/>
            <w:tcBorders>
              <w:top w:val="nil"/>
              <w:left w:val="nil"/>
              <w:bottom w:val="nil"/>
              <w:right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OGC de países en desarrollo y PMA que participan en las redes regionales y mundiales facilitadas por la OMPI</w:t>
            </w:r>
          </w:p>
        </w:tc>
        <w:tc>
          <w:tcPr>
            <w:tcW w:w="796" w:type="pct"/>
            <w:tcBorders>
              <w:top w:val="nil"/>
              <w:left w:val="nil"/>
              <w:bottom w:val="nil"/>
              <w:right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w:t>
            </w:r>
          </w:p>
        </w:tc>
        <w:tc>
          <w:tcPr>
            <w:tcW w:w="584" w:type="pct"/>
            <w:vMerge w:val="restart"/>
            <w:tcBorders>
              <w:top w:val="nil"/>
              <w:left w:val="nil"/>
              <w:bottom w:val="nil"/>
              <w:right w:val="single" w:sz="4" w:space="0" w:color="auto"/>
            </w:tcBorders>
            <w:shd w:val="clear" w:color="auto" w:fill="FFFFFF"/>
          </w:tcPr>
          <w:p w:rsidR="00B45FC3" w:rsidRPr="00526311" w:rsidRDefault="00B45FC3" w:rsidP="0063039A">
            <w:pPr>
              <w:spacing w:before="40"/>
              <w:jc w:val="center"/>
              <w:rPr>
                <w:b/>
                <w:color w:val="008000"/>
                <w:szCs w:val="22"/>
              </w:rPr>
            </w:pPr>
            <w:r w:rsidRPr="00526311">
              <w:rPr>
                <w:b/>
                <w:color w:val="008000"/>
                <w:szCs w:val="22"/>
              </w:rPr>
              <w:sym w:font="Wingdings" w:char="F06C"/>
            </w:r>
          </w:p>
          <w:p w:rsidR="00B45FC3" w:rsidRPr="00526311" w:rsidRDefault="00B45FC3" w:rsidP="0063039A">
            <w:pPr>
              <w:spacing w:before="40"/>
              <w:jc w:val="center"/>
              <w:rPr>
                <w:b/>
                <w:color w:val="008000"/>
                <w:szCs w:val="22"/>
              </w:rPr>
            </w:pPr>
          </w:p>
          <w:p w:rsidR="00B45FC3" w:rsidRPr="00526311" w:rsidRDefault="00B45FC3" w:rsidP="0063039A">
            <w:pPr>
              <w:jc w:val="center"/>
              <w:rPr>
                <w:color w:val="A6A6A6" w:themeColor="background1" w:themeShade="A6"/>
                <w:szCs w:val="22"/>
              </w:rPr>
            </w:pPr>
            <w:r w:rsidRPr="00526311">
              <w:rPr>
                <w:rFonts w:eastAsiaTheme="minorHAnsi"/>
                <w:b/>
                <w:bCs/>
                <w:color w:val="0070C0"/>
                <w:szCs w:val="22"/>
              </w:rPr>
              <w:sym w:font="Wingdings" w:char="F06C"/>
            </w:r>
          </w:p>
        </w:tc>
      </w:tr>
      <w:tr w:rsidR="00B45FC3" w:rsidRPr="00526311" w:rsidTr="0063039A">
        <w:trPr>
          <w:cantSplit/>
          <w:trHeight w:val="255"/>
        </w:trPr>
        <w:tc>
          <w:tcPr>
            <w:tcW w:w="1469" w:type="pct"/>
            <w:vMerge/>
            <w:tcBorders>
              <w:top w:val="nil"/>
              <w:left w:val="single" w:sz="4" w:space="0" w:color="auto"/>
              <w:bottom w:val="nil"/>
              <w:right w:val="nil"/>
            </w:tcBorders>
            <w:shd w:val="clear" w:color="auto" w:fill="auto"/>
            <w:tcMar>
              <w:top w:w="113" w:type="dxa"/>
              <w:bottom w:w="85" w:type="dxa"/>
            </w:tcMar>
          </w:tcPr>
          <w:p w:rsidR="00B45FC3" w:rsidRPr="00526311" w:rsidRDefault="00B45FC3" w:rsidP="0063039A">
            <w:pPr>
              <w:rPr>
                <w:sz w:val="16"/>
                <w:szCs w:val="16"/>
              </w:rPr>
            </w:pPr>
          </w:p>
        </w:tc>
        <w:tc>
          <w:tcPr>
            <w:tcW w:w="2151" w:type="pct"/>
            <w:vMerge/>
            <w:tcBorders>
              <w:top w:val="nil"/>
              <w:left w:val="nil"/>
              <w:bottom w:val="nil"/>
              <w:right w:val="nil"/>
            </w:tcBorders>
            <w:shd w:val="clear" w:color="auto" w:fill="auto"/>
            <w:tcMar>
              <w:top w:w="113" w:type="dxa"/>
              <w:bottom w:w="85" w:type="dxa"/>
            </w:tcMar>
          </w:tcPr>
          <w:p w:rsidR="00B45FC3" w:rsidRPr="00526311" w:rsidRDefault="00B45FC3" w:rsidP="0063039A">
            <w:pPr>
              <w:rPr>
                <w:sz w:val="16"/>
                <w:szCs w:val="16"/>
              </w:rPr>
            </w:pPr>
          </w:p>
        </w:tc>
        <w:tc>
          <w:tcPr>
            <w:tcW w:w="796" w:type="pct"/>
            <w:tcBorders>
              <w:top w:val="nil"/>
              <w:left w:val="nil"/>
              <w:bottom w:val="nil"/>
              <w:right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15</w:t>
            </w:r>
          </w:p>
        </w:tc>
        <w:tc>
          <w:tcPr>
            <w:tcW w:w="584" w:type="pct"/>
            <w:vMerge/>
            <w:tcBorders>
              <w:top w:val="nil"/>
              <w:left w:val="nil"/>
              <w:bottom w:val="nil"/>
              <w:right w:val="single" w:sz="4" w:space="0" w:color="auto"/>
            </w:tcBorders>
            <w:shd w:val="clear" w:color="auto" w:fill="FFFFFF"/>
          </w:tcPr>
          <w:p w:rsidR="00B45FC3" w:rsidRPr="00526311" w:rsidRDefault="00B45FC3" w:rsidP="0063039A">
            <w:pPr>
              <w:spacing w:before="40"/>
              <w:jc w:val="center"/>
              <w:rPr>
                <w:b/>
                <w:color w:val="008000"/>
                <w:szCs w:val="22"/>
              </w:rPr>
            </w:pPr>
          </w:p>
        </w:tc>
      </w:tr>
      <w:tr w:rsidR="00B45FC3" w:rsidRPr="00526311" w:rsidTr="0063039A">
        <w:trPr>
          <w:cantSplit/>
          <w:trHeight w:val="662"/>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Porcentaje de gobiernos que informan favorablemente acerca de la eficacia y la gobernanza de las oficinas de derecho de autor y otras instituciones en el país</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rPr>
                <w:b/>
                <w:color w:val="008000"/>
                <w:szCs w:val="22"/>
              </w:rPr>
            </w:pPr>
            <w:r w:rsidRPr="00526311">
              <w:rPr>
                <w:b/>
                <w:color w:val="008000"/>
                <w:szCs w:val="22"/>
              </w:rPr>
              <w:sym w:font="Wingdings" w:char="F06C"/>
            </w:r>
          </w:p>
        </w:tc>
      </w:tr>
      <w:tr w:rsidR="00B45FC3" w:rsidRPr="00526311" w:rsidTr="0063039A">
        <w:trPr>
          <w:cantSplit/>
          <w:trHeight w:val="363"/>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oficinas que utilizan las plataformas de infraestructura de la OMPI</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15</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rPr>
                <w:b/>
                <w:color w:val="008000"/>
                <w:szCs w:val="22"/>
              </w:rPr>
            </w:pPr>
            <w:r w:rsidRPr="00526311">
              <w:rPr>
                <w:b/>
                <w:color w:val="008000"/>
                <w:szCs w:val="22"/>
              </w:rPr>
              <w:sym w:font="Wingdings" w:char="F06C"/>
            </w:r>
          </w:p>
        </w:tc>
      </w:tr>
      <w:tr w:rsidR="00B45FC3" w:rsidRPr="00526311" w:rsidTr="0063039A">
        <w:trPr>
          <w:cantSplit/>
          <w:trHeight w:val="256"/>
        </w:trPr>
        <w:tc>
          <w:tcPr>
            <w:tcW w:w="1469" w:type="pct"/>
            <w:vMerge w:val="restar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vMerge w:val="restar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Media del nivel de los servicios prestados por las Oficinas de P.I. que reciben asistencia (en una escala del 1 al 5)</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9</w:t>
            </w:r>
          </w:p>
        </w:tc>
        <w:tc>
          <w:tcPr>
            <w:tcW w:w="584" w:type="pct"/>
            <w:tcBorders>
              <w:top w:val="nil"/>
              <w:bottom w:val="nil"/>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b/>
                <w:color w:val="008000"/>
                <w:szCs w:val="22"/>
              </w:rPr>
              <w:sym w:font="Wingdings" w:char="F06C"/>
            </w:r>
          </w:p>
        </w:tc>
      </w:tr>
      <w:tr w:rsidR="00B45FC3" w:rsidRPr="00526311" w:rsidTr="0063039A">
        <w:trPr>
          <w:cantSplit/>
          <w:trHeight w:val="254"/>
        </w:trPr>
        <w:tc>
          <w:tcPr>
            <w:tcW w:w="1469" w:type="pct"/>
            <w:vMerge/>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vMerge/>
            <w:tcBorders>
              <w:top w:val="nil"/>
              <w:bottom w:val="nil"/>
            </w:tcBorders>
            <w:shd w:val="clear" w:color="auto" w:fill="auto"/>
            <w:tcMar>
              <w:top w:w="113" w:type="dxa"/>
              <w:bottom w:w="85" w:type="dxa"/>
            </w:tcMar>
          </w:tcPr>
          <w:p w:rsidR="00B45FC3" w:rsidRPr="00526311" w:rsidRDefault="00B45FC3" w:rsidP="0063039A">
            <w:pPr>
              <w:rPr>
                <w:sz w:val="16"/>
                <w:szCs w:val="16"/>
              </w:rPr>
            </w:pP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10</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rPr>
                <w:b/>
                <w:color w:val="008000"/>
                <w:szCs w:val="22"/>
              </w:rPr>
            </w:pPr>
            <w:r w:rsidRPr="00526311">
              <w:rPr>
                <w:b/>
                <w:color w:val="008000"/>
                <w:szCs w:val="22"/>
              </w:rPr>
              <w:sym w:font="Wingdings" w:char="F06C"/>
            </w:r>
          </w:p>
        </w:tc>
      </w:tr>
      <w:tr w:rsidR="00B45FC3" w:rsidRPr="00526311" w:rsidTr="0063039A">
        <w:trPr>
          <w:cantSplit/>
          <w:trHeight w:val="254"/>
        </w:trPr>
        <w:tc>
          <w:tcPr>
            <w:tcW w:w="1469" w:type="pct"/>
            <w:vMerge/>
            <w:tcBorders>
              <w:top w:val="nil"/>
              <w:left w:val="single" w:sz="4" w:space="0" w:color="auto"/>
              <w:bottom w:val="single" w:sz="4" w:space="0" w:color="auto"/>
            </w:tcBorders>
            <w:shd w:val="clear" w:color="auto" w:fill="auto"/>
            <w:tcMar>
              <w:top w:w="113" w:type="dxa"/>
              <w:bottom w:w="85" w:type="dxa"/>
            </w:tcMar>
          </w:tcPr>
          <w:p w:rsidR="00B45FC3" w:rsidRPr="00526311" w:rsidRDefault="00B45FC3" w:rsidP="0063039A">
            <w:pPr>
              <w:rPr>
                <w:sz w:val="16"/>
                <w:szCs w:val="16"/>
              </w:rPr>
            </w:pPr>
          </w:p>
        </w:tc>
        <w:tc>
          <w:tcPr>
            <w:tcW w:w="2151" w:type="pct"/>
            <w:vMerge/>
            <w:tcBorders>
              <w:top w:val="nil"/>
              <w:bottom w:val="single" w:sz="4" w:space="0" w:color="auto"/>
            </w:tcBorders>
            <w:shd w:val="clear" w:color="auto" w:fill="auto"/>
            <w:tcMar>
              <w:top w:w="113" w:type="dxa"/>
              <w:bottom w:w="85" w:type="dxa"/>
            </w:tcMar>
          </w:tcPr>
          <w:p w:rsidR="00B45FC3" w:rsidRPr="00526311" w:rsidRDefault="00B45FC3" w:rsidP="0063039A">
            <w:pPr>
              <w:rPr>
                <w:sz w:val="16"/>
                <w:szCs w:val="16"/>
              </w:rPr>
            </w:pPr>
          </w:p>
        </w:tc>
        <w:tc>
          <w:tcPr>
            <w:tcW w:w="796" w:type="pct"/>
            <w:tcBorders>
              <w:top w:val="nil"/>
              <w:bottom w:val="single" w:sz="4" w:space="0" w:color="auto"/>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15</w:t>
            </w:r>
          </w:p>
        </w:tc>
        <w:tc>
          <w:tcPr>
            <w:tcW w:w="584" w:type="pct"/>
            <w:tcBorders>
              <w:top w:val="nil"/>
              <w:bottom w:val="single" w:sz="4" w:space="0" w:color="auto"/>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b/>
                <w:color w:val="008000"/>
                <w:szCs w:val="22"/>
              </w:rPr>
              <w:sym w:font="Wingdings" w:char="F06C"/>
            </w:r>
          </w:p>
        </w:tc>
      </w:tr>
    </w:tbl>
    <w:p w:rsidR="00B45FC3" w:rsidRPr="00526311" w:rsidRDefault="00B45FC3" w:rsidP="0063039A"/>
    <w:p w:rsidR="00B45FC3" w:rsidRPr="00526311" w:rsidRDefault="00B45FC3" w:rsidP="0063039A"/>
    <w:p w:rsidR="00B45FC3" w:rsidRPr="00526311" w:rsidRDefault="00B45FC3">
      <w:pPr>
        <w:rPr>
          <w:bCs/>
          <w:iCs/>
          <w:caps/>
          <w:szCs w:val="28"/>
        </w:rPr>
      </w:pPr>
      <w:r w:rsidRPr="00526311">
        <w:br w:type="page"/>
      </w:r>
    </w:p>
    <w:p w:rsidR="00B45FC3" w:rsidRPr="00526311" w:rsidRDefault="00B45FC3" w:rsidP="0063039A">
      <w:pPr>
        <w:pStyle w:val="Heading2"/>
        <w:tabs>
          <w:tab w:val="left" w:pos="2268"/>
        </w:tabs>
        <w:ind w:left="2268" w:hanging="2268"/>
        <w:jc w:val="both"/>
        <w:rPr>
          <w:b/>
        </w:rPr>
      </w:pPr>
      <w:bookmarkStart w:id="47" w:name="_Toc422927421"/>
      <w:r w:rsidRPr="00526311">
        <w:rPr>
          <w:b/>
        </w:rPr>
        <w:lastRenderedPageBreak/>
        <w:t>PROGRAMA 12</w:t>
      </w:r>
      <w:r w:rsidRPr="00526311">
        <w:rPr>
          <w:b/>
        </w:rPr>
        <w:tab/>
        <w:t>CLASIFICACIONES INTERNACIONALES Y NORMAS TÉCNICAS DE LA OMPI</w:t>
      </w:r>
      <w:bookmarkEnd w:id="47"/>
    </w:p>
    <w:p w:rsidR="00B45FC3" w:rsidRPr="00526311" w:rsidRDefault="00B45FC3" w:rsidP="0063039A">
      <w:pPr>
        <w:jc w:val="both"/>
        <w:rPr>
          <w:sz w:val="20"/>
        </w:rPr>
      </w:pPr>
    </w:p>
    <w:p w:rsidR="00B45FC3" w:rsidRPr="00526311" w:rsidRDefault="00B45FC3" w:rsidP="0063039A">
      <w:pPr>
        <w:tabs>
          <w:tab w:val="left" w:pos="1985"/>
        </w:tabs>
        <w:jc w:val="both"/>
        <w:rPr>
          <w:b/>
          <w:sz w:val="20"/>
        </w:rPr>
      </w:pPr>
      <w:r w:rsidRPr="00526311">
        <w:rPr>
          <w:b/>
          <w:sz w:val="20"/>
        </w:rPr>
        <w:t>Director de programa</w:t>
      </w:r>
      <w:r w:rsidRPr="00526311">
        <w:rPr>
          <w:b/>
          <w:sz w:val="20"/>
        </w:rPr>
        <w:tab/>
        <w:t>Sr. Y. Takagi</w:t>
      </w:r>
    </w:p>
    <w:p w:rsidR="00B45FC3" w:rsidRPr="00526311" w:rsidRDefault="00B45FC3" w:rsidP="0063039A">
      <w:pPr>
        <w:jc w:val="both"/>
        <w:rPr>
          <w:sz w:val="20"/>
        </w:rPr>
      </w:pPr>
    </w:p>
    <w:p w:rsidR="00B45FC3" w:rsidRPr="00526311" w:rsidRDefault="00B45FC3" w:rsidP="0063039A">
      <w:pPr>
        <w:jc w:val="both"/>
        <w:rPr>
          <w:sz w:val="20"/>
        </w:rPr>
      </w:pPr>
    </w:p>
    <w:p w:rsidR="00B45FC3" w:rsidRPr="00526311" w:rsidRDefault="00B45FC3" w:rsidP="0063039A">
      <w:pPr>
        <w:jc w:val="both"/>
        <w:rPr>
          <w:bCs/>
        </w:rPr>
      </w:pPr>
      <w:r w:rsidRPr="00526311">
        <w:rPr>
          <w:bCs/>
        </w:rPr>
        <w:t>RESEÑA DE LOS AVANCES LOGRADOS EN 2014</w:t>
      </w:r>
    </w:p>
    <w:p w:rsidR="00B45FC3" w:rsidRPr="00526311" w:rsidRDefault="00B45FC3" w:rsidP="0063039A">
      <w:pPr>
        <w:jc w:val="both"/>
        <w:rPr>
          <w:sz w:val="20"/>
        </w:rPr>
      </w:pPr>
    </w:p>
    <w:p w:rsidR="00B45FC3" w:rsidRPr="00526311" w:rsidRDefault="00B45FC3" w:rsidP="00B45FC3">
      <w:pPr>
        <w:pStyle w:val="ListParagraph"/>
        <w:numPr>
          <w:ilvl w:val="0"/>
          <w:numId w:val="62"/>
        </w:numPr>
        <w:tabs>
          <w:tab w:val="left" w:pos="709"/>
        </w:tabs>
        <w:ind w:left="0" w:firstLine="0"/>
        <w:jc w:val="both"/>
        <w:rPr>
          <w:b/>
          <w:lang w:val="es-ES"/>
        </w:rPr>
      </w:pPr>
      <w:r w:rsidRPr="00526311">
        <w:rPr>
          <w:rFonts w:cs="Arial"/>
          <w:lang w:val="es-ES"/>
        </w:rPr>
        <w:t>En 2014 no se realizaron progresos uniformes en lo que respecta a las clasificaciones internacionales y las normas técnicas de la OMPI;  en algunos casos se superaron las expectativas y en otros, se acusaron retrasos.</w:t>
      </w:r>
    </w:p>
    <w:p w:rsidR="00B45FC3" w:rsidRPr="00526311" w:rsidRDefault="00B45FC3" w:rsidP="0063039A">
      <w:pPr>
        <w:tabs>
          <w:tab w:val="left" w:pos="709"/>
        </w:tabs>
        <w:jc w:val="both"/>
        <w:rPr>
          <w:b/>
          <w:sz w:val="20"/>
        </w:rPr>
      </w:pPr>
    </w:p>
    <w:p w:rsidR="00B45FC3" w:rsidRPr="00526311" w:rsidRDefault="00B45FC3" w:rsidP="00B45FC3">
      <w:pPr>
        <w:pStyle w:val="ListParagraph"/>
        <w:numPr>
          <w:ilvl w:val="0"/>
          <w:numId w:val="62"/>
        </w:numPr>
        <w:tabs>
          <w:tab w:val="left" w:pos="709"/>
        </w:tabs>
        <w:ind w:left="0" w:firstLine="0"/>
        <w:jc w:val="both"/>
        <w:rPr>
          <w:rFonts w:cs="Arial"/>
          <w:lang w:val="es-ES"/>
        </w:rPr>
      </w:pPr>
      <w:r w:rsidRPr="00526311">
        <w:rPr>
          <w:rFonts w:cs="Arial"/>
          <w:lang w:val="es-ES"/>
        </w:rPr>
        <w:t>En lo que respecta a la Clasificación de Niza, en 2014 se introdujeron 570 modificaciones y 20 nuevos ficheros de información.  El número de modificaciones aumentó en un 32% con respecto a 2013.  Además, en noviembre de 2014 pasó a estar a disposición en formato XLS la versión oficial en español de la</w:t>
      </w:r>
      <w:r w:rsidRPr="00526311">
        <w:rPr>
          <w:bCs/>
          <w:lang w:val="es-ES"/>
        </w:rPr>
        <w:t xml:space="preserve"> décima edición de la Clasificación de Niza (NCL10-2015).</w:t>
      </w:r>
    </w:p>
    <w:p w:rsidR="00B45FC3" w:rsidRPr="00526311" w:rsidRDefault="00B45FC3" w:rsidP="0063039A">
      <w:pPr>
        <w:tabs>
          <w:tab w:val="left" w:pos="709"/>
        </w:tabs>
        <w:jc w:val="both"/>
        <w:rPr>
          <w:sz w:val="20"/>
        </w:rPr>
      </w:pPr>
    </w:p>
    <w:p w:rsidR="00B45FC3" w:rsidRPr="00526311" w:rsidRDefault="00B45FC3" w:rsidP="00B45FC3">
      <w:pPr>
        <w:pStyle w:val="ListParagraph"/>
        <w:numPr>
          <w:ilvl w:val="0"/>
          <w:numId w:val="62"/>
        </w:numPr>
        <w:tabs>
          <w:tab w:val="left" w:pos="709"/>
        </w:tabs>
        <w:ind w:left="0" w:firstLine="0"/>
        <w:jc w:val="both"/>
        <w:rPr>
          <w:lang w:val="es-ES"/>
        </w:rPr>
      </w:pPr>
      <w:r w:rsidRPr="00526311">
        <w:rPr>
          <w:lang w:val="es-ES"/>
        </w:rPr>
        <w:t xml:space="preserve">En cuanto a la </w:t>
      </w:r>
      <w:r w:rsidR="00554DC6" w:rsidRPr="00526311">
        <w:rPr>
          <w:lang w:val="es-ES"/>
        </w:rPr>
        <w:t>Clasificación Internacional de Patentes (</w:t>
      </w:r>
      <w:r w:rsidRPr="00526311">
        <w:rPr>
          <w:lang w:val="es-ES"/>
        </w:rPr>
        <w:t>CIP</w:t>
      </w:r>
      <w:r w:rsidR="00554DC6" w:rsidRPr="00526311">
        <w:rPr>
          <w:lang w:val="es-ES"/>
        </w:rPr>
        <w:t>)</w:t>
      </w:r>
      <w:r w:rsidRPr="00526311">
        <w:rPr>
          <w:lang w:val="es-ES"/>
        </w:rPr>
        <w:t>, en abril de 2014 empezó a utilizarse una plataforma de publicación modificada para facilitar el uso del sistema y que incluye una nueva herramienta de búsqueda y la función “Parallel Viewer”.  En razón de la ejecución de varios nuevos proyectos de revisión para el mantenimiento y perfeccionamiento de la CIP, en 2014 se introdujo un número menor que previsto (337) de nuevas subdivisiones.  Se espera terminar de introducir los nuevos grupos a finales del bienio.</w:t>
      </w:r>
    </w:p>
    <w:p w:rsidR="00B45FC3" w:rsidRPr="00526311" w:rsidRDefault="00B45FC3" w:rsidP="0063039A">
      <w:pPr>
        <w:tabs>
          <w:tab w:val="left" w:pos="709"/>
        </w:tabs>
        <w:jc w:val="both"/>
        <w:rPr>
          <w:sz w:val="20"/>
        </w:rPr>
      </w:pPr>
    </w:p>
    <w:p w:rsidR="00B45FC3" w:rsidRPr="00526311" w:rsidRDefault="00B45FC3" w:rsidP="00B45FC3">
      <w:pPr>
        <w:pStyle w:val="ListParagraph"/>
        <w:numPr>
          <w:ilvl w:val="0"/>
          <w:numId w:val="62"/>
        </w:numPr>
        <w:tabs>
          <w:tab w:val="left" w:pos="709"/>
        </w:tabs>
        <w:ind w:left="0" w:firstLine="0"/>
        <w:jc w:val="both"/>
        <w:rPr>
          <w:bCs/>
          <w:lang w:val="es-ES"/>
        </w:rPr>
      </w:pPr>
      <w:r w:rsidRPr="00526311">
        <w:rPr>
          <w:bCs/>
          <w:lang w:val="es-ES"/>
        </w:rPr>
        <w:t xml:space="preserve">En su cuarta sesión, el </w:t>
      </w:r>
      <w:r w:rsidRPr="00526311">
        <w:rPr>
          <w:lang w:val="es-ES"/>
        </w:rPr>
        <w:t>Comité</w:t>
      </w:r>
      <w:r w:rsidRPr="00526311">
        <w:rPr>
          <w:bCs/>
          <w:lang w:val="es-ES"/>
        </w:rPr>
        <w:t xml:space="preserve"> de Normas Técnicas de la OMPI (CWS) no logró aprobar su orden del día, lo que se tradujo en la imposibilidad de </w:t>
      </w:r>
      <w:r w:rsidR="00554DC6" w:rsidRPr="00526311">
        <w:rPr>
          <w:bCs/>
          <w:lang w:val="es-ES"/>
        </w:rPr>
        <w:t xml:space="preserve">oficializar </w:t>
      </w:r>
      <w:r w:rsidRPr="00526311">
        <w:rPr>
          <w:bCs/>
          <w:lang w:val="es-ES"/>
        </w:rPr>
        <w:t xml:space="preserve">decisiones </w:t>
      </w:r>
      <w:r w:rsidR="00554DC6" w:rsidRPr="00526311">
        <w:rPr>
          <w:bCs/>
          <w:lang w:val="es-ES"/>
        </w:rPr>
        <w:t>tomadas informalmente</w:t>
      </w:r>
      <w:r w:rsidRPr="00526311">
        <w:rPr>
          <w:bCs/>
          <w:lang w:val="es-ES"/>
        </w:rPr>
        <w:t>.  A pesar de ese contratiempo, en 2014 puedo aprobarse una nueva norma técnica y pudo revisarse otra de manera oficiosa.</w:t>
      </w:r>
    </w:p>
    <w:p w:rsidR="00B45FC3" w:rsidRPr="00526311" w:rsidRDefault="00B45FC3" w:rsidP="0063039A">
      <w:pPr>
        <w:tabs>
          <w:tab w:val="left" w:pos="709"/>
        </w:tabs>
        <w:jc w:val="both"/>
        <w:rPr>
          <w:bCs/>
          <w:sz w:val="20"/>
        </w:rPr>
      </w:pPr>
    </w:p>
    <w:p w:rsidR="00B45FC3" w:rsidRPr="00526311" w:rsidRDefault="00B45FC3" w:rsidP="00B45FC3">
      <w:pPr>
        <w:pStyle w:val="ListParagraph"/>
        <w:numPr>
          <w:ilvl w:val="0"/>
          <w:numId w:val="62"/>
        </w:numPr>
        <w:tabs>
          <w:tab w:val="left" w:pos="709"/>
        </w:tabs>
        <w:ind w:left="0" w:firstLine="0"/>
        <w:jc w:val="both"/>
        <w:rPr>
          <w:bCs/>
          <w:lang w:val="es-ES"/>
        </w:rPr>
      </w:pPr>
      <w:r w:rsidRPr="00526311">
        <w:rPr>
          <w:bCs/>
          <w:lang w:val="es-ES"/>
        </w:rPr>
        <w:t xml:space="preserve">El uso de herramientas de Internet para acceder a las publicaciones de clasificaciones y de normas técnicas aumentó de forma estable, registrándose un número considerablemente mayor de visitas de las ediciones de la CIP (aumento del </w:t>
      </w:r>
      <w:r w:rsidR="00554DC6" w:rsidRPr="00526311">
        <w:rPr>
          <w:bCs/>
          <w:lang w:val="es-ES"/>
        </w:rPr>
        <w:t>6</w:t>
      </w:r>
      <w:r w:rsidRPr="00526311">
        <w:rPr>
          <w:bCs/>
          <w:lang w:val="es-ES"/>
        </w:rPr>
        <w:t>1% con respecto a 2013), debido a la inclusión de clasificaciones revisadas y de nuevas herramientas.  El número de visitas a la edición de la Clasificación de Niza y a la página principal de la Clasificación de Locarno aumentó también en un 8,4% y un 21,3% respectivamente.  En cambio, las visitas a la página principal de Viena y al manual  de normas técnicas de la OMPI disminuyeron en un 8,7% y un 29,7% respectivamente en comparación con 2013, posiblemente debido a los problemas institucionales en el CWS.</w:t>
      </w:r>
    </w:p>
    <w:p w:rsidR="00B45FC3" w:rsidRPr="00526311" w:rsidRDefault="00B45FC3" w:rsidP="0063039A">
      <w:pPr>
        <w:tabs>
          <w:tab w:val="left" w:pos="709"/>
        </w:tabs>
        <w:jc w:val="both"/>
        <w:rPr>
          <w:bCs/>
          <w:sz w:val="20"/>
        </w:rPr>
      </w:pPr>
    </w:p>
    <w:p w:rsidR="00B45FC3" w:rsidRPr="00526311" w:rsidRDefault="00B45FC3" w:rsidP="00B45FC3">
      <w:pPr>
        <w:pStyle w:val="ListParagraph"/>
        <w:numPr>
          <w:ilvl w:val="0"/>
          <w:numId w:val="62"/>
        </w:numPr>
        <w:tabs>
          <w:tab w:val="left" w:pos="709"/>
        </w:tabs>
        <w:ind w:left="0" w:firstLine="0"/>
        <w:jc w:val="both"/>
        <w:rPr>
          <w:bCs/>
          <w:lang w:val="es-ES"/>
        </w:rPr>
      </w:pPr>
      <w:r w:rsidRPr="00526311">
        <w:rPr>
          <w:rFonts w:eastAsia="MS Mincho"/>
          <w:lang w:val="es-ES" w:eastAsia="ja-JP" w:bidi="th-TH"/>
        </w:rPr>
        <w:t>Las actividades del programa 12 siguieron respaldando la aplicación de las recomendaciones 8, 30 y 31 de la A.D. al facilitar el acceso por los países en desarrollo a información sobre patentes a disposición del público.  Por este motivo, contribuyeron también a la labor que se realiza en aras de la transferencia de tecnología.</w:t>
      </w:r>
    </w:p>
    <w:p w:rsidR="00B45FC3" w:rsidRPr="00526311" w:rsidRDefault="00B45FC3" w:rsidP="0063039A">
      <w:pPr>
        <w:jc w:val="both"/>
        <w:rPr>
          <w:bCs/>
          <w:sz w:val="18"/>
          <w:szCs w:val="18"/>
        </w:rPr>
      </w:pPr>
    </w:p>
    <w:p w:rsidR="00B45FC3" w:rsidRPr="00526311" w:rsidRDefault="00B45FC3" w:rsidP="0063039A">
      <w:pPr>
        <w:jc w:val="both"/>
        <w:rPr>
          <w:bCs/>
          <w:sz w:val="12"/>
          <w:szCs w:val="12"/>
        </w:rPr>
      </w:pPr>
    </w:p>
    <w:p w:rsidR="00B45FC3" w:rsidRPr="00526311" w:rsidRDefault="00B45FC3" w:rsidP="0063039A">
      <w:pPr>
        <w:jc w:val="both"/>
        <w:rPr>
          <w:szCs w:val="22"/>
        </w:rPr>
      </w:pPr>
      <w:r w:rsidRPr="00526311">
        <w:rPr>
          <w:szCs w:val="22"/>
        </w:rPr>
        <w:t>DATOS SOBRE EL RENDIMIENTO</w:t>
      </w:r>
    </w:p>
    <w:p w:rsidR="00B45FC3" w:rsidRPr="00526311" w:rsidRDefault="00B45FC3" w:rsidP="0063039A">
      <w:pPr>
        <w:rPr>
          <w:bCs/>
          <w:sz w:val="16"/>
          <w:szCs w:val="16"/>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7"/>
        <w:gridCol w:w="2553"/>
        <w:gridCol w:w="1413"/>
        <w:gridCol w:w="2128"/>
        <w:gridCol w:w="996"/>
      </w:tblGrid>
      <w:tr w:rsidR="00B45FC3" w:rsidRPr="00526311" w:rsidTr="0063039A">
        <w:trPr>
          <w:trHeight w:val="763"/>
        </w:trPr>
        <w:tc>
          <w:tcPr>
            <w:tcW w:w="5000" w:type="pct"/>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spacing w:before="120" w:after="120"/>
              <w:ind w:left="1701" w:hanging="1701"/>
              <w:rPr>
                <w:b/>
                <w:bCs/>
                <w:sz w:val="16"/>
                <w:szCs w:val="16"/>
              </w:rPr>
            </w:pPr>
            <w:r w:rsidRPr="00526311">
              <w:rPr>
                <w:b/>
                <w:bCs/>
                <w:sz w:val="16"/>
                <w:szCs w:val="16"/>
              </w:rPr>
              <w:t>Resultado previsto:</w:t>
            </w:r>
            <w:r w:rsidRPr="00526311">
              <w:rPr>
                <w:b/>
                <w:bCs/>
                <w:sz w:val="16"/>
                <w:szCs w:val="16"/>
              </w:rPr>
              <w:tab/>
            </w:r>
            <w:r w:rsidRPr="00526311">
              <w:rPr>
                <w:sz w:val="16"/>
                <w:szCs w:val="16"/>
              </w:rPr>
              <w:t>IV.1 Sistema actualizado y aceptado mundialmente de clasificaciones internacionales y normas técnicas de la OMPI para facilitar el acceso, el uso y la difusión de información de P.I. entre las partes interesadas de todo el mundo</w:t>
            </w:r>
          </w:p>
        </w:tc>
      </w:tr>
      <w:tr w:rsidR="00B45FC3" w:rsidRPr="00526311" w:rsidTr="0063039A">
        <w:tc>
          <w:tcPr>
            <w:tcW w:w="1212" w:type="pct"/>
            <w:tcBorders>
              <w:top w:val="single" w:sz="4" w:space="0" w:color="auto"/>
            </w:tcBorders>
            <w:shd w:val="clear" w:color="auto" w:fill="auto"/>
            <w:vAlign w:val="center"/>
          </w:tcPr>
          <w:p w:rsidR="00B45FC3" w:rsidRPr="00526311" w:rsidRDefault="00B45FC3" w:rsidP="0063039A">
            <w:pPr>
              <w:rPr>
                <w:sz w:val="16"/>
                <w:szCs w:val="16"/>
              </w:rPr>
            </w:pPr>
            <w:r w:rsidRPr="00526311">
              <w:rPr>
                <w:b/>
                <w:i/>
                <w:sz w:val="16"/>
                <w:szCs w:val="16"/>
              </w:rPr>
              <w:t>Indicadores de rendimiento</w:t>
            </w:r>
          </w:p>
        </w:tc>
        <w:tc>
          <w:tcPr>
            <w:tcW w:w="1364"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755" w:type="pct"/>
            <w:tcBorders>
              <w:top w:val="single" w:sz="4" w:space="0" w:color="auto"/>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137" w:type="pct"/>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532" w:type="pct"/>
            <w:tcBorders>
              <w:top w:val="single" w:sz="4" w:space="0" w:color="auto"/>
            </w:tcBorders>
            <w:shd w:val="clear" w:color="auto" w:fill="auto"/>
            <w:tcMar>
              <w:top w:w="110" w:type="dxa"/>
            </w:tcMar>
            <w:vAlign w:val="center"/>
          </w:tcPr>
          <w:p w:rsidR="00B45FC3" w:rsidRPr="00526311" w:rsidRDefault="00B45FC3" w:rsidP="0063039A">
            <w:pPr>
              <w:keepNext/>
              <w:keepLines/>
              <w:ind w:left="-107"/>
              <w:jc w:val="center"/>
              <w:rPr>
                <w:b/>
                <w:bCs/>
                <w:sz w:val="16"/>
                <w:szCs w:val="16"/>
              </w:rPr>
            </w:pPr>
            <w:r w:rsidRPr="00526311">
              <w:rPr>
                <w:b/>
                <w:bCs/>
                <w:sz w:val="16"/>
                <w:szCs w:val="16"/>
              </w:rPr>
              <w:t>Clave de colores</w:t>
            </w:r>
          </w:p>
        </w:tc>
      </w:tr>
      <w:tr w:rsidR="00B45FC3" w:rsidRPr="00526311" w:rsidTr="0063039A">
        <w:tc>
          <w:tcPr>
            <w:tcW w:w="1212" w:type="pct"/>
            <w:shd w:val="clear" w:color="auto" w:fill="auto"/>
          </w:tcPr>
          <w:p w:rsidR="00B45FC3" w:rsidRPr="00526311" w:rsidRDefault="00B45FC3" w:rsidP="0063039A">
            <w:pPr>
              <w:rPr>
                <w:sz w:val="16"/>
                <w:szCs w:val="16"/>
              </w:rPr>
            </w:pPr>
            <w:r w:rsidRPr="00526311">
              <w:rPr>
                <w:sz w:val="16"/>
                <w:szCs w:val="16"/>
              </w:rPr>
              <w:t>Número de modificaciones y ficheros de información introducidos en la Clasificación de Niza</w:t>
            </w:r>
          </w:p>
        </w:tc>
        <w:tc>
          <w:tcPr>
            <w:tcW w:w="1364" w:type="pct"/>
            <w:shd w:val="clear" w:color="auto" w:fill="auto"/>
          </w:tcPr>
          <w:p w:rsidR="00B45FC3" w:rsidRPr="00526311" w:rsidRDefault="00B45FC3" w:rsidP="0063039A">
            <w:pPr>
              <w:rPr>
                <w:color w:val="002060"/>
                <w:sz w:val="16"/>
                <w:szCs w:val="16"/>
                <w:lang w:bidi="th-TH"/>
              </w:rPr>
            </w:pPr>
            <w:r w:rsidRPr="00526311">
              <w:rPr>
                <w:i/>
                <w:color w:val="002060"/>
                <w:sz w:val="16"/>
                <w:szCs w:val="16"/>
              </w:rPr>
              <w:t xml:space="preserve">Referencia actualizada a fines de 2013:  </w:t>
            </w:r>
          </w:p>
          <w:p w:rsidR="00B45FC3" w:rsidRPr="00526311" w:rsidRDefault="00B45FC3">
            <w:pPr>
              <w:rPr>
                <w:color w:val="002060"/>
                <w:sz w:val="16"/>
                <w:szCs w:val="16"/>
                <w:lang w:bidi="th-TH"/>
              </w:rPr>
            </w:pPr>
            <w:r w:rsidRPr="00526311">
              <w:rPr>
                <w:color w:val="002060"/>
                <w:sz w:val="16"/>
                <w:szCs w:val="16"/>
                <w:lang w:bidi="th-TH"/>
              </w:rPr>
              <w:t>432 modificaciones en 2013</w:t>
            </w:r>
          </w:p>
          <w:p w:rsidR="00B45FC3" w:rsidRPr="00526311" w:rsidRDefault="00B45FC3">
            <w:pPr>
              <w:rPr>
                <w:color w:val="002060"/>
                <w:sz w:val="16"/>
                <w:szCs w:val="16"/>
                <w:lang w:bidi="th-TH"/>
              </w:rPr>
            </w:pPr>
            <w:r w:rsidRPr="00526311">
              <w:rPr>
                <w:color w:val="002060"/>
                <w:sz w:val="16"/>
                <w:szCs w:val="16"/>
                <w:lang w:bidi="th-TH"/>
              </w:rPr>
              <w:t>339 modificaciones en 2012</w:t>
            </w:r>
          </w:p>
          <w:p w:rsidR="00B45FC3" w:rsidRPr="00526311" w:rsidRDefault="00B45FC3">
            <w:pPr>
              <w:rPr>
                <w:color w:val="002060"/>
                <w:sz w:val="12"/>
                <w:szCs w:val="12"/>
                <w:lang w:bidi="th-TH"/>
              </w:rPr>
            </w:pPr>
          </w:p>
          <w:p w:rsidR="00B45FC3" w:rsidRPr="00526311" w:rsidRDefault="00B45FC3">
            <w:pPr>
              <w:rPr>
                <w:i/>
                <w:color w:val="002060"/>
                <w:sz w:val="16"/>
                <w:szCs w:val="16"/>
              </w:rPr>
            </w:pPr>
            <w:r w:rsidRPr="00526311">
              <w:rPr>
                <w:color w:val="002060"/>
                <w:sz w:val="16"/>
                <w:szCs w:val="16"/>
                <w:lang w:bidi="th-TH"/>
              </w:rPr>
              <w:t>9 ficheros de información revisados y 17 nuevos ficheros de información introducidos</w:t>
            </w:r>
          </w:p>
          <w:p w:rsidR="00B45FC3" w:rsidRPr="00526311" w:rsidRDefault="00B45FC3">
            <w:pPr>
              <w:rPr>
                <w:i/>
                <w:sz w:val="8"/>
                <w:szCs w:val="8"/>
              </w:rPr>
            </w:pPr>
          </w:p>
          <w:p w:rsidR="00B45FC3" w:rsidRPr="00526311" w:rsidRDefault="00B45FC3" w:rsidP="00554DC6">
            <w:pPr>
              <w:rPr>
                <w:sz w:val="16"/>
                <w:szCs w:val="16"/>
              </w:rPr>
            </w:pPr>
            <w:r w:rsidRPr="00526311">
              <w:rPr>
                <w:i/>
                <w:sz w:val="16"/>
                <w:szCs w:val="16"/>
              </w:rPr>
              <w:t xml:space="preserve">Referencia original en el presupuesto </w:t>
            </w:r>
            <w:r w:rsidR="00554DC6" w:rsidRPr="00526311">
              <w:rPr>
                <w:i/>
                <w:sz w:val="16"/>
                <w:szCs w:val="16"/>
              </w:rPr>
              <w:t>de</w:t>
            </w:r>
            <w:r w:rsidRPr="00526311">
              <w:rPr>
                <w:i/>
                <w:sz w:val="16"/>
                <w:szCs w:val="16"/>
              </w:rPr>
              <w:t xml:space="preserve"> 2014/15: </w:t>
            </w:r>
            <w:r w:rsidRPr="00526311">
              <w:rPr>
                <w:sz w:val="16"/>
                <w:szCs w:val="16"/>
              </w:rPr>
              <w:t xml:space="preserve"> N</w:t>
            </w:r>
            <w:r w:rsidR="00554DC6" w:rsidRPr="00526311">
              <w:rPr>
                <w:sz w:val="16"/>
                <w:szCs w:val="16"/>
              </w:rPr>
              <w:t>º</w:t>
            </w:r>
            <w:r w:rsidRPr="00526311">
              <w:rPr>
                <w:sz w:val="16"/>
                <w:szCs w:val="16"/>
              </w:rPr>
              <w:t xml:space="preserve"> de modificaciones y </w:t>
            </w:r>
            <w:r w:rsidR="00554DC6" w:rsidRPr="00526311">
              <w:rPr>
                <w:sz w:val="16"/>
                <w:szCs w:val="16"/>
              </w:rPr>
              <w:t xml:space="preserve">de </w:t>
            </w:r>
            <w:r w:rsidRPr="00526311">
              <w:rPr>
                <w:sz w:val="16"/>
                <w:szCs w:val="16"/>
              </w:rPr>
              <w:t xml:space="preserve">ficheros de información introducidos en 2013. </w:t>
            </w:r>
          </w:p>
        </w:tc>
        <w:tc>
          <w:tcPr>
            <w:tcW w:w="755" w:type="pct"/>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Aumento en comparación con la referencia</w:t>
            </w:r>
          </w:p>
        </w:tc>
        <w:tc>
          <w:tcPr>
            <w:tcW w:w="1137" w:type="pct"/>
            <w:shd w:val="clear" w:color="auto" w:fill="FFFFFF"/>
            <w:tcMar>
              <w:top w:w="110" w:type="dxa"/>
            </w:tcMar>
          </w:tcPr>
          <w:p w:rsidR="00B45FC3" w:rsidRPr="00526311" w:rsidRDefault="00B45FC3">
            <w:pPr>
              <w:rPr>
                <w:sz w:val="16"/>
                <w:szCs w:val="16"/>
              </w:rPr>
            </w:pPr>
            <w:r w:rsidRPr="00526311">
              <w:rPr>
                <w:sz w:val="16"/>
                <w:szCs w:val="16"/>
              </w:rPr>
              <w:t>279 modificaciones en inglés</w:t>
            </w:r>
          </w:p>
          <w:p w:rsidR="00B45FC3" w:rsidRPr="00526311" w:rsidRDefault="00B45FC3">
            <w:pPr>
              <w:rPr>
                <w:sz w:val="16"/>
                <w:szCs w:val="16"/>
              </w:rPr>
            </w:pPr>
            <w:r w:rsidRPr="00526311">
              <w:rPr>
                <w:sz w:val="16"/>
                <w:szCs w:val="16"/>
              </w:rPr>
              <w:t>291 modificaciones en francés</w:t>
            </w:r>
          </w:p>
          <w:p w:rsidR="00B45FC3" w:rsidRPr="00526311" w:rsidRDefault="00B45FC3" w:rsidP="0063039A">
            <w:pPr>
              <w:rPr>
                <w:sz w:val="16"/>
                <w:szCs w:val="16"/>
              </w:rPr>
            </w:pPr>
            <w:r w:rsidRPr="00526311">
              <w:rPr>
                <w:sz w:val="16"/>
                <w:szCs w:val="16"/>
              </w:rPr>
              <w:t>570 en total</w:t>
            </w:r>
          </w:p>
          <w:p w:rsidR="00B45FC3" w:rsidRPr="00526311" w:rsidRDefault="00B45FC3">
            <w:pPr>
              <w:rPr>
                <w:sz w:val="16"/>
                <w:szCs w:val="16"/>
              </w:rPr>
            </w:pPr>
          </w:p>
          <w:p w:rsidR="00B45FC3" w:rsidRPr="00526311" w:rsidRDefault="00B45FC3">
            <w:pPr>
              <w:rPr>
                <w:sz w:val="16"/>
                <w:szCs w:val="16"/>
              </w:rPr>
            </w:pPr>
            <w:r w:rsidRPr="00526311">
              <w:rPr>
                <w:sz w:val="16"/>
                <w:szCs w:val="16"/>
              </w:rPr>
              <w:t>20 nuevos ficheros de información</w:t>
            </w:r>
          </w:p>
          <w:p w:rsidR="00B45FC3" w:rsidRPr="00526311" w:rsidRDefault="00B45FC3" w:rsidP="0063039A">
            <w:pPr>
              <w:rPr>
                <w:sz w:val="16"/>
                <w:szCs w:val="16"/>
              </w:rPr>
            </w:pPr>
            <w:r w:rsidRPr="00526311">
              <w:rPr>
                <w:sz w:val="16"/>
                <w:szCs w:val="16"/>
              </w:rPr>
              <w:t>39 ficheros de información revisados</w:t>
            </w:r>
          </w:p>
        </w:tc>
        <w:tc>
          <w:tcPr>
            <w:tcW w:w="532" w:type="pct"/>
            <w:shd w:val="clear" w:color="auto" w:fill="auto"/>
            <w:tcMar>
              <w:top w:w="110" w:type="dxa"/>
            </w:tcMar>
          </w:tcPr>
          <w:p w:rsidR="00B45FC3" w:rsidRPr="00526311" w:rsidRDefault="00B45FC3" w:rsidP="0063039A">
            <w:pPr>
              <w:keepNext/>
              <w:keepLines/>
              <w:ind w:left="-107" w:right="-107"/>
              <w:jc w:val="center"/>
              <w:rPr>
                <w:b/>
                <w:bCs/>
                <w:color w:val="00B050"/>
                <w:sz w:val="16"/>
                <w:szCs w:val="16"/>
              </w:rPr>
            </w:pPr>
            <w:r w:rsidRPr="00526311">
              <w:rPr>
                <w:b/>
                <w:bCs/>
                <w:color w:val="00B050"/>
                <w:sz w:val="16"/>
                <w:szCs w:val="16"/>
              </w:rPr>
              <w:t>Avanza</w:t>
            </w:r>
          </w:p>
        </w:tc>
      </w:tr>
    </w:tbl>
    <w:p w:rsidR="00B45FC3" w:rsidRPr="00526311" w:rsidRDefault="00B45FC3"/>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268"/>
        <w:gridCol w:w="1699"/>
        <w:gridCol w:w="2128"/>
        <w:gridCol w:w="994"/>
      </w:tblGrid>
      <w:tr w:rsidR="00B45FC3" w:rsidRPr="00526311" w:rsidTr="0063039A">
        <w:tc>
          <w:tcPr>
            <w:tcW w:w="1212" w:type="pct"/>
            <w:shd w:val="clear" w:color="auto" w:fill="auto"/>
            <w:vAlign w:val="center"/>
          </w:tcPr>
          <w:p w:rsidR="00B45FC3" w:rsidRPr="00526311" w:rsidRDefault="00B45FC3" w:rsidP="0063039A">
            <w:pPr>
              <w:rPr>
                <w:sz w:val="16"/>
                <w:szCs w:val="16"/>
              </w:rPr>
            </w:pPr>
            <w:r w:rsidRPr="00526311">
              <w:rPr>
                <w:b/>
                <w:sz w:val="16"/>
                <w:szCs w:val="16"/>
              </w:rPr>
              <w:t>Indicadores de rendimiento</w:t>
            </w:r>
          </w:p>
        </w:tc>
        <w:tc>
          <w:tcPr>
            <w:tcW w:w="1212" w:type="pct"/>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908" w:type="pct"/>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137" w:type="pct"/>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531" w:type="pct"/>
            <w:shd w:val="clear" w:color="auto" w:fill="auto"/>
            <w:tcMar>
              <w:top w:w="110" w:type="dxa"/>
            </w:tcMar>
            <w:vAlign w:val="center"/>
          </w:tcPr>
          <w:p w:rsidR="00B45FC3" w:rsidRPr="00526311" w:rsidRDefault="00B45FC3" w:rsidP="0063039A">
            <w:pPr>
              <w:keepNext/>
              <w:keepLines/>
              <w:ind w:left="-107"/>
              <w:jc w:val="center"/>
              <w:rPr>
                <w:b/>
                <w:bCs/>
                <w:sz w:val="16"/>
                <w:szCs w:val="16"/>
              </w:rPr>
            </w:pPr>
            <w:r w:rsidRPr="00526311">
              <w:rPr>
                <w:b/>
                <w:bCs/>
                <w:sz w:val="16"/>
                <w:szCs w:val="16"/>
              </w:rPr>
              <w:t>Clave de colores</w:t>
            </w:r>
          </w:p>
        </w:tc>
      </w:tr>
      <w:tr w:rsidR="00B45FC3" w:rsidRPr="00526311" w:rsidTr="0063039A">
        <w:tc>
          <w:tcPr>
            <w:tcW w:w="1212" w:type="pct"/>
            <w:shd w:val="clear" w:color="auto" w:fill="auto"/>
          </w:tcPr>
          <w:p w:rsidR="00B45FC3" w:rsidRPr="00526311" w:rsidRDefault="00B45FC3" w:rsidP="0063039A">
            <w:pPr>
              <w:rPr>
                <w:sz w:val="16"/>
                <w:szCs w:val="16"/>
              </w:rPr>
            </w:pPr>
            <w:r w:rsidRPr="00526311">
              <w:rPr>
                <w:sz w:val="16"/>
                <w:szCs w:val="16"/>
              </w:rPr>
              <w:t>No. de nuevas subdivisiones introducidas anualmente en la CIP</w:t>
            </w:r>
          </w:p>
        </w:tc>
        <w:tc>
          <w:tcPr>
            <w:tcW w:w="1212" w:type="pct"/>
            <w:shd w:val="clear" w:color="auto" w:fill="auto"/>
          </w:tcPr>
          <w:p w:rsidR="00B45FC3" w:rsidRPr="00526311" w:rsidRDefault="00522335">
            <w:pPr>
              <w:rPr>
                <w:color w:val="002060"/>
                <w:sz w:val="16"/>
                <w:szCs w:val="16"/>
              </w:rPr>
            </w:pPr>
            <w:r w:rsidRPr="00526311">
              <w:rPr>
                <w:i/>
                <w:color w:val="002060"/>
                <w:sz w:val="16"/>
                <w:szCs w:val="16"/>
              </w:rPr>
              <w:t>Referencia actualizada a fines de</w:t>
            </w:r>
            <w:r w:rsidR="00B45FC3" w:rsidRPr="00526311">
              <w:rPr>
                <w:i/>
                <w:color w:val="002060"/>
                <w:sz w:val="16"/>
                <w:szCs w:val="16"/>
              </w:rPr>
              <w:t xml:space="preserve"> 2013:  </w:t>
            </w:r>
            <w:r w:rsidR="00B45FC3" w:rsidRPr="00526311">
              <w:rPr>
                <w:color w:val="002060"/>
                <w:sz w:val="16"/>
                <w:szCs w:val="16"/>
              </w:rPr>
              <w:t>617</w:t>
            </w:r>
          </w:p>
          <w:p w:rsidR="00B45FC3" w:rsidRPr="00526311" w:rsidRDefault="00B45FC3">
            <w:pPr>
              <w:rPr>
                <w:i/>
                <w:sz w:val="8"/>
                <w:szCs w:val="8"/>
              </w:rPr>
            </w:pPr>
          </w:p>
          <w:p w:rsidR="00B45FC3" w:rsidRPr="00526311" w:rsidRDefault="00B45FC3" w:rsidP="00554DC6">
            <w:pPr>
              <w:rPr>
                <w:i/>
                <w:color w:val="002060"/>
                <w:sz w:val="16"/>
                <w:szCs w:val="16"/>
              </w:rPr>
            </w:pPr>
            <w:r w:rsidRPr="00526311">
              <w:rPr>
                <w:i/>
                <w:sz w:val="16"/>
                <w:szCs w:val="16"/>
              </w:rPr>
              <w:t xml:space="preserve">Referencia original en el presupuesto </w:t>
            </w:r>
            <w:r w:rsidR="00554DC6" w:rsidRPr="00526311">
              <w:rPr>
                <w:i/>
                <w:sz w:val="16"/>
                <w:szCs w:val="16"/>
              </w:rPr>
              <w:t>de</w:t>
            </w:r>
            <w:r w:rsidRPr="00526311">
              <w:rPr>
                <w:i/>
                <w:sz w:val="16"/>
                <w:szCs w:val="16"/>
              </w:rPr>
              <w:t xml:space="preserve"> 2014/15:</w:t>
            </w:r>
            <w:r w:rsidRPr="00526311">
              <w:rPr>
                <w:sz w:val="16"/>
                <w:szCs w:val="16"/>
              </w:rPr>
              <w:t xml:space="preserve">  500 nuevos grupos, promedio</w:t>
            </w:r>
            <w:r w:rsidR="00554DC6" w:rsidRPr="00526311">
              <w:rPr>
                <w:sz w:val="16"/>
                <w:szCs w:val="16"/>
              </w:rPr>
              <w:t xml:space="preserve"> 2009-</w:t>
            </w:r>
            <w:r w:rsidRPr="00526311">
              <w:rPr>
                <w:sz w:val="16"/>
                <w:szCs w:val="16"/>
              </w:rPr>
              <w:t>13</w:t>
            </w:r>
          </w:p>
        </w:tc>
        <w:tc>
          <w:tcPr>
            <w:tcW w:w="908" w:type="pct"/>
            <w:shd w:val="clear" w:color="auto" w:fill="auto"/>
            <w:tcMar>
              <w:top w:w="110" w:type="dxa"/>
            </w:tcMar>
          </w:tcPr>
          <w:p w:rsidR="00B45FC3" w:rsidRPr="00526311" w:rsidRDefault="00B45FC3" w:rsidP="0063039A">
            <w:pPr>
              <w:rPr>
                <w:sz w:val="16"/>
                <w:szCs w:val="16"/>
              </w:rPr>
            </w:pPr>
            <w:r w:rsidRPr="00526311">
              <w:rPr>
                <w:sz w:val="16"/>
                <w:szCs w:val="16"/>
              </w:rPr>
              <w:t>800 nuevos grupos por año</w:t>
            </w:r>
          </w:p>
        </w:tc>
        <w:tc>
          <w:tcPr>
            <w:tcW w:w="1137" w:type="pct"/>
            <w:shd w:val="clear" w:color="auto" w:fill="FFFFFF"/>
            <w:tcMar>
              <w:top w:w="110" w:type="dxa"/>
            </w:tcMar>
          </w:tcPr>
          <w:p w:rsidR="00B45FC3" w:rsidRPr="00526311" w:rsidRDefault="00B45FC3" w:rsidP="0063039A">
            <w:pPr>
              <w:rPr>
                <w:sz w:val="8"/>
                <w:szCs w:val="8"/>
                <w:lang w:bidi="th-TH"/>
              </w:rPr>
            </w:pPr>
            <w:r w:rsidRPr="00526311">
              <w:rPr>
                <w:color w:val="000000"/>
                <w:sz w:val="16"/>
                <w:szCs w:val="16"/>
              </w:rPr>
              <w:t>Introducción de 337 nuevos grupos en la versión 2015.01 de la CIP</w:t>
            </w:r>
          </w:p>
        </w:tc>
        <w:tc>
          <w:tcPr>
            <w:tcW w:w="531" w:type="pct"/>
            <w:shd w:val="clear" w:color="auto" w:fill="auto"/>
            <w:tcMar>
              <w:top w:w="110" w:type="dxa"/>
            </w:tcMar>
          </w:tcPr>
          <w:p w:rsidR="00B45FC3" w:rsidRPr="00526311" w:rsidRDefault="00B45FC3" w:rsidP="0063039A">
            <w:pPr>
              <w:keepNext/>
              <w:keepLines/>
              <w:ind w:left="-107" w:right="-107"/>
              <w:jc w:val="center"/>
              <w:rPr>
                <w:b/>
                <w:bCs/>
                <w:color w:val="FF0000"/>
                <w:sz w:val="16"/>
                <w:szCs w:val="16"/>
              </w:rPr>
            </w:pPr>
            <w:r w:rsidRPr="00526311">
              <w:rPr>
                <w:b/>
                <w:bCs/>
                <w:color w:val="FF0000"/>
                <w:sz w:val="16"/>
                <w:szCs w:val="16"/>
              </w:rPr>
              <w:t>No avanza</w:t>
            </w:r>
          </w:p>
        </w:tc>
      </w:tr>
      <w:tr w:rsidR="00B45FC3" w:rsidRPr="00526311" w:rsidTr="0063039A">
        <w:tc>
          <w:tcPr>
            <w:tcW w:w="1212" w:type="pct"/>
            <w:shd w:val="clear" w:color="auto" w:fill="auto"/>
          </w:tcPr>
          <w:p w:rsidR="00B45FC3" w:rsidRPr="00526311" w:rsidRDefault="00B45FC3" w:rsidP="0063039A">
            <w:pPr>
              <w:rPr>
                <w:sz w:val="16"/>
                <w:szCs w:val="16"/>
              </w:rPr>
            </w:pPr>
            <w:r w:rsidRPr="00526311">
              <w:rPr>
                <w:sz w:val="16"/>
                <w:szCs w:val="16"/>
              </w:rPr>
              <w:t>Número de normas técnicas modificadas y nuevas normas técnicas adoptadas</w:t>
            </w:r>
          </w:p>
        </w:tc>
        <w:tc>
          <w:tcPr>
            <w:tcW w:w="1212" w:type="pct"/>
            <w:shd w:val="clear" w:color="auto" w:fill="auto"/>
          </w:tcPr>
          <w:p w:rsidR="00B45FC3" w:rsidRPr="00526311" w:rsidRDefault="00B45FC3" w:rsidP="0063039A">
            <w:pPr>
              <w:pStyle w:val="CommentText"/>
              <w:rPr>
                <w:color w:val="002060"/>
              </w:rPr>
            </w:pPr>
            <w:r w:rsidRPr="00526311">
              <w:rPr>
                <w:i/>
                <w:color w:val="002060"/>
                <w:sz w:val="16"/>
                <w:szCs w:val="16"/>
              </w:rPr>
              <w:t xml:space="preserve">Referencia actualizada a fines de 2013:  </w:t>
            </w:r>
          </w:p>
          <w:p w:rsidR="00B45FC3" w:rsidRPr="00526311" w:rsidRDefault="00B45FC3" w:rsidP="0063039A">
            <w:pPr>
              <w:pStyle w:val="CommentText"/>
              <w:rPr>
                <w:i/>
                <w:color w:val="000000"/>
                <w:sz w:val="16"/>
                <w:szCs w:val="16"/>
              </w:rPr>
            </w:pPr>
            <w:r w:rsidRPr="00526311">
              <w:rPr>
                <w:i/>
                <w:color w:val="000000"/>
                <w:sz w:val="16"/>
                <w:szCs w:val="16"/>
              </w:rPr>
              <w:t>Se adoptó una norma nueva y se modificaron dos en 2012.   En 2013 se modificaron una norma técnica y el glosario.</w:t>
            </w:r>
          </w:p>
          <w:p w:rsidR="00B45FC3" w:rsidRPr="00526311" w:rsidRDefault="00B45FC3">
            <w:pPr>
              <w:rPr>
                <w:i/>
                <w:sz w:val="16"/>
                <w:szCs w:val="16"/>
              </w:rPr>
            </w:pPr>
          </w:p>
          <w:p w:rsidR="00B45FC3" w:rsidRPr="00526311" w:rsidRDefault="00B45FC3" w:rsidP="00554DC6">
            <w:pPr>
              <w:rPr>
                <w:i/>
                <w:color w:val="002060"/>
                <w:sz w:val="16"/>
                <w:szCs w:val="16"/>
              </w:rPr>
            </w:pPr>
            <w:r w:rsidRPr="00526311">
              <w:rPr>
                <w:i/>
                <w:sz w:val="16"/>
                <w:szCs w:val="16"/>
              </w:rPr>
              <w:t xml:space="preserve">Referencia original en el presupuesto </w:t>
            </w:r>
            <w:r w:rsidR="00554DC6" w:rsidRPr="00526311">
              <w:rPr>
                <w:i/>
                <w:sz w:val="16"/>
                <w:szCs w:val="16"/>
              </w:rPr>
              <w:t xml:space="preserve">de </w:t>
            </w:r>
            <w:r w:rsidRPr="00526311">
              <w:rPr>
                <w:i/>
                <w:sz w:val="16"/>
                <w:szCs w:val="16"/>
              </w:rPr>
              <w:t>2014/15:</w:t>
            </w:r>
            <w:r w:rsidRPr="00526311">
              <w:rPr>
                <w:sz w:val="16"/>
                <w:szCs w:val="16"/>
              </w:rPr>
              <w:t xml:space="preserve"> promedio 2012</w:t>
            </w:r>
            <w:r w:rsidR="00554DC6" w:rsidRPr="00526311">
              <w:rPr>
                <w:sz w:val="16"/>
                <w:szCs w:val="16"/>
              </w:rPr>
              <w:t>/</w:t>
            </w:r>
            <w:r w:rsidRPr="00526311">
              <w:rPr>
                <w:sz w:val="16"/>
                <w:szCs w:val="16"/>
              </w:rPr>
              <w:t>13 (por determinar)</w:t>
            </w:r>
          </w:p>
        </w:tc>
        <w:tc>
          <w:tcPr>
            <w:tcW w:w="908" w:type="pct"/>
            <w:shd w:val="clear" w:color="auto" w:fill="auto"/>
            <w:tcMar>
              <w:top w:w="110" w:type="dxa"/>
            </w:tcMar>
          </w:tcPr>
          <w:p w:rsidR="00B45FC3" w:rsidRPr="00526311" w:rsidRDefault="00B45FC3" w:rsidP="0063039A">
            <w:pPr>
              <w:rPr>
                <w:sz w:val="16"/>
                <w:szCs w:val="16"/>
              </w:rPr>
            </w:pPr>
            <w:r w:rsidRPr="00526311">
              <w:rPr>
                <w:sz w:val="16"/>
                <w:szCs w:val="16"/>
              </w:rPr>
              <w:t>Aumento en comparación con la referencia</w:t>
            </w:r>
          </w:p>
        </w:tc>
        <w:tc>
          <w:tcPr>
            <w:tcW w:w="1137" w:type="pct"/>
            <w:shd w:val="clear" w:color="auto" w:fill="FFFFFF"/>
            <w:tcMar>
              <w:top w:w="110" w:type="dxa"/>
            </w:tcMar>
          </w:tcPr>
          <w:p w:rsidR="00B45FC3" w:rsidRPr="00526311" w:rsidRDefault="00B45FC3" w:rsidP="0063039A">
            <w:pPr>
              <w:rPr>
                <w:sz w:val="8"/>
                <w:szCs w:val="8"/>
                <w:lang w:bidi="th-TH"/>
              </w:rPr>
            </w:pPr>
            <w:r w:rsidRPr="00526311">
              <w:rPr>
                <w:color w:val="000000"/>
                <w:sz w:val="16"/>
                <w:szCs w:val="16"/>
              </w:rPr>
              <w:t>Se adopta una nueva norma técnica y se revisa una de manera informal (2014)</w:t>
            </w:r>
          </w:p>
        </w:tc>
        <w:tc>
          <w:tcPr>
            <w:tcW w:w="531" w:type="pct"/>
            <w:shd w:val="clear" w:color="auto" w:fill="auto"/>
            <w:tcMar>
              <w:top w:w="110" w:type="dxa"/>
            </w:tcMar>
          </w:tcPr>
          <w:p w:rsidR="00B45FC3" w:rsidRPr="00526311" w:rsidRDefault="00B45FC3" w:rsidP="0063039A">
            <w:pPr>
              <w:keepNext/>
              <w:keepLines/>
              <w:ind w:left="-107" w:right="-107"/>
              <w:jc w:val="center"/>
              <w:rPr>
                <w:b/>
                <w:bCs/>
                <w:color w:val="FF0000"/>
                <w:sz w:val="16"/>
                <w:szCs w:val="16"/>
              </w:rPr>
            </w:pPr>
            <w:r w:rsidRPr="00526311">
              <w:rPr>
                <w:b/>
                <w:bCs/>
                <w:color w:val="FF0000"/>
                <w:sz w:val="16"/>
                <w:szCs w:val="16"/>
              </w:rPr>
              <w:t>No avanza</w:t>
            </w:r>
          </w:p>
        </w:tc>
      </w:tr>
      <w:tr w:rsidR="00B45FC3" w:rsidRPr="00526311" w:rsidTr="0063039A">
        <w:tc>
          <w:tcPr>
            <w:tcW w:w="1212" w:type="pct"/>
            <w:shd w:val="clear" w:color="auto" w:fill="auto"/>
          </w:tcPr>
          <w:p w:rsidR="00B45FC3" w:rsidRPr="00526311" w:rsidRDefault="00B45FC3" w:rsidP="0063039A">
            <w:pPr>
              <w:rPr>
                <w:sz w:val="16"/>
                <w:szCs w:val="16"/>
              </w:rPr>
            </w:pPr>
            <w:r w:rsidRPr="00526311">
              <w:rPr>
                <w:sz w:val="16"/>
                <w:szCs w:val="16"/>
              </w:rPr>
              <w:t>Número de usuarios que tienen acceso a las publicaciones de clasificaciones internacionales y normas técnicas, especialmente de países en desarrollo</w:t>
            </w:r>
          </w:p>
        </w:tc>
        <w:tc>
          <w:tcPr>
            <w:tcW w:w="1212" w:type="pct"/>
            <w:shd w:val="clear" w:color="auto" w:fill="auto"/>
          </w:tcPr>
          <w:p w:rsidR="00B45FC3" w:rsidRPr="00526311" w:rsidRDefault="00B45FC3" w:rsidP="0063039A">
            <w:pPr>
              <w:rPr>
                <w:i/>
                <w:color w:val="002060"/>
                <w:sz w:val="16"/>
                <w:szCs w:val="16"/>
              </w:rPr>
            </w:pPr>
            <w:r w:rsidRPr="00526311">
              <w:rPr>
                <w:i/>
                <w:color w:val="002060"/>
                <w:sz w:val="16"/>
                <w:szCs w:val="16"/>
              </w:rPr>
              <w:t xml:space="preserve">Referencia actualizada a fines de 2013:  </w:t>
            </w:r>
          </w:p>
          <w:p w:rsidR="00B45FC3" w:rsidRPr="00526311" w:rsidRDefault="00B45FC3" w:rsidP="0063039A">
            <w:pPr>
              <w:spacing w:after="120"/>
              <w:rPr>
                <w:color w:val="002060"/>
                <w:sz w:val="16"/>
                <w:szCs w:val="16"/>
              </w:rPr>
            </w:pPr>
            <w:r w:rsidRPr="00526311">
              <w:rPr>
                <w:color w:val="002060"/>
                <w:sz w:val="16"/>
                <w:szCs w:val="16"/>
              </w:rPr>
              <w:t>Pág. principal CIP:  387.093</w:t>
            </w:r>
            <w:r w:rsidR="002C519F" w:rsidRPr="00526311">
              <w:rPr>
                <w:color w:val="002060"/>
                <w:sz w:val="16"/>
                <w:szCs w:val="16"/>
              </w:rPr>
              <w:br/>
            </w:r>
            <w:r w:rsidR="002C519F" w:rsidRPr="00526311">
              <w:rPr>
                <w:color w:val="002060"/>
                <w:sz w:val="16"/>
                <w:szCs w:val="16"/>
              </w:rPr>
              <w:br/>
              <w:t>Edición de la CIP: 670.032 (extrapolación de los datos de enero-marzo de 2013 y reajustada por el mismo método de medición usado respecto de los datos de 2014)</w:t>
            </w:r>
          </w:p>
          <w:p w:rsidR="00B45FC3" w:rsidRPr="00526311" w:rsidRDefault="00B45FC3" w:rsidP="0063039A">
            <w:pPr>
              <w:spacing w:after="120"/>
              <w:rPr>
                <w:color w:val="002060"/>
                <w:sz w:val="16"/>
                <w:szCs w:val="16"/>
              </w:rPr>
            </w:pPr>
            <w:r w:rsidRPr="00526311">
              <w:rPr>
                <w:color w:val="002060"/>
                <w:sz w:val="16"/>
                <w:szCs w:val="16"/>
              </w:rPr>
              <w:t>Pág. principal Niza:  533.846</w:t>
            </w:r>
          </w:p>
          <w:p w:rsidR="00B45FC3" w:rsidRPr="00526311" w:rsidRDefault="00B45FC3" w:rsidP="0063039A">
            <w:pPr>
              <w:spacing w:after="120"/>
              <w:rPr>
                <w:color w:val="002060"/>
                <w:sz w:val="16"/>
                <w:szCs w:val="16"/>
              </w:rPr>
            </w:pPr>
            <w:r w:rsidRPr="00526311">
              <w:rPr>
                <w:color w:val="002060"/>
                <w:sz w:val="16"/>
                <w:szCs w:val="16"/>
              </w:rPr>
              <w:t>Edición de la Clasificación de Niza:  2.386.409</w:t>
            </w:r>
          </w:p>
          <w:p w:rsidR="00B45FC3" w:rsidRPr="00526311" w:rsidRDefault="00B45FC3" w:rsidP="0063039A">
            <w:pPr>
              <w:spacing w:after="120"/>
              <w:rPr>
                <w:color w:val="002060"/>
                <w:sz w:val="16"/>
                <w:szCs w:val="16"/>
              </w:rPr>
            </w:pPr>
            <w:r w:rsidRPr="00526311">
              <w:rPr>
                <w:color w:val="002060"/>
                <w:sz w:val="16"/>
                <w:szCs w:val="16"/>
              </w:rPr>
              <w:t>Página principal Locarno:  36.727</w:t>
            </w:r>
          </w:p>
          <w:p w:rsidR="00B45FC3" w:rsidRPr="00526311" w:rsidRDefault="00B45FC3" w:rsidP="0063039A">
            <w:pPr>
              <w:spacing w:after="120"/>
              <w:rPr>
                <w:color w:val="002060"/>
                <w:sz w:val="16"/>
                <w:szCs w:val="16"/>
              </w:rPr>
            </w:pPr>
            <w:r w:rsidRPr="00526311">
              <w:rPr>
                <w:color w:val="002060"/>
                <w:sz w:val="16"/>
                <w:szCs w:val="16"/>
              </w:rPr>
              <w:t>Página principal Viena:  32.416</w:t>
            </w:r>
          </w:p>
          <w:p w:rsidR="00B45FC3" w:rsidRPr="00526311" w:rsidRDefault="00B45FC3" w:rsidP="0063039A">
            <w:pPr>
              <w:spacing w:after="120"/>
              <w:rPr>
                <w:color w:val="002060"/>
                <w:sz w:val="16"/>
                <w:szCs w:val="16"/>
              </w:rPr>
            </w:pPr>
            <w:r w:rsidRPr="00526311">
              <w:rPr>
                <w:color w:val="002060"/>
                <w:sz w:val="16"/>
                <w:szCs w:val="16"/>
              </w:rPr>
              <w:t>Edición CIP:  79.005</w:t>
            </w:r>
            <w:r w:rsidRPr="00526311" w:rsidDel="00430708">
              <w:rPr>
                <w:color w:val="002060"/>
                <w:sz w:val="16"/>
                <w:szCs w:val="16"/>
              </w:rPr>
              <w:t xml:space="preserve"> </w:t>
            </w:r>
            <w:r w:rsidRPr="00526311">
              <w:rPr>
                <w:color w:val="002060"/>
                <w:sz w:val="16"/>
                <w:szCs w:val="16"/>
              </w:rPr>
              <w:t>(datos de enero-mayo 2013)</w:t>
            </w:r>
          </w:p>
          <w:p w:rsidR="00B45FC3" w:rsidRPr="00526311" w:rsidRDefault="00B45FC3" w:rsidP="0063039A">
            <w:pPr>
              <w:spacing w:after="120"/>
              <w:rPr>
                <w:color w:val="002060"/>
                <w:sz w:val="16"/>
                <w:szCs w:val="16"/>
              </w:rPr>
            </w:pPr>
            <w:r w:rsidRPr="00526311">
              <w:rPr>
                <w:color w:val="002060"/>
                <w:sz w:val="16"/>
                <w:szCs w:val="16"/>
              </w:rPr>
              <w:t>Manual de normas técnicas de la OMPI):  94.463</w:t>
            </w:r>
          </w:p>
          <w:p w:rsidR="00B45FC3" w:rsidRPr="00526311" w:rsidRDefault="00B45FC3" w:rsidP="002C519F">
            <w:pPr>
              <w:rPr>
                <w:i/>
                <w:color w:val="002060"/>
                <w:sz w:val="16"/>
                <w:szCs w:val="16"/>
              </w:rPr>
            </w:pPr>
            <w:r w:rsidRPr="00526311">
              <w:rPr>
                <w:i/>
                <w:sz w:val="16"/>
                <w:szCs w:val="16"/>
              </w:rPr>
              <w:t xml:space="preserve">Referencia original en el presupuesto </w:t>
            </w:r>
            <w:r w:rsidR="002C519F" w:rsidRPr="00526311">
              <w:rPr>
                <w:i/>
                <w:sz w:val="16"/>
                <w:szCs w:val="16"/>
              </w:rPr>
              <w:t>de</w:t>
            </w:r>
            <w:r w:rsidRPr="00526311">
              <w:rPr>
                <w:i/>
                <w:sz w:val="16"/>
                <w:szCs w:val="16"/>
              </w:rPr>
              <w:t xml:space="preserve"> 2014/15:</w:t>
            </w:r>
            <w:r w:rsidRPr="00526311">
              <w:rPr>
                <w:sz w:val="16"/>
                <w:szCs w:val="16"/>
              </w:rPr>
              <w:t xml:space="preserve">  Por determinar a fines de 2013</w:t>
            </w:r>
          </w:p>
        </w:tc>
        <w:tc>
          <w:tcPr>
            <w:tcW w:w="908" w:type="pct"/>
            <w:shd w:val="clear" w:color="auto" w:fill="auto"/>
            <w:tcMar>
              <w:top w:w="110" w:type="dxa"/>
            </w:tcMar>
          </w:tcPr>
          <w:p w:rsidR="00B45FC3" w:rsidRPr="00526311" w:rsidRDefault="00B45FC3" w:rsidP="0063039A">
            <w:pPr>
              <w:rPr>
                <w:sz w:val="16"/>
                <w:szCs w:val="16"/>
              </w:rPr>
            </w:pPr>
            <w:r w:rsidRPr="00526311">
              <w:rPr>
                <w:sz w:val="16"/>
                <w:szCs w:val="16"/>
              </w:rPr>
              <w:t>5% de aumento en comparación con la referencia.</w:t>
            </w:r>
          </w:p>
        </w:tc>
        <w:tc>
          <w:tcPr>
            <w:tcW w:w="1137" w:type="pct"/>
            <w:shd w:val="clear" w:color="auto" w:fill="FFFFFF"/>
            <w:tcMar>
              <w:top w:w="110" w:type="dxa"/>
            </w:tcMar>
          </w:tcPr>
          <w:p w:rsidR="00B45FC3" w:rsidRPr="00526311" w:rsidRDefault="00B45FC3">
            <w:pPr>
              <w:spacing w:after="120"/>
              <w:rPr>
                <w:color w:val="000000"/>
                <w:sz w:val="16"/>
                <w:szCs w:val="16"/>
              </w:rPr>
            </w:pPr>
            <w:r w:rsidRPr="00526311">
              <w:rPr>
                <w:sz w:val="16"/>
                <w:szCs w:val="16"/>
                <w:lang w:bidi="th-TH"/>
              </w:rPr>
              <w:t xml:space="preserve">Pág. principal </w:t>
            </w:r>
            <w:r w:rsidRPr="00526311">
              <w:rPr>
                <w:color w:val="000000"/>
                <w:sz w:val="16"/>
                <w:szCs w:val="16"/>
              </w:rPr>
              <w:t>CIP: 291.845 (disminución del 24,6 %) (44,08 % visitas de países en desarrollo)</w:t>
            </w:r>
            <w:r w:rsidR="002C519F" w:rsidRPr="00526311">
              <w:rPr>
                <w:color w:val="000000"/>
                <w:sz w:val="16"/>
                <w:szCs w:val="16"/>
              </w:rPr>
              <w:br/>
            </w:r>
            <w:r w:rsidR="002C519F" w:rsidRPr="00526311">
              <w:rPr>
                <w:color w:val="000000"/>
                <w:sz w:val="16"/>
                <w:szCs w:val="16"/>
              </w:rPr>
              <w:br/>
              <w:t>Edición de la CIP: 1.078.752 (aumento del 61%, extrapolado de los datos de junio-diciembre de 2014)</w:t>
            </w:r>
          </w:p>
          <w:p w:rsidR="00B45FC3" w:rsidRPr="00526311" w:rsidRDefault="00B45FC3">
            <w:pPr>
              <w:spacing w:after="120"/>
              <w:rPr>
                <w:color w:val="000000"/>
                <w:sz w:val="16"/>
                <w:szCs w:val="16"/>
              </w:rPr>
            </w:pPr>
            <w:r w:rsidRPr="00526311">
              <w:rPr>
                <w:sz w:val="16"/>
                <w:szCs w:val="16"/>
                <w:lang w:bidi="th-TH"/>
              </w:rPr>
              <w:t>Pág. principal Niza</w:t>
            </w:r>
            <w:r w:rsidRPr="00526311">
              <w:rPr>
                <w:color w:val="000000"/>
                <w:sz w:val="16"/>
                <w:szCs w:val="16"/>
              </w:rPr>
              <w:t>: 497.629 (disminución del 6,8 %)  (35,14% de visitas de países en desarrollo)</w:t>
            </w:r>
          </w:p>
          <w:p w:rsidR="00B45FC3" w:rsidRPr="00526311" w:rsidRDefault="00B45FC3">
            <w:pPr>
              <w:spacing w:after="120"/>
              <w:rPr>
                <w:color w:val="000000"/>
                <w:sz w:val="16"/>
                <w:szCs w:val="16"/>
              </w:rPr>
            </w:pPr>
            <w:r w:rsidRPr="00526311">
              <w:rPr>
                <w:color w:val="000000"/>
                <w:sz w:val="16"/>
                <w:szCs w:val="16"/>
              </w:rPr>
              <w:t>Edición de la Clasificación de Niza: 2.587.788 (aumento del 8,4%) (43,97% de visitas de países en desarrollo</w:t>
            </w:r>
          </w:p>
          <w:p w:rsidR="00B45FC3" w:rsidRPr="00526311" w:rsidRDefault="00B45FC3">
            <w:pPr>
              <w:spacing w:after="120"/>
              <w:rPr>
                <w:color w:val="000000"/>
                <w:sz w:val="16"/>
                <w:szCs w:val="16"/>
              </w:rPr>
            </w:pPr>
            <w:r w:rsidRPr="00526311">
              <w:rPr>
                <w:color w:val="000000"/>
                <w:sz w:val="16"/>
                <w:szCs w:val="16"/>
              </w:rPr>
              <w:t>Página principal Locarno: 44.557 (aumento del 21,3 %) (38,42%  de visitas de países en desarrollo)</w:t>
            </w:r>
          </w:p>
          <w:p w:rsidR="00B45FC3" w:rsidRPr="00526311" w:rsidRDefault="00B45FC3">
            <w:pPr>
              <w:spacing w:after="120"/>
              <w:rPr>
                <w:color w:val="000000"/>
                <w:sz w:val="16"/>
                <w:szCs w:val="16"/>
              </w:rPr>
            </w:pPr>
            <w:r w:rsidRPr="00526311">
              <w:rPr>
                <w:color w:val="000000"/>
                <w:sz w:val="16"/>
                <w:szCs w:val="16"/>
              </w:rPr>
              <w:t>Página principal Viena: 29.596 (disminución del 8,7%) (56,32 % de visitas de países en desarrollo)</w:t>
            </w:r>
          </w:p>
          <w:p w:rsidR="00B45FC3" w:rsidRPr="00526311" w:rsidRDefault="00B45FC3" w:rsidP="0063039A">
            <w:pPr>
              <w:spacing w:after="120"/>
              <w:rPr>
                <w:sz w:val="8"/>
                <w:szCs w:val="8"/>
                <w:lang w:bidi="th-TH"/>
              </w:rPr>
            </w:pPr>
            <w:r w:rsidRPr="00526311">
              <w:rPr>
                <w:color w:val="000000"/>
                <w:sz w:val="16"/>
                <w:szCs w:val="16"/>
              </w:rPr>
              <w:t>Normas técnicas de la OMPI (manual):  66.399 (disminución del 29,7 %) (29,04% de visitas de países en desarrollo)</w:t>
            </w:r>
          </w:p>
        </w:tc>
        <w:tc>
          <w:tcPr>
            <w:tcW w:w="531" w:type="pct"/>
            <w:shd w:val="clear" w:color="auto" w:fill="auto"/>
            <w:tcMar>
              <w:top w:w="110" w:type="dxa"/>
            </w:tcMar>
          </w:tcPr>
          <w:p w:rsidR="00B45FC3" w:rsidRPr="00526311" w:rsidRDefault="002C519F" w:rsidP="0063039A">
            <w:pPr>
              <w:keepNext/>
              <w:keepLines/>
              <w:ind w:left="-107" w:right="-107"/>
              <w:jc w:val="center"/>
              <w:rPr>
                <w:b/>
                <w:bCs/>
                <w:color w:val="00B050"/>
                <w:sz w:val="16"/>
                <w:szCs w:val="16"/>
              </w:rPr>
            </w:pPr>
            <w:r w:rsidRPr="00526311">
              <w:rPr>
                <w:b/>
                <w:bCs/>
                <w:color w:val="FF0000"/>
                <w:sz w:val="16"/>
                <w:szCs w:val="16"/>
              </w:rPr>
              <w:t>No avanza</w:t>
            </w:r>
          </w:p>
          <w:p w:rsidR="00B45FC3" w:rsidRPr="00526311" w:rsidRDefault="00B45FC3" w:rsidP="0063039A">
            <w:pPr>
              <w:keepNext/>
              <w:keepLines/>
              <w:jc w:val="center"/>
              <w:rPr>
                <w:b/>
                <w:bCs/>
                <w:color w:val="808080"/>
                <w:sz w:val="16"/>
                <w:szCs w:val="16"/>
              </w:rPr>
            </w:pPr>
          </w:p>
          <w:p w:rsidR="00B45FC3" w:rsidRPr="00526311" w:rsidRDefault="00B45FC3" w:rsidP="0063039A">
            <w:pPr>
              <w:keepNext/>
              <w:keepLines/>
              <w:jc w:val="center"/>
              <w:rPr>
                <w:b/>
                <w:bCs/>
                <w:color w:val="808080"/>
                <w:sz w:val="16"/>
                <w:szCs w:val="16"/>
              </w:rPr>
            </w:pPr>
          </w:p>
          <w:p w:rsidR="00B45FC3" w:rsidRPr="00526311" w:rsidRDefault="00B45FC3" w:rsidP="0063039A">
            <w:pPr>
              <w:keepNext/>
              <w:keepLines/>
              <w:jc w:val="center"/>
              <w:rPr>
                <w:b/>
                <w:bCs/>
                <w:color w:val="808080"/>
                <w:sz w:val="16"/>
                <w:szCs w:val="16"/>
              </w:rPr>
            </w:pPr>
          </w:p>
          <w:p w:rsidR="002C519F" w:rsidRPr="00526311" w:rsidRDefault="002C519F" w:rsidP="0063039A">
            <w:pPr>
              <w:keepNext/>
              <w:keepLines/>
              <w:jc w:val="center"/>
              <w:rPr>
                <w:b/>
                <w:bCs/>
                <w:color w:val="808080"/>
                <w:sz w:val="16"/>
                <w:szCs w:val="16"/>
              </w:rPr>
            </w:pPr>
          </w:p>
          <w:p w:rsidR="002C519F" w:rsidRPr="00526311" w:rsidRDefault="002C519F" w:rsidP="0063039A">
            <w:pPr>
              <w:keepNext/>
              <w:keepLines/>
              <w:jc w:val="center"/>
              <w:rPr>
                <w:b/>
                <w:bCs/>
                <w:color w:val="808080"/>
                <w:sz w:val="16"/>
                <w:szCs w:val="16"/>
              </w:rPr>
            </w:pPr>
            <w:r w:rsidRPr="00526311">
              <w:rPr>
                <w:b/>
                <w:bCs/>
                <w:color w:val="00B050"/>
                <w:sz w:val="16"/>
                <w:szCs w:val="16"/>
              </w:rPr>
              <w:t>Avanza</w:t>
            </w:r>
          </w:p>
          <w:p w:rsidR="00B45FC3" w:rsidRPr="00526311" w:rsidRDefault="00B45FC3" w:rsidP="0063039A">
            <w:pPr>
              <w:keepNext/>
              <w:keepLines/>
              <w:jc w:val="center"/>
              <w:rPr>
                <w:b/>
                <w:bCs/>
                <w:color w:val="808080"/>
                <w:sz w:val="16"/>
                <w:szCs w:val="16"/>
              </w:rPr>
            </w:pPr>
          </w:p>
          <w:p w:rsidR="002C519F" w:rsidRPr="00526311" w:rsidRDefault="002C519F" w:rsidP="0063039A">
            <w:pPr>
              <w:keepNext/>
              <w:keepLines/>
              <w:jc w:val="center"/>
              <w:rPr>
                <w:b/>
                <w:bCs/>
                <w:color w:val="808080"/>
                <w:sz w:val="16"/>
                <w:szCs w:val="16"/>
              </w:rPr>
            </w:pPr>
          </w:p>
          <w:p w:rsidR="002C519F" w:rsidRPr="00526311" w:rsidRDefault="002C519F" w:rsidP="0063039A">
            <w:pPr>
              <w:keepNext/>
              <w:keepLines/>
              <w:jc w:val="center"/>
              <w:rPr>
                <w:b/>
                <w:bCs/>
                <w:color w:val="808080"/>
                <w:sz w:val="16"/>
                <w:szCs w:val="16"/>
              </w:rPr>
            </w:pPr>
          </w:p>
          <w:p w:rsidR="002C519F" w:rsidRPr="00526311" w:rsidRDefault="002C519F" w:rsidP="0063039A">
            <w:pPr>
              <w:keepNext/>
              <w:keepLines/>
              <w:jc w:val="center"/>
              <w:rPr>
                <w:b/>
                <w:bCs/>
                <w:color w:val="808080"/>
                <w:sz w:val="16"/>
                <w:szCs w:val="16"/>
              </w:rPr>
            </w:pPr>
          </w:p>
          <w:p w:rsidR="002C519F" w:rsidRPr="00526311" w:rsidRDefault="002C519F" w:rsidP="0063039A">
            <w:pPr>
              <w:keepNext/>
              <w:keepLines/>
              <w:jc w:val="center"/>
              <w:rPr>
                <w:b/>
                <w:bCs/>
                <w:color w:val="808080"/>
                <w:sz w:val="16"/>
                <w:szCs w:val="16"/>
              </w:rPr>
            </w:pPr>
          </w:p>
          <w:p w:rsidR="00B45FC3" w:rsidRPr="00526311" w:rsidRDefault="00B45FC3" w:rsidP="0063039A">
            <w:pPr>
              <w:keepNext/>
              <w:keepLines/>
              <w:ind w:left="-107" w:right="-107"/>
              <w:jc w:val="center"/>
              <w:rPr>
                <w:b/>
                <w:bCs/>
                <w:color w:val="FF0000"/>
                <w:sz w:val="16"/>
                <w:szCs w:val="16"/>
              </w:rPr>
            </w:pPr>
            <w:r w:rsidRPr="00526311">
              <w:rPr>
                <w:b/>
                <w:bCs/>
                <w:color w:val="FF0000"/>
                <w:sz w:val="16"/>
                <w:szCs w:val="16"/>
              </w:rPr>
              <w:t>No avanza</w:t>
            </w:r>
          </w:p>
          <w:p w:rsidR="00B45FC3" w:rsidRPr="00526311" w:rsidRDefault="00B45FC3" w:rsidP="0063039A">
            <w:pPr>
              <w:keepNext/>
              <w:keepLines/>
              <w:jc w:val="center"/>
              <w:rPr>
                <w:b/>
                <w:bCs/>
                <w:color w:val="808080"/>
                <w:sz w:val="16"/>
                <w:szCs w:val="16"/>
              </w:rPr>
            </w:pPr>
          </w:p>
          <w:p w:rsidR="002C519F" w:rsidRPr="00526311" w:rsidRDefault="002C519F" w:rsidP="0063039A">
            <w:pPr>
              <w:keepNext/>
              <w:keepLines/>
              <w:jc w:val="center"/>
              <w:rPr>
                <w:b/>
                <w:bCs/>
                <w:color w:val="808080"/>
                <w:sz w:val="16"/>
                <w:szCs w:val="16"/>
              </w:rPr>
            </w:pPr>
          </w:p>
          <w:p w:rsidR="00B45FC3" w:rsidRPr="00526311" w:rsidRDefault="00B45FC3" w:rsidP="0063039A">
            <w:pPr>
              <w:keepNext/>
              <w:keepLines/>
              <w:jc w:val="center"/>
              <w:rPr>
                <w:b/>
                <w:bCs/>
                <w:color w:val="808080"/>
                <w:sz w:val="16"/>
                <w:szCs w:val="16"/>
              </w:rPr>
            </w:pPr>
          </w:p>
          <w:p w:rsidR="00B45FC3" w:rsidRPr="00526311" w:rsidRDefault="00B45FC3" w:rsidP="0063039A">
            <w:pPr>
              <w:keepNext/>
              <w:keepLines/>
              <w:ind w:left="-107" w:right="-107"/>
              <w:jc w:val="center"/>
              <w:rPr>
                <w:b/>
                <w:bCs/>
                <w:color w:val="00B050"/>
                <w:sz w:val="16"/>
                <w:szCs w:val="16"/>
              </w:rPr>
            </w:pPr>
            <w:r w:rsidRPr="00526311">
              <w:rPr>
                <w:b/>
                <w:bCs/>
                <w:color w:val="00B050"/>
                <w:sz w:val="16"/>
                <w:szCs w:val="16"/>
              </w:rPr>
              <w:t>Avanza</w:t>
            </w: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2C519F" w:rsidRPr="00526311" w:rsidRDefault="002C519F"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ind w:left="-107" w:right="-107"/>
              <w:jc w:val="center"/>
              <w:rPr>
                <w:b/>
                <w:bCs/>
                <w:color w:val="00B050"/>
                <w:sz w:val="16"/>
                <w:szCs w:val="16"/>
              </w:rPr>
            </w:pPr>
            <w:r w:rsidRPr="00526311">
              <w:rPr>
                <w:b/>
                <w:bCs/>
                <w:color w:val="00B050"/>
                <w:sz w:val="16"/>
                <w:szCs w:val="16"/>
              </w:rPr>
              <w:t>Avanza</w:t>
            </w:r>
          </w:p>
          <w:p w:rsidR="00B45FC3" w:rsidRPr="00526311" w:rsidRDefault="00B45FC3" w:rsidP="0063039A">
            <w:pPr>
              <w:keepNext/>
              <w:keepLines/>
              <w:spacing w:after="120"/>
              <w:jc w:val="center"/>
              <w:rPr>
                <w:b/>
                <w:bCs/>
                <w:color w:val="808080"/>
                <w:sz w:val="16"/>
                <w:szCs w:val="16"/>
              </w:rPr>
            </w:pPr>
          </w:p>
          <w:p w:rsidR="00B45FC3" w:rsidRPr="00526311" w:rsidRDefault="00B45FC3" w:rsidP="0063039A">
            <w:pPr>
              <w:keepNext/>
              <w:keepLines/>
              <w:spacing w:after="120"/>
              <w:rPr>
                <w:b/>
                <w:bCs/>
                <w:color w:val="808080"/>
                <w:sz w:val="16"/>
                <w:szCs w:val="16"/>
              </w:rPr>
            </w:pPr>
          </w:p>
          <w:p w:rsidR="002C519F" w:rsidRPr="00526311" w:rsidRDefault="002C519F" w:rsidP="0063039A">
            <w:pPr>
              <w:keepNext/>
              <w:keepLines/>
              <w:spacing w:after="120"/>
              <w:rPr>
                <w:b/>
                <w:bCs/>
                <w:color w:val="808080"/>
                <w:sz w:val="16"/>
                <w:szCs w:val="16"/>
              </w:rPr>
            </w:pPr>
          </w:p>
          <w:p w:rsidR="00B45FC3" w:rsidRPr="00526311" w:rsidRDefault="00B45FC3" w:rsidP="0063039A">
            <w:pPr>
              <w:keepNext/>
              <w:keepLines/>
              <w:ind w:left="-107" w:right="-107"/>
              <w:jc w:val="center"/>
              <w:rPr>
                <w:b/>
                <w:bCs/>
                <w:color w:val="FF0000"/>
                <w:sz w:val="16"/>
                <w:szCs w:val="16"/>
              </w:rPr>
            </w:pPr>
            <w:r w:rsidRPr="00526311">
              <w:rPr>
                <w:b/>
                <w:bCs/>
                <w:color w:val="FF0000"/>
                <w:sz w:val="16"/>
                <w:szCs w:val="16"/>
              </w:rPr>
              <w:t>No avanza</w:t>
            </w:r>
          </w:p>
          <w:p w:rsidR="00B45FC3" w:rsidRPr="00526311" w:rsidRDefault="00B45FC3" w:rsidP="0063039A">
            <w:pPr>
              <w:keepNext/>
              <w:keepLines/>
              <w:spacing w:after="120"/>
              <w:jc w:val="center"/>
              <w:rPr>
                <w:bCs/>
                <w:color w:val="808080"/>
                <w:sz w:val="16"/>
                <w:szCs w:val="16"/>
              </w:rPr>
            </w:pPr>
            <w:r w:rsidRPr="00526311">
              <w:rPr>
                <w:bCs/>
                <w:color w:val="808080"/>
                <w:sz w:val="16"/>
                <w:szCs w:val="16"/>
              </w:rPr>
              <w:br/>
            </w:r>
            <w:r w:rsidRPr="00526311">
              <w:rPr>
                <w:bCs/>
                <w:color w:val="808080"/>
                <w:sz w:val="16"/>
                <w:szCs w:val="16"/>
              </w:rPr>
              <w:br/>
            </w:r>
          </w:p>
          <w:p w:rsidR="00B45FC3" w:rsidRPr="00526311" w:rsidRDefault="00B45FC3" w:rsidP="0063039A">
            <w:pPr>
              <w:keepNext/>
              <w:keepLines/>
              <w:ind w:left="-107" w:right="-107"/>
              <w:jc w:val="center"/>
              <w:rPr>
                <w:b/>
                <w:bCs/>
                <w:color w:val="FF0000"/>
                <w:sz w:val="16"/>
                <w:szCs w:val="16"/>
              </w:rPr>
            </w:pPr>
            <w:r w:rsidRPr="00526311">
              <w:rPr>
                <w:b/>
                <w:bCs/>
                <w:color w:val="FF0000"/>
                <w:sz w:val="16"/>
                <w:szCs w:val="16"/>
              </w:rPr>
              <w:t>No avanza</w:t>
            </w:r>
          </w:p>
          <w:p w:rsidR="00B45FC3" w:rsidRPr="00526311" w:rsidRDefault="00B45FC3">
            <w:pPr>
              <w:keepNext/>
              <w:keepLines/>
              <w:spacing w:after="120"/>
              <w:jc w:val="center"/>
              <w:rPr>
                <w:bCs/>
                <w:color w:val="808080"/>
                <w:sz w:val="16"/>
                <w:szCs w:val="16"/>
              </w:rPr>
            </w:pPr>
          </w:p>
        </w:tc>
      </w:tr>
    </w:tbl>
    <w:p w:rsidR="00B45FC3" w:rsidRPr="00526311" w:rsidRDefault="00B45FC3" w:rsidP="0063039A">
      <w:pPr>
        <w:jc w:val="both"/>
        <w:rPr>
          <w:color w:val="000000"/>
          <w:szCs w:val="22"/>
        </w:rPr>
      </w:pPr>
    </w:p>
    <w:p w:rsidR="00B45FC3" w:rsidRPr="00526311" w:rsidRDefault="00B45FC3">
      <w:pPr>
        <w:rPr>
          <w:color w:val="000000"/>
          <w:szCs w:val="22"/>
        </w:rPr>
      </w:pPr>
      <w:r w:rsidRPr="00526311">
        <w:rPr>
          <w:color w:val="000000"/>
          <w:szCs w:val="22"/>
        </w:rPr>
        <w:br w:type="page"/>
      </w:r>
    </w:p>
    <w:p w:rsidR="00B45FC3" w:rsidRPr="00526311" w:rsidRDefault="00B45FC3" w:rsidP="0063039A">
      <w:pPr>
        <w:jc w:val="both"/>
        <w:rPr>
          <w:b/>
          <w:sz w:val="18"/>
          <w:szCs w:val="18"/>
        </w:rPr>
      </w:pPr>
      <w:r w:rsidRPr="00526311">
        <w:rPr>
          <w:szCs w:val="22"/>
        </w:rPr>
        <w:lastRenderedPageBreak/>
        <w:t>UTILIZACIÓN DE LOS RECURSOS</w:t>
      </w:r>
    </w:p>
    <w:p w:rsidR="00B45FC3" w:rsidRPr="00526311" w:rsidRDefault="00B45FC3" w:rsidP="0063039A">
      <w:pPr>
        <w:jc w:val="both"/>
      </w:pPr>
    </w:p>
    <w:p w:rsidR="00B45FC3" w:rsidRPr="00526311" w:rsidRDefault="00B45FC3" w:rsidP="0063039A">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B45FC3" w:rsidRPr="00526311" w:rsidRDefault="00B45FC3"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pStyle w:val="NormalWeb"/>
        <w:spacing w:before="0" w:beforeAutospacing="0" w:after="0" w:afterAutospacing="0"/>
        <w:jc w:val="both"/>
        <w:rPr>
          <w:sz w:val="20"/>
          <w:szCs w:val="20"/>
          <w:lang w:val="es-ES"/>
        </w:rPr>
      </w:pPr>
    </w:p>
    <w:p w:rsidR="00B45FC3" w:rsidRPr="00526311" w:rsidRDefault="00DD7B62" w:rsidP="0063039A">
      <w:pPr>
        <w:jc w:val="center"/>
      </w:pPr>
      <w:r w:rsidRPr="00526311">
        <w:rPr>
          <w:noProof/>
          <w:lang w:val="en-US" w:eastAsia="en-US"/>
        </w:rPr>
        <w:drawing>
          <wp:inline distT="0" distB="0" distL="0" distR="0" wp14:anchorId="73FFB505" wp14:editId="33D06871">
            <wp:extent cx="5594348" cy="1525732"/>
            <wp:effectExtent l="0" t="0" r="6985"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10444" cy="1530122"/>
                    </a:xfrm>
                    <a:prstGeom prst="rect">
                      <a:avLst/>
                    </a:prstGeom>
                    <a:noFill/>
                    <a:ln>
                      <a:noFill/>
                    </a:ln>
                  </pic:spPr>
                </pic:pic>
              </a:graphicData>
            </a:graphic>
          </wp:inline>
        </w:drawing>
      </w:r>
    </w:p>
    <w:p w:rsidR="00B45FC3" w:rsidRPr="00526311" w:rsidRDefault="00B45FC3" w:rsidP="0063039A">
      <w:pPr>
        <w:jc w:val="both"/>
      </w:pPr>
    </w:p>
    <w:p w:rsidR="00B45FC3" w:rsidRPr="00526311" w:rsidRDefault="00B45FC3" w:rsidP="0063039A">
      <w:pPr>
        <w:pStyle w:val="NormalWeb"/>
        <w:keepNext/>
        <w:keepLines/>
        <w:spacing w:before="0" w:beforeAutospacing="0" w:after="0" w:afterAutospacing="0"/>
        <w:jc w:val="center"/>
        <w:rPr>
          <w:sz w:val="20"/>
          <w:szCs w:val="20"/>
          <w:lang w:val="es-ES"/>
        </w:rPr>
      </w:pPr>
      <w:r w:rsidRPr="00526311">
        <w:rPr>
          <w:sz w:val="20"/>
          <w:szCs w:val="20"/>
          <w:lang w:val="es-ES"/>
        </w:rPr>
        <w:t>Presupuesto y gastos reales (de personal y no relativos a personal)</w:t>
      </w:r>
    </w:p>
    <w:p w:rsidR="00B45FC3" w:rsidRPr="00526311" w:rsidRDefault="00B45FC3"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pStyle w:val="NormalWeb"/>
        <w:keepNext/>
        <w:keepLines/>
        <w:spacing w:before="0" w:beforeAutospacing="0" w:after="0" w:afterAutospacing="0"/>
        <w:jc w:val="both"/>
        <w:rPr>
          <w:lang w:val="es-ES"/>
        </w:rPr>
      </w:pPr>
    </w:p>
    <w:p w:rsidR="00B45FC3" w:rsidRPr="00526311" w:rsidRDefault="00FF6E74" w:rsidP="0063039A">
      <w:pPr>
        <w:jc w:val="center"/>
      </w:pPr>
      <w:bookmarkStart w:id="48" w:name="Punto12"/>
      <w:r w:rsidRPr="00526311">
        <w:rPr>
          <w:noProof/>
          <w:lang w:val="en-US" w:eastAsia="en-US"/>
        </w:rPr>
        <w:drawing>
          <wp:inline distT="0" distB="0" distL="0" distR="0" wp14:anchorId="5D4398FB" wp14:editId="0550BE89">
            <wp:extent cx="5940425" cy="1209029"/>
            <wp:effectExtent l="0" t="0" r="3175"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0425" cy="1209029"/>
                    </a:xfrm>
                    <a:prstGeom prst="rect">
                      <a:avLst/>
                    </a:prstGeom>
                    <a:noFill/>
                    <a:ln>
                      <a:noFill/>
                    </a:ln>
                  </pic:spPr>
                </pic:pic>
              </a:graphicData>
            </a:graphic>
          </wp:inline>
        </w:drawing>
      </w:r>
      <w:bookmarkEnd w:id="48"/>
    </w:p>
    <w:p w:rsidR="00B45FC3" w:rsidRPr="00526311" w:rsidRDefault="00B45FC3" w:rsidP="0063039A">
      <w:pPr>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B45FC3" w:rsidRPr="00526311" w:rsidRDefault="00B45FC3" w:rsidP="0063039A">
      <w:pPr>
        <w:widowControl w:val="0"/>
        <w:autoSpaceDE w:val="0"/>
        <w:autoSpaceDN w:val="0"/>
        <w:adjustRightInd w:val="0"/>
        <w:jc w:val="both"/>
        <w:rPr>
          <w:sz w:val="20"/>
        </w:rPr>
      </w:pPr>
    </w:p>
    <w:p w:rsidR="00B45FC3" w:rsidRPr="00526311" w:rsidRDefault="00B45FC3" w:rsidP="0063039A">
      <w:pPr>
        <w:jc w:val="both"/>
        <w:rPr>
          <w:sz w:val="20"/>
          <w:u w:val="single"/>
        </w:rPr>
      </w:pPr>
      <w:r w:rsidRPr="00526311">
        <w:rPr>
          <w:sz w:val="20"/>
        </w:rPr>
        <w:t>A.</w:t>
      </w:r>
      <w:r w:rsidRPr="00526311">
        <w:rPr>
          <w:sz w:val="20"/>
        </w:rPr>
        <w:tab/>
      </w:r>
      <w:r w:rsidRPr="00526311">
        <w:rPr>
          <w:sz w:val="20"/>
          <w:u w:val="single"/>
        </w:rPr>
        <w:t>Presupuesto de 2014/15 tras las transferencias</w:t>
      </w:r>
    </w:p>
    <w:p w:rsidR="00B45FC3" w:rsidRPr="00526311" w:rsidRDefault="00B45FC3" w:rsidP="0063039A">
      <w:pPr>
        <w:jc w:val="both"/>
        <w:rPr>
          <w:sz w:val="20"/>
          <w:u w:val="single"/>
        </w:rPr>
      </w:pPr>
    </w:p>
    <w:p w:rsidR="00B45FC3" w:rsidRPr="00526311" w:rsidRDefault="00B45FC3" w:rsidP="00B45FC3">
      <w:pPr>
        <w:pStyle w:val="ListParagraph"/>
        <w:numPr>
          <w:ilvl w:val="0"/>
          <w:numId w:val="62"/>
        </w:numPr>
        <w:tabs>
          <w:tab w:val="left" w:pos="709"/>
        </w:tabs>
        <w:ind w:left="0" w:firstLine="0"/>
        <w:jc w:val="both"/>
        <w:rPr>
          <w:lang w:val="es-ES"/>
        </w:rPr>
      </w:pPr>
      <w:r w:rsidRPr="00526311">
        <w:rPr>
          <w:lang w:val="es-ES"/>
        </w:rPr>
        <w:t xml:space="preserve">La leve disminución del presupuesto de 2014/15 tras las transferencias refleja la reclasificación a la baja de dos puestos (recursos de personal) así como una reducción en los recursos no relativos a personal para lograr ahorros relacionados con la eficacia en función de los costos. </w:t>
      </w:r>
    </w:p>
    <w:p w:rsidR="00B45FC3" w:rsidRPr="00526311" w:rsidRDefault="00B45FC3" w:rsidP="0063039A">
      <w:pPr>
        <w:autoSpaceDE w:val="0"/>
        <w:autoSpaceDN w:val="0"/>
        <w:jc w:val="both"/>
        <w:rPr>
          <w:sz w:val="20"/>
          <w:lang w:eastAsia="ko-KR"/>
        </w:rPr>
      </w:pPr>
    </w:p>
    <w:p w:rsidR="00B45FC3" w:rsidRPr="00526311" w:rsidRDefault="00B45FC3"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B45FC3" w:rsidRPr="00526311" w:rsidRDefault="00B45FC3" w:rsidP="0063039A">
      <w:pPr>
        <w:tabs>
          <w:tab w:val="left" w:pos="709"/>
        </w:tabs>
        <w:jc w:val="both"/>
        <w:rPr>
          <w:sz w:val="20"/>
          <w:u w:val="single"/>
          <w:lang w:eastAsia="ko-KR"/>
        </w:rPr>
      </w:pPr>
    </w:p>
    <w:p w:rsidR="00B45FC3" w:rsidRPr="00526311" w:rsidRDefault="00B45FC3" w:rsidP="00B45FC3">
      <w:pPr>
        <w:pStyle w:val="ListParagraph"/>
        <w:numPr>
          <w:ilvl w:val="0"/>
          <w:numId w:val="62"/>
        </w:numPr>
        <w:tabs>
          <w:tab w:val="left" w:pos="709"/>
        </w:tabs>
        <w:ind w:left="0" w:firstLine="0"/>
        <w:jc w:val="both"/>
        <w:rPr>
          <w:rFonts w:ascii="Calibri" w:hAnsi="Calibri"/>
          <w:lang w:val="es-ES"/>
        </w:rPr>
      </w:pPr>
      <w:r w:rsidRPr="00526311">
        <w:rPr>
          <w:lang w:val="es-ES" w:eastAsia="zh-CN"/>
        </w:rPr>
        <w:t>La utilización del presupuesto se ha mantenido dentro de los límites establecidos (</w:t>
      </w:r>
      <w:r w:rsidRPr="00526311">
        <w:rPr>
          <w:lang w:val="es-ES"/>
        </w:rPr>
        <w:t>40-60%) durante el primer año del bienio y está bien encaminada</w:t>
      </w:r>
      <w:r w:rsidRPr="00526311">
        <w:rPr>
          <w:rFonts w:cs="Arial"/>
          <w:lang w:val="es-ES" w:eastAsia="ko-KR"/>
        </w:rPr>
        <w:t>.</w:t>
      </w:r>
    </w:p>
    <w:p w:rsidR="00B45FC3" w:rsidRPr="00526311" w:rsidRDefault="00B45FC3" w:rsidP="0063039A">
      <w:pPr>
        <w:jc w:val="both"/>
        <w:rPr>
          <w:sz w:val="20"/>
        </w:rPr>
      </w:pPr>
    </w:p>
    <w:p w:rsidR="00B45FC3" w:rsidRPr="00526311" w:rsidRDefault="00B45FC3" w:rsidP="0063039A">
      <w:pPr>
        <w:jc w:val="both"/>
        <w:rPr>
          <w:sz w:val="20"/>
        </w:rPr>
      </w:pPr>
    </w:p>
    <w:p w:rsidR="00B45FC3" w:rsidRPr="00526311" w:rsidRDefault="00B45FC3">
      <w:pPr>
        <w:rPr>
          <w:bCs/>
          <w:iCs/>
          <w:caps/>
          <w:sz w:val="20"/>
        </w:rPr>
      </w:pPr>
      <w:r w:rsidRPr="00526311">
        <w:rPr>
          <w:sz w:val="20"/>
        </w:rPr>
        <w:br w:type="page"/>
      </w:r>
    </w:p>
    <w:p w:rsidR="00B45FC3" w:rsidRPr="00526311" w:rsidRDefault="00B45FC3" w:rsidP="0063039A">
      <w:pPr>
        <w:pStyle w:val="Heading2"/>
        <w:tabs>
          <w:tab w:val="left" w:pos="2410"/>
        </w:tabs>
        <w:rPr>
          <w:b/>
        </w:rPr>
      </w:pPr>
      <w:bookmarkStart w:id="49" w:name="_Toc422927422"/>
      <w:r w:rsidRPr="00526311">
        <w:rPr>
          <w:b/>
        </w:rPr>
        <w:lastRenderedPageBreak/>
        <w:t>PROGRAMA 13</w:t>
      </w:r>
      <w:r w:rsidRPr="00526311">
        <w:rPr>
          <w:b/>
        </w:rPr>
        <w:tab/>
        <w:t>BASES MUNDIALES DE DATOS</w:t>
      </w:r>
      <w:bookmarkEnd w:id="49"/>
    </w:p>
    <w:p w:rsidR="00B45FC3" w:rsidRPr="00526311" w:rsidRDefault="00B45FC3" w:rsidP="0063039A">
      <w:pPr>
        <w:rPr>
          <w:sz w:val="20"/>
        </w:rPr>
      </w:pPr>
    </w:p>
    <w:p w:rsidR="00B45FC3" w:rsidRPr="00526311" w:rsidRDefault="00B45FC3" w:rsidP="0063039A">
      <w:pPr>
        <w:tabs>
          <w:tab w:val="left" w:pos="2410"/>
        </w:tabs>
        <w:rPr>
          <w:sz w:val="20"/>
        </w:rPr>
      </w:pPr>
      <w:r w:rsidRPr="00526311">
        <w:rPr>
          <w:b/>
          <w:sz w:val="20"/>
        </w:rPr>
        <w:t>Director de programa</w:t>
      </w:r>
      <w:r w:rsidRPr="00526311">
        <w:rPr>
          <w:sz w:val="20"/>
        </w:rPr>
        <w:tab/>
      </w:r>
      <w:r w:rsidRPr="00526311">
        <w:rPr>
          <w:b/>
          <w:sz w:val="20"/>
        </w:rPr>
        <w:t>Sr. Y. Takagi</w:t>
      </w:r>
    </w:p>
    <w:p w:rsidR="00B45FC3" w:rsidRPr="00526311" w:rsidRDefault="00B45FC3" w:rsidP="0063039A">
      <w:pPr>
        <w:rPr>
          <w:sz w:val="20"/>
        </w:rPr>
      </w:pPr>
    </w:p>
    <w:p w:rsidR="00B45FC3" w:rsidRPr="00526311" w:rsidRDefault="00B45FC3" w:rsidP="0063039A">
      <w:pPr>
        <w:rPr>
          <w:sz w:val="20"/>
        </w:rPr>
      </w:pPr>
    </w:p>
    <w:p w:rsidR="00B45FC3" w:rsidRPr="00526311" w:rsidRDefault="00B45FC3" w:rsidP="0063039A">
      <w:pPr>
        <w:rPr>
          <w:bCs/>
        </w:rPr>
      </w:pPr>
      <w:r w:rsidRPr="00526311">
        <w:rPr>
          <w:bCs/>
        </w:rPr>
        <w:t>RESEÑA DE LOS AVANCES LOGRADOS EN 2014</w:t>
      </w:r>
    </w:p>
    <w:p w:rsidR="00B45FC3" w:rsidRPr="00526311" w:rsidRDefault="00B45FC3" w:rsidP="0063039A">
      <w:pPr>
        <w:jc w:val="both"/>
      </w:pPr>
    </w:p>
    <w:p w:rsidR="00B45FC3" w:rsidRPr="00526311" w:rsidRDefault="00B45FC3" w:rsidP="00B45FC3">
      <w:pPr>
        <w:pStyle w:val="ListParagraph"/>
        <w:numPr>
          <w:ilvl w:val="0"/>
          <w:numId w:val="64"/>
        </w:numPr>
        <w:tabs>
          <w:tab w:val="left" w:pos="709"/>
        </w:tabs>
        <w:ind w:left="0" w:firstLine="0"/>
        <w:jc w:val="both"/>
        <w:rPr>
          <w:lang w:val="es-ES"/>
        </w:rPr>
      </w:pPr>
      <w:r w:rsidRPr="00526311">
        <w:rPr>
          <w:lang w:val="es-ES"/>
        </w:rPr>
        <w:t xml:space="preserve">En 2014 se siguió fortaleciendo el sistema PATENTSCOPE, y se prestó atención sobre todo a la mejora del acceso al sistema en las regiones que experimentaban retrasos en las conexiones.  Se hicieron los preparativos necesarios para incorporar otros dos idiomas al sistema de búsqueda plurilingüe </w:t>
      </w:r>
      <w:r w:rsidRPr="00526311">
        <w:rPr>
          <w:i/>
          <w:lang w:val="es-ES"/>
        </w:rPr>
        <w:t>Cross Lingual Information Retrieval</w:t>
      </w:r>
      <w:r w:rsidRPr="00526311">
        <w:rPr>
          <w:lang w:val="es-ES"/>
        </w:rPr>
        <w:t xml:space="preserve"> (CLIR) que permite recuperar datos en varios idiomas, a fin de ampliar la lista de 12 idiomas existentes antes de que finalice el bienio, siempre y cuando se ponga a punto la interfaz.  Se perfeccionó la herramienta TAPTA</w:t>
      </w:r>
      <w:r w:rsidR="0066395C" w:rsidRPr="00526311">
        <w:rPr>
          <w:lang w:val="es-ES"/>
        </w:rPr>
        <w:t xml:space="preserve"> (siglas en inglés correspondientes a Auxiliar para la traducción</w:t>
      </w:r>
      <w:r w:rsidRPr="00526311">
        <w:rPr>
          <w:lang w:val="es-ES"/>
        </w:rPr>
        <w:t xml:space="preserve"> de títulos y resúmenes de patentes</w:t>
      </w:r>
      <w:r w:rsidR="0066395C" w:rsidRPr="00526311">
        <w:rPr>
          <w:lang w:val="es-ES"/>
        </w:rPr>
        <w:t>)</w:t>
      </w:r>
      <w:r w:rsidRPr="00526311">
        <w:rPr>
          <w:rStyle w:val="FootnoteReference"/>
          <w:lang w:val="es-ES"/>
        </w:rPr>
        <w:footnoteReference w:id="40"/>
      </w:r>
      <w:r w:rsidR="0066395C" w:rsidRPr="00526311">
        <w:rPr>
          <w:lang w:val="es-ES"/>
        </w:rPr>
        <w:t>,</w:t>
      </w:r>
      <w:r w:rsidRPr="00526311">
        <w:rPr>
          <w:lang w:val="es-ES"/>
        </w:rPr>
        <w:t xml:space="preserve"> un sistema de traducción asistida por computadora puesto a punto en la Organización, para dar cabida a otro par de idiomas que ofrece dificultades, el inglés y el chino, con lo que se eleva a cinco el número total de pares de idiomas disponibles.  También se avanzó en la labor de investigación relativa a otras funciones de traducción automática en 2014, y se siguió aplicando el sistema en otras organizaciones de NN.UU.</w:t>
      </w:r>
    </w:p>
    <w:p w:rsidR="00B45FC3" w:rsidRPr="00526311" w:rsidRDefault="00B45FC3" w:rsidP="0063039A">
      <w:pPr>
        <w:tabs>
          <w:tab w:val="left" w:pos="709"/>
        </w:tabs>
        <w:jc w:val="both"/>
      </w:pPr>
    </w:p>
    <w:p w:rsidR="00B45FC3" w:rsidRPr="00526311" w:rsidRDefault="00B45FC3" w:rsidP="00B45FC3">
      <w:pPr>
        <w:pStyle w:val="ListParagraph"/>
        <w:numPr>
          <w:ilvl w:val="0"/>
          <w:numId w:val="64"/>
        </w:numPr>
        <w:tabs>
          <w:tab w:val="left" w:pos="709"/>
        </w:tabs>
        <w:ind w:left="0" w:firstLine="0"/>
        <w:jc w:val="both"/>
        <w:rPr>
          <w:lang w:val="es-ES"/>
        </w:rPr>
      </w:pPr>
      <w:r w:rsidRPr="00526311">
        <w:rPr>
          <w:lang w:val="es-ES"/>
        </w:rPr>
        <w:t>El us</w:t>
      </w:r>
      <w:r w:rsidR="0066395C" w:rsidRPr="00526311">
        <w:rPr>
          <w:lang w:val="es-ES"/>
        </w:rPr>
        <w:t>o de PATENTSCOPE aumentó en un 3,</w:t>
      </w:r>
      <w:r w:rsidRPr="00526311">
        <w:rPr>
          <w:lang w:val="es-ES"/>
        </w:rPr>
        <w:t>5% pasando de 237.446 usuarios</w:t>
      </w:r>
      <w:r w:rsidR="0066395C" w:rsidRPr="00526311">
        <w:rPr>
          <w:lang w:val="es-ES"/>
        </w:rPr>
        <w:t xml:space="preserve"> únicos</w:t>
      </w:r>
      <w:r w:rsidRPr="00526311">
        <w:rPr>
          <w:lang w:val="es-ES"/>
        </w:rPr>
        <w:t xml:space="preserve"> por trimestre en 2013 a </w:t>
      </w:r>
      <w:r w:rsidR="0066395C" w:rsidRPr="00526311">
        <w:rPr>
          <w:lang w:val="es-ES"/>
        </w:rPr>
        <w:t>245.769</w:t>
      </w:r>
      <w:r w:rsidRPr="00526311">
        <w:rPr>
          <w:lang w:val="es-ES"/>
        </w:rPr>
        <w:t xml:space="preserve">  por trimestre en 2014</w:t>
      </w:r>
      <w:r w:rsidR="0066395C" w:rsidRPr="00526311">
        <w:rPr>
          <w:lang w:val="es-ES"/>
        </w:rPr>
        <w:t>, procedentes de 169 países</w:t>
      </w:r>
      <w:r w:rsidRPr="00526311">
        <w:rPr>
          <w:lang w:val="es-ES"/>
        </w:rPr>
        <w:t>.  También aumentó en un 12% en 2014 el número de colecciones contenidas en PATENTSCOPE, con lo que se eleva a 41 el número total de colecciones nacionales y regionales (indicadas como “Otros” en el gráfico que figura a continuación) y el número total de registros contenidos en ellas asciende a 43 millones, un aumento del 26% en relación con 2013.</w:t>
      </w:r>
    </w:p>
    <w:p w:rsidR="00B45FC3" w:rsidRPr="00526311" w:rsidRDefault="00B45FC3" w:rsidP="0063039A">
      <w:pPr>
        <w:jc w:val="both"/>
        <w:rPr>
          <w:sz w:val="20"/>
        </w:rPr>
      </w:pPr>
    </w:p>
    <w:p w:rsidR="00B45FC3" w:rsidRPr="00526311" w:rsidRDefault="00B45FC3" w:rsidP="0063039A">
      <w:pPr>
        <w:autoSpaceDE w:val="0"/>
        <w:autoSpaceDN w:val="0"/>
        <w:adjustRightInd w:val="0"/>
        <w:jc w:val="center"/>
        <w:rPr>
          <w:bCs/>
          <w:sz w:val="20"/>
        </w:rPr>
      </w:pPr>
      <w:r w:rsidRPr="00526311">
        <w:rPr>
          <w:bCs/>
          <w:sz w:val="20"/>
        </w:rPr>
        <w:t>Número de registros en PATENTSCOPE 2014</w:t>
      </w:r>
    </w:p>
    <w:p w:rsidR="00B45FC3" w:rsidRPr="00526311" w:rsidRDefault="00B45FC3" w:rsidP="0063039A">
      <w:pPr>
        <w:jc w:val="both"/>
        <w:rPr>
          <w:sz w:val="20"/>
        </w:rPr>
      </w:pPr>
    </w:p>
    <w:p w:rsidR="00B45FC3" w:rsidRPr="00526311" w:rsidRDefault="00EC2E15" w:rsidP="0063039A">
      <w:r w:rsidRPr="00526311">
        <w:rPr>
          <w:noProof/>
          <w:lang w:val="en-US" w:eastAsia="en-US"/>
        </w:rPr>
        <w:drawing>
          <wp:inline distT="0" distB="0" distL="0" distR="0" wp14:anchorId="05AA5016" wp14:editId="71CF05F3">
            <wp:extent cx="5940425" cy="1692472"/>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0425" cy="1692472"/>
                    </a:xfrm>
                    <a:prstGeom prst="rect">
                      <a:avLst/>
                    </a:prstGeom>
                    <a:noFill/>
                    <a:ln>
                      <a:noFill/>
                    </a:ln>
                  </pic:spPr>
                </pic:pic>
              </a:graphicData>
            </a:graphic>
          </wp:inline>
        </w:drawing>
      </w:r>
    </w:p>
    <w:p w:rsidR="00B45FC3" w:rsidRPr="00526311" w:rsidRDefault="00B45FC3" w:rsidP="0063039A">
      <w:pPr>
        <w:jc w:val="both"/>
        <w:rPr>
          <w:bCs/>
          <w:sz w:val="20"/>
        </w:rPr>
      </w:pPr>
    </w:p>
    <w:p w:rsidR="00B45FC3" w:rsidRPr="00526311" w:rsidRDefault="00B45FC3" w:rsidP="0063039A">
      <w:pPr>
        <w:jc w:val="both"/>
        <w:rPr>
          <w:bCs/>
          <w:sz w:val="20"/>
        </w:rPr>
      </w:pPr>
    </w:p>
    <w:p w:rsidR="00B45FC3" w:rsidRPr="00526311" w:rsidRDefault="00B45FC3" w:rsidP="00B45FC3">
      <w:pPr>
        <w:pStyle w:val="ListParagraph"/>
        <w:numPr>
          <w:ilvl w:val="0"/>
          <w:numId w:val="64"/>
        </w:numPr>
        <w:tabs>
          <w:tab w:val="left" w:pos="709"/>
        </w:tabs>
        <w:ind w:left="0" w:firstLine="0"/>
        <w:jc w:val="both"/>
        <w:rPr>
          <w:bCs/>
          <w:lang w:val="es-ES"/>
        </w:rPr>
      </w:pPr>
      <w:r w:rsidRPr="00526311">
        <w:rPr>
          <w:bCs/>
          <w:lang w:val="es-ES"/>
        </w:rPr>
        <w:t>Gracias a la introducción de una potente función de búsqueda de imágenes similares, en 2014 el uso de la Base Mundial de Datos sobre Marcas superó las expectativas previstas, al duplicarse el número de usuarios por trimestre, que pasó de 23.000 en 2013 a 49.977 en 2014.  El número de colecciones nacionales (indicadas como “Otros” en el gráfico que figura a continuación) aumentó notablemente (50%), con lo que el número total se eleva a 18 en 2014.  Asimismo, el número total de registros contenidos en el sistema aumentó en un 28%, pasando de 12 millones en 2013 a 15,4 millones en 2014.</w:t>
      </w:r>
    </w:p>
    <w:p w:rsidR="00B45FC3" w:rsidRPr="00526311" w:rsidRDefault="00B45FC3" w:rsidP="0063039A">
      <w:pPr>
        <w:jc w:val="both"/>
        <w:rPr>
          <w:bCs/>
          <w:sz w:val="20"/>
        </w:rPr>
      </w:pPr>
    </w:p>
    <w:p w:rsidR="00B45FC3" w:rsidRPr="00526311" w:rsidRDefault="00B45FC3" w:rsidP="0063039A">
      <w:pPr>
        <w:pStyle w:val="Style1"/>
        <w:keepNext/>
        <w:keepLines/>
        <w:numPr>
          <w:ilvl w:val="0"/>
          <w:numId w:val="0"/>
        </w:numPr>
        <w:ind w:left="720"/>
        <w:jc w:val="center"/>
        <w:rPr>
          <w:sz w:val="22"/>
          <w:szCs w:val="22"/>
          <w:lang w:val="es-ES"/>
        </w:rPr>
      </w:pPr>
    </w:p>
    <w:p w:rsidR="00B45FC3" w:rsidRPr="00526311" w:rsidRDefault="00B45FC3" w:rsidP="0063039A">
      <w:pPr>
        <w:pStyle w:val="Style1"/>
        <w:keepNext/>
        <w:keepLines/>
        <w:numPr>
          <w:ilvl w:val="0"/>
          <w:numId w:val="0"/>
        </w:numPr>
        <w:ind w:left="720"/>
        <w:jc w:val="center"/>
        <w:rPr>
          <w:szCs w:val="20"/>
          <w:lang w:val="es-ES"/>
        </w:rPr>
      </w:pPr>
      <w:r w:rsidRPr="00526311">
        <w:rPr>
          <w:szCs w:val="20"/>
          <w:lang w:val="es-ES"/>
        </w:rPr>
        <w:t>Número de registros en la Base Mundial de Datos sobre Marcas 2014</w:t>
      </w:r>
    </w:p>
    <w:p w:rsidR="00B45FC3" w:rsidRPr="00526311" w:rsidRDefault="00B45FC3" w:rsidP="0063039A">
      <w:pPr>
        <w:keepNext/>
        <w:keepLines/>
        <w:rPr>
          <w:bCs/>
          <w:sz w:val="20"/>
        </w:rPr>
      </w:pPr>
    </w:p>
    <w:p w:rsidR="00B45FC3" w:rsidRPr="00526311" w:rsidRDefault="00EC2E15" w:rsidP="0063039A">
      <w:pPr>
        <w:keepNext/>
        <w:keepLines/>
        <w:rPr>
          <w:bCs/>
          <w:sz w:val="20"/>
        </w:rPr>
      </w:pPr>
      <w:r w:rsidRPr="00526311">
        <w:rPr>
          <w:noProof/>
          <w:lang w:val="en-US" w:eastAsia="en-US"/>
        </w:rPr>
        <w:drawing>
          <wp:inline distT="0" distB="0" distL="0" distR="0" wp14:anchorId="2E2430B1" wp14:editId="3D6CC20E">
            <wp:extent cx="5940425" cy="1711071"/>
            <wp:effectExtent l="0" t="0" r="317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40425" cy="1711071"/>
                    </a:xfrm>
                    <a:prstGeom prst="rect">
                      <a:avLst/>
                    </a:prstGeom>
                    <a:noFill/>
                    <a:ln>
                      <a:noFill/>
                    </a:ln>
                  </pic:spPr>
                </pic:pic>
              </a:graphicData>
            </a:graphic>
          </wp:inline>
        </w:drawing>
      </w:r>
    </w:p>
    <w:p w:rsidR="00B45FC3" w:rsidRPr="00526311" w:rsidRDefault="00B45FC3" w:rsidP="0063039A">
      <w:pPr>
        <w:rPr>
          <w:bCs/>
          <w:sz w:val="20"/>
        </w:rPr>
      </w:pPr>
    </w:p>
    <w:p w:rsidR="00B45FC3" w:rsidRPr="00526311" w:rsidRDefault="00B45FC3" w:rsidP="00EC2E15">
      <w:pPr>
        <w:pStyle w:val="ListParagraph"/>
        <w:numPr>
          <w:ilvl w:val="0"/>
          <w:numId w:val="64"/>
        </w:numPr>
        <w:tabs>
          <w:tab w:val="left" w:pos="709"/>
        </w:tabs>
        <w:ind w:left="0" w:firstLine="0"/>
        <w:jc w:val="both"/>
        <w:rPr>
          <w:bCs/>
          <w:lang w:val="es-ES"/>
        </w:rPr>
      </w:pPr>
      <w:r w:rsidRPr="00526311">
        <w:rPr>
          <w:bCs/>
          <w:lang w:val="es-ES"/>
        </w:rPr>
        <w:t xml:space="preserve">El programa 13 siguió contribuyendo a las recomendaciones 24 y 31 de la Agenda para el Desarrollo, colmando la brecha digital y facilitando un mayor acceso a la información publicada sobre </w:t>
      </w:r>
      <w:r w:rsidR="00EC2E15" w:rsidRPr="00526311">
        <w:rPr>
          <w:bCs/>
          <w:lang w:val="es-ES"/>
        </w:rPr>
        <w:t>propiedad intelectual</w:t>
      </w:r>
      <w:r w:rsidRPr="00526311">
        <w:rPr>
          <w:bCs/>
          <w:lang w:val="es-ES"/>
        </w:rPr>
        <w:t xml:space="preserve"> mediante el constante aumento de los datos sobre P.I. disponibles para consulta y la ampliación de las funciones de apoyo a otros idiomas.</w:t>
      </w:r>
    </w:p>
    <w:p w:rsidR="00B45FC3" w:rsidRPr="00526311" w:rsidRDefault="00B45FC3" w:rsidP="0063039A">
      <w:pPr>
        <w:rPr>
          <w:bCs/>
          <w:sz w:val="20"/>
        </w:rPr>
      </w:pPr>
    </w:p>
    <w:p w:rsidR="00B45FC3" w:rsidRPr="00526311" w:rsidRDefault="00B45FC3" w:rsidP="0063039A">
      <w:pPr>
        <w:rPr>
          <w:bCs/>
          <w:sz w:val="20"/>
        </w:rPr>
      </w:pPr>
    </w:p>
    <w:p w:rsidR="00B45FC3" w:rsidRPr="00526311" w:rsidRDefault="00B45FC3" w:rsidP="0063039A">
      <w:pPr>
        <w:rPr>
          <w:szCs w:val="22"/>
        </w:rPr>
      </w:pPr>
      <w:r w:rsidRPr="00526311">
        <w:rPr>
          <w:szCs w:val="22"/>
        </w:rPr>
        <w:t>DATOS SOBRE EL RENDIMIENTO</w:t>
      </w:r>
    </w:p>
    <w:p w:rsidR="00B45FC3" w:rsidRPr="00526311" w:rsidRDefault="00B45FC3" w:rsidP="0063039A">
      <w:pPr>
        <w:rPr>
          <w:bCs/>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6"/>
        <w:gridCol w:w="2412"/>
        <w:gridCol w:w="1419"/>
        <w:gridCol w:w="2266"/>
        <w:gridCol w:w="144"/>
        <w:gridCol w:w="850"/>
      </w:tblGrid>
      <w:tr w:rsidR="00B45FC3" w:rsidRPr="00526311" w:rsidTr="0063039A">
        <w:trPr>
          <w:cantSplit/>
        </w:trPr>
        <w:tc>
          <w:tcPr>
            <w:tcW w:w="5000" w:type="pct"/>
            <w:gridSpan w:val="6"/>
            <w:tcBorders>
              <w:top w:val="single" w:sz="4" w:space="0" w:color="auto"/>
              <w:left w:val="single" w:sz="4" w:space="0" w:color="auto"/>
              <w:bottom w:val="single" w:sz="4" w:space="0" w:color="auto"/>
              <w:right w:val="single" w:sz="4" w:space="0" w:color="auto"/>
            </w:tcBorders>
            <w:shd w:val="clear" w:color="auto" w:fill="CCFFFF"/>
            <w:vAlign w:val="center"/>
          </w:tcPr>
          <w:p w:rsidR="00B45FC3" w:rsidRPr="00526311" w:rsidRDefault="00B45FC3" w:rsidP="0063039A">
            <w:pPr>
              <w:keepNext/>
              <w:keepLines/>
              <w:tabs>
                <w:tab w:val="left" w:pos="1452"/>
              </w:tabs>
              <w:spacing w:before="120" w:after="120"/>
              <w:ind w:left="1701" w:hanging="1701"/>
              <w:rPr>
                <w:b/>
                <w:bCs/>
                <w:sz w:val="16"/>
                <w:szCs w:val="16"/>
              </w:rPr>
            </w:pPr>
            <w:r w:rsidRPr="00526311">
              <w:rPr>
                <w:b/>
                <w:bCs/>
                <w:sz w:val="16"/>
                <w:szCs w:val="16"/>
              </w:rPr>
              <w:t>Resultado previsto:</w:t>
            </w:r>
            <w:r w:rsidRPr="00526311">
              <w:rPr>
                <w:b/>
                <w:bCs/>
                <w:sz w:val="16"/>
                <w:szCs w:val="16"/>
              </w:rPr>
              <w:tab/>
            </w:r>
            <w:r w:rsidRPr="00526311">
              <w:rPr>
                <w:bCs/>
                <w:sz w:val="16"/>
                <w:szCs w:val="16"/>
              </w:rPr>
              <w:t>IV.2 Mejora del acceso y uso de información de P.I. por parte de instituciones de P.I. y el público para fomentar la innovación y la creatividad</w:t>
            </w:r>
          </w:p>
        </w:tc>
      </w:tr>
      <w:tr w:rsidR="00B45FC3" w:rsidRPr="00526311" w:rsidTr="0063039A">
        <w:trPr>
          <w:cantSplit/>
        </w:trPr>
        <w:tc>
          <w:tcPr>
            <w:tcW w:w="1211" w:type="pct"/>
            <w:tcBorders>
              <w:top w:val="single" w:sz="4" w:space="0" w:color="auto"/>
              <w:left w:val="single" w:sz="4" w:space="0" w:color="auto"/>
              <w:bottom w:val="nil"/>
            </w:tcBorders>
            <w:shd w:val="clear" w:color="auto" w:fill="auto"/>
            <w:vAlign w:val="center"/>
          </w:tcPr>
          <w:p w:rsidR="00B45FC3" w:rsidRPr="00526311" w:rsidRDefault="00B45FC3" w:rsidP="0063039A">
            <w:pPr>
              <w:rPr>
                <w:sz w:val="16"/>
                <w:szCs w:val="16"/>
              </w:rPr>
            </w:pPr>
            <w:r w:rsidRPr="00526311">
              <w:rPr>
                <w:b/>
                <w:sz w:val="16"/>
                <w:szCs w:val="16"/>
              </w:rPr>
              <w:t>Indicadores de rendimiento</w:t>
            </w:r>
          </w:p>
        </w:tc>
        <w:tc>
          <w:tcPr>
            <w:tcW w:w="1289" w:type="pct"/>
            <w:tcBorders>
              <w:top w:val="single" w:sz="4" w:space="0" w:color="auto"/>
              <w:bottom w:val="nil"/>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758" w:type="pct"/>
            <w:tcBorders>
              <w:top w:val="single" w:sz="4" w:space="0" w:color="auto"/>
              <w:bottom w:val="nil"/>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211" w:type="pct"/>
            <w:tcBorders>
              <w:top w:val="single" w:sz="4" w:space="0" w:color="auto"/>
              <w:bottom w:val="nil"/>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531" w:type="pct"/>
            <w:gridSpan w:val="2"/>
            <w:tcBorders>
              <w:top w:val="single" w:sz="4" w:space="0" w:color="auto"/>
              <w:bottom w:val="nil"/>
              <w:right w:val="single" w:sz="4" w:space="0" w:color="auto"/>
            </w:tcBorders>
            <w:shd w:val="clear" w:color="auto" w:fill="auto"/>
            <w:tcMar>
              <w:top w:w="110" w:type="dxa"/>
            </w:tcMar>
            <w:vAlign w:val="center"/>
          </w:tcPr>
          <w:p w:rsidR="00B45FC3" w:rsidRPr="00526311" w:rsidRDefault="00B45FC3" w:rsidP="0063039A">
            <w:pPr>
              <w:keepNext/>
              <w:keepLines/>
              <w:ind w:left="-110"/>
              <w:jc w:val="center"/>
              <w:rPr>
                <w:b/>
                <w:bCs/>
                <w:sz w:val="16"/>
                <w:szCs w:val="16"/>
              </w:rPr>
            </w:pPr>
            <w:r w:rsidRPr="00526311">
              <w:rPr>
                <w:b/>
                <w:bCs/>
                <w:sz w:val="16"/>
                <w:szCs w:val="16"/>
              </w:rPr>
              <w:t>Clave de colores</w:t>
            </w:r>
          </w:p>
        </w:tc>
      </w:tr>
      <w:tr w:rsidR="00B45FC3" w:rsidRPr="00526311" w:rsidTr="0063039A">
        <w:trPr>
          <w:cantSplit/>
        </w:trPr>
        <w:tc>
          <w:tcPr>
            <w:tcW w:w="1211" w:type="pct"/>
            <w:tcBorders>
              <w:top w:val="nil"/>
              <w:left w:val="single" w:sz="4" w:space="0" w:color="auto"/>
              <w:bottom w:val="nil"/>
            </w:tcBorders>
            <w:shd w:val="clear" w:color="auto" w:fill="auto"/>
          </w:tcPr>
          <w:p w:rsidR="00B45FC3" w:rsidRPr="00526311" w:rsidRDefault="00B45FC3" w:rsidP="007B2775">
            <w:pPr>
              <w:rPr>
                <w:sz w:val="16"/>
                <w:szCs w:val="16"/>
              </w:rPr>
            </w:pPr>
            <w:r w:rsidRPr="00526311">
              <w:rPr>
                <w:sz w:val="16"/>
                <w:szCs w:val="16"/>
              </w:rPr>
              <w:t>Número de usuarios por trimestre en todos los sistemas (PATENTSCOPE/Base</w:t>
            </w:r>
            <w:r w:rsidR="007B2775" w:rsidRPr="00526311">
              <w:rPr>
                <w:sz w:val="16"/>
                <w:szCs w:val="16"/>
              </w:rPr>
              <w:t xml:space="preserve"> Mundial de Datos sobre Marcas)</w:t>
            </w:r>
            <w:r w:rsidR="007B2775" w:rsidRPr="00526311">
              <w:rPr>
                <w:rStyle w:val="FootnoteReference"/>
                <w:sz w:val="16"/>
                <w:szCs w:val="16"/>
              </w:rPr>
              <w:footnoteReference w:id="41"/>
            </w:r>
          </w:p>
        </w:tc>
        <w:tc>
          <w:tcPr>
            <w:tcW w:w="1289" w:type="pct"/>
            <w:tcBorders>
              <w:top w:val="nil"/>
              <w:bottom w:val="nil"/>
            </w:tcBorders>
            <w:shd w:val="clear" w:color="auto" w:fill="auto"/>
          </w:tcPr>
          <w:p w:rsidR="00B45FC3" w:rsidRPr="00526311" w:rsidRDefault="00B45FC3" w:rsidP="0063039A">
            <w:pPr>
              <w:rPr>
                <w:color w:val="002060"/>
                <w:sz w:val="16"/>
                <w:szCs w:val="16"/>
              </w:rPr>
            </w:pPr>
            <w:r w:rsidRPr="00526311">
              <w:rPr>
                <w:i/>
                <w:color w:val="002060"/>
                <w:sz w:val="16"/>
                <w:szCs w:val="16"/>
              </w:rPr>
              <w:t xml:space="preserve">Referencia actualizada a fines de 2013: </w:t>
            </w:r>
            <w:r w:rsidRPr="00526311">
              <w:rPr>
                <w:i/>
                <w:color w:val="002060"/>
                <w:sz w:val="16"/>
                <w:szCs w:val="16"/>
              </w:rPr>
              <w:br/>
            </w:r>
            <w:r w:rsidRPr="00526311">
              <w:rPr>
                <w:color w:val="002060"/>
                <w:sz w:val="16"/>
                <w:szCs w:val="16"/>
              </w:rPr>
              <w:t>PATENTSCOPE 237.446 Base Mundial de Datos sobre Marcas 23.000</w:t>
            </w:r>
            <w:r w:rsidRPr="00526311">
              <w:rPr>
                <w:i/>
                <w:color w:val="002060"/>
                <w:sz w:val="16"/>
                <w:szCs w:val="16"/>
              </w:rPr>
              <w:br/>
            </w:r>
          </w:p>
          <w:p w:rsidR="00B45FC3" w:rsidRPr="00526311" w:rsidRDefault="00542D75" w:rsidP="0063039A">
            <w:pPr>
              <w:rPr>
                <w:sz w:val="16"/>
                <w:szCs w:val="16"/>
              </w:rPr>
            </w:pPr>
            <w:r w:rsidRPr="00526311">
              <w:rPr>
                <w:i/>
                <w:sz w:val="16"/>
                <w:szCs w:val="16"/>
                <w:lang w:bidi="th-TH"/>
              </w:rPr>
              <w:t>Referencia original en el presupuesto de 2014/15</w:t>
            </w:r>
            <w:r w:rsidR="00B45FC3" w:rsidRPr="00526311">
              <w:rPr>
                <w:i/>
                <w:sz w:val="16"/>
                <w:szCs w:val="16"/>
              </w:rPr>
              <w:t xml:space="preserve">: </w:t>
            </w:r>
            <w:r w:rsidR="00B45FC3" w:rsidRPr="00526311">
              <w:rPr>
                <w:i/>
                <w:sz w:val="16"/>
                <w:szCs w:val="16"/>
              </w:rPr>
              <w:br/>
            </w:r>
            <w:r w:rsidR="00B45FC3" w:rsidRPr="00526311">
              <w:rPr>
                <w:sz w:val="16"/>
                <w:szCs w:val="16"/>
              </w:rPr>
              <w:t xml:space="preserve">PATENTSCOPE 566.782 Base Mundial de Datos sobre </w:t>
            </w:r>
            <w:r w:rsidR="00EC2E15" w:rsidRPr="00526311">
              <w:rPr>
                <w:sz w:val="16"/>
                <w:szCs w:val="16"/>
              </w:rPr>
              <w:t xml:space="preserve">Marcas </w:t>
            </w:r>
            <w:r w:rsidR="00B45FC3" w:rsidRPr="00526311">
              <w:rPr>
                <w:sz w:val="16"/>
                <w:szCs w:val="16"/>
              </w:rPr>
              <w:t>13.339 visitantes únicos (4</w:t>
            </w:r>
            <w:r w:rsidR="00B45FC3" w:rsidRPr="00526311">
              <w:rPr>
                <w:sz w:val="16"/>
                <w:szCs w:val="16"/>
                <w:vertAlign w:val="superscript"/>
              </w:rPr>
              <w:t>º</w:t>
            </w:r>
            <w:r w:rsidR="00B45FC3" w:rsidRPr="00526311">
              <w:rPr>
                <w:sz w:val="16"/>
                <w:szCs w:val="16"/>
              </w:rPr>
              <w:t xml:space="preserve"> trimestre 2012)</w:t>
            </w:r>
          </w:p>
          <w:p w:rsidR="00B45FC3" w:rsidRPr="00526311" w:rsidRDefault="00B45FC3" w:rsidP="0063039A">
            <w:pPr>
              <w:rPr>
                <w:sz w:val="16"/>
                <w:szCs w:val="16"/>
              </w:rPr>
            </w:pPr>
          </w:p>
        </w:tc>
        <w:tc>
          <w:tcPr>
            <w:tcW w:w="758" w:type="pct"/>
            <w:tcBorders>
              <w:top w:val="nil"/>
              <w:bottom w:val="nil"/>
            </w:tcBorders>
            <w:shd w:val="clear" w:color="auto" w:fill="auto"/>
            <w:tcMar>
              <w:top w:w="110" w:type="dxa"/>
            </w:tcMar>
          </w:tcPr>
          <w:p w:rsidR="00B45FC3" w:rsidRPr="00526311" w:rsidRDefault="00B45FC3" w:rsidP="0063039A">
            <w:pPr>
              <w:rPr>
                <w:sz w:val="16"/>
                <w:szCs w:val="16"/>
              </w:rPr>
            </w:pPr>
            <w:r w:rsidRPr="00526311">
              <w:rPr>
                <w:sz w:val="14"/>
                <w:szCs w:val="14"/>
              </w:rPr>
              <w:t>PATENTSCOPE</w:t>
            </w:r>
            <w:r w:rsidRPr="00526311">
              <w:rPr>
                <w:sz w:val="16"/>
                <w:szCs w:val="16"/>
              </w:rPr>
              <w:t xml:space="preserve">: 650.000 </w:t>
            </w:r>
          </w:p>
          <w:p w:rsidR="00B45FC3" w:rsidRPr="00526311" w:rsidRDefault="00B45FC3" w:rsidP="0063039A">
            <w:pPr>
              <w:rPr>
                <w:sz w:val="16"/>
                <w:szCs w:val="16"/>
              </w:rPr>
            </w:pPr>
            <w:r w:rsidRPr="00526311">
              <w:rPr>
                <w:sz w:val="16"/>
                <w:szCs w:val="16"/>
              </w:rPr>
              <w:t>Base Mundial de Datos sobre Marcas: 20.000 usuarios distintos por trimestre</w:t>
            </w:r>
            <w:r w:rsidR="007B2775" w:rsidRPr="00526311">
              <w:rPr>
                <w:rStyle w:val="FootnoteReference"/>
                <w:sz w:val="16"/>
                <w:szCs w:val="16"/>
              </w:rPr>
              <w:footnoteReference w:id="42"/>
            </w:r>
          </w:p>
        </w:tc>
        <w:tc>
          <w:tcPr>
            <w:tcW w:w="1211" w:type="pct"/>
            <w:tcBorders>
              <w:top w:val="nil"/>
              <w:bottom w:val="nil"/>
            </w:tcBorders>
            <w:shd w:val="clear" w:color="auto" w:fill="FFFFFF"/>
            <w:tcMar>
              <w:top w:w="110" w:type="dxa"/>
            </w:tcMar>
          </w:tcPr>
          <w:p w:rsidR="00B45FC3" w:rsidRPr="00526311" w:rsidRDefault="00B45FC3" w:rsidP="0063039A">
            <w:pPr>
              <w:rPr>
                <w:sz w:val="16"/>
                <w:szCs w:val="16"/>
              </w:rPr>
            </w:pPr>
            <w:r w:rsidRPr="00526311">
              <w:rPr>
                <w:sz w:val="16"/>
                <w:szCs w:val="16"/>
              </w:rPr>
              <w:t xml:space="preserve">PATENTSCOPE: </w:t>
            </w:r>
            <w:r w:rsidR="00EC2E15" w:rsidRPr="00526311">
              <w:rPr>
                <w:sz w:val="16"/>
                <w:szCs w:val="16"/>
              </w:rPr>
              <w:t>245.769</w:t>
            </w:r>
            <w:r w:rsidRPr="00526311">
              <w:rPr>
                <w:sz w:val="16"/>
                <w:szCs w:val="16"/>
              </w:rPr>
              <w:t xml:space="preserve">  </w:t>
            </w:r>
          </w:p>
          <w:p w:rsidR="00B45FC3" w:rsidRPr="00526311" w:rsidRDefault="00B45FC3" w:rsidP="0063039A">
            <w:pPr>
              <w:rPr>
                <w:sz w:val="16"/>
                <w:szCs w:val="16"/>
              </w:rPr>
            </w:pPr>
          </w:p>
          <w:p w:rsidR="00B45FC3" w:rsidRPr="00526311" w:rsidRDefault="00B45FC3" w:rsidP="0063039A">
            <w:pPr>
              <w:rPr>
                <w:sz w:val="16"/>
                <w:szCs w:val="16"/>
              </w:rPr>
            </w:pPr>
          </w:p>
          <w:p w:rsidR="00B45FC3" w:rsidRPr="00526311" w:rsidRDefault="00B45FC3" w:rsidP="0063039A">
            <w:pPr>
              <w:rPr>
                <w:sz w:val="16"/>
                <w:szCs w:val="16"/>
              </w:rPr>
            </w:pPr>
            <w:r w:rsidRPr="00526311">
              <w:rPr>
                <w:sz w:val="16"/>
                <w:szCs w:val="16"/>
              </w:rPr>
              <w:t>Base Mundial de Datos sobre Marcas: 49.977</w:t>
            </w:r>
          </w:p>
        </w:tc>
        <w:tc>
          <w:tcPr>
            <w:tcW w:w="531"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10"/>
              <w:jc w:val="center"/>
              <w:rPr>
                <w:rStyle w:val="Style5"/>
                <w:b/>
                <w:color w:val="00B050"/>
                <w:sz w:val="16"/>
                <w:szCs w:val="16"/>
              </w:rPr>
            </w:pPr>
            <w:r w:rsidRPr="00526311">
              <w:rPr>
                <w:b/>
                <w:bCs/>
                <w:color w:val="00B050"/>
                <w:sz w:val="16"/>
                <w:szCs w:val="16"/>
              </w:rPr>
              <w:t>Avanza</w:t>
            </w:r>
          </w:p>
          <w:p w:rsidR="00B45FC3" w:rsidRPr="00526311" w:rsidRDefault="00B45FC3" w:rsidP="0063039A">
            <w:pPr>
              <w:keepNext/>
              <w:keepLines/>
              <w:jc w:val="center"/>
              <w:rPr>
                <w:rStyle w:val="Style5"/>
                <w:b/>
                <w:color w:val="00B050"/>
                <w:sz w:val="16"/>
                <w:szCs w:val="16"/>
              </w:rPr>
            </w:pPr>
          </w:p>
          <w:p w:rsidR="00B45FC3" w:rsidRPr="00526311" w:rsidRDefault="00B45FC3" w:rsidP="0063039A">
            <w:pPr>
              <w:keepNext/>
              <w:keepLines/>
              <w:jc w:val="center"/>
              <w:rPr>
                <w:rStyle w:val="Style5"/>
                <w:b/>
                <w:color w:val="00B050"/>
                <w:sz w:val="16"/>
                <w:szCs w:val="16"/>
              </w:rPr>
            </w:pPr>
          </w:p>
          <w:p w:rsidR="00B45FC3" w:rsidRPr="00526311" w:rsidRDefault="00B45FC3" w:rsidP="0063039A">
            <w:pPr>
              <w:keepNext/>
              <w:keepLines/>
              <w:ind w:left="-110"/>
              <w:jc w:val="center"/>
              <w:rPr>
                <w:b/>
                <w:bCs/>
                <w:color w:val="00B050"/>
                <w:sz w:val="16"/>
                <w:szCs w:val="16"/>
              </w:rPr>
            </w:pPr>
            <w:r w:rsidRPr="00526311">
              <w:rPr>
                <w:b/>
                <w:bCs/>
                <w:color w:val="00B050"/>
                <w:sz w:val="16"/>
                <w:szCs w:val="16"/>
              </w:rPr>
              <w:t>Avanza</w:t>
            </w:r>
          </w:p>
        </w:tc>
      </w:tr>
      <w:tr w:rsidR="00B45FC3" w:rsidRPr="00526311" w:rsidTr="0063039A">
        <w:trPr>
          <w:cantSplit/>
        </w:trPr>
        <w:tc>
          <w:tcPr>
            <w:tcW w:w="1211" w:type="pct"/>
            <w:tcBorders>
              <w:top w:val="nil"/>
              <w:left w:val="single" w:sz="4" w:space="0" w:color="auto"/>
              <w:bottom w:val="nil"/>
            </w:tcBorders>
            <w:shd w:val="clear" w:color="auto" w:fill="FFFFFF"/>
          </w:tcPr>
          <w:p w:rsidR="00B45FC3" w:rsidRPr="00526311" w:rsidRDefault="00B45FC3" w:rsidP="0063039A">
            <w:pPr>
              <w:rPr>
                <w:sz w:val="16"/>
                <w:szCs w:val="16"/>
                <w:lang w:bidi="th-TH"/>
              </w:rPr>
            </w:pPr>
            <w:r w:rsidRPr="00526311">
              <w:rPr>
                <w:sz w:val="16"/>
                <w:szCs w:val="16"/>
                <w:lang w:bidi="th-TH"/>
              </w:rPr>
              <w:t>Número de idiomas en los que se pueden efectuar búsquedas plurilingües.</w:t>
            </w:r>
          </w:p>
        </w:tc>
        <w:tc>
          <w:tcPr>
            <w:tcW w:w="1289" w:type="pct"/>
            <w:tcBorders>
              <w:top w:val="nil"/>
              <w:bottom w:val="nil"/>
            </w:tcBorders>
            <w:shd w:val="clear" w:color="auto" w:fill="auto"/>
          </w:tcPr>
          <w:p w:rsidR="00B45FC3" w:rsidRPr="00526311" w:rsidRDefault="00B45FC3" w:rsidP="0063039A">
            <w:pPr>
              <w:autoSpaceDE w:val="0"/>
              <w:autoSpaceDN w:val="0"/>
              <w:adjustRightInd w:val="0"/>
              <w:rPr>
                <w:i/>
                <w:color w:val="002060"/>
                <w:sz w:val="16"/>
                <w:szCs w:val="16"/>
              </w:rPr>
            </w:pPr>
            <w:r w:rsidRPr="00526311">
              <w:rPr>
                <w:i/>
                <w:color w:val="002060"/>
                <w:sz w:val="16"/>
                <w:szCs w:val="16"/>
              </w:rPr>
              <w:t xml:space="preserve">Referencia actualizada a fines de 2013:  </w:t>
            </w:r>
            <w:r w:rsidRPr="00526311">
              <w:rPr>
                <w:color w:val="002060"/>
                <w:sz w:val="16"/>
                <w:szCs w:val="16"/>
              </w:rPr>
              <w:t>12</w:t>
            </w:r>
          </w:p>
          <w:p w:rsidR="00B45FC3" w:rsidRPr="00526311" w:rsidRDefault="00B45FC3" w:rsidP="0063039A">
            <w:pPr>
              <w:autoSpaceDE w:val="0"/>
              <w:autoSpaceDN w:val="0"/>
              <w:adjustRightInd w:val="0"/>
              <w:rPr>
                <w:i/>
                <w:color w:val="002060"/>
                <w:sz w:val="16"/>
                <w:szCs w:val="16"/>
              </w:rPr>
            </w:pPr>
          </w:p>
          <w:p w:rsidR="00B45FC3" w:rsidRPr="00526311" w:rsidRDefault="00B45FC3" w:rsidP="0063039A">
            <w:pPr>
              <w:autoSpaceDE w:val="0"/>
              <w:autoSpaceDN w:val="0"/>
              <w:adjustRightInd w:val="0"/>
              <w:rPr>
                <w:sz w:val="16"/>
                <w:szCs w:val="16"/>
              </w:rPr>
            </w:pPr>
            <w:r w:rsidRPr="00526311">
              <w:rPr>
                <w:i/>
                <w:sz w:val="16"/>
                <w:szCs w:val="16"/>
                <w:lang w:bidi="th-TH"/>
              </w:rPr>
              <w:t xml:space="preserve">Referencia original en el presupuesto de </w:t>
            </w:r>
            <w:r w:rsidRPr="00526311">
              <w:rPr>
                <w:i/>
                <w:sz w:val="16"/>
                <w:szCs w:val="16"/>
              </w:rPr>
              <w:t xml:space="preserve">2014/15: </w:t>
            </w:r>
            <w:r w:rsidRPr="00526311">
              <w:rPr>
                <w:sz w:val="16"/>
                <w:szCs w:val="16"/>
              </w:rPr>
              <w:t>12 (feb. 2013)</w:t>
            </w:r>
          </w:p>
        </w:tc>
        <w:tc>
          <w:tcPr>
            <w:tcW w:w="758" w:type="pct"/>
            <w:tcBorders>
              <w:top w:val="nil"/>
              <w:bottom w:val="nil"/>
            </w:tcBorders>
            <w:shd w:val="clear" w:color="auto" w:fill="auto"/>
            <w:tcMar>
              <w:top w:w="110" w:type="dxa"/>
            </w:tcMar>
          </w:tcPr>
          <w:p w:rsidR="00B45FC3" w:rsidRPr="00526311" w:rsidRDefault="00B45FC3" w:rsidP="0063039A">
            <w:pPr>
              <w:rPr>
                <w:sz w:val="16"/>
                <w:szCs w:val="16"/>
                <w:lang w:bidi="th-TH"/>
              </w:rPr>
            </w:pPr>
            <w:r w:rsidRPr="00526311">
              <w:rPr>
                <w:sz w:val="16"/>
                <w:szCs w:val="16"/>
              </w:rPr>
              <w:t>13</w:t>
            </w:r>
          </w:p>
        </w:tc>
        <w:tc>
          <w:tcPr>
            <w:tcW w:w="1211" w:type="pct"/>
            <w:tcBorders>
              <w:top w:val="nil"/>
              <w:bottom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En 2014, se hicieron los preparativos para incorporar otros dos idiomas, que estarán disponibles al final de 2015, siempre y cuando se ponga a punto la interfaz.</w:t>
            </w:r>
          </w:p>
          <w:p w:rsidR="00B45FC3" w:rsidRPr="00526311" w:rsidRDefault="00B45FC3" w:rsidP="0063039A">
            <w:pPr>
              <w:rPr>
                <w:sz w:val="16"/>
                <w:szCs w:val="16"/>
                <w:lang w:bidi="th-TH"/>
              </w:rPr>
            </w:pPr>
          </w:p>
        </w:tc>
        <w:tc>
          <w:tcPr>
            <w:tcW w:w="531"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10"/>
              <w:jc w:val="center"/>
              <w:rPr>
                <w:rStyle w:val="Style5"/>
                <w:b/>
                <w:color w:val="00B050"/>
                <w:sz w:val="16"/>
              </w:rPr>
            </w:pPr>
            <w:r w:rsidRPr="00526311">
              <w:rPr>
                <w:b/>
                <w:bCs/>
                <w:color w:val="00B050"/>
                <w:sz w:val="16"/>
                <w:szCs w:val="16"/>
              </w:rPr>
              <w:t>Avanza</w:t>
            </w:r>
          </w:p>
        </w:tc>
      </w:tr>
      <w:tr w:rsidR="00B45FC3" w:rsidRPr="00526311" w:rsidTr="0063039A">
        <w:trPr>
          <w:cantSplit/>
        </w:trPr>
        <w:tc>
          <w:tcPr>
            <w:tcW w:w="1211" w:type="pct"/>
            <w:tcBorders>
              <w:top w:val="nil"/>
              <w:left w:val="single" w:sz="4" w:space="0" w:color="auto"/>
              <w:bottom w:val="single" w:sz="4" w:space="0" w:color="auto"/>
            </w:tcBorders>
            <w:shd w:val="clear" w:color="auto" w:fill="FFFFFF"/>
          </w:tcPr>
          <w:p w:rsidR="00B45FC3" w:rsidRPr="00526311" w:rsidRDefault="00B45FC3" w:rsidP="0063039A">
            <w:pPr>
              <w:rPr>
                <w:sz w:val="16"/>
                <w:szCs w:val="16"/>
              </w:rPr>
            </w:pPr>
            <w:r w:rsidRPr="00526311">
              <w:rPr>
                <w:sz w:val="16"/>
                <w:szCs w:val="16"/>
              </w:rPr>
              <w:t>Número de pares de idiomas disponibles para la traducción automática de títulos y resúmenes.</w:t>
            </w:r>
          </w:p>
        </w:tc>
        <w:tc>
          <w:tcPr>
            <w:tcW w:w="1289" w:type="pct"/>
            <w:tcBorders>
              <w:top w:val="nil"/>
              <w:bottom w:val="single" w:sz="4" w:space="0" w:color="auto"/>
            </w:tcBorders>
            <w:shd w:val="clear" w:color="auto" w:fill="auto"/>
          </w:tcPr>
          <w:p w:rsidR="00B45FC3" w:rsidRPr="00526311" w:rsidRDefault="00B45FC3"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4 (en total)</w:t>
            </w:r>
          </w:p>
          <w:p w:rsidR="00B45FC3" w:rsidRPr="00526311" w:rsidRDefault="00B45FC3" w:rsidP="0063039A">
            <w:pPr>
              <w:rPr>
                <w:color w:val="002060"/>
                <w:sz w:val="16"/>
                <w:szCs w:val="16"/>
              </w:rPr>
            </w:pPr>
          </w:p>
          <w:p w:rsidR="00B45FC3" w:rsidRPr="00526311" w:rsidRDefault="00B45FC3" w:rsidP="0063039A">
            <w:pPr>
              <w:rPr>
                <w:i/>
                <w:sz w:val="16"/>
                <w:szCs w:val="16"/>
              </w:rPr>
            </w:pPr>
            <w:r w:rsidRPr="00526311">
              <w:rPr>
                <w:i/>
                <w:sz w:val="16"/>
                <w:szCs w:val="16"/>
                <w:lang w:bidi="th-TH"/>
              </w:rPr>
              <w:t xml:space="preserve">Referencia original en el presupuesto de </w:t>
            </w:r>
            <w:r w:rsidRPr="00526311">
              <w:rPr>
                <w:i/>
                <w:sz w:val="16"/>
                <w:szCs w:val="16"/>
              </w:rPr>
              <w:t xml:space="preserve">2014/15: </w:t>
            </w:r>
            <w:r w:rsidRPr="00526311">
              <w:rPr>
                <w:sz w:val="16"/>
                <w:szCs w:val="16"/>
              </w:rPr>
              <w:t>2 (feb. 2013)</w:t>
            </w:r>
            <w:r w:rsidRPr="00526311">
              <w:rPr>
                <w:sz w:val="16"/>
                <w:szCs w:val="16"/>
              </w:rPr>
              <w:br/>
            </w:r>
          </w:p>
        </w:tc>
        <w:tc>
          <w:tcPr>
            <w:tcW w:w="758" w:type="pct"/>
            <w:tcBorders>
              <w:top w:val="nil"/>
              <w:bottom w:val="single" w:sz="4" w:space="0" w:color="auto"/>
            </w:tcBorders>
            <w:shd w:val="clear" w:color="auto" w:fill="auto"/>
            <w:tcMar>
              <w:top w:w="110" w:type="dxa"/>
            </w:tcMar>
          </w:tcPr>
          <w:p w:rsidR="00B45FC3" w:rsidRPr="00526311" w:rsidRDefault="00B45FC3" w:rsidP="0063039A">
            <w:pPr>
              <w:rPr>
                <w:sz w:val="16"/>
                <w:szCs w:val="16"/>
              </w:rPr>
            </w:pPr>
            <w:r w:rsidRPr="00526311">
              <w:rPr>
                <w:sz w:val="16"/>
                <w:szCs w:val="16"/>
              </w:rPr>
              <w:t>5</w:t>
            </w:r>
          </w:p>
        </w:tc>
        <w:tc>
          <w:tcPr>
            <w:tcW w:w="1211" w:type="pct"/>
            <w:tcBorders>
              <w:top w:val="nil"/>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Otro par de idiomas (inglés-chino) en 2014</w:t>
            </w:r>
          </w:p>
          <w:p w:rsidR="00B45FC3" w:rsidRPr="00526311" w:rsidRDefault="00B45FC3" w:rsidP="0063039A">
            <w:pPr>
              <w:rPr>
                <w:sz w:val="16"/>
                <w:szCs w:val="16"/>
                <w:lang w:bidi="th-TH"/>
              </w:rPr>
            </w:pPr>
            <w:r w:rsidRPr="00526311">
              <w:rPr>
                <w:sz w:val="16"/>
                <w:szCs w:val="16"/>
                <w:lang w:bidi="th-TH"/>
              </w:rPr>
              <w:t>5 (en total).</w:t>
            </w:r>
          </w:p>
        </w:tc>
        <w:tc>
          <w:tcPr>
            <w:tcW w:w="531" w:type="pct"/>
            <w:gridSpan w:val="2"/>
            <w:tcBorders>
              <w:top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ind w:left="-110"/>
              <w:jc w:val="center"/>
              <w:rPr>
                <w:rStyle w:val="Style5"/>
                <w:b/>
                <w:color w:val="00B050"/>
                <w:sz w:val="16"/>
                <w:szCs w:val="16"/>
              </w:rPr>
            </w:pPr>
            <w:r w:rsidRPr="00526311">
              <w:rPr>
                <w:b/>
                <w:bCs/>
                <w:color w:val="00B050"/>
                <w:sz w:val="16"/>
                <w:szCs w:val="16"/>
              </w:rPr>
              <w:t>Avanza</w:t>
            </w:r>
          </w:p>
        </w:tc>
      </w:tr>
      <w:tr w:rsidR="00B45FC3" w:rsidRPr="00526311" w:rsidTr="0063039A">
        <w:trPr>
          <w:cantSplit/>
        </w:trPr>
        <w:tc>
          <w:tcPr>
            <w:tcW w:w="5000" w:type="pct"/>
            <w:gridSpan w:val="6"/>
            <w:tcBorders>
              <w:top w:val="single" w:sz="4" w:space="0" w:color="auto"/>
              <w:left w:val="single" w:sz="4" w:space="0" w:color="auto"/>
              <w:bottom w:val="nil"/>
              <w:right w:val="single" w:sz="4" w:space="0" w:color="auto"/>
            </w:tcBorders>
            <w:shd w:val="clear" w:color="auto" w:fill="CCFFFF"/>
            <w:vAlign w:val="center"/>
          </w:tcPr>
          <w:p w:rsidR="00B45FC3" w:rsidRPr="00526311" w:rsidRDefault="00B45FC3" w:rsidP="0063039A">
            <w:pPr>
              <w:keepNext/>
              <w:keepLines/>
              <w:tabs>
                <w:tab w:val="left" w:pos="1452"/>
              </w:tabs>
              <w:spacing w:before="120" w:after="120"/>
              <w:ind w:left="1701" w:hanging="1701"/>
              <w:rPr>
                <w:b/>
                <w:bCs/>
                <w:sz w:val="16"/>
                <w:szCs w:val="16"/>
              </w:rPr>
            </w:pPr>
            <w:r w:rsidRPr="00526311">
              <w:rPr>
                <w:b/>
                <w:bCs/>
                <w:sz w:val="16"/>
                <w:szCs w:val="16"/>
              </w:rPr>
              <w:lastRenderedPageBreak/>
              <w:t>Resultado previsto:</w:t>
            </w:r>
            <w:r w:rsidRPr="00526311">
              <w:rPr>
                <w:b/>
                <w:bCs/>
                <w:sz w:val="16"/>
                <w:szCs w:val="16"/>
              </w:rPr>
              <w:tab/>
            </w:r>
            <w:r w:rsidRPr="00526311">
              <w:rPr>
                <w:bCs/>
                <w:sz w:val="16"/>
                <w:szCs w:val="16"/>
              </w:rPr>
              <w:t>IV.3 Amplia cobertura geográfica en cuanto al contenido y al uso de las bases de datos mundiales de la OMPI en materia de P.I.</w:t>
            </w:r>
          </w:p>
        </w:tc>
      </w:tr>
      <w:tr w:rsidR="00B45FC3" w:rsidRPr="00526311" w:rsidTr="0063039A">
        <w:trPr>
          <w:cantSplit/>
        </w:trPr>
        <w:tc>
          <w:tcPr>
            <w:tcW w:w="1211" w:type="pct"/>
            <w:tcBorders>
              <w:top w:val="single" w:sz="4" w:space="0" w:color="auto"/>
              <w:left w:val="single" w:sz="4" w:space="0" w:color="auto"/>
              <w:bottom w:val="nil"/>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89" w:type="pct"/>
            <w:tcBorders>
              <w:top w:val="single" w:sz="4" w:space="0" w:color="auto"/>
              <w:bottom w:val="nil"/>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758" w:type="pct"/>
            <w:tcBorders>
              <w:top w:val="single" w:sz="4" w:space="0" w:color="auto"/>
              <w:bottom w:val="nil"/>
            </w:tcBorders>
            <w:shd w:val="clear" w:color="auto" w:fill="auto"/>
            <w:tcMar>
              <w:top w:w="110" w:type="dxa"/>
            </w:tcMar>
            <w:vAlign w:val="center"/>
          </w:tcPr>
          <w:p w:rsidR="00B45FC3" w:rsidRPr="00526311" w:rsidRDefault="00B45FC3" w:rsidP="0063039A">
            <w:pPr>
              <w:keepNext/>
              <w:keepLines/>
              <w:rPr>
                <w:b/>
                <w:sz w:val="16"/>
                <w:szCs w:val="16"/>
              </w:rPr>
            </w:pPr>
            <w:r w:rsidRPr="00526311">
              <w:rPr>
                <w:b/>
                <w:sz w:val="16"/>
                <w:szCs w:val="16"/>
              </w:rPr>
              <w:t>Objetivos</w:t>
            </w:r>
          </w:p>
        </w:tc>
        <w:tc>
          <w:tcPr>
            <w:tcW w:w="1288" w:type="pct"/>
            <w:gridSpan w:val="2"/>
            <w:tcBorders>
              <w:top w:val="single" w:sz="4" w:space="0" w:color="auto"/>
              <w:bottom w:val="nil"/>
            </w:tcBorders>
            <w:shd w:val="clear" w:color="auto" w:fill="FFFFFF"/>
            <w:tcMar>
              <w:top w:w="110" w:type="dxa"/>
            </w:tcMar>
            <w:vAlign w:val="center"/>
          </w:tcPr>
          <w:p w:rsidR="00B45FC3" w:rsidRPr="00526311" w:rsidRDefault="00B45FC3" w:rsidP="0063039A">
            <w:pPr>
              <w:keepNext/>
              <w:keepLines/>
              <w:rPr>
                <w:sz w:val="16"/>
                <w:szCs w:val="16"/>
              </w:rPr>
            </w:pPr>
            <w:r w:rsidRPr="00526311">
              <w:rPr>
                <w:b/>
                <w:sz w:val="16"/>
                <w:szCs w:val="16"/>
              </w:rPr>
              <w:t>Datos sobre el rendimiento</w:t>
            </w:r>
          </w:p>
        </w:tc>
        <w:tc>
          <w:tcPr>
            <w:tcW w:w="454" w:type="pct"/>
            <w:tcBorders>
              <w:top w:val="single" w:sz="4" w:space="0" w:color="auto"/>
              <w:bottom w:val="nil"/>
              <w:right w:val="single" w:sz="4" w:space="0" w:color="auto"/>
            </w:tcBorders>
            <w:shd w:val="clear" w:color="auto" w:fill="auto"/>
            <w:tcMar>
              <w:top w:w="110" w:type="dxa"/>
            </w:tcMar>
            <w:vAlign w:val="center"/>
          </w:tcPr>
          <w:p w:rsidR="00B45FC3" w:rsidRPr="00526311" w:rsidRDefault="00B45FC3" w:rsidP="0063039A">
            <w:pPr>
              <w:keepNext/>
              <w:keepLines/>
              <w:ind w:left="-110"/>
              <w:jc w:val="center"/>
              <w:rPr>
                <w:b/>
                <w:bCs/>
                <w:sz w:val="16"/>
                <w:szCs w:val="16"/>
              </w:rPr>
            </w:pPr>
            <w:r w:rsidRPr="00526311">
              <w:rPr>
                <w:b/>
                <w:bCs/>
                <w:sz w:val="16"/>
                <w:szCs w:val="16"/>
              </w:rPr>
              <w:t>Clave de colores</w:t>
            </w:r>
          </w:p>
        </w:tc>
      </w:tr>
      <w:tr w:rsidR="00B45FC3" w:rsidRPr="00526311" w:rsidTr="0063039A">
        <w:trPr>
          <w:cantSplit/>
        </w:trPr>
        <w:tc>
          <w:tcPr>
            <w:tcW w:w="1211" w:type="pct"/>
            <w:tcBorders>
              <w:top w:val="nil"/>
              <w:left w:val="single" w:sz="4" w:space="0" w:color="auto"/>
              <w:bottom w:val="nil"/>
            </w:tcBorders>
            <w:shd w:val="clear" w:color="auto" w:fill="auto"/>
          </w:tcPr>
          <w:p w:rsidR="00B45FC3" w:rsidRPr="00526311" w:rsidRDefault="00B45FC3" w:rsidP="0063039A">
            <w:pPr>
              <w:keepNext/>
              <w:keepLines/>
              <w:rPr>
                <w:sz w:val="16"/>
                <w:szCs w:val="16"/>
              </w:rPr>
            </w:pPr>
            <w:r w:rsidRPr="00526311">
              <w:rPr>
                <w:sz w:val="16"/>
                <w:szCs w:val="16"/>
              </w:rPr>
              <w:t>Número de registros contenidos en PATENSCOPE.</w:t>
            </w:r>
          </w:p>
        </w:tc>
        <w:tc>
          <w:tcPr>
            <w:tcW w:w="1289" w:type="pct"/>
            <w:tcBorders>
              <w:top w:val="nil"/>
              <w:bottom w:val="nil"/>
            </w:tcBorders>
            <w:shd w:val="clear" w:color="auto" w:fill="auto"/>
          </w:tcPr>
          <w:p w:rsidR="00B45FC3" w:rsidRPr="00526311" w:rsidRDefault="00B45FC3" w:rsidP="0063039A">
            <w:pPr>
              <w:keepNext/>
              <w:keepLines/>
              <w:rPr>
                <w:color w:val="002060"/>
                <w:sz w:val="16"/>
                <w:szCs w:val="16"/>
              </w:rPr>
            </w:pPr>
            <w:r w:rsidRPr="00526311">
              <w:rPr>
                <w:i/>
                <w:color w:val="002060"/>
                <w:sz w:val="16"/>
                <w:szCs w:val="16"/>
              </w:rPr>
              <w:t>Referencia actualizada a fi</w:t>
            </w:r>
            <w:r w:rsidR="00EC2E15" w:rsidRPr="00526311">
              <w:rPr>
                <w:i/>
                <w:color w:val="002060"/>
                <w:sz w:val="16"/>
                <w:szCs w:val="16"/>
              </w:rPr>
              <w:t>n</w:t>
            </w:r>
            <w:r w:rsidRPr="00526311">
              <w:rPr>
                <w:i/>
                <w:color w:val="002060"/>
                <w:sz w:val="16"/>
                <w:szCs w:val="16"/>
              </w:rPr>
              <w:t xml:space="preserve">es de 2013:  </w:t>
            </w:r>
            <w:r w:rsidRPr="00526311">
              <w:rPr>
                <w:color w:val="002060"/>
                <w:sz w:val="16"/>
                <w:szCs w:val="16"/>
              </w:rPr>
              <w:t>34.000.000</w:t>
            </w:r>
          </w:p>
          <w:p w:rsidR="00B45FC3" w:rsidRPr="00526311" w:rsidRDefault="00B45FC3" w:rsidP="0063039A">
            <w:pPr>
              <w:keepNext/>
              <w:keepLines/>
              <w:rPr>
                <w:i/>
                <w:sz w:val="8"/>
                <w:szCs w:val="8"/>
                <w:lang w:bidi="th-TH"/>
              </w:rPr>
            </w:pPr>
          </w:p>
          <w:p w:rsidR="00B45FC3" w:rsidRPr="00526311" w:rsidRDefault="00B45FC3" w:rsidP="0063039A">
            <w:pPr>
              <w:keepNext/>
              <w:keepLines/>
              <w:rPr>
                <w:sz w:val="16"/>
                <w:szCs w:val="16"/>
              </w:rPr>
            </w:pPr>
            <w:r w:rsidRPr="00526311">
              <w:rPr>
                <w:i/>
                <w:sz w:val="16"/>
                <w:szCs w:val="16"/>
                <w:lang w:bidi="th-TH"/>
              </w:rPr>
              <w:t xml:space="preserve">Referencia original en el presupuesto de </w:t>
            </w:r>
            <w:r w:rsidRPr="00526311">
              <w:rPr>
                <w:i/>
                <w:sz w:val="16"/>
                <w:szCs w:val="16"/>
              </w:rPr>
              <w:t xml:space="preserve">2014/15:  </w:t>
            </w:r>
            <w:r w:rsidRPr="00526311">
              <w:rPr>
                <w:sz w:val="16"/>
                <w:szCs w:val="16"/>
              </w:rPr>
              <w:t>18.733.406 (feb. 2013)</w:t>
            </w:r>
          </w:p>
          <w:p w:rsidR="00B45FC3" w:rsidRPr="00526311" w:rsidRDefault="00B45FC3" w:rsidP="0063039A">
            <w:pPr>
              <w:keepNext/>
              <w:keepLines/>
              <w:rPr>
                <w:sz w:val="16"/>
                <w:szCs w:val="16"/>
              </w:rPr>
            </w:pPr>
          </w:p>
        </w:tc>
        <w:tc>
          <w:tcPr>
            <w:tcW w:w="758" w:type="pct"/>
            <w:tcBorders>
              <w:top w:val="nil"/>
              <w:bottom w:val="nil"/>
            </w:tcBorders>
            <w:shd w:val="clear" w:color="auto" w:fill="auto"/>
            <w:tcMar>
              <w:top w:w="110" w:type="dxa"/>
            </w:tcMar>
          </w:tcPr>
          <w:p w:rsidR="00B45FC3" w:rsidRPr="00526311" w:rsidRDefault="00B45FC3" w:rsidP="0063039A">
            <w:pPr>
              <w:keepNext/>
              <w:keepLines/>
              <w:rPr>
                <w:sz w:val="16"/>
                <w:szCs w:val="16"/>
                <w:lang w:bidi="th-TH"/>
              </w:rPr>
            </w:pPr>
            <w:r w:rsidRPr="00526311">
              <w:rPr>
                <w:sz w:val="16"/>
                <w:szCs w:val="16"/>
                <w:lang w:bidi="th-TH"/>
              </w:rPr>
              <w:t>40.000.000</w:t>
            </w:r>
          </w:p>
        </w:tc>
        <w:tc>
          <w:tcPr>
            <w:tcW w:w="1211" w:type="pct"/>
            <w:tcBorders>
              <w:top w:val="nil"/>
              <w:bottom w:val="nil"/>
            </w:tcBorders>
            <w:shd w:val="clear" w:color="auto" w:fill="FFFFFF"/>
            <w:tcMar>
              <w:top w:w="110" w:type="dxa"/>
            </w:tcMar>
          </w:tcPr>
          <w:p w:rsidR="00B45FC3" w:rsidRPr="00526311" w:rsidRDefault="00B45FC3" w:rsidP="0063039A">
            <w:pPr>
              <w:keepNext/>
              <w:keepLines/>
              <w:rPr>
                <w:sz w:val="16"/>
                <w:szCs w:val="16"/>
              </w:rPr>
            </w:pPr>
            <w:r w:rsidRPr="00526311">
              <w:rPr>
                <w:sz w:val="16"/>
                <w:szCs w:val="16"/>
              </w:rPr>
              <w:t>43.000.000</w:t>
            </w:r>
          </w:p>
        </w:tc>
        <w:tc>
          <w:tcPr>
            <w:tcW w:w="531"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10"/>
              <w:jc w:val="center"/>
              <w:rPr>
                <w:b/>
                <w:bCs/>
                <w:color w:val="00B050"/>
                <w:sz w:val="16"/>
                <w:szCs w:val="16"/>
              </w:rPr>
            </w:pPr>
            <w:r w:rsidRPr="00526311">
              <w:rPr>
                <w:b/>
                <w:bCs/>
                <w:color w:val="00B050"/>
                <w:sz w:val="16"/>
                <w:szCs w:val="16"/>
              </w:rPr>
              <w:t>Avanza</w:t>
            </w:r>
          </w:p>
        </w:tc>
      </w:tr>
      <w:tr w:rsidR="00B45FC3" w:rsidRPr="00526311" w:rsidTr="0063039A">
        <w:trPr>
          <w:cantSplit/>
        </w:trPr>
        <w:tc>
          <w:tcPr>
            <w:tcW w:w="1211" w:type="pct"/>
            <w:tcBorders>
              <w:top w:val="nil"/>
              <w:left w:val="single" w:sz="4" w:space="0" w:color="auto"/>
              <w:bottom w:val="nil"/>
            </w:tcBorders>
            <w:shd w:val="clear" w:color="auto" w:fill="auto"/>
          </w:tcPr>
          <w:p w:rsidR="00B45FC3" w:rsidRPr="00526311" w:rsidRDefault="00B45FC3" w:rsidP="0063039A">
            <w:pPr>
              <w:keepNext/>
              <w:keepLines/>
              <w:rPr>
                <w:sz w:val="16"/>
                <w:szCs w:val="16"/>
              </w:rPr>
            </w:pPr>
            <w:r w:rsidRPr="00526311">
              <w:rPr>
                <w:sz w:val="16"/>
                <w:szCs w:val="16"/>
              </w:rPr>
              <w:t>Número de registros que figuran en la Base Mundial de Datos sobre Marcas.</w:t>
            </w:r>
          </w:p>
        </w:tc>
        <w:tc>
          <w:tcPr>
            <w:tcW w:w="1289" w:type="pct"/>
            <w:tcBorders>
              <w:top w:val="nil"/>
              <w:bottom w:val="nil"/>
            </w:tcBorders>
            <w:shd w:val="clear" w:color="auto" w:fill="auto"/>
          </w:tcPr>
          <w:p w:rsidR="00B45FC3" w:rsidRPr="00526311" w:rsidRDefault="00B45FC3" w:rsidP="0063039A">
            <w:pPr>
              <w:keepNext/>
              <w:keepLines/>
              <w:rPr>
                <w:i/>
                <w:color w:val="002060"/>
                <w:sz w:val="16"/>
                <w:szCs w:val="16"/>
              </w:rPr>
            </w:pPr>
            <w:r w:rsidRPr="00526311">
              <w:rPr>
                <w:i/>
                <w:color w:val="002060"/>
                <w:sz w:val="16"/>
                <w:szCs w:val="16"/>
              </w:rPr>
              <w:t>Referencia actualizada a fines de 2013:  12.000.000</w:t>
            </w:r>
          </w:p>
          <w:p w:rsidR="00B45FC3" w:rsidRPr="00526311" w:rsidRDefault="00B45FC3" w:rsidP="0063039A">
            <w:pPr>
              <w:keepNext/>
              <w:keepLines/>
              <w:rPr>
                <w:i/>
                <w:sz w:val="8"/>
                <w:szCs w:val="8"/>
                <w:lang w:bidi="th-TH"/>
              </w:rPr>
            </w:pPr>
          </w:p>
          <w:p w:rsidR="00B45FC3" w:rsidRPr="00526311" w:rsidRDefault="00B45FC3" w:rsidP="0063039A">
            <w:pPr>
              <w:keepNext/>
              <w:keepLines/>
              <w:rPr>
                <w:sz w:val="16"/>
                <w:szCs w:val="16"/>
              </w:rPr>
            </w:pPr>
            <w:r w:rsidRPr="00526311">
              <w:rPr>
                <w:i/>
                <w:sz w:val="16"/>
                <w:szCs w:val="16"/>
                <w:lang w:bidi="th-TH"/>
              </w:rPr>
              <w:t xml:space="preserve">Referencia original en el presupuesto de </w:t>
            </w:r>
            <w:r w:rsidRPr="00526311">
              <w:rPr>
                <w:i/>
                <w:sz w:val="16"/>
                <w:szCs w:val="16"/>
              </w:rPr>
              <w:t xml:space="preserve">2014/15:  </w:t>
            </w:r>
            <w:r w:rsidRPr="00526311">
              <w:rPr>
                <w:sz w:val="16"/>
                <w:szCs w:val="16"/>
              </w:rPr>
              <w:t>10.928.326 (feb. 2013)</w:t>
            </w:r>
          </w:p>
          <w:p w:rsidR="00B45FC3" w:rsidRPr="00526311" w:rsidRDefault="00B45FC3" w:rsidP="0063039A">
            <w:pPr>
              <w:keepNext/>
              <w:keepLines/>
              <w:rPr>
                <w:sz w:val="16"/>
                <w:szCs w:val="16"/>
                <w:lang w:bidi="th-TH"/>
              </w:rPr>
            </w:pPr>
          </w:p>
        </w:tc>
        <w:tc>
          <w:tcPr>
            <w:tcW w:w="758" w:type="pct"/>
            <w:tcBorders>
              <w:top w:val="nil"/>
              <w:bottom w:val="nil"/>
            </w:tcBorders>
            <w:shd w:val="clear" w:color="auto" w:fill="auto"/>
            <w:tcMar>
              <w:top w:w="110" w:type="dxa"/>
            </w:tcMar>
          </w:tcPr>
          <w:p w:rsidR="00B45FC3" w:rsidRPr="00526311" w:rsidRDefault="00B45FC3" w:rsidP="0063039A">
            <w:pPr>
              <w:keepNext/>
              <w:keepLines/>
              <w:autoSpaceDE w:val="0"/>
              <w:autoSpaceDN w:val="0"/>
              <w:adjustRightInd w:val="0"/>
              <w:rPr>
                <w:sz w:val="16"/>
                <w:szCs w:val="16"/>
              </w:rPr>
            </w:pPr>
          </w:p>
          <w:p w:rsidR="00B45FC3" w:rsidRPr="00526311" w:rsidRDefault="00B45FC3" w:rsidP="0063039A">
            <w:pPr>
              <w:keepNext/>
              <w:keepLines/>
              <w:autoSpaceDE w:val="0"/>
              <w:autoSpaceDN w:val="0"/>
              <w:adjustRightInd w:val="0"/>
              <w:rPr>
                <w:sz w:val="16"/>
                <w:szCs w:val="16"/>
              </w:rPr>
            </w:pPr>
            <w:r w:rsidRPr="00526311">
              <w:rPr>
                <w:sz w:val="16"/>
                <w:szCs w:val="16"/>
              </w:rPr>
              <w:t>20.000.000</w:t>
            </w:r>
          </w:p>
        </w:tc>
        <w:tc>
          <w:tcPr>
            <w:tcW w:w="1211" w:type="pct"/>
            <w:tcBorders>
              <w:top w:val="nil"/>
              <w:bottom w:val="nil"/>
            </w:tcBorders>
            <w:shd w:val="clear" w:color="auto" w:fill="FFFFFF"/>
            <w:tcMar>
              <w:top w:w="110" w:type="dxa"/>
            </w:tcMar>
          </w:tcPr>
          <w:p w:rsidR="00B45FC3" w:rsidRPr="00526311" w:rsidRDefault="00B45FC3" w:rsidP="0063039A">
            <w:pPr>
              <w:keepNext/>
              <w:keepLines/>
              <w:rPr>
                <w:sz w:val="16"/>
                <w:szCs w:val="16"/>
                <w:lang w:bidi="th-TH"/>
              </w:rPr>
            </w:pPr>
          </w:p>
          <w:p w:rsidR="00B45FC3" w:rsidRPr="00526311" w:rsidRDefault="00B45FC3" w:rsidP="0063039A">
            <w:pPr>
              <w:keepNext/>
              <w:keepLines/>
              <w:rPr>
                <w:sz w:val="16"/>
                <w:szCs w:val="16"/>
              </w:rPr>
            </w:pPr>
            <w:r w:rsidRPr="00526311">
              <w:rPr>
                <w:sz w:val="16"/>
                <w:szCs w:val="16"/>
                <w:lang w:bidi="th-TH"/>
              </w:rPr>
              <w:t>15.400.000</w:t>
            </w:r>
          </w:p>
        </w:tc>
        <w:tc>
          <w:tcPr>
            <w:tcW w:w="531"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10"/>
              <w:jc w:val="center"/>
              <w:rPr>
                <w:bCs/>
                <w:color w:val="00B050"/>
                <w:sz w:val="16"/>
                <w:szCs w:val="16"/>
              </w:rPr>
            </w:pPr>
            <w:r w:rsidRPr="00526311">
              <w:rPr>
                <w:b/>
                <w:bCs/>
                <w:color w:val="00B050"/>
                <w:sz w:val="16"/>
                <w:szCs w:val="16"/>
              </w:rPr>
              <w:t>Avanza</w:t>
            </w:r>
          </w:p>
        </w:tc>
      </w:tr>
      <w:tr w:rsidR="00B45FC3" w:rsidRPr="00526311" w:rsidTr="0063039A">
        <w:trPr>
          <w:cantSplit/>
        </w:trPr>
        <w:tc>
          <w:tcPr>
            <w:tcW w:w="1211" w:type="pct"/>
            <w:tcBorders>
              <w:top w:val="nil"/>
              <w:left w:val="single" w:sz="4" w:space="0" w:color="auto"/>
              <w:bottom w:val="nil"/>
            </w:tcBorders>
            <w:shd w:val="clear" w:color="auto" w:fill="auto"/>
          </w:tcPr>
          <w:p w:rsidR="00B45FC3" w:rsidRPr="00526311" w:rsidRDefault="00B45FC3" w:rsidP="0063039A">
            <w:pPr>
              <w:keepNext/>
              <w:keepLines/>
              <w:rPr>
                <w:sz w:val="16"/>
                <w:szCs w:val="16"/>
              </w:rPr>
            </w:pPr>
            <w:r w:rsidRPr="00526311">
              <w:rPr>
                <w:sz w:val="16"/>
                <w:szCs w:val="16"/>
              </w:rPr>
              <w:t>Número de colecciones nacionales en PATENTSCOPE.</w:t>
            </w:r>
          </w:p>
        </w:tc>
        <w:tc>
          <w:tcPr>
            <w:tcW w:w="1289" w:type="pct"/>
            <w:tcBorders>
              <w:top w:val="nil"/>
              <w:bottom w:val="nil"/>
            </w:tcBorders>
            <w:shd w:val="clear" w:color="auto" w:fill="auto"/>
          </w:tcPr>
          <w:p w:rsidR="00B45FC3" w:rsidRPr="00526311" w:rsidRDefault="00B45FC3" w:rsidP="0063039A">
            <w:pPr>
              <w:keepNext/>
              <w:keepLines/>
              <w:rPr>
                <w:i/>
                <w:color w:val="002060"/>
                <w:sz w:val="16"/>
                <w:szCs w:val="16"/>
              </w:rPr>
            </w:pPr>
            <w:r w:rsidRPr="00526311">
              <w:rPr>
                <w:i/>
                <w:color w:val="002060"/>
                <w:sz w:val="16"/>
                <w:szCs w:val="16"/>
              </w:rPr>
              <w:t>Referencia actualizada a fines de 2013:</w:t>
            </w:r>
            <w:r w:rsidRPr="00526311">
              <w:rPr>
                <w:color w:val="002060"/>
                <w:sz w:val="16"/>
                <w:szCs w:val="16"/>
                <w:lang w:bidi="th-TH"/>
              </w:rPr>
              <w:t xml:space="preserve">  36 (total)</w:t>
            </w:r>
          </w:p>
          <w:p w:rsidR="00B45FC3" w:rsidRPr="00526311" w:rsidRDefault="00B45FC3" w:rsidP="0063039A">
            <w:pPr>
              <w:keepNext/>
              <w:keepLines/>
              <w:rPr>
                <w:i/>
                <w:sz w:val="8"/>
                <w:szCs w:val="8"/>
                <w:lang w:bidi="th-TH"/>
              </w:rPr>
            </w:pPr>
          </w:p>
          <w:p w:rsidR="00B45FC3" w:rsidRPr="00526311" w:rsidRDefault="00B45FC3" w:rsidP="0063039A">
            <w:pPr>
              <w:keepNext/>
              <w:keepLines/>
              <w:rPr>
                <w:sz w:val="16"/>
                <w:szCs w:val="16"/>
              </w:rPr>
            </w:pPr>
            <w:r w:rsidRPr="00526311">
              <w:rPr>
                <w:i/>
                <w:sz w:val="16"/>
                <w:szCs w:val="16"/>
                <w:lang w:bidi="th-TH"/>
              </w:rPr>
              <w:t xml:space="preserve">Referencia original </w:t>
            </w:r>
            <w:r w:rsidRPr="00526311">
              <w:rPr>
                <w:i/>
                <w:sz w:val="16"/>
                <w:szCs w:val="16"/>
              </w:rPr>
              <w:t xml:space="preserve">en el presupuesto de 2014/15: </w:t>
            </w:r>
            <w:r w:rsidRPr="00526311">
              <w:rPr>
                <w:sz w:val="16"/>
                <w:szCs w:val="16"/>
              </w:rPr>
              <w:t>27 (feb. 2013)</w:t>
            </w:r>
          </w:p>
          <w:p w:rsidR="00B45FC3" w:rsidRPr="00526311" w:rsidRDefault="00B45FC3" w:rsidP="0063039A">
            <w:pPr>
              <w:keepNext/>
              <w:keepLines/>
              <w:ind w:left="1" w:hanging="1"/>
              <w:rPr>
                <w:sz w:val="16"/>
                <w:szCs w:val="16"/>
              </w:rPr>
            </w:pPr>
          </w:p>
        </w:tc>
        <w:tc>
          <w:tcPr>
            <w:tcW w:w="758" w:type="pct"/>
            <w:tcBorders>
              <w:top w:val="nil"/>
              <w:bottom w:val="nil"/>
            </w:tcBorders>
            <w:shd w:val="clear" w:color="auto" w:fill="auto"/>
            <w:tcMar>
              <w:top w:w="110" w:type="dxa"/>
            </w:tcMar>
          </w:tcPr>
          <w:p w:rsidR="00B45FC3" w:rsidRPr="00526311" w:rsidRDefault="00B45FC3" w:rsidP="0063039A">
            <w:pPr>
              <w:keepNext/>
              <w:keepLines/>
              <w:rPr>
                <w:sz w:val="16"/>
                <w:szCs w:val="16"/>
                <w:lang w:bidi="th-TH"/>
              </w:rPr>
            </w:pPr>
            <w:r w:rsidRPr="00526311">
              <w:rPr>
                <w:sz w:val="16"/>
                <w:szCs w:val="16"/>
              </w:rPr>
              <w:t>35</w:t>
            </w:r>
          </w:p>
        </w:tc>
        <w:tc>
          <w:tcPr>
            <w:tcW w:w="1211" w:type="pct"/>
            <w:tcBorders>
              <w:top w:val="nil"/>
              <w:bottom w:val="nil"/>
            </w:tcBorders>
            <w:shd w:val="clear" w:color="auto" w:fill="FFFFFF"/>
            <w:tcMar>
              <w:top w:w="110" w:type="dxa"/>
            </w:tcMar>
          </w:tcPr>
          <w:p w:rsidR="00B45FC3" w:rsidRPr="00526311" w:rsidRDefault="00B45FC3" w:rsidP="0063039A">
            <w:pPr>
              <w:keepNext/>
              <w:keepLines/>
              <w:rPr>
                <w:sz w:val="16"/>
                <w:szCs w:val="16"/>
              </w:rPr>
            </w:pPr>
            <w:r w:rsidRPr="00526311">
              <w:rPr>
                <w:sz w:val="16"/>
                <w:szCs w:val="16"/>
                <w:lang w:bidi="th-TH"/>
              </w:rPr>
              <w:t>41 colecciones nacionales y regionales (total)</w:t>
            </w:r>
          </w:p>
        </w:tc>
        <w:tc>
          <w:tcPr>
            <w:tcW w:w="531"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10"/>
              <w:jc w:val="center"/>
              <w:rPr>
                <w:rStyle w:val="Style5"/>
                <w:b/>
                <w:color w:val="00B050"/>
                <w:sz w:val="16"/>
              </w:rPr>
            </w:pPr>
            <w:r w:rsidRPr="00526311">
              <w:rPr>
                <w:b/>
                <w:bCs/>
                <w:color w:val="00B050"/>
                <w:sz w:val="16"/>
                <w:szCs w:val="16"/>
              </w:rPr>
              <w:t>Avanza</w:t>
            </w:r>
          </w:p>
        </w:tc>
      </w:tr>
      <w:tr w:rsidR="00B45FC3" w:rsidRPr="00526311" w:rsidTr="0063039A">
        <w:trPr>
          <w:cantSplit/>
        </w:trPr>
        <w:tc>
          <w:tcPr>
            <w:tcW w:w="1211" w:type="pct"/>
            <w:tcBorders>
              <w:top w:val="nil"/>
              <w:left w:val="single" w:sz="4" w:space="0" w:color="auto"/>
              <w:bottom w:val="single" w:sz="4" w:space="0" w:color="auto"/>
            </w:tcBorders>
            <w:shd w:val="clear" w:color="auto" w:fill="auto"/>
          </w:tcPr>
          <w:p w:rsidR="00B45FC3" w:rsidRPr="00526311" w:rsidRDefault="00B45FC3" w:rsidP="0063039A">
            <w:pPr>
              <w:keepNext/>
              <w:keepLines/>
              <w:rPr>
                <w:sz w:val="16"/>
                <w:szCs w:val="16"/>
              </w:rPr>
            </w:pPr>
            <w:r w:rsidRPr="00526311">
              <w:rPr>
                <w:sz w:val="16"/>
                <w:szCs w:val="16"/>
              </w:rPr>
              <w:t>Número de colecciones nacionales en la Base Mundial de Datos sobre Marcas.</w:t>
            </w:r>
          </w:p>
        </w:tc>
        <w:tc>
          <w:tcPr>
            <w:tcW w:w="1289" w:type="pct"/>
            <w:tcBorders>
              <w:top w:val="nil"/>
              <w:bottom w:val="single" w:sz="4" w:space="0" w:color="auto"/>
            </w:tcBorders>
            <w:shd w:val="clear" w:color="auto" w:fill="auto"/>
          </w:tcPr>
          <w:p w:rsidR="00B45FC3" w:rsidRPr="00526311" w:rsidRDefault="00B45FC3" w:rsidP="0063039A">
            <w:pPr>
              <w:keepNext/>
              <w:keepLines/>
              <w:rPr>
                <w:i/>
                <w:color w:val="002060"/>
                <w:sz w:val="16"/>
                <w:szCs w:val="16"/>
              </w:rPr>
            </w:pPr>
            <w:r w:rsidRPr="00526311">
              <w:rPr>
                <w:i/>
                <w:color w:val="002060"/>
                <w:sz w:val="16"/>
                <w:szCs w:val="16"/>
              </w:rPr>
              <w:t>Referencia actualizada a fines de 2013:  12</w:t>
            </w:r>
          </w:p>
          <w:p w:rsidR="00B45FC3" w:rsidRPr="00526311" w:rsidRDefault="00B45FC3" w:rsidP="0063039A">
            <w:pPr>
              <w:keepNext/>
              <w:keepLines/>
              <w:rPr>
                <w:i/>
                <w:sz w:val="8"/>
                <w:szCs w:val="8"/>
                <w:lang w:bidi="th-TH"/>
              </w:rPr>
            </w:pPr>
          </w:p>
          <w:p w:rsidR="00B45FC3" w:rsidRPr="00526311" w:rsidRDefault="00B45FC3" w:rsidP="0063039A">
            <w:pPr>
              <w:keepNext/>
              <w:keepLines/>
              <w:rPr>
                <w:i/>
                <w:sz w:val="16"/>
                <w:szCs w:val="16"/>
              </w:rPr>
            </w:pPr>
            <w:r w:rsidRPr="00526311">
              <w:rPr>
                <w:i/>
                <w:sz w:val="16"/>
                <w:szCs w:val="16"/>
                <w:lang w:bidi="th-TH"/>
              </w:rPr>
              <w:t xml:space="preserve">Referencia original en el presupuesto de </w:t>
            </w:r>
            <w:r w:rsidRPr="00526311">
              <w:rPr>
                <w:i/>
                <w:sz w:val="16"/>
                <w:szCs w:val="16"/>
              </w:rPr>
              <w:t>2014/15:  9 (feb. 2013)</w:t>
            </w:r>
            <w:r w:rsidRPr="00526311">
              <w:rPr>
                <w:i/>
                <w:sz w:val="16"/>
                <w:szCs w:val="16"/>
              </w:rPr>
              <w:br/>
            </w:r>
          </w:p>
        </w:tc>
        <w:tc>
          <w:tcPr>
            <w:tcW w:w="758" w:type="pct"/>
            <w:tcBorders>
              <w:top w:val="nil"/>
              <w:bottom w:val="single" w:sz="4" w:space="0" w:color="auto"/>
            </w:tcBorders>
            <w:shd w:val="clear" w:color="auto" w:fill="auto"/>
            <w:tcMar>
              <w:top w:w="110" w:type="dxa"/>
            </w:tcMar>
          </w:tcPr>
          <w:p w:rsidR="00B45FC3" w:rsidRPr="00526311" w:rsidRDefault="00B45FC3" w:rsidP="0063039A">
            <w:pPr>
              <w:keepNext/>
              <w:keepLines/>
              <w:rPr>
                <w:sz w:val="16"/>
                <w:szCs w:val="16"/>
              </w:rPr>
            </w:pPr>
            <w:r w:rsidRPr="00526311">
              <w:rPr>
                <w:sz w:val="16"/>
                <w:szCs w:val="16"/>
              </w:rPr>
              <w:t>18</w:t>
            </w:r>
          </w:p>
        </w:tc>
        <w:tc>
          <w:tcPr>
            <w:tcW w:w="1211" w:type="pct"/>
            <w:tcBorders>
              <w:top w:val="nil"/>
              <w:bottom w:val="single" w:sz="4" w:space="0" w:color="auto"/>
            </w:tcBorders>
            <w:shd w:val="clear" w:color="auto" w:fill="FFFFFF"/>
            <w:tcMar>
              <w:top w:w="110" w:type="dxa"/>
            </w:tcMar>
          </w:tcPr>
          <w:p w:rsidR="00B45FC3" w:rsidRPr="00526311" w:rsidRDefault="00B45FC3" w:rsidP="0063039A">
            <w:pPr>
              <w:keepNext/>
              <w:keepLines/>
              <w:rPr>
                <w:sz w:val="16"/>
                <w:szCs w:val="16"/>
                <w:lang w:bidi="th-TH"/>
              </w:rPr>
            </w:pPr>
            <w:r w:rsidRPr="00526311">
              <w:rPr>
                <w:sz w:val="16"/>
                <w:szCs w:val="16"/>
                <w:lang w:bidi="th-TH"/>
              </w:rPr>
              <w:t>18</w:t>
            </w:r>
          </w:p>
        </w:tc>
        <w:tc>
          <w:tcPr>
            <w:tcW w:w="531" w:type="pct"/>
            <w:gridSpan w:val="2"/>
            <w:tcBorders>
              <w:top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ind w:left="-110"/>
              <w:jc w:val="center"/>
              <w:rPr>
                <w:rStyle w:val="Style5"/>
                <w:b/>
                <w:color w:val="00B050"/>
                <w:sz w:val="16"/>
              </w:rPr>
            </w:pPr>
            <w:r w:rsidRPr="00526311">
              <w:rPr>
                <w:b/>
                <w:bCs/>
                <w:color w:val="00B050"/>
                <w:sz w:val="16"/>
                <w:szCs w:val="16"/>
              </w:rPr>
              <w:t>Avanza</w:t>
            </w:r>
          </w:p>
        </w:tc>
      </w:tr>
    </w:tbl>
    <w:p w:rsidR="00B45FC3" w:rsidRPr="00526311" w:rsidRDefault="00B45FC3" w:rsidP="0063039A">
      <w:pPr>
        <w:rPr>
          <w:bCs/>
          <w:szCs w:val="22"/>
        </w:rPr>
      </w:pPr>
    </w:p>
    <w:p w:rsidR="00B45FC3" w:rsidRPr="00526311" w:rsidRDefault="00B45FC3">
      <w:pPr>
        <w:rPr>
          <w:color w:val="000000"/>
          <w:szCs w:val="22"/>
        </w:rPr>
      </w:pPr>
    </w:p>
    <w:p w:rsidR="00B45FC3" w:rsidRPr="00526311" w:rsidRDefault="00B45FC3" w:rsidP="0063039A">
      <w:pPr>
        <w:rPr>
          <w:b/>
          <w:sz w:val="18"/>
          <w:szCs w:val="18"/>
        </w:rPr>
      </w:pPr>
      <w:r w:rsidRPr="00526311">
        <w:rPr>
          <w:szCs w:val="22"/>
        </w:rPr>
        <w:t>UTILIZACIÓN DE LOS RECURSOS</w:t>
      </w:r>
    </w:p>
    <w:p w:rsidR="00B45FC3" w:rsidRPr="00526311" w:rsidRDefault="00B45FC3"/>
    <w:p w:rsidR="00B45FC3" w:rsidRPr="00526311" w:rsidRDefault="00B45FC3"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B45FC3" w:rsidRPr="00526311" w:rsidRDefault="00B45FC3"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pStyle w:val="NormalWeb"/>
        <w:spacing w:before="0" w:beforeAutospacing="0" w:after="0" w:afterAutospacing="0"/>
        <w:jc w:val="center"/>
        <w:rPr>
          <w:sz w:val="20"/>
          <w:szCs w:val="20"/>
          <w:lang w:val="es-ES"/>
        </w:rPr>
      </w:pPr>
    </w:p>
    <w:p w:rsidR="00B45FC3" w:rsidRPr="00526311" w:rsidRDefault="00DD7B62" w:rsidP="0063039A">
      <w:pPr>
        <w:jc w:val="center"/>
      </w:pPr>
      <w:r w:rsidRPr="00526311">
        <w:rPr>
          <w:noProof/>
          <w:lang w:val="en-US" w:eastAsia="en-US"/>
        </w:rPr>
        <w:drawing>
          <wp:inline distT="0" distB="0" distL="0" distR="0" wp14:anchorId="105D5F11" wp14:editId="6914C9B1">
            <wp:extent cx="5762625" cy="1724025"/>
            <wp:effectExtent l="0" t="0" r="9525" b="9525"/>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2625" cy="1724025"/>
                    </a:xfrm>
                    <a:prstGeom prst="rect">
                      <a:avLst/>
                    </a:prstGeom>
                    <a:noFill/>
                    <a:ln>
                      <a:noFill/>
                    </a:ln>
                  </pic:spPr>
                </pic:pic>
              </a:graphicData>
            </a:graphic>
          </wp:inline>
        </w:drawing>
      </w:r>
    </w:p>
    <w:p w:rsidR="00B45FC3" w:rsidRPr="00526311" w:rsidRDefault="00B45FC3"/>
    <w:p w:rsidR="00B45FC3" w:rsidRPr="00526311" w:rsidRDefault="00B45FC3"/>
    <w:p w:rsidR="00B45FC3" w:rsidRPr="00526311" w:rsidRDefault="00B45FC3"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B45FC3" w:rsidRPr="00526311" w:rsidRDefault="00B45FC3"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pStyle w:val="NormalWeb"/>
        <w:spacing w:before="0" w:beforeAutospacing="0" w:after="0" w:afterAutospacing="0"/>
        <w:jc w:val="center"/>
        <w:rPr>
          <w:lang w:val="es-ES"/>
        </w:rPr>
      </w:pPr>
    </w:p>
    <w:p w:rsidR="00B45FC3" w:rsidRPr="00526311" w:rsidRDefault="00FF6E74" w:rsidP="0063039A">
      <w:pPr>
        <w:jc w:val="center"/>
      </w:pPr>
      <w:bookmarkStart w:id="50" w:name="Punto13"/>
      <w:r w:rsidRPr="00526311">
        <w:rPr>
          <w:noProof/>
          <w:lang w:val="en-US" w:eastAsia="en-US"/>
        </w:rPr>
        <w:drawing>
          <wp:inline distT="0" distB="0" distL="0" distR="0" wp14:anchorId="5D8A862F" wp14:editId="264A8EB8">
            <wp:extent cx="5940425" cy="1209029"/>
            <wp:effectExtent l="0" t="0" r="3175"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1209029"/>
                    </a:xfrm>
                    <a:prstGeom prst="rect">
                      <a:avLst/>
                    </a:prstGeom>
                    <a:noFill/>
                    <a:ln>
                      <a:noFill/>
                    </a:ln>
                  </pic:spPr>
                </pic:pic>
              </a:graphicData>
            </a:graphic>
          </wp:inline>
        </w:drawing>
      </w:r>
      <w:bookmarkEnd w:id="50"/>
    </w:p>
    <w:p w:rsidR="00B45FC3" w:rsidRPr="00526311" w:rsidRDefault="00B45FC3" w:rsidP="0063039A">
      <w:pPr>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B45FC3" w:rsidRPr="00526311" w:rsidRDefault="00B45FC3" w:rsidP="0063039A">
      <w:pPr>
        <w:autoSpaceDE w:val="0"/>
        <w:autoSpaceDN w:val="0"/>
        <w:adjustRightInd w:val="0"/>
        <w:rPr>
          <w:sz w:val="20"/>
        </w:rPr>
      </w:pPr>
    </w:p>
    <w:p w:rsidR="00B45FC3" w:rsidRPr="00526311" w:rsidRDefault="00B45FC3" w:rsidP="0063039A">
      <w:pPr>
        <w:rPr>
          <w:sz w:val="20"/>
          <w:u w:val="single"/>
        </w:rPr>
      </w:pPr>
      <w:r w:rsidRPr="00526311">
        <w:rPr>
          <w:sz w:val="20"/>
        </w:rPr>
        <w:lastRenderedPageBreak/>
        <w:t>A.</w:t>
      </w:r>
      <w:r w:rsidRPr="00526311">
        <w:rPr>
          <w:sz w:val="20"/>
        </w:rPr>
        <w:tab/>
      </w:r>
      <w:r w:rsidRPr="00526311">
        <w:rPr>
          <w:sz w:val="20"/>
          <w:u w:val="single"/>
        </w:rPr>
        <w:t>Presupuesto de 2014/15 tras las transferencias</w:t>
      </w:r>
    </w:p>
    <w:p w:rsidR="00B45FC3" w:rsidRPr="00526311" w:rsidRDefault="00B45FC3" w:rsidP="0063039A">
      <w:pPr>
        <w:rPr>
          <w:sz w:val="20"/>
          <w:u w:val="single"/>
        </w:rPr>
      </w:pPr>
    </w:p>
    <w:p w:rsidR="00B45FC3" w:rsidRPr="00526311" w:rsidRDefault="00B45FC3" w:rsidP="00B45FC3">
      <w:pPr>
        <w:pStyle w:val="ListParagraph"/>
        <w:numPr>
          <w:ilvl w:val="0"/>
          <w:numId w:val="64"/>
        </w:numPr>
        <w:tabs>
          <w:tab w:val="left" w:pos="709"/>
        </w:tabs>
        <w:ind w:left="0" w:firstLine="0"/>
        <w:jc w:val="both"/>
        <w:rPr>
          <w:rFonts w:cs="Arial"/>
          <w:lang w:val="es-ES"/>
        </w:rPr>
      </w:pPr>
      <w:r w:rsidRPr="00526311">
        <w:rPr>
          <w:rFonts w:cs="Arial"/>
          <w:lang w:val="es-ES"/>
        </w:rPr>
        <w:t xml:space="preserve">El ligero aumento del presupuesto </w:t>
      </w:r>
      <w:r w:rsidR="00011744" w:rsidRPr="00526311">
        <w:rPr>
          <w:rFonts w:cs="Arial"/>
          <w:lang w:val="es-ES"/>
        </w:rPr>
        <w:t xml:space="preserve">de </w:t>
      </w:r>
      <w:r w:rsidRPr="00526311">
        <w:rPr>
          <w:rFonts w:cs="Arial"/>
          <w:lang w:val="es-ES"/>
        </w:rPr>
        <w:t>2014/15 tras las transferencias refleja la reclasificación de un puesto y la redistribución en el programa de recursos adicionales relativos a personal para la promoción de las bases de datos mundiales.  Esto queda reflejado en el aumento comprendido en el resultado previsto IV.2.  El aumento de los recursos comprendidos en el resultado previsto IV.2 es además debido a la redistribución de recursos de personal en el marco del programa para la elaboración del motor de búsqueda de la base de datos.</w:t>
      </w:r>
    </w:p>
    <w:p w:rsidR="00B45FC3" w:rsidRPr="00526311" w:rsidRDefault="00B45FC3" w:rsidP="0063039A">
      <w:pPr>
        <w:rPr>
          <w:sz w:val="20"/>
        </w:rPr>
      </w:pPr>
    </w:p>
    <w:p w:rsidR="00B45FC3" w:rsidRPr="00526311" w:rsidRDefault="00B45FC3" w:rsidP="00B45FC3">
      <w:pPr>
        <w:pStyle w:val="ListParagraph"/>
        <w:numPr>
          <w:ilvl w:val="0"/>
          <w:numId w:val="64"/>
        </w:numPr>
        <w:tabs>
          <w:tab w:val="left" w:pos="709"/>
        </w:tabs>
        <w:ind w:left="0" w:firstLine="0"/>
        <w:jc w:val="both"/>
        <w:rPr>
          <w:rFonts w:cs="Arial"/>
          <w:lang w:val="es-ES"/>
        </w:rPr>
      </w:pPr>
      <w:r w:rsidRPr="00526311">
        <w:rPr>
          <w:rFonts w:cs="Arial"/>
          <w:lang w:val="es-ES"/>
        </w:rPr>
        <w:t>La ligera reducción de los recursos no relativos a personal refleja los ahorros obtenidos gracias al aumento de la eficacia.</w:t>
      </w:r>
    </w:p>
    <w:p w:rsidR="00B45FC3" w:rsidRPr="00526311" w:rsidRDefault="00B45FC3" w:rsidP="0063039A">
      <w:pPr>
        <w:autoSpaceDE w:val="0"/>
        <w:autoSpaceDN w:val="0"/>
        <w:jc w:val="both"/>
        <w:rPr>
          <w:sz w:val="20"/>
          <w:lang w:eastAsia="ko-KR"/>
        </w:rPr>
      </w:pPr>
    </w:p>
    <w:p w:rsidR="00B45FC3" w:rsidRPr="00526311" w:rsidRDefault="00B45FC3"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B45FC3" w:rsidRPr="00526311" w:rsidRDefault="00B45FC3" w:rsidP="0063039A">
      <w:pPr>
        <w:tabs>
          <w:tab w:val="left" w:pos="709"/>
        </w:tabs>
        <w:jc w:val="both"/>
        <w:rPr>
          <w:sz w:val="20"/>
          <w:u w:val="single"/>
          <w:lang w:eastAsia="ko-KR"/>
        </w:rPr>
      </w:pPr>
    </w:p>
    <w:p w:rsidR="00B45FC3" w:rsidRPr="00526311" w:rsidRDefault="00B45FC3" w:rsidP="00B45FC3">
      <w:pPr>
        <w:pStyle w:val="ListParagraph"/>
        <w:numPr>
          <w:ilvl w:val="0"/>
          <w:numId w:val="64"/>
        </w:numPr>
        <w:tabs>
          <w:tab w:val="left" w:pos="709"/>
        </w:tabs>
        <w:ind w:left="0" w:firstLine="0"/>
        <w:jc w:val="both"/>
        <w:rPr>
          <w:rFonts w:cs="Arial"/>
          <w:lang w:val="es-ES" w:eastAsia="ko-KR"/>
        </w:rPr>
      </w:pPr>
      <w:r w:rsidRPr="00526311">
        <w:rPr>
          <w:rFonts w:cs="Arial"/>
          <w:lang w:val="es-ES" w:eastAsia="ko-KR"/>
        </w:rPr>
        <w:t>La utilización del presupuesto se ha mantenido dentro de los límites establecidos (40-60%) durante el primer año del bienio y está bien encaminada.</w:t>
      </w:r>
    </w:p>
    <w:p w:rsidR="00B45FC3" w:rsidRPr="00526311" w:rsidRDefault="00B45FC3" w:rsidP="0063039A">
      <w:pPr>
        <w:pStyle w:val="ListParagraph"/>
        <w:tabs>
          <w:tab w:val="left" w:pos="709"/>
        </w:tabs>
        <w:ind w:left="0"/>
        <w:rPr>
          <w:rFonts w:cs="Arial"/>
          <w:lang w:val="es-ES"/>
        </w:rPr>
      </w:pPr>
    </w:p>
    <w:p w:rsidR="00B45FC3" w:rsidRPr="00526311" w:rsidRDefault="00B45FC3" w:rsidP="0063039A">
      <w:pPr>
        <w:pStyle w:val="ListParagraph"/>
        <w:tabs>
          <w:tab w:val="left" w:pos="709"/>
        </w:tabs>
        <w:ind w:left="0"/>
        <w:rPr>
          <w:rFonts w:cs="Arial"/>
          <w:lang w:val="es-ES"/>
        </w:rPr>
      </w:pPr>
    </w:p>
    <w:p w:rsidR="00B45FC3" w:rsidRPr="00526311" w:rsidRDefault="00B45FC3">
      <w:pPr>
        <w:rPr>
          <w:bCs/>
          <w:iCs/>
          <w:caps/>
          <w:sz w:val="20"/>
        </w:rPr>
      </w:pPr>
      <w:r w:rsidRPr="00526311">
        <w:rPr>
          <w:sz w:val="20"/>
        </w:rPr>
        <w:br w:type="page"/>
      </w:r>
    </w:p>
    <w:p w:rsidR="00B45FC3" w:rsidRPr="00526311" w:rsidRDefault="00B45FC3" w:rsidP="0063039A">
      <w:pPr>
        <w:pStyle w:val="Heading2"/>
        <w:tabs>
          <w:tab w:val="left" w:pos="2268"/>
        </w:tabs>
        <w:ind w:left="2268" w:hanging="2268"/>
        <w:jc w:val="both"/>
        <w:rPr>
          <w:b/>
          <w:szCs w:val="22"/>
        </w:rPr>
      </w:pPr>
      <w:bookmarkStart w:id="51" w:name="_Toc422927423"/>
      <w:r w:rsidRPr="00526311">
        <w:rPr>
          <w:b/>
          <w:szCs w:val="22"/>
        </w:rPr>
        <w:lastRenderedPageBreak/>
        <w:t>PROGRAMA 14</w:t>
      </w:r>
      <w:r w:rsidRPr="00526311">
        <w:rPr>
          <w:b/>
          <w:szCs w:val="22"/>
        </w:rPr>
        <w:tab/>
        <w:t>SERVICIOS DE ACCESO A LA INFORMACIÓN Y A LOS CONOCIMIENTOS</w:t>
      </w:r>
      <w:bookmarkEnd w:id="51"/>
    </w:p>
    <w:p w:rsidR="00B45FC3" w:rsidRPr="00526311" w:rsidRDefault="00B45FC3" w:rsidP="0063039A">
      <w:pPr>
        <w:jc w:val="both"/>
        <w:rPr>
          <w:sz w:val="20"/>
        </w:rPr>
      </w:pPr>
    </w:p>
    <w:p w:rsidR="00B45FC3" w:rsidRPr="00526311" w:rsidRDefault="00B45FC3" w:rsidP="0063039A">
      <w:pPr>
        <w:tabs>
          <w:tab w:val="left" w:pos="1985"/>
        </w:tabs>
        <w:jc w:val="both"/>
        <w:rPr>
          <w:b/>
          <w:sz w:val="20"/>
        </w:rPr>
      </w:pPr>
      <w:r w:rsidRPr="00526311">
        <w:rPr>
          <w:b/>
          <w:sz w:val="20"/>
        </w:rPr>
        <w:t>Director de programa</w:t>
      </w:r>
      <w:r w:rsidRPr="00526311">
        <w:rPr>
          <w:b/>
          <w:sz w:val="20"/>
        </w:rPr>
        <w:tab/>
        <w:t>Sr. Y. Takagi</w:t>
      </w:r>
    </w:p>
    <w:p w:rsidR="00B45FC3" w:rsidRPr="00526311" w:rsidRDefault="00B45FC3" w:rsidP="0063039A">
      <w:pPr>
        <w:jc w:val="both"/>
        <w:rPr>
          <w:sz w:val="20"/>
        </w:rPr>
      </w:pPr>
    </w:p>
    <w:p w:rsidR="00B45FC3" w:rsidRPr="00526311" w:rsidRDefault="00B45FC3" w:rsidP="0063039A">
      <w:pPr>
        <w:jc w:val="both"/>
        <w:rPr>
          <w:sz w:val="20"/>
        </w:rPr>
      </w:pPr>
    </w:p>
    <w:p w:rsidR="00B45FC3" w:rsidRPr="00526311" w:rsidRDefault="00B45FC3" w:rsidP="0063039A">
      <w:pPr>
        <w:jc w:val="both"/>
        <w:rPr>
          <w:bCs/>
        </w:rPr>
      </w:pPr>
      <w:r w:rsidRPr="00526311">
        <w:rPr>
          <w:bCs/>
        </w:rPr>
        <w:t>RESEÑA DE LOS AVANCES LOGRADOS EN 2014</w:t>
      </w:r>
    </w:p>
    <w:p w:rsidR="00B45FC3" w:rsidRPr="00526311" w:rsidRDefault="00B45FC3" w:rsidP="0063039A">
      <w:pPr>
        <w:jc w:val="both"/>
        <w:rPr>
          <w:bCs/>
          <w:szCs w:val="22"/>
        </w:rPr>
      </w:pPr>
      <w:bookmarkStart w:id="52" w:name="OLE_LINK3"/>
      <w:bookmarkStart w:id="53" w:name="OLE_LINK4"/>
    </w:p>
    <w:p w:rsidR="00B45FC3" w:rsidRPr="00526311" w:rsidRDefault="00B45FC3" w:rsidP="00B45FC3">
      <w:pPr>
        <w:pStyle w:val="ListParagraph"/>
        <w:numPr>
          <w:ilvl w:val="0"/>
          <w:numId w:val="65"/>
        </w:numPr>
        <w:tabs>
          <w:tab w:val="left" w:pos="0"/>
          <w:tab w:val="left" w:pos="709"/>
        </w:tabs>
        <w:ind w:left="0" w:firstLine="0"/>
        <w:jc w:val="both"/>
        <w:rPr>
          <w:rFonts w:cs="Arial"/>
          <w:bCs/>
          <w:lang w:val="es-ES"/>
        </w:rPr>
      </w:pPr>
      <w:r w:rsidRPr="00526311">
        <w:rPr>
          <w:rFonts w:cs="Arial"/>
          <w:bCs/>
          <w:lang w:val="es-ES"/>
        </w:rPr>
        <w:t xml:space="preserve">En 2014 el número total de Estados miembros que habían establecido centros de apoyo a la tecnología y la innovación (CATI) en sus países ascendió a 45.  Las actividades del programa siguieron centrándose en la consolidación de la sostenibilidad a largo plazo de las redes y, a finales de 2014, se determinó que 20 redes de CATI eran sostenibles.  </w:t>
      </w:r>
    </w:p>
    <w:p w:rsidR="00B45FC3" w:rsidRPr="00526311" w:rsidRDefault="00B45FC3" w:rsidP="0063039A">
      <w:pPr>
        <w:pStyle w:val="ListParagraph"/>
        <w:tabs>
          <w:tab w:val="left" w:pos="0"/>
          <w:tab w:val="left" w:pos="709"/>
        </w:tabs>
        <w:ind w:left="0"/>
        <w:jc w:val="both"/>
        <w:rPr>
          <w:rFonts w:cs="Arial"/>
          <w:bCs/>
          <w:lang w:val="es-ES"/>
        </w:rPr>
      </w:pPr>
    </w:p>
    <w:p w:rsidR="00B45FC3" w:rsidRPr="00526311" w:rsidRDefault="00B45FC3" w:rsidP="00B45FC3">
      <w:pPr>
        <w:pStyle w:val="ListParagraph"/>
        <w:numPr>
          <w:ilvl w:val="0"/>
          <w:numId w:val="65"/>
        </w:numPr>
        <w:tabs>
          <w:tab w:val="left" w:pos="0"/>
          <w:tab w:val="left" w:pos="709"/>
        </w:tabs>
        <w:ind w:left="0" w:firstLine="0"/>
        <w:jc w:val="both"/>
        <w:rPr>
          <w:rFonts w:cs="Arial"/>
          <w:bCs/>
          <w:lang w:val="es-ES"/>
        </w:rPr>
      </w:pPr>
      <w:r w:rsidRPr="00526311">
        <w:rPr>
          <w:rFonts w:cs="Arial"/>
          <w:lang w:val="es-ES"/>
        </w:rPr>
        <w:t xml:space="preserve">El programa estructurado de creación de capacidad a escala local que engloba actividades </w:t>
      </w:r>
      <w:r w:rsidRPr="00526311">
        <w:rPr>
          <w:rFonts w:cs="Arial"/>
          <w:i/>
          <w:lang w:val="es-ES"/>
        </w:rPr>
        <w:t>in situ</w:t>
      </w:r>
      <w:r w:rsidRPr="00526311">
        <w:rPr>
          <w:rFonts w:cs="Arial"/>
          <w:lang w:val="es-ES"/>
        </w:rPr>
        <w:t xml:space="preserve"> de formación y sensibilización, sesiones adicionales de formación de formadores y de planificación de proyectos que se había puesto en marcha en 2013, se prosiguió a lo largo de 2014.  Se organizaron tres actividades subregionales en colaboración con la Asociación de Naciones del Asia Sudoriental (ASEAN), la Organización de Cooperación Islámica (OCI), la Oficina de P.I. de Honduras (DIGEPIH) y la Universidad Nacional Autónoma de Honduras (UNAH),  y se llevaron a cabo 14 actividades de formación  nacionales destinadas a fomentar el intercambio de experiencias y de mejores prácticas entre los países a escala regional</w:t>
      </w:r>
      <w:bookmarkEnd w:id="52"/>
      <w:bookmarkEnd w:id="53"/>
      <w:r w:rsidRPr="00526311">
        <w:rPr>
          <w:rFonts w:cs="Arial"/>
          <w:lang w:val="es-ES"/>
        </w:rPr>
        <w:t>.</w:t>
      </w:r>
      <w:r w:rsidRPr="00526311">
        <w:rPr>
          <w:rFonts w:cs="Arial"/>
          <w:bCs/>
          <w:lang w:val="es-ES"/>
        </w:rPr>
        <w:t xml:space="preserve"> </w:t>
      </w:r>
    </w:p>
    <w:p w:rsidR="00B45FC3" w:rsidRPr="00526311" w:rsidRDefault="00B45FC3" w:rsidP="0063039A">
      <w:pPr>
        <w:tabs>
          <w:tab w:val="left" w:pos="0"/>
          <w:tab w:val="left" w:pos="709"/>
        </w:tabs>
        <w:jc w:val="both"/>
      </w:pPr>
    </w:p>
    <w:p w:rsidR="00B45FC3" w:rsidRPr="00526311" w:rsidRDefault="00B45FC3" w:rsidP="00B45FC3">
      <w:pPr>
        <w:pStyle w:val="ListParagraph"/>
        <w:numPr>
          <w:ilvl w:val="0"/>
          <w:numId w:val="65"/>
        </w:numPr>
        <w:tabs>
          <w:tab w:val="left" w:pos="0"/>
          <w:tab w:val="left" w:pos="709"/>
        </w:tabs>
        <w:ind w:left="0" w:firstLine="0"/>
        <w:jc w:val="both"/>
        <w:rPr>
          <w:rFonts w:cs="Arial"/>
          <w:bCs/>
          <w:lang w:val="es-ES"/>
        </w:rPr>
      </w:pPr>
      <w:r w:rsidRPr="00526311">
        <w:rPr>
          <w:rFonts w:cs="Arial"/>
          <w:lang w:val="es-ES"/>
        </w:rPr>
        <w:t>La plataforma de gestión de conocimientos eTISC</w:t>
      </w:r>
      <w:r w:rsidRPr="00526311">
        <w:rPr>
          <w:rStyle w:val="FootnoteReference"/>
          <w:rFonts w:cs="Arial"/>
          <w:lang w:val="es-ES"/>
        </w:rPr>
        <w:footnoteReference w:id="43"/>
      </w:r>
      <w:r w:rsidRPr="00526311">
        <w:rPr>
          <w:rFonts w:cs="Arial"/>
          <w:lang w:val="es-ES"/>
        </w:rPr>
        <w:t xml:space="preserve"> siguió experimentando un crecimiento notable:  el número de miembros inscritos aumentó un 57%, de 700 a finales de 2013 a más de 1.100 miembros a finales de 2014, procedentes de más de 90 países.  En 2014 se incorporaron</w:t>
      </w:r>
      <w:r w:rsidRPr="00526311">
        <w:rPr>
          <w:rFonts w:cs="Arial"/>
          <w:szCs w:val="24"/>
          <w:lang w:val="es-ES"/>
        </w:rPr>
        <w:t xml:space="preserve"> </w:t>
      </w:r>
      <w:r w:rsidRPr="00526311">
        <w:rPr>
          <w:rFonts w:cs="Arial"/>
          <w:lang w:val="es-ES"/>
        </w:rPr>
        <w:t>en la plataforma 14 nuevos seminarios web de formación y se organizaron seis sesiones de preguntas y respuestas en directo con expertos  en ayuda a la innovación.  Siguió habiendo mucha demanda por la guía electrónica interactiva sobre el uso y la explotación de la información contenida en patentes, publicada en el último bienio y disponible en CD-ROM y en línea en inglés</w:t>
      </w:r>
      <w:r w:rsidRPr="00526311">
        <w:rPr>
          <w:vertAlign w:val="superscript"/>
          <w:lang w:val="es-ES"/>
        </w:rPr>
        <w:footnoteReference w:id="44"/>
      </w:r>
      <w:r w:rsidRPr="00526311">
        <w:rPr>
          <w:rFonts w:cs="Arial"/>
          <w:lang w:val="es-ES"/>
        </w:rPr>
        <w:t xml:space="preserve"> y en francés</w:t>
      </w:r>
      <w:r w:rsidRPr="00526311">
        <w:rPr>
          <w:rStyle w:val="FootnoteReference"/>
          <w:rFonts w:cs="Arial"/>
          <w:lang w:val="es-ES"/>
        </w:rPr>
        <w:footnoteReference w:id="45"/>
      </w:r>
      <w:r w:rsidRPr="00526311">
        <w:rPr>
          <w:rFonts w:cs="Arial"/>
          <w:lang w:val="es-ES"/>
        </w:rPr>
        <w:t xml:space="preserve">. </w:t>
      </w:r>
    </w:p>
    <w:p w:rsidR="00B45FC3" w:rsidRPr="00526311" w:rsidRDefault="00B45FC3" w:rsidP="0063039A">
      <w:pPr>
        <w:tabs>
          <w:tab w:val="left" w:pos="0"/>
          <w:tab w:val="left" w:pos="709"/>
        </w:tabs>
        <w:jc w:val="both"/>
      </w:pPr>
    </w:p>
    <w:p w:rsidR="00B45FC3" w:rsidRPr="00526311" w:rsidRDefault="00B45FC3" w:rsidP="00B45FC3">
      <w:pPr>
        <w:pStyle w:val="ListParagraph"/>
        <w:numPr>
          <w:ilvl w:val="0"/>
          <w:numId w:val="65"/>
        </w:numPr>
        <w:tabs>
          <w:tab w:val="left" w:pos="0"/>
          <w:tab w:val="left" w:pos="709"/>
        </w:tabs>
        <w:ind w:left="0" w:firstLine="0"/>
        <w:jc w:val="both"/>
        <w:rPr>
          <w:rFonts w:cs="Arial"/>
          <w:bCs/>
          <w:lang w:val="es-ES"/>
        </w:rPr>
      </w:pPr>
      <w:r w:rsidRPr="00526311">
        <w:rPr>
          <w:rFonts w:cs="Arial"/>
          <w:bCs/>
          <w:lang w:val="es-ES"/>
        </w:rPr>
        <w:t>Siguió aumentando el volumen de contenido accesible de las publicaciones científicas y técnicas en el Programa de acceso a la investigación para el desarrollo y la innovación (</w:t>
      </w:r>
      <w:r w:rsidRPr="00526311">
        <w:rPr>
          <w:rFonts w:cs="Arial"/>
          <w:lang w:val="es-ES"/>
        </w:rPr>
        <w:t>ARDI) y en sus programas Research4Life</w:t>
      </w:r>
      <w:r w:rsidRPr="00526311">
        <w:rPr>
          <w:rFonts w:cs="Arial"/>
          <w:szCs w:val="24"/>
          <w:lang w:val="es-ES"/>
        </w:rPr>
        <w:t xml:space="preserve"> realizados </w:t>
      </w:r>
      <w:r w:rsidRPr="00526311">
        <w:rPr>
          <w:rFonts w:cs="Arial"/>
          <w:lang w:val="es-ES"/>
        </w:rPr>
        <w:t xml:space="preserve">con asociados, que comprende 16.758 </w:t>
      </w:r>
      <w:r w:rsidR="00B353A9" w:rsidRPr="00526311">
        <w:rPr>
          <w:rFonts w:cs="Arial"/>
          <w:lang w:val="es-ES"/>
        </w:rPr>
        <w:t>publicaciones periódicas</w:t>
      </w:r>
      <w:r w:rsidRPr="00526311">
        <w:rPr>
          <w:rFonts w:cs="Arial"/>
          <w:lang w:val="es-ES"/>
        </w:rPr>
        <w:t xml:space="preserve">, 46.318 libros electrónicos y 116 obras de referencia y bases de datos.  El número de usuarios activos del programa ARDI se duplicó de </w:t>
      </w:r>
      <w:r w:rsidRPr="00526311">
        <w:rPr>
          <w:rFonts w:cs="Arial"/>
          <w:bCs/>
          <w:lang w:val="es-ES"/>
        </w:rPr>
        <w:t xml:space="preserve">207 en 2013 a 411 en 2014.  El número de usuarios inscritos activos del Programa de acceso a la información especializada sobre patentes </w:t>
      </w:r>
      <w:r w:rsidRPr="00526311">
        <w:rPr>
          <w:rFonts w:cs="Arial"/>
          <w:lang w:val="es-ES"/>
        </w:rPr>
        <w:t>(ASPI), que da acceso a bases de datos comerciales especializada en patentes, también aumentó de forma constante, aunque a un nivel más moderado, alcanzando un total de 35 usuarios institucionales activos, es decir, un aumento del 75% con respecto a 2013.</w:t>
      </w:r>
    </w:p>
    <w:p w:rsidR="00B45FC3" w:rsidRPr="00526311" w:rsidRDefault="00B45FC3" w:rsidP="0063039A">
      <w:pPr>
        <w:tabs>
          <w:tab w:val="left" w:pos="0"/>
          <w:tab w:val="left" w:pos="709"/>
        </w:tabs>
        <w:jc w:val="both"/>
      </w:pPr>
    </w:p>
    <w:p w:rsidR="00B45FC3" w:rsidRPr="00526311" w:rsidRDefault="00B45FC3" w:rsidP="00B45FC3">
      <w:pPr>
        <w:pStyle w:val="ListParagraph"/>
        <w:numPr>
          <w:ilvl w:val="0"/>
          <w:numId w:val="65"/>
        </w:numPr>
        <w:tabs>
          <w:tab w:val="left" w:pos="0"/>
          <w:tab w:val="left" w:pos="709"/>
        </w:tabs>
        <w:ind w:left="0" w:firstLine="0"/>
        <w:jc w:val="both"/>
        <w:rPr>
          <w:rFonts w:cs="Arial"/>
          <w:lang w:val="es-ES"/>
        </w:rPr>
      </w:pPr>
      <w:r w:rsidRPr="00526311">
        <w:rPr>
          <w:rFonts w:cs="Arial"/>
          <w:lang w:val="es-ES"/>
        </w:rPr>
        <w:t xml:space="preserve">En octubre de 2014, los Servicios de la OMPI de información en materia de patentes (WPIS) publicaron un informe de análisis de la actividad de patentamiento (PLR) sobre los recursos genéticos animales en colaboración con la Organización de las Naciones Unidas para la Agricultura y la Alimentación (FAO) y con una importante contribución del programa 4.  El informe es la primera evaluación cualitativa a gran escala de la información de patente relativa a los recursos genéticos animales.  Se finalizó el informe PLR sobre los dispositivos de asistencia para personas con discapacidad visual y auditiva, que incluye un capítulo sobre las tecnologías que podrían facilitar el acceso de las personas con discapacidad visual a las obras publicadas.  Dado que el informe está destinado a complementar el Tratado de Marrakech sobre las personas con discapacidad visual, se ha previsto su presentación en una actividad paralela durante la sesión del SCCR en 2015 y su distribución en un formato accesible a las personas con discapacidad visual.  Como parte de las actividades de divulgación, se celebraron varios seminarios web con los Ministerios de Medio Ambiente, organizados por la Secretaría del Convenio de Basilea, en los que se presentaron las conclusiones del informe PLR sobre tecnología de reciclaje de residuos electrónicos, que se finalizó en 2013.  Asimismo, en 2014 se colaboró con Malasia en la elaboración de un informe PLR sobre las tecnologías relacionadas con el aceite de palma. </w:t>
      </w:r>
    </w:p>
    <w:p w:rsidR="00B45FC3" w:rsidRPr="00526311" w:rsidRDefault="00B45FC3" w:rsidP="0063039A">
      <w:pPr>
        <w:tabs>
          <w:tab w:val="left" w:pos="0"/>
          <w:tab w:val="left" w:pos="709"/>
        </w:tabs>
        <w:jc w:val="both"/>
      </w:pPr>
    </w:p>
    <w:p w:rsidR="00B45FC3" w:rsidRPr="00526311" w:rsidRDefault="00B45FC3" w:rsidP="00B45FC3">
      <w:pPr>
        <w:pStyle w:val="ListParagraph"/>
        <w:numPr>
          <w:ilvl w:val="0"/>
          <w:numId w:val="65"/>
        </w:numPr>
        <w:tabs>
          <w:tab w:val="left" w:pos="0"/>
          <w:tab w:val="left" w:pos="709"/>
        </w:tabs>
        <w:ind w:left="0" w:firstLine="0"/>
        <w:jc w:val="both"/>
        <w:rPr>
          <w:rFonts w:cs="Arial"/>
          <w:lang w:val="es-ES"/>
        </w:rPr>
      </w:pPr>
      <w:r w:rsidRPr="00526311">
        <w:rPr>
          <w:rFonts w:cs="Arial"/>
          <w:lang w:val="es-ES"/>
        </w:rPr>
        <w:lastRenderedPageBreak/>
        <w:t>En 2014 se logró mantener el enorme interés que han suscitado los informes PLR, en especial los que atañen a las tecnologías del agua y el reciclaje de residuos electrónicos, como lo demuestran las 11.111 visitas específicas al sitio web de los informes PLR, las 42.629 descargas de la versión PDF de los informes PLR y las 2.808 descargas de infografías.   Se incorporaron en el sitio 36 nuevos informes PLR elaborados por diversas organizaciones de los sectores público y privado,  traducidos al francés y al español.  Por otra parte, se finalizaron las directrices para elaborar los informes PLR, elaboradas con un experto externo en 2013, que deben publicarse en 2015.</w:t>
      </w:r>
    </w:p>
    <w:p w:rsidR="00B45FC3" w:rsidRPr="00526311" w:rsidRDefault="00B45FC3" w:rsidP="0063039A">
      <w:pPr>
        <w:tabs>
          <w:tab w:val="left" w:pos="0"/>
          <w:tab w:val="left" w:pos="709"/>
        </w:tabs>
        <w:jc w:val="both"/>
      </w:pPr>
    </w:p>
    <w:p w:rsidR="00B45FC3" w:rsidRPr="00526311" w:rsidRDefault="00B45FC3" w:rsidP="00B45FC3">
      <w:pPr>
        <w:pStyle w:val="ListParagraph"/>
        <w:numPr>
          <w:ilvl w:val="0"/>
          <w:numId w:val="65"/>
        </w:numPr>
        <w:tabs>
          <w:tab w:val="left" w:pos="0"/>
          <w:tab w:val="left" w:pos="709"/>
        </w:tabs>
        <w:ind w:left="0" w:firstLine="0"/>
        <w:jc w:val="both"/>
        <w:rPr>
          <w:rFonts w:cs="Arial"/>
          <w:lang w:val="es-ES"/>
        </w:rPr>
      </w:pPr>
      <w:r w:rsidRPr="00526311">
        <w:rPr>
          <w:rFonts w:cs="Arial"/>
          <w:lang w:val="es-ES"/>
        </w:rPr>
        <w:t>El diseño, la planificación y el desarrollo de actividades en el marco del programa 14 se basaron en las recomendaciones pertinentes de la Agenda para el Desarrollo, en concreto las recomendaciones 1, 8, 19, 30 y 31.</w:t>
      </w:r>
    </w:p>
    <w:p w:rsidR="00B45FC3" w:rsidRPr="00526311" w:rsidRDefault="00B45FC3" w:rsidP="0063039A">
      <w:pPr>
        <w:jc w:val="both"/>
      </w:pPr>
    </w:p>
    <w:p w:rsidR="00B45FC3" w:rsidRPr="00526311" w:rsidRDefault="00B45FC3" w:rsidP="0063039A">
      <w:pPr>
        <w:jc w:val="both"/>
      </w:pPr>
    </w:p>
    <w:p w:rsidR="00B45FC3" w:rsidRPr="00526311" w:rsidRDefault="00B45FC3" w:rsidP="0063039A">
      <w:pPr>
        <w:ind w:left="2268" w:hanging="2268"/>
        <w:rPr>
          <w:szCs w:val="22"/>
        </w:rPr>
      </w:pPr>
      <w:r w:rsidRPr="00526311">
        <w:rPr>
          <w:szCs w:val="22"/>
        </w:rPr>
        <w:t>DATOS SOBRE EL RENDIMIENTO</w:t>
      </w:r>
    </w:p>
    <w:p w:rsidR="00B45FC3" w:rsidRPr="00526311" w:rsidRDefault="00B45FC3" w:rsidP="0063039A">
      <w:pPr>
        <w:jc w:val="both"/>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12"/>
        <w:gridCol w:w="1560"/>
        <w:gridCol w:w="2264"/>
        <w:gridCol w:w="1134"/>
      </w:tblGrid>
      <w:tr w:rsidR="00B45FC3" w:rsidRPr="00526311" w:rsidTr="0063039A">
        <w:trPr>
          <w:cantSplit/>
        </w:trPr>
        <w:tc>
          <w:tcPr>
            <w:tcW w:w="5000" w:type="pct"/>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2019"/>
              </w:tabs>
              <w:spacing w:before="120" w:after="120"/>
              <w:ind w:left="2019" w:hanging="2019"/>
              <w:rPr>
                <w:b/>
                <w:bCs/>
                <w:sz w:val="16"/>
                <w:szCs w:val="16"/>
              </w:rPr>
            </w:pPr>
            <w:r w:rsidRPr="00526311">
              <w:rPr>
                <w:b/>
                <w:bCs/>
                <w:sz w:val="16"/>
                <w:szCs w:val="16"/>
              </w:rPr>
              <w:t>Resultado previsto:</w:t>
            </w:r>
            <w:r w:rsidRPr="00526311">
              <w:rPr>
                <w:b/>
                <w:bCs/>
                <w:sz w:val="16"/>
                <w:szCs w:val="16"/>
              </w:rPr>
              <w:tab/>
            </w:r>
            <w:r w:rsidRPr="00526311">
              <w:rPr>
                <w:bCs/>
                <w:sz w:val="16"/>
                <w:szCs w:val="16"/>
              </w:rPr>
              <w:t xml:space="preserve">IV.2 </w:t>
            </w:r>
            <w:r w:rsidRPr="00526311">
              <w:rPr>
                <w:sz w:val="16"/>
                <w:szCs w:val="16"/>
              </w:rPr>
              <w:t xml:space="preserve">Mejora del acceso y uso de información de P.I. por parte de instituciones de P.I. y el público para fomentar la innovación y la creatividad </w:t>
            </w:r>
          </w:p>
        </w:tc>
      </w:tr>
      <w:tr w:rsidR="00B45FC3" w:rsidRPr="00526311" w:rsidTr="0063039A">
        <w:trPr>
          <w:cantSplit/>
        </w:trPr>
        <w:tc>
          <w:tcPr>
            <w:tcW w:w="1120" w:type="pct"/>
            <w:tcBorders>
              <w:top w:val="single" w:sz="4" w:space="0" w:color="auto"/>
            </w:tcBorders>
            <w:shd w:val="clear" w:color="auto" w:fill="auto"/>
            <w:vAlign w:val="center"/>
          </w:tcPr>
          <w:p w:rsidR="00B45FC3" w:rsidRPr="00526311" w:rsidRDefault="00B45FC3" w:rsidP="0063039A">
            <w:pPr>
              <w:rPr>
                <w:sz w:val="16"/>
                <w:szCs w:val="16"/>
              </w:rPr>
            </w:pPr>
            <w:r w:rsidRPr="00526311">
              <w:rPr>
                <w:b/>
                <w:sz w:val="16"/>
                <w:szCs w:val="16"/>
              </w:rPr>
              <w:t>Indicadores de rendimiento</w:t>
            </w:r>
          </w:p>
        </w:tc>
        <w:tc>
          <w:tcPr>
            <w:tcW w:w="1270"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821" w:type="pct"/>
            <w:tcBorders>
              <w:top w:val="single" w:sz="4" w:space="0" w:color="auto"/>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192" w:type="pct"/>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597" w:type="pct"/>
            <w:tcBorders>
              <w:top w:val="single" w:sz="4" w:space="0" w:color="auto"/>
            </w:tcBorders>
            <w:shd w:val="clear" w:color="auto" w:fill="auto"/>
            <w:tcMar>
              <w:top w:w="110" w:type="dxa"/>
            </w:tcMar>
            <w:vAlign w:val="center"/>
          </w:tcPr>
          <w:p w:rsidR="00B45FC3" w:rsidRPr="00526311" w:rsidRDefault="00B45FC3" w:rsidP="0063039A">
            <w:pPr>
              <w:keepNext/>
              <w:keepLines/>
              <w:ind w:left="-111" w:right="-107"/>
              <w:jc w:val="center"/>
              <w:rPr>
                <w:b/>
                <w:bCs/>
                <w:sz w:val="16"/>
                <w:szCs w:val="16"/>
              </w:rPr>
            </w:pPr>
            <w:r w:rsidRPr="00526311">
              <w:rPr>
                <w:b/>
                <w:bCs/>
                <w:sz w:val="16"/>
                <w:szCs w:val="16"/>
              </w:rPr>
              <w:t>Clave de colores</w:t>
            </w:r>
          </w:p>
        </w:tc>
      </w:tr>
      <w:tr w:rsidR="00B45FC3" w:rsidRPr="00526311" w:rsidTr="0063039A">
        <w:trPr>
          <w:cantSplit/>
        </w:trPr>
        <w:tc>
          <w:tcPr>
            <w:tcW w:w="1120" w:type="pct"/>
            <w:shd w:val="clear" w:color="auto" w:fill="auto"/>
          </w:tcPr>
          <w:p w:rsidR="00B45FC3" w:rsidRPr="00526311" w:rsidRDefault="00B45FC3" w:rsidP="0063039A">
            <w:pPr>
              <w:rPr>
                <w:sz w:val="16"/>
                <w:szCs w:val="16"/>
              </w:rPr>
            </w:pPr>
            <w:r w:rsidRPr="00526311">
              <w:rPr>
                <w:sz w:val="16"/>
                <w:szCs w:val="16"/>
              </w:rPr>
              <w:t>Número de redes nacionales sostenibles de CATI.</w:t>
            </w:r>
          </w:p>
        </w:tc>
        <w:tc>
          <w:tcPr>
            <w:tcW w:w="1270" w:type="pct"/>
            <w:shd w:val="clear" w:color="auto" w:fill="auto"/>
          </w:tcPr>
          <w:p w:rsidR="00B45FC3" w:rsidRPr="00526311" w:rsidRDefault="00B45FC3" w:rsidP="0063039A">
            <w:pPr>
              <w:rPr>
                <w:color w:val="002060"/>
                <w:sz w:val="16"/>
                <w:szCs w:val="16"/>
                <w:lang w:bidi="th-TH"/>
              </w:rPr>
            </w:pPr>
            <w:r w:rsidRPr="00526311">
              <w:rPr>
                <w:i/>
                <w:color w:val="002060"/>
                <w:sz w:val="16"/>
                <w:szCs w:val="16"/>
              </w:rPr>
              <w:t xml:space="preserve">Referencia actualizada a fines de 2013: </w:t>
            </w:r>
            <w:r w:rsidRPr="00526311">
              <w:rPr>
                <w:i/>
                <w:sz w:val="16"/>
                <w:szCs w:val="16"/>
              </w:rPr>
              <w:t xml:space="preserve"> </w:t>
            </w:r>
            <w:r w:rsidRPr="00526311">
              <w:rPr>
                <w:color w:val="002060"/>
                <w:sz w:val="16"/>
                <w:szCs w:val="16"/>
              </w:rPr>
              <w:t xml:space="preserve">15 redes sostenibles de CATI (de las 39 ya establecidas) </w:t>
            </w:r>
            <w:r w:rsidRPr="00526311">
              <w:rPr>
                <w:color w:val="002060"/>
                <w:sz w:val="16"/>
                <w:szCs w:val="16"/>
              </w:rPr>
              <w:br/>
            </w:r>
          </w:p>
          <w:p w:rsidR="00B45FC3" w:rsidRPr="00526311" w:rsidRDefault="00B45FC3">
            <w:pPr>
              <w:rPr>
                <w:color w:val="002060"/>
                <w:sz w:val="8"/>
                <w:szCs w:val="8"/>
                <w:lang w:bidi="th-TH"/>
              </w:rPr>
            </w:pPr>
          </w:p>
          <w:p w:rsidR="00B45FC3" w:rsidRPr="00526311" w:rsidRDefault="00B45FC3">
            <w:pPr>
              <w:rPr>
                <w:sz w:val="16"/>
                <w:szCs w:val="16"/>
              </w:rPr>
            </w:pPr>
            <w:r w:rsidRPr="00526311">
              <w:rPr>
                <w:i/>
                <w:sz w:val="16"/>
                <w:szCs w:val="16"/>
                <w:lang w:bidi="th-TH"/>
              </w:rPr>
              <w:t xml:space="preserve">Referencia original en el </w:t>
            </w:r>
            <w:r w:rsidRPr="00526311">
              <w:rPr>
                <w:i/>
                <w:sz w:val="16"/>
                <w:szCs w:val="16"/>
              </w:rPr>
              <w:t xml:space="preserve">presupuesto de 2014/15: </w:t>
            </w:r>
            <w:r w:rsidRPr="00526311">
              <w:rPr>
                <w:sz w:val="16"/>
                <w:szCs w:val="16"/>
              </w:rPr>
              <w:t xml:space="preserve">15 redes nacionales de CATI (en total, al final del primer trimestre de 2013):  África: 6;  </w:t>
            </w:r>
          </w:p>
          <w:p w:rsidR="00B45FC3" w:rsidRPr="00526311" w:rsidRDefault="00B45FC3" w:rsidP="0063039A">
            <w:pPr>
              <w:rPr>
                <w:sz w:val="16"/>
                <w:szCs w:val="16"/>
              </w:rPr>
            </w:pPr>
            <w:r w:rsidRPr="00526311">
              <w:rPr>
                <w:sz w:val="16"/>
                <w:szCs w:val="16"/>
              </w:rPr>
              <w:t xml:space="preserve">región de los países árabes:  2 </w:t>
            </w:r>
          </w:p>
          <w:p w:rsidR="00B45FC3" w:rsidRPr="00526311" w:rsidRDefault="00B45FC3">
            <w:pPr>
              <w:rPr>
                <w:sz w:val="16"/>
                <w:szCs w:val="16"/>
              </w:rPr>
            </w:pPr>
            <w:r w:rsidRPr="00526311">
              <w:rPr>
                <w:sz w:val="16"/>
                <w:szCs w:val="16"/>
              </w:rPr>
              <w:t xml:space="preserve">Asia y el Pacífico: 2;  América Latina y el Caribe: 4;  </w:t>
            </w:r>
          </w:p>
          <w:p w:rsidR="00B45FC3" w:rsidRPr="00526311" w:rsidRDefault="00B45FC3" w:rsidP="0063039A">
            <w:pPr>
              <w:rPr>
                <w:sz w:val="16"/>
                <w:szCs w:val="16"/>
              </w:rPr>
            </w:pPr>
            <w:r w:rsidRPr="00526311">
              <w:rPr>
                <w:sz w:val="16"/>
                <w:szCs w:val="16"/>
              </w:rPr>
              <w:t>determinados países de Europa y Asia: 1</w:t>
            </w:r>
          </w:p>
          <w:p w:rsidR="00B45FC3" w:rsidRPr="00526311" w:rsidRDefault="00B45FC3">
            <w:pPr>
              <w:rPr>
                <w:sz w:val="16"/>
                <w:szCs w:val="16"/>
              </w:rPr>
            </w:pPr>
          </w:p>
        </w:tc>
        <w:tc>
          <w:tcPr>
            <w:tcW w:w="821" w:type="pct"/>
            <w:shd w:val="clear" w:color="auto" w:fill="auto"/>
            <w:tcMar>
              <w:top w:w="110" w:type="dxa"/>
            </w:tcMar>
          </w:tcPr>
          <w:p w:rsidR="00B45FC3" w:rsidRPr="00526311" w:rsidRDefault="00B45FC3">
            <w:pPr>
              <w:rPr>
                <w:sz w:val="16"/>
                <w:szCs w:val="16"/>
              </w:rPr>
            </w:pPr>
            <w:r w:rsidRPr="00526311">
              <w:rPr>
                <w:sz w:val="16"/>
                <w:szCs w:val="16"/>
              </w:rPr>
              <w:t xml:space="preserve">25 redes nacionales de CATI (en total): África: 10 (de los que 8 son PMA);  </w:t>
            </w:r>
          </w:p>
          <w:p w:rsidR="00B45FC3" w:rsidRPr="00526311" w:rsidRDefault="00B45FC3" w:rsidP="0063039A">
            <w:pPr>
              <w:rPr>
                <w:sz w:val="16"/>
                <w:szCs w:val="16"/>
              </w:rPr>
            </w:pPr>
            <w:r w:rsidRPr="00526311">
              <w:rPr>
                <w:sz w:val="16"/>
                <w:szCs w:val="16"/>
              </w:rPr>
              <w:t xml:space="preserve">región de los países árabes: 3,  </w:t>
            </w:r>
          </w:p>
          <w:p w:rsidR="00B45FC3" w:rsidRPr="00526311" w:rsidRDefault="00B45FC3" w:rsidP="0063039A">
            <w:pPr>
              <w:rPr>
                <w:sz w:val="16"/>
                <w:szCs w:val="16"/>
              </w:rPr>
            </w:pPr>
            <w:r w:rsidRPr="00526311">
              <w:rPr>
                <w:sz w:val="16"/>
                <w:szCs w:val="16"/>
              </w:rPr>
              <w:t xml:space="preserve">Asia y el Pacífico: 4 (de los que 2 son PMA); </w:t>
            </w:r>
          </w:p>
          <w:p w:rsidR="00B45FC3" w:rsidRPr="00526311" w:rsidRDefault="00B45FC3" w:rsidP="0063039A">
            <w:pPr>
              <w:rPr>
                <w:sz w:val="16"/>
                <w:szCs w:val="16"/>
              </w:rPr>
            </w:pPr>
            <w:r w:rsidRPr="00526311">
              <w:rPr>
                <w:sz w:val="16"/>
                <w:szCs w:val="16"/>
              </w:rPr>
              <w:t xml:space="preserve">América Latina y el Caribe: 6;  </w:t>
            </w:r>
          </w:p>
          <w:p w:rsidR="00B45FC3" w:rsidRPr="00526311" w:rsidRDefault="00B45FC3" w:rsidP="0063039A">
            <w:pPr>
              <w:rPr>
                <w:i/>
                <w:sz w:val="16"/>
                <w:szCs w:val="16"/>
              </w:rPr>
            </w:pPr>
            <w:r w:rsidRPr="00526311">
              <w:rPr>
                <w:i/>
                <w:sz w:val="16"/>
                <w:szCs w:val="16"/>
              </w:rPr>
              <w:t>determinados países de Europa y Asia: 2</w:t>
            </w:r>
          </w:p>
        </w:tc>
        <w:tc>
          <w:tcPr>
            <w:tcW w:w="1192" w:type="pct"/>
            <w:shd w:val="clear" w:color="auto" w:fill="FFFFFF"/>
            <w:tcMar>
              <w:top w:w="110" w:type="dxa"/>
            </w:tcMar>
          </w:tcPr>
          <w:p w:rsidR="00B45FC3" w:rsidRPr="00526311" w:rsidRDefault="00B45FC3" w:rsidP="0063039A">
            <w:pPr>
              <w:rPr>
                <w:sz w:val="16"/>
                <w:szCs w:val="16"/>
              </w:rPr>
            </w:pPr>
            <w:r w:rsidRPr="00526311">
              <w:rPr>
                <w:sz w:val="16"/>
                <w:szCs w:val="16"/>
              </w:rPr>
              <w:t>20 redes nacionales sostenibles de CATI de las 45 ya establecidas (en total):  África: 9 (de los que 6 son PMA); región de los países árabes: 2;  Asia y el Pacífico: 3 (de los que 1 es PMA);  América Latina y el Caribe: 5;  determinados países de Europa y Asia: 1</w:t>
            </w:r>
          </w:p>
        </w:tc>
        <w:tc>
          <w:tcPr>
            <w:tcW w:w="597" w:type="pct"/>
            <w:shd w:val="clear" w:color="auto" w:fill="auto"/>
            <w:tcMar>
              <w:top w:w="110" w:type="dxa"/>
            </w:tcMar>
          </w:tcPr>
          <w:p w:rsidR="00B45FC3" w:rsidRPr="00526311" w:rsidRDefault="00B45FC3" w:rsidP="0063039A">
            <w:pPr>
              <w:keepNext/>
              <w:keepLines/>
              <w:ind w:left="-111" w:right="-108"/>
              <w:jc w:val="center"/>
              <w:rPr>
                <w:b/>
                <w:bCs/>
                <w:color w:val="008000"/>
                <w:sz w:val="16"/>
                <w:szCs w:val="16"/>
              </w:rPr>
            </w:pPr>
            <w:r w:rsidRPr="00526311">
              <w:rPr>
                <w:b/>
                <w:bCs/>
                <w:color w:val="00B050"/>
                <w:sz w:val="16"/>
                <w:szCs w:val="16"/>
              </w:rPr>
              <w:t>Avanza</w:t>
            </w:r>
          </w:p>
        </w:tc>
      </w:tr>
      <w:tr w:rsidR="00B45FC3" w:rsidRPr="00526311" w:rsidTr="0063039A">
        <w:trPr>
          <w:cantSplit/>
        </w:trPr>
        <w:tc>
          <w:tcPr>
            <w:tcW w:w="1120" w:type="pct"/>
            <w:shd w:val="clear" w:color="auto" w:fill="auto"/>
          </w:tcPr>
          <w:p w:rsidR="00B45FC3" w:rsidRPr="00526311" w:rsidRDefault="00B45FC3" w:rsidP="0063039A">
            <w:pPr>
              <w:rPr>
                <w:sz w:val="16"/>
                <w:szCs w:val="16"/>
              </w:rPr>
            </w:pPr>
            <w:r w:rsidRPr="00526311">
              <w:rPr>
                <w:sz w:val="16"/>
                <w:szCs w:val="16"/>
              </w:rPr>
              <w:t>Promedio de usuarios que utilizan los servicios de los CATI por trimestre y por país.</w:t>
            </w:r>
          </w:p>
        </w:tc>
        <w:tc>
          <w:tcPr>
            <w:tcW w:w="1270" w:type="pct"/>
            <w:shd w:val="clear" w:color="auto" w:fill="auto"/>
          </w:tcPr>
          <w:p w:rsidR="00B45FC3" w:rsidRPr="00526311" w:rsidRDefault="00B45FC3">
            <w:pPr>
              <w:rPr>
                <w:color w:val="002060"/>
                <w:sz w:val="16"/>
                <w:szCs w:val="16"/>
                <w:lang w:bidi="th-TH"/>
              </w:rPr>
            </w:pPr>
            <w:r w:rsidRPr="00526311">
              <w:rPr>
                <w:i/>
                <w:color w:val="002060"/>
                <w:sz w:val="16"/>
                <w:szCs w:val="16"/>
              </w:rPr>
              <w:t>Referencia actualizada a fines de 2013:</w:t>
            </w:r>
            <w:r w:rsidRPr="00526311">
              <w:t xml:space="preserve"> </w:t>
            </w:r>
            <w:r w:rsidRPr="00526311">
              <w:rPr>
                <w:color w:val="002060"/>
                <w:sz w:val="16"/>
                <w:szCs w:val="16"/>
              </w:rPr>
              <w:t>Entre 532 y 1.370 usuarios diarios en promedio atendidos por los CATI en 2013</w:t>
            </w:r>
            <w:r w:rsidRPr="00526311">
              <w:rPr>
                <w:color w:val="002060"/>
                <w:sz w:val="16"/>
                <w:szCs w:val="16"/>
              </w:rPr>
              <w:br/>
            </w:r>
          </w:p>
          <w:p w:rsidR="00B45FC3" w:rsidRPr="00526311" w:rsidRDefault="00B45FC3" w:rsidP="0063039A">
            <w:pPr>
              <w:rPr>
                <w:i/>
                <w:sz w:val="16"/>
                <w:szCs w:val="16"/>
                <w:lang w:bidi="th-TH"/>
              </w:rPr>
            </w:pPr>
            <w:r w:rsidRPr="00526311">
              <w:rPr>
                <w:i/>
                <w:sz w:val="16"/>
                <w:szCs w:val="16"/>
                <w:lang w:bidi="th-TH"/>
              </w:rPr>
              <w:t>Referencia original en el</w:t>
            </w:r>
          </w:p>
          <w:p w:rsidR="00B45FC3" w:rsidRPr="00526311" w:rsidRDefault="00B45FC3" w:rsidP="0063039A">
            <w:pPr>
              <w:rPr>
                <w:sz w:val="16"/>
                <w:szCs w:val="16"/>
              </w:rPr>
            </w:pPr>
            <w:r w:rsidRPr="00526311">
              <w:rPr>
                <w:i/>
                <w:sz w:val="16"/>
                <w:szCs w:val="16"/>
                <w:lang w:bidi="th-TH"/>
              </w:rPr>
              <w:t>presupuesto de 2014/15</w:t>
            </w:r>
            <w:r w:rsidRPr="00526311">
              <w:rPr>
                <w:i/>
                <w:color w:val="008000"/>
                <w:sz w:val="16"/>
                <w:szCs w:val="16"/>
              </w:rPr>
              <w:t xml:space="preserve">: </w:t>
            </w:r>
            <w:r w:rsidRPr="00526311">
              <w:rPr>
                <w:sz w:val="16"/>
                <w:szCs w:val="16"/>
              </w:rPr>
              <w:t>Entre 200 y 630</w:t>
            </w:r>
          </w:p>
          <w:p w:rsidR="00B45FC3" w:rsidRPr="00526311" w:rsidRDefault="00B45FC3">
            <w:pPr>
              <w:rPr>
                <w:sz w:val="16"/>
                <w:szCs w:val="16"/>
              </w:rPr>
            </w:pPr>
          </w:p>
        </w:tc>
        <w:tc>
          <w:tcPr>
            <w:tcW w:w="821" w:type="pct"/>
            <w:shd w:val="clear" w:color="auto" w:fill="auto"/>
            <w:tcMar>
              <w:top w:w="110" w:type="dxa"/>
            </w:tcMar>
          </w:tcPr>
          <w:p w:rsidR="00B45FC3" w:rsidRPr="00526311" w:rsidRDefault="00B45FC3" w:rsidP="0063039A">
            <w:pPr>
              <w:rPr>
                <w:sz w:val="16"/>
                <w:szCs w:val="16"/>
              </w:rPr>
            </w:pPr>
            <w:r w:rsidRPr="00526311">
              <w:rPr>
                <w:sz w:val="16"/>
                <w:szCs w:val="16"/>
              </w:rPr>
              <w:t>Entre 300 y 750</w:t>
            </w:r>
          </w:p>
        </w:tc>
        <w:tc>
          <w:tcPr>
            <w:tcW w:w="1192" w:type="pct"/>
            <w:shd w:val="clear" w:color="auto" w:fill="FFFFFF"/>
            <w:tcMar>
              <w:top w:w="110" w:type="dxa"/>
            </w:tcMar>
          </w:tcPr>
          <w:p w:rsidR="00B45FC3" w:rsidRPr="00526311" w:rsidRDefault="00B45FC3" w:rsidP="0063039A">
            <w:pPr>
              <w:rPr>
                <w:sz w:val="16"/>
                <w:szCs w:val="16"/>
              </w:rPr>
            </w:pPr>
            <w:r w:rsidRPr="00526311">
              <w:rPr>
                <w:sz w:val="16"/>
                <w:szCs w:val="16"/>
                <w:lang w:bidi="th-TH"/>
              </w:rPr>
              <w:t>Entre 513 y 1.521 usuarios diarios en promedio atendidos por los CATI en 2014</w:t>
            </w:r>
          </w:p>
        </w:tc>
        <w:tc>
          <w:tcPr>
            <w:tcW w:w="597" w:type="pct"/>
            <w:shd w:val="clear" w:color="auto" w:fill="auto"/>
            <w:tcMar>
              <w:top w:w="110" w:type="dxa"/>
            </w:tcMar>
          </w:tcPr>
          <w:p w:rsidR="00B45FC3" w:rsidRPr="00526311" w:rsidRDefault="00B45FC3" w:rsidP="0063039A">
            <w:pPr>
              <w:keepNext/>
              <w:keepLines/>
              <w:ind w:left="-112"/>
              <w:jc w:val="center"/>
              <w:rPr>
                <w:b/>
                <w:bCs/>
                <w:color w:val="008000"/>
                <w:sz w:val="16"/>
                <w:szCs w:val="16"/>
              </w:rPr>
            </w:pPr>
            <w:r w:rsidRPr="00526311">
              <w:rPr>
                <w:b/>
                <w:bCs/>
                <w:color w:val="00B050"/>
                <w:sz w:val="16"/>
                <w:szCs w:val="16"/>
              </w:rPr>
              <w:t>Avanza</w:t>
            </w:r>
          </w:p>
        </w:tc>
      </w:tr>
      <w:tr w:rsidR="00B45FC3" w:rsidRPr="00526311" w:rsidTr="0063039A">
        <w:trPr>
          <w:cantSplit/>
        </w:trPr>
        <w:tc>
          <w:tcPr>
            <w:tcW w:w="1120" w:type="pct"/>
            <w:shd w:val="clear" w:color="auto" w:fill="auto"/>
          </w:tcPr>
          <w:p w:rsidR="00B45FC3" w:rsidRPr="00526311" w:rsidRDefault="00B45FC3" w:rsidP="0063039A">
            <w:pPr>
              <w:rPr>
                <w:sz w:val="16"/>
                <w:szCs w:val="16"/>
              </w:rPr>
            </w:pPr>
            <w:r w:rsidRPr="00526311">
              <w:rPr>
                <w:sz w:val="16"/>
                <w:szCs w:val="16"/>
              </w:rPr>
              <w:t>Número de usuarios inscritos en ARDI y ASPI que utilizan dichos instrumentos.</w:t>
            </w:r>
          </w:p>
        </w:tc>
        <w:tc>
          <w:tcPr>
            <w:tcW w:w="1270" w:type="pct"/>
            <w:shd w:val="clear" w:color="auto" w:fill="auto"/>
          </w:tcPr>
          <w:p w:rsidR="00B45FC3" w:rsidRPr="00526311" w:rsidRDefault="00B45FC3">
            <w:pPr>
              <w:rPr>
                <w:color w:val="002060"/>
                <w:sz w:val="16"/>
                <w:szCs w:val="16"/>
              </w:rPr>
            </w:pPr>
            <w:r w:rsidRPr="00526311">
              <w:rPr>
                <w:i/>
                <w:color w:val="002060"/>
                <w:sz w:val="16"/>
                <w:szCs w:val="16"/>
              </w:rPr>
              <w:t>Referencia actualizada a fines de 2013:</w:t>
            </w:r>
            <w:r w:rsidRPr="00526311">
              <w:rPr>
                <w:color w:val="008000"/>
                <w:sz w:val="16"/>
                <w:szCs w:val="16"/>
              </w:rPr>
              <w:t xml:space="preserve">  </w:t>
            </w:r>
            <w:r w:rsidRPr="00526311">
              <w:rPr>
                <w:color w:val="002060"/>
                <w:sz w:val="16"/>
                <w:szCs w:val="16"/>
              </w:rPr>
              <w:t>ARDI (207 usuarios activos)</w:t>
            </w:r>
          </w:p>
          <w:p w:rsidR="00B45FC3" w:rsidRPr="00526311" w:rsidRDefault="00B45FC3" w:rsidP="0063039A">
            <w:pPr>
              <w:rPr>
                <w:color w:val="002060"/>
                <w:sz w:val="16"/>
                <w:szCs w:val="16"/>
              </w:rPr>
            </w:pPr>
            <w:r w:rsidRPr="00526311">
              <w:rPr>
                <w:color w:val="002060"/>
                <w:sz w:val="16"/>
                <w:szCs w:val="16"/>
              </w:rPr>
              <w:t>ASPI (20 usuarios activos)</w:t>
            </w:r>
          </w:p>
          <w:p w:rsidR="00B45FC3" w:rsidRPr="00526311" w:rsidRDefault="00B45FC3">
            <w:pPr>
              <w:rPr>
                <w:color w:val="002060"/>
                <w:sz w:val="16"/>
                <w:szCs w:val="16"/>
              </w:rPr>
            </w:pPr>
          </w:p>
          <w:p w:rsidR="00B45FC3" w:rsidRPr="00526311" w:rsidRDefault="00B45FC3" w:rsidP="0063039A">
            <w:pPr>
              <w:rPr>
                <w:i/>
                <w:sz w:val="16"/>
                <w:szCs w:val="16"/>
                <w:lang w:bidi="th-TH"/>
              </w:rPr>
            </w:pPr>
            <w:r w:rsidRPr="00526311">
              <w:rPr>
                <w:i/>
                <w:sz w:val="16"/>
                <w:szCs w:val="16"/>
                <w:lang w:bidi="th-TH"/>
              </w:rPr>
              <w:t>Referencia original en el</w:t>
            </w:r>
          </w:p>
          <w:p w:rsidR="00B45FC3" w:rsidRPr="00526311" w:rsidRDefault="00B45FC3" w:rsidP="0063039A">
            <w:pPr>
              <w:rPr>
                <w:i/>
                <w:sz w:val="16"/>
                <w:szCs w:val="16"/>
                <w:lang w:bidi="th-TH"/>
              </w:rPr>
            </w:pPr>
            <w:r w:rsidRPr="00526311">
              <w:rPr>
                <w:i/>
                <w:sz w:val="16"/>
                <w:szCs w:val="16"/>
                <w:lang w:bidi="th-TH"/>
              </w:rPr>
              <w:t xml:space="preserve">presupuesto de 2014/15: </w:t>
            </w:r>
          </w:p>
          <w:p w:rsidR="00B45FC3" w:rsidRPr="00526311" w:rsidRDefault="00B45FC3" w:rsidP="0063039A">
            <w:pPr>
              <w:rPr>
                <w:sz w:val="16"/>
                <w:szCs w:val="16"/>
              </w:rPr>
            </w:pPr>
            <w:r w:rsidRPr="00526311">
              <w:rPr>
                <w:sz w:val="16"/>
                <w:szCs w:val="16"/>
              </w:rPr>
              <w:t>ARDI:  50</w:t>
            </w:r>
          </w:p>
          <w:p w:rsidR="00B45FC3" w:rsidRPr="00526311" w:rsidRDefault="00B45FC3" w:rsidP="0063039A">
            <w:pPr>
              <w:rPr>
                <w:sz w:val="16"/>
                <w:szCs w:val="16"/>
              </w:rPr>
            </w:pPr>
            <w:r w:rsidRPr="00526311">
              <w:rPr>
                <w:sz w:val="16"/>
                <w:szCs w:val="16"/>
              </w:rPr>
              <w:t>ASPI:  20</w:t>
            </w:r>
          </w:p>
          <w:p w:rsidR="00B45FC3" w:rsidRPr="00526311" w:rsidRDefault="00B45FC3">
            <w:pPr>
              <w:rPr>
                <w:sz w:val="16"/>
                <w:szCs w:val="16"/>
              </w:rPr>
            </w:pPr>
          </w:p>
        </w:tc>
        <w:tc>
          <w:tcPr>
            <w:tcW w:w="821" w:type="pct"/>
            <w:shd w:val="clear" w:color="auto" w:fill="auto"/>
            <w:tcMar>
              <w:top w:w="110" w:type="dxa"/>
            </w:tcMar>
          </w:tcPr>
          <w:p w:rsidR="00B45FC3" w:rsidRPr="00526311" w:rsidRDefault="00B45FC3" w:rsidP="0063039A">
            <w:pPr>
              <w:rPr>
                <w:sz w:val="16"/>
                <w:szCs w:val="16"/>
              </w:rPr>
            </w:pPr>
            <w:r w:rsidRPr="00526311">
              <w:rPr>
                <w:sz w:val="16"/>
                <w:szCs w:val="16"/>
              </w:rPr>
              <w:t>ARDI: 300</w:t>
            </w:r>
          </w:p>
          <w:p w:rsidR="00B45FC3" w:rsidRPr="00526311" w:rsidRDefault="00B45FC3" w:rsidP="0063039A">
            <w:pPr>
              <w:rPr>
                <w:sz w:val="16"/>
                <w:szCs w:val="16"/>
              </w:rPr>
            </w:pPr>
            <w:r w:rsidRPr="00526311">
              <w:rPr>
                <w:sz w:val="16"/>
                <w:szCs w:val="16"/>
              </w:rPr>
              <w:t>ASPI: 30</w:t>
            </w:r>
          </w:p>
        </w:tc>
        <w:tc>
          <w:tcPr>
            <w:tcW w:w="1192" w:type="pct"/>
            <w:shd w:val="clear" w:color="auto" w:fill="FFFFFF"/>
            <w:tcMar>
              <w:top w:w="110" w:type="dxa"/>
            </w:tcMar>
          </w:tcPr>
          <w:p w:rsidR="00B45FC3" w:rsidRPr="00526311" w:rsidRDefault="00B45FC3" w:rsidP="0063039A">
            <w:pPr>
              <w:rPr>
                <w:sz w:val="16"/>
                <w:szCs w:val="16"/>
              </w:rPr>
            </w:pPr>
            <w:r w:rsidRPr="00526311">
              <w:rPr>
                <w:sz w:val="16"/>
                <w:szCs w:val="16"/>
              </w:rPr>
              <w:t xml:space="preserve">ARDI (411 usuarios activos) </w:t>
            </w:r>
          </w:p>
          <w:p w:rsidR="00B45FC3" w:rsidRPr="00526311" w:rsidRDefault="00B45FC3" w:rsidP="0063039A">
            <w:pPr>
              <w:rPr>
                <w:lang w:bidi="th-TH"/>
              </w:rPr>
            </w:pPr>
            <w:r w:rsidRPr="00526311">
              <w:rPr>
                <w:sz w:val="16"/>
                <w:szCs w:val="16"/>
              </w:rPr>
              <w:t>ASPI (35 usuarios activos)</w:t>
            </w:r>
          </w:p>
        </w:tc>
        <w:tc>
          <w:tcPr>
            <w:tcW w:w="597" w:type="pct"/>
            <w:shd w:val="clear" w:color="auto" w:fill="auto"/>
            <w:tcMar>
              <w:top w:w="110" w:type="dxa"/>
            </w:tcMar>
          </w:tcPr>
          <w:p w:rsidR="00B45FC3" w:rsidRPr="00526311" w:rsidRDefault="00B45FC3" w:rsidP="0063039A">
            <w:pPr>
              <w:keepNext/>
              <w:keepLines/>
              <w:ind w:right="-108"/>
              <w:jc w:val="center"/>
              <w:rPr>
                <w:b/>
                <w:bCs/>
                <w:color w:val="008000"/>
                <w:sz w:val="16"/>
                <w:szCs w:val="16"/>
              </w:rPr>
            </w:pPr>
            <w:r w:rsidRPr="00526311">
              <w:rPr>
                <w:b/>
                <w:bCs/>
                <w:color w:val="00B050"/>
                <w:sz w:val="16"/>
                <w:szCs w:val="16"/>
              </w:rPr>
              <w:t>Avanza</w:t>
            </w:r>
          </w:p>
          <w:p w:rsidR="00B45FC3" w:rsidRPr="00526311" w:rsidRDefault="00B45FC3">
            <w:pPr>
              <w:keepNext/>
              <w:keepLines/>
              <w:jc w:val="center"/>
              <w:rPr>
                <w:bCs/>
                <w:color w:val="008000"/>
                <w:sz w:val="16"/>
                <w:szCs w:val="16"/>
              </w:rPr>
            </w:pPr>
          </w:p>
          <w:p w:rsidR="00B45FC3" w:rsidRPr="00526311" w:rsidRDefault="00B45FC3">
            <w:pPr>
              <w:keepNext/>
              <w:keepLines/>
              <w:jc w:val="center"/>
              <w:rPr>
                <w:bCs/>
                <w:color w:val="008000"/>
                <w:sz w:val="16"/>
                <w:szCs w:val="16"/>
              </w:rPr>
            </w:pPr>
          </w:p>
          <w:p w:rsidR="00B45FC3" w:rsidRPr="00526311" w:rsidRDefault="00B45FC3">
            <w:pPr>
              <w:keepNext/>
              <w:keepLines/>
              <w:jc w:val="center"/>
              <w:rPr>
                <w:bCs/>
                <w:color w:val="008000"/>
                <w:sz w:val="16"/>
                <w:szCs w:val="16"/>
              </w:rPr>
            </w:pPr>
          </w:p>
          <w:p w:rsidR="00B45FC3" w:rsidRPr="00526311" w:rsidRDefault="00B45FC3">
            <w:pPr>
              <w:keepNext/>
              <w:keepLines/>
              <w:jc w:val="center"/>
              <w:rPr>
                <w:bCs/>
                <w:color w:val="008000"/>
                <w:sz w:val="16"/>
                <w:szCs w:val="16"/>
              </w:rPr>
            </w:pPr>
          </w:p>
        </w:tc>
      </w:tr>
    </w:tbl>
    <w:p w:rsidR="00B45FC3" w:rsidRPr="00526311" w:rsidRDefault="00B45FC3">
      <w:r w:rsidRPr="00526311">
        <w:br w:type="page"/>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12"/>
        <w:gridCol w:w="1560"/>
        <w:gridCol w:w="2264"/>
        <w:gridCol w:w="1134"/>
      </w:tblGrid>
      <w:tr w:rsidR="00B45FC3" w:rsidRPr="00526311" w:rsidTr="0063039A">
        <w:trPr>
          <w:cantSplit/>
        </w:trPr>
        <w:tc>
          <w:tcPr>
            <w:tcW w:w="1120" w:type="pct"/>
            <w:shd w:val="clear" w:color="auto" w:fill="auto"/>
            <w:vAlign w:val="center"/>
          </w:tcPr>
          <w:p w:rsidR="00B45FC3" w:rsidRPr="00526311" w:rsidRDefault="00B45FC3" w:rsidP="0063039A">
            <w:pPr>
              <w:rPr>
                <w:sz w:val="16"/>
                <w:szCs w:val="16"/>
              </w:rPr>
            </w:pPr>
            <w:r w:rsidRPr="00526311">
              <w:rPr>
                <w:b/>
                <w:sz w:val="16"/>
                <w:szCs w:val="16"/>
              </w:rPr>
              <w:lastRenderedPageBreak/>
              <w:t>Indicadores de rendimiento</w:t>
            </w:r>
          </w:p>
        </w:tc>
        <w:tc>
          <w:tcPr>
            <w:tcW w:w="1270" w:type="pct"/>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821" w:type="pct"/>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192" w:type="pct"/>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597" w:type="pct"/>
            <w:shd w:val="clear" w:color="auto" w:fill="auto"/>
            <w:tcMar>
              <w:top w:w="110" w:type="dxa"/>
            </w:tcMar>
            <w:vAlign w:val="center"/>
          </w:tcPr>
          <w:p w:rsidR="00B45FC3" w:rsidRPr="00526311" w:rsidRDefault="00B45FC3" w:rsidP="0063039A">
            <w:pPr>
              <w:keepNext/>
              <w:keepLines/>
              <w:ind w:left="-111" w:right="-107"/>
              <w:jc w:val="center"/>
              <w:rPr>
                <w:b/>
                <w:bCs/>
                <w:sz w:val="16"/>
                <w:szCs w:val="16"/>
              </w:rPr>
            </w:pPr>
            <w:r w:rsidRPr="00526311">
              <w:rPr>
                <w:b/>
                <w:bCs/>
                <w:sz w:val="16"/>
                <w:szCs w:val="16"/>
              </w:rPr>
              <w:t>Clave de colores</w:t>
            </w:r>
          </w:p>
        </w:tc>
      </w:tr>
      <w:tr w:rsidR="00B45FC3" w:rsidRPr="00526311" w:rsidTr="0063039A">
        <w:trPr>
          <w:cantSplit/>
        </w:trPr>
        <w:tc>
          <w:tcPr>
            <w:tcW w:w="1120" w:type="pct"/>
            <w:shd w:val="clear" w:color="auto" w:fill="auto"/>
          </w:tcPr>
          <w:p w:rsidR="00B45FC3" w:rsidRPr="00526311" w:rsidRDefault="00B45FC3" w:rsidP="0063039A">
            <w:pPr>
              <w:rPr>
                <w:sz w:val="16"/>
                <w:szCs w:val="16"/>
              </w:rPr>
            </w:pPr>
            <w:r w:rsidRPr="00526311">
              <w:rPr>
                <w:sz w:val="16"/>
                <w:szCs w:val="16"/>
              </w:rPr>
              <w:t>Porcentaje de usuarios satisfechos con la prestación de servicios de información sobre patentes con valor añadido (WPIS, cooperación internacional en el examen, familias de patentes y servicio de consulta sobre la situación jurídica).</w:t>
            </w:r>
          </w:p>
        </w:tc>
        <w:tc>
          <w:tcPr>
            <w:tcW w:w="1270" w:type="pct"/>
            <w:shd w:val="clear" w:color="auto" w:fill="auto"/>
          </w:tcPr>
          <w:p w:rsidR="00B45FC3" w:rsidRPr="00526311" w:rsidRDefault="00B45FC3" w:rsidP="0063039A">
            <w:pPr>
              <w:rPr>
                <w:color w:val="002060"/>
                <w:sz w:val="16"/>
                <w:szCs w:val="16"/>
              </w:rPr>
            </w:pPr>
            <w:r w:rsidRPr="00526311">
              <w:rPr>
                <w:i/>
                <w:color w:val="002060"/>
                <w:sz w:val="16"/>
                <w:szCs w:val="16"/>
              </w:rPr>
              <w:t>Referencia actualizada a fines de 2013:</w:t>
            </w:r>
            <w:r w:rsidRPr="00526311">
              <w:t xml:space="preserve"> </w:t>
            </w:r>
            <w:r w:rsidRPr="00526311">
              <w:rPr>
                <w:color w:val="002060"/>
                <w:sz w:val="16"/>
                <w:szCs w:val="16"/>
              </w:rPr>
              <w:t>No se llevaron a cabo encuestas relativas al servicio de cooperación internacional en el examen y a los servicios de la OMPI de información sobre patentes.  Se está negociando con las oficinas donantes cómo evaluar y recuperar los comentarios de usuarios sobre la labor realizada</w:t>
            </w:r>
          </w:p>
          <w:p w:rsidR="00B45FC3" w:rsidRPr="00526311" w:rsidRDefault="00B45FC3">
            <w:pPr>
              <w:rPr>
                <w:color w:val="002060"/>
                <w:sz w:val="16"/>
                <w:szCs w:val="16"/>
              </w:rPr>
            </w:pPr>
          </w:p>
          <w:p w:rsidR="00B45FC3" w:rsidRPr="00526311" w:rsidRDefault="00B45FC3" w:rsidP="0063039A">
            <w:pPr>
              <w:rPr>
                <w:i/>
                <w:sz w:val="16"/>
                <w:szCs w:val="16"/>
                <w:lang w:bidi="th-TH"/>
              </w:rPr>
            </w:pPr>
            <w:r w:rsidRPr="00526311">
              <w:rPr>
                <w:i/>
                <w:sz w:val="16"/>
                <w:szCs w:val="16"/>
                <w:lang w:bidi="th-TH"/>
              </w:rPr>
              <w:t>Referencia original en el</w:t>
            </w:r>
          </w:p>
          <w:p w:rsidR="00B45FC3" w:rsidRPr="00526311" w:rsidRDefault="00B45FC3" w:rsidP="0063039A">
            <w:pPr>
              <w:rPr>
                <w:sz w:val="16"/>
                <w:szCs w:val="16"/>
              </w:rPr>
            </w:pPr>
            <w:r w:rsidRPr="00526311">
              <w:rPr>
                <w:i/>
                <w:sz w:val="16"/>
                <w:szCs w:val="16"/>
                <w:lang w:bidi="th-TH"/>
              </w:rPr>
              <w:t>presupuesto de 2014/15</w:t>
            </w:r>
            <w:r w:rsidRPr="00526311">
              <w:rPr>
                <w:i/>
                <w:sz w:val="16"/>
                <w:szCs w:val="16"/>
              </w:rPr>
              <w:t xml:space="preserve">: </w:t>
            </w:r>
            <w:r w:rsidRPr="00526311">
              <w:rPr>
                <w:sz w:val="16"/>
                <w:szCs w:val="16"/>
              </w:rPr>
              <w:t>No  disponible.</w:t>
            </w:r>
            <w:r w:rsidRPr="00526311">
              <w:rPr>
                <w:sz w:val="16"/>
                <w:szCs w:val="16"/>
              </w:rPr>
              <w:br/>
            </w:r>
          </w:p>
        </w:tc>
        <w:tc>
          <w:tcPr>
            <w:tcW w:w="821" w:type="pct"/>
            <w:shd w:val="clear" w:color="auto" w:fill="auto"/>
            <w:tcMar>
              <w:top w:w="110" w:type="dxa"/>
            </w:tcMar>
          </w:tcPr>
          <w:p w:rsidR="00B45FC3" w:rsidRPr="00526311" w:rsidRDefault="00B45FC3">
            <w:pPr>
              <w:rPr>
                <w:i/>
                <w:sz w:val="16"/>
                <w:szCs w:val="16"/>
              </w:rPr>
            </w:pPr>
            <w:r w:rsidRPr="00526311">
              <w:rPr>
                <w:sz w:val="16"/>
                <w:szCs w:val="16"/>
              </w:rPr>
              <w:t>75%</w:t>
            </w:r>
          </w:p>
        </w:tc>
        <w:tc>
          <w:tcPr>
            <w:tcW w:w="1192" w:type="pct"/>
            <w:shd w:val="clear" w:color="auto" w:fill="FFFFFF"/>
            <w:tcMar>
              <w:top w:w="110" w:type="dxa"/>
            </w:tcMar>
          </w:tcPr>
          <w:p w:rsidR="00B45FC3" w:rsidRPr="00526311" w:rsidRDefault="00B45FC3" w:rsidP="0063039A">
            <w:pPr>
              <w:rPr>
                <w:sz w:val="16"/>
                <w:szCs w:val="16"/>
              </w:rPr>
            </w:pPr>
            <w:r w:rsidRPr="00526311">
              <w:rPr>
                <w:sz w:val="16"/>
                <w:szCs w:val="16"/>
              </w:rPr>
              <w:t>Los datos de la encuesta se recabarán en 2014 y se informará sobre el análisis y los resultados en 2015</w:t>
            </w:r>
          </w:p>
        </w:tc>
        <w:tc>
          <w:tcPr>
            <w:tcW w:w="597" w:type="pct"/>
            <w:shd w:val="clear" w:color="auto" w:fill="auto"/>
            <w:tcMar>
              <w:top w:w="110" w:type="dxa"/>
            </w:tcMar>
          </w:tcPr>
          <w:p w:rsidR="00B45FC3" w:rsidRPr="00526311" w:rsidRDefault="00B353A9" w:rsidP="0063039A">
            <w:pPr>
              <w:keepNext/>
              <w:keepLines/>
              <w:ind w:right="-108"/>
              <w:jc w:val="center"/>
              <w:rPr>
                <w:b/>
                <w:bCs/>
                <w:color w:val="0070C0"/>
                <w:sz w:val="16"/>
                <w:szCs w:val="16"/>
              </w:rPr>
            </w:pPr>
            <w:r w:rsidRPr="00526311">
              <w:rPr>
                <w:b/>
                <w:bCs/>
                <w:color w:val="0070C0"/>
                <w:sz w:val="16"/>
                <w:szCs w:val="16"/>
              </w:rPr>
              <w:t>N</w:t>
            </w:r>
            <w:r w:rsidR="00B45FC3" w:rsidRPr="00526311">
              <w:rPr>
                <w:b/>
                <w:bCs/>
                <w:color w:val="0070C0"/>
                <w:sz w:val="16"/>
                <w:szCs w:val="16"/>
              </w:rPr>
              <w:t xml:space="preserve">.d. </w:t>
            </w:r>
          </w:p>
          <w:p w:rsidR="00B45FC3" w:rsidRPr="00526311" w:rsidRDefault="00B45FC3" w:rsidP="0063039A">
            <w:pPr>
              <w:keepNext/>
              <w:keepLines/>
              <w:ind w:right="-108"/>
              <w:jc w:val="center"/>
              <w:rPr>
                <w:b/>
                <w:bCs/>
                <w:color w:val="0070C0"/>
                <w:sz w:val="16"/>
                <w:szCs w:val="16"/>
              </w:rPr>
            </w:pPr>
            <w:r w:rsidRPr="00526311">
              <w:rPr>
                <w:b/>
                <w:bCs/>
                <w:color w:val="0070C0"/>
                <w:sz w:val="16"/>
                <w:szCs w:val="16"/>
              </w:rPr>
              <w:t>para 2014</w:t>
            </w:r>
          </w:p>
        </w:tc>
      </w:tr>
      <w:tr w:rsidR="00B45FC3" w:rsidRPr="00526311" w:rsidTr="0063039A">
        <w:trPr>
          <w:cantSplit/>
        </w:trPr>
        <w:tc>
          <w:tcPr>
            <w:tcW w:w="1120" w:type="pct"/>
            <w:shd w:val="clear" w:color="auto" w:fill="auto"/>
          </w:tcPr>
          <w:p w:rsidR="00B45FC3" w:rsidRPr="00526311" w:rsidRDefault="00B45FC3" w:rsidP="0063039A">
            <w:pPr>
              <w:rPr>
                <w:sz w:val="16"/>
                <w:szCs w:val="16"/>
              </w:rPr>
            </w:pPr>
            <w:r w:rsidRPr="00526311">
              <w:rPr>
                <w:sz w:val="16"/>
                <w:szCs w:val="16"/>
              </w:rPr>
              <w:t>Porcentaje de usuarios satisfechos con los informes sobre la actividad de patentamiento</w:t>
            </w:r>
            <w:r w:rsidRPr="00526311">
              <w:rPr>
                <w:color w:val="008000"/>
                <w:sz w:val="16"/>
                <w:szCs w:val="16"/>
              </w:rPr>
              <w:t>.</w:t>
            </w:r>
          </w:p>
        </w:tc>
        <w:tc>
          <w:tcPr>
            <w:tcW w:w="1270" w:type="pct"/>
            <w:shd w:val="clear" w:color="auto" w:fill="auto"/>
          </w:tcPr>
          <w:p w:rsidR="00B45FC3" w:rsidRPr="00526311" w:rsidRDefault="00B45FC3" w:rsidP="0063039A">
            <w:pPr>
              <w:rPr>
                <w:color w:val="002060"/>
                <w:sz w:val="16"/>
                <w:szCs w:val="16"/>
              </w:rPr>
            </w:pPr>
            <w:r w:rsidRPr="00526311">
              <w:rPr>
                <w:i/>
                <w:color w:val="002060"/>
                <w:sz w:val="16"/>
                <w:szCs w:val="16"/>
              </w:rPr>
              <w:t>Referencia actualizada a fines de 2013</w:t>
            </w:r>
            <w:r w:rsidRPr="00526311">
              <w:rPr>
                <w:color w:val="002060"/>
                <w:sz w:val="16"/>
                <w:szCs w:val="16"/>
              </w:rPr>
              <w:t>:  En marzo de 2014 se realizó una encuesta de satisfacción sobre los informes PLR. Se recibieron 39 respuestas (3 usuarios de primer nivel; 36 usuarios de segundo nivel).  Los resultados indican que aproximadamente el 70% de los usuarios estaban satisfechos con la calidad de los informes</w:t>
            </w:r>
          </w:p>
          <w:p w:rsidR="00B45FC3" w:rsidRPr="00526311" w:rsidRDefault="00B45FC3">
            <w:pPr>
              <w:rPr>
                <w:color w:val="002060"/>
                <w:sz w:val="16"/>
                <w:szCs w:val="16"/>
              </w:rPr>
            </w:pPr>
          </w:p>
          <w:p w:rsidR="00B45FC3" w:rsidRPr="00526311" w:rsidRDefault="00B45FC3" w:rsidP="0063039A">
            <w:pPr>
              <w:rPr>
                <w:i/>
                <w:color w:val="002060"/>
                <w:sz w:val="16"/>
                <w:szCs w:val="16"/>
              </w:rPr>
            </w:pPr>
            <w:r w:rsidRPr="00526311">
              <w:rPr>
                <w:i/>
                <w:color w:val="000000"/>
                <w:sz w:val="16"/>
                <w:szCs w:val="16"/>
                <w:lang w:bidi="th-TH"/>
              </w:rPr>
              <w:t>Referencia original en el presupuesto de 2014/15</w:t>
            </w:r>
            <w:r w:rsidRPr="00526311">
              <w:rPr>
                <w:i/>
                <w:sz w:val="16"/>
                <w:szCs w:val="16"/>
              </w:rPr>
              <w:t>:</w:t>
            </w:r>
            <w:r w:rsidRPr="00526311">
              <w:t xml:space="preserve">  </w:t>
            </w:r>
            <w:r w:rsidRPr="00526311">
              <w:rPr>
                <w:sz w:val="16"/>
                <w:szCs w:val="16"/>
              </w:rPr>
              <w:t>No  disponible.</w:t>
            </w:r>
          </w:p>
        </w:tc>
        <w:tc>
          <w:tcPr>
            <w:tcW w:w="821" w:type="pct"/>
            <w:shd w:val="clear" w:color="auto" w:fill="auto"/>
            <w:tcMar>
              <w:top w:w="110" w:type="dxa"/>
            </w:tcMar>
          </w:tcPr>
          <w:p w:rsidR="00B45FC3" w:rsidRPr="00526311" w:rsidRDefault="00B45FC3">
            <w:pPr>
              <w:rPr>
                <w:sz w:val="16"/>
                <w:szCs w:val="16"/>
              </w:rPr>
            </w:pPr>
            <w:r w:rsidRPr="00526311">
              <w:rPr>
                <w:sz w:val="16"/>
                <w:szCs w:val="16"/>
              </w:rPr>
              <w:t>75%</w:t>
            </w:r>
          </w:p>
        </w:tc>
        <w:tc>
          <w:tcPr>
            <w:tcW w:w="1192" w:type="pct"/>
            <w:shd w:val="clear" w:color="auto" w:fill="FFFFFF"/>
            <w:tcMar>
              <w:top w:w="110" w:type="dxa"/>
            </w:tcMar>
          </w:tcPr>
          <w:p w:rsidR="00B45FC3" w:rsidRPr="00526311" w:rsidRDefault="00B45FC3" w:rsidP="0063039A">
            <w:pPr>
              <w:rPr>
                <w:sz w:val="16"/>
                <w:szCs w:val="16"/>
              </w:rPr>
            </w:pPr>
            <w:r w:rsidRPr="00526311">
              <w:rPr>
                <w:sz w:val="16"/>
                <w:szCs w:val="16"/>
              </w:rPr>
              <w:t xml:space="preserve">Se está preparando una encuesta voluntaria en línea, que se realizará en 2015 </w:t>
            </w:r>
          </w:p>
        </w:tc>
        <w:tc>
          <w:tcPr>
            <w:tcW w:w="597" w:type="pct"/>
            <w:shd w:val="clear" w:color="auto" w:fill="auto"/>
            <w:tcMar>
              <w:top w:w="110" w:type="dxa"/>
            </w:tcMar>
          </w:tcPr>
          <w:p w:rsidR="00B45FC3" w:rsidRPr="00526311" w:rsidRDefault="00B353A9" w:rsidP="0063039A">
            <w:pPr>
              <w:keepNext/>
              <w:keepLines/>
              <w:ind w:right="-108"/>
              <w:jc w:val="center"/>
              <w:rPr>
                <w:b/>
                <w:bCs/>
                <w:color w:val="0070C0"/>
                <w:sz w:val="16"/>
                <w:szCs w:val="16"/>
              </w:rPr>
            </w:pPr>
            <w:r w:rsidRPr="00526311">
              <w:rPr>
                <w:b/>
                <w:bCs/>
                <w:color w:val="0070C0"/>
                <w:sz w:val="16"/>
                <w:szCs w:val="16"/>
              </w:rPr>
              <w:t>N</w:t>
            </w:r>
            <w:r w:rsidR="00B45FC3" w:rsidRPr="00526311">
              <w:rPr>
                <w:b/>
                <w:bCs/>
                <w:color w:val="0070C0"/>
                <w:sz w:val="16"/>
                <w:szCs w:val="16"/>
              </w:rPr>
              <w:t xml:space="preserve">.d. </w:t>
            </w:r>
          </w:p>
          <w:p w:rsidR="00B45FC3" w:rsidRPr="00526311" w:rsidRDefault="00B45FC3" w:rsidP="0063039A">
            <w:pPr>
              <w:keepNext/>
              <w:keepLines/>
              <w:jc w:val="center"/>
              <w:rPr>
                <w:bCs/>
                <w:color w:val="0070C0"/>
                <w:sz w:val="16"/>
                <w:szCs w:val="16"/>
              </w:rPr>
            </w:pPr>
            <w:r w:rsidRPr="00526311">
              <w:rPr>
                <w:b/>
                <w:bCs/>
                <w:color w:val="0070C0"/>
                <w:sz w:val="16"/>
                <w:szCs w:val="16"/>
              </w:rPr>
              <w:t>para 2014</w:t>
            </w:r>
          </w:p>
        </w:tc>
      </w:tr>
    </w:tbl>
    <w:p w:rsidR="00B45FC3" w:rsidRPr="00526311" w:rsidRDefault="00B45FC3" w:rsidP="0063039A">
      <w:pPr>
        <w:jc w:val="both"/>
      </w:pPr>
    </w:p>
    <w:p w:rsidR="00B45FC3" w:rsidRPr="00526311" w:rsidRDefault="00B45FC3">
      <w:pPr>
        <w:rPr>
          <w:color w:val="000000"/>
        </w:rPr>
      </w:pPr>
    </w:p>
    <w:p w:rsidR="00B45FC3" w:rsidRPr="00526311" w:rsidRDefault="00B45FC3" w:rsidP="0063039A">
      <w:pPr>
        <w:jc w:val="both"/>
        <w:rPr>
          <w:b/>
        </w:rPr>
      </w:pPr>
      <w:r w:rsidRPr="00526311">
        <w:rPr>
          <w:szCs w:val="22"/>
        </w:rPr>
        <w:t>UTILIZACIÓN DE LOS RECURSOS</w:t>
      </w:r>
    </w:p>
    <w:p w:rsidR="00B45FC3" w:rsidRPr="00526311" w:rsidRDefault="00B45FC3" w:rsidP="0063039A">
      <w:pPr>
        <w:jc w:val="both"/>
      </w:pPr>
    </w:p>
    <w:p w:rsidR="00B45FC3" w:rsidRPr="00526311" w:rsidRDefault="00B45FC3" w:rsidP="0063039A">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B45FC3" w:rsidRPr="00526311" w:rsidRDefault="00B45FC3"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jc w:val="both"/>
      </w:pPr>
    </w:p>
    <w:p w:rsidR="00B45FC3" w:rsidRPr="00526311" w:rsidRDefault="00DD7B62" w:rsidP="0063039A">
      <w:pPr>
        <w:jc w:val="center"/>
      </w:pPr>
      <w:r w:rsidRPr="00526311">
        <w:rPr>
          <w:noProof/>
          <w:lang w:val="en-US" w:eastAsia="en-US"/>
        </w:rPr>
        <w:drawing>
          <wp:inline distT="0" distB="0" distL="0" distR="0" wp14:anchorId="1551F3ED" wp14:editId="04077EBA">
            <wp:extent cx="5762625" cy="1219200"/>
            <wp:effectExtent l="0" t="0" r="9525"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2625" cy="1219200"/>
                    </a:xfrm>
                    <a:prstGeom prst="rect">
                      <a:avLst/>
                    </a:prstGeom>
                    <a:noFill/>
                    <a:ln>
                      <a:noFill/>
                    </a:ln>
                  </pic:spPr>
                </pic:pic>
              </a:graphicData>
            </a:graphic>
          </wp:inline>
        </w:drawing>
      </w:r>
    </w:p>
    <w:p w:rsidR="00B45FC3" w:rsidRPr="00526311" w:rsidRDefault="00B45FC3" w:rsidP="0063039A">
      <w:pPr>
        <w:jc w:val="both"/>
      </w:pPr>
    </w:p>
    <w:p w:rsidR="00B45FC3" w:rsidRPr="00526311" w:rsidRDefault="00B45FC3" w:rsidP="0063039A">
      <w:pPr>
        <w:pStyle w:val="NormalWeb"/>
        <w:keepLines/>
        <w:spacing w:before="0" w:beforeAutospacing="0" w:after="0" w:afterAutospacing="0"/>
        <w:jc w:val="center"/>
        <w:rPr>
          <w:sz w:val="20"/>
          <w:szCs w:val="20"/>
          <w:lang w:val="es-ES"/>
        </w:rPr>
      </w:pPr>
      <w:r w:rsidRPr="00526311">
        <w:rPr>
          <w:sz w:val="20"/>
          <w:szCs w:val="20"/>
          <w:lang w:val="es-ES"/>
        </w:rPr>
        <w:t>Presupuesto y gastos reales (de personal y no relativos a personal)</w:t>
      </w:r>
    </w:p>
    <w:p w:rsidR="00B45FC3" w:rsidRPr="00526311" w:rsidRDefault="00B45FC3" w:rsidP="0063039A">
      <w:pPr>
        <w:pStyle w:val="NormalWeb"/>
        <w:keepLines/>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pStyle w:val="NormalWeb"/>
        <w:keepLines/>
        <w:spacing w:before="0" w:beforeAutospacing="0" w:after="0" w:afterAutospacing="0"/>
        <w:jc w:val="both"/>
        <w:rPr>
          <w:sz w:val="20"/>
          <w:szCs w:val="20"/>
          <w:lang w:val="es-ES"/>
        </w:rPr>
      </w:pPr>
    </w:p>
    <w:p w:rsidR="00B45FC3" w:rsidRPr="00526311" w:rsidRDefault="00FF6E74" w:rsidP="0063039A">
      <w:pPr>
        <w:jc w:val="center"/>
      </w:pPr>
      <w:bookmarkStart w:id="54" w:name="Punto14"/>
      <w:r w:rsidRPr="00526311">
        <w:rPr>
          <w:noProof/>
          <w:lang w:val="en-US" w:eastAsia="en-US"/>
        </w:rPr>
        <w:drawing>
          <wp:inline distT="0" distB="0" distL="0" distR="0" wp14:anchorId="2E955ED1" wp14:editId="33634913">
            <wp:extent cx="5940425" cy="1231877"/>
            <wp:effectExtent l="0" t="0" r="3175" b="698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0425" cy="1231877"/>
                    </a:xfrm>
                    <a:prstGeom prst="rect">
                      <a:avLst/>
                    </a:prstGeom>
                    <a:noFill/>
                    <a:ln>
                      <a:noFill/>
                    </a:ln>
                  </pic:spPr>
                </pic:pic>
              </a:graphicData>
            </a:graphic>
          </wp:inline>
        </w:drawing>
      </w:r>
      <w:bookmarkEnd w:id="54"/>
    </w:p>
    <w:p w:rsidR="00B45FC3" w:rsidRPr="00526311" w:rsidRDefault="00B45FC3" w:rsidP="0063039A">
      <w:pPr>
        <w:widowControl w:val="0"/>
        <w:autoSpaceDE w:val="0"/>
        <w:autoSpaceDN w:val="0"/>
        <w:adjustRightInd w:val="0"/>
        <w:jc w:val="both"/>
        <w:rPr>
          <w:i/>
          <w:sz w:val="16"/>
          <w:szCs w:val="16"/>
        </w:rPr>
      </w:pPr>
    </w:p>
    <w:p w:rsidR="00B45FC3" w:rsidRPr="00526311" w:rsidRDefault="00B45FC3" w:rsidP="0063039A">
      <w:pPr>
        <w:widowControl w:val="0"/>
        <w:autoSpaceDE w:val="0"/>
        <w:autoSpaceDN w:val="0"/>
        <w:adjustRightInd w:val="0"/>
        <w:jc w:val="both"/>
      </w:pPr>
      <w:r w:rsidRPr="00526311">
        <w:rPr>
          <w:i/>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B45FC3" w:rsidRPr="00526311" w:rsidRDefault="00B45FC3" w:rsidP="0063039A">
      <w:pPr>
        <w:widowControl w:val="0"/>
        <w:autoSpaceDE w:val="0"/>
        <w:autoSpaceDN w:val="0"/>
        <w:adjustRightInd w:val="0"/>
        <w:jc w:val="both"/>
        <w:rPr>
          <w:sz w:val="20"/>
        </w:rPr>
      </w:pPr>
    </w:p>
    <w:p w:rsidR="00B45FC3" w:rsidRPr="00526311" w:rsidRDefault="00B45FC3" w:rsidP="0063039A">
      <w:pPr>
        <w:jc w:val="both"/>
        <w:rPr>
          <w:sz w:val="20"/>
          <w:u w:val="single"/>
        </w:rPr>
      </w:pPr>
      <w:r w:rsidRPr="00526311">
        <w:rPr>
          <w:sz w:val="20"/>
        </w:rPr>
        <w:lastRenderedPageBreak/>
        <w:t>A.</w:t>
      </w:r>
      <w:r w:rsidRPr="00526311">
        <w:rPr>
          <w:sz w:val="20"/>
        </w:rPr>
        <w:tab/>
      </w:r>
      <w:r w:rsidRPr="00526311">
        <w:rPr>
          <w:sz w:val="20"/>
          <w:u w:val="single"/>
        </w:rPr>
        <w:t>Presupuesto de 2014/15 tras las transferencias</w:t>
      </w:r>
    </w:p>
    <w:p w:rsidR="00B45FC3" w:rsidRPr="00526311" w:rsidRDefault="00B45FC3" w:rsidP="0063039A">
      <w:pPr>
        <w:jc w:val="both"/>
        <w:rPr>
          <w:sz w:val="20"/>
          <w:u w:val="single"/>
        </w:rPr>
      </w:pPr>
    </w:p>
    <w:p w:rsidR="00B45FC3" w:rsidRPr="00526311" w:rsidRDefault="00B45FC3" w:rsidP="00B45FC3">
      <w:pPr>
        <w:pStyle w:val="ListParagraph"/>
        <w:numPr>
          <w:ilvl w:val="0"/>
          <w:numId w:val="65"/>
        </w:numPr>
        <w:tabs>
          <w:tab w:val="left" w:pos="0"/>
          <w:tab w:val="left" w:pos="709"/>
        </w:tabs>
        <w:ind w:left="0" w:firstLine="0"/>
        <w:jc w:val="both"/>
        <w:rPr>
          <w:rFonts w:cs="Arial"/>
          <w:lang w:val="es-ES"/>
        </w:rPr>
      </w:pPr>
      <w:r w:rsidRPr="00526311">
        <w:rPr>
          <w:rFonts w:cs="Arial"/>
          <w:lang w:val="es-ES"/>
        </w:rPr>
        <w:t xml:space="preserve">La disminución general que se observa en el presupuesto de 2014/15 tras las transferencias se debe fundamentalmente a dos circunstancias, a saber, la regularización en curso de las funciones continuas y la reasignación de un puesto del programa a las oficinas en el exterior. </w:t>
      </w:r>
    </w:p>
    <w:p w:rsidR="00B45FC3" w:rsidRPr="00526311" w:rsidRDefault="00B45FC3" w:rsidP="0063039A">
      <w:pPr>
        <w:autoSpaceDE w:val="0"/>
        <w:autoSpaceDN w:val="0"/>
        <w:jc w:val="both"/>
        <w:rPr>
          <w:sz w:val="20"/>
          <w:lang w:eastAsia="ko-KR"/>
        </w:rPr>
      </w:pPr>
    </w:p>
    <w:p w:rsidR="00B45FC3" w:rsidRPr="00526311" w:rsidRDefault="00B45FC3" w:rsidP="00B45FC3">
      <w:pPr>
        <w:pStyle w:val="ListParagraph"/>
        <w:numPr>
          <w:ilvl w:val="0"/>
          <w:numId w:val="65"/>
        </w:numPr>
        <w:tabs>
          <w:tab w:val="left" w:pos="0"/>
          <w:tab w:val="left" w:pos="709"/>
        </w:tabs>
        <w:ind w:left="0" w:firstLine="0"/>
        <w:jc w:val="both"/>
        <w:rPr>
          <w:rFonts w:cs="Arial"/>
          <w:lang w:val="es-ES"/>
        </w:rPr>
      </w:pPr>
      <w:r w:rsidRPr="00526311">
        <w:rPr>
          <w:rFonts w:cs="Arial"/>
          <w:lang w:val="es-ES"/>
        </w:rPr>
        <w:t xml:space="preserve">El leve aumento de los recursos no relativos a personal se debe a la asignación de fondos suplementarios para la finalización del proyecto de la A.D. </w:t>
      </w:r>
      <w:r w:rsidRPr="00526311">
        <w:rPr>
          <w:rFonts w:cs="Arial"/>
          <w:i/>
          <w:lang w:val="es-ES"/>
        </w:rPr>
        <w:t>Creación de instrumentos de acceso a la información sobre patentes – Fase II</w:t>
      </w:r>
      <w:r w:rsidRPr="00526311">
        <w:rPr>
          <w:rFonts w:cs="Arial"/>
          <w:lang w:val="es-ES"/>
        </w:rPr>
        <w:t xml:space="preserve">, componente relativo al análisis de la actividad de patentamiento (proyecto terminado). </w:t>
      </w:r>
    </w:p>
    <w:p w:rsidR="00B45FC3" w:rsidRPr="00526311" w:rsidRDefault="00B45FC3" w:rsidP="0063039A">
      <w:pPr>
        <w:autoSpaceDE w:val="0"/>
        <w:autoSpaceDN w:val="0"/>
        <w:jc w:val="both"/>
        <w:rPr>
          <w:sz w:val="20"/>
          <w:lang w:eastAsia="ko-KR"/>
        </w:rPr>
      </w:pPr>
    </w:p>
    <w:p w:rsidR="00B45FC3" w:rsidRPr="00526311" w:rsidRDefault="00B45FC3" w:rsidP="0063039A">
      <w:pPr>
        <w:keepNext/>
        <w:keepLines/>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B45FC3" w:rsidRPr="00526311" w:rsidRDefault="00B45FC3" w:rsidP="0063039A">
      <w:pPr>
        <w:keepNext/>
        <w:keepLines/>
        <w:jc w:val="both"/>
        <w:rPr>
          <w:sz w:val="20"/>
          <w:u w:val="single"/>
          <w:lang w:eastAsia="ko-KR"/>
        </w:rPr>
      </w:pPr>
    </w:p>
    <w:p w:rsidR="00B45FC3" w:rsidRPr="00526311" w:rsidRDefault="00B45FC3" w:rsidP="00B45FC3">
      <w:pPr>
        <w:pStyle w:val="ListParagraph"/>
        <w:numPr>
          <w:ilvl w:val="0"/>
          <w:numId w:val="65"/>
        </w:numPr>
        <w:tabs>
          <w:tab w:val="left" w:pos="0"/>
          <w:tab w:val="left" w:pos="709"/>
        </w:tabs>
        <w:ind w:left="0" w:firstLine="0"/>
        <w:jc w:val="both"/>
        <w:rPr>
          <w:rFonts w:cs="Arial"/>
          <w:lang w:val="es-ES"/>
        </w:rPr>
      </w:pPr>
      <w:r w:rsidRPr="00526311">
        <w:rPr>
          <w:rFonts w:cs="Arial"/>
          <w:lang w:val="es-ES"/>
        </w:rPr>
        <w:t>La utilización g</w:t>
      </w:r>
      <w:r w:rsidR="00581419" w:rsidRPr="00526311">
        <w:rPr>
          <w:rFonts w:cs="Arial"/>
          <w:lang w:val="es-ES"/>
        </w:rPr>
        <w:t>lob</w:t>
      </w:r>
      <w:r w:rsidRPr="00526311">
        <w:rPr>
          <w:rFonts w:cs="Arial"/>
          <w:lang w:val="es-ES"/>
        </w:rPr>
        <w:t>al del presupuesto se mantuvo dentro de los límites establecidos (40-60%) durante el primer año del bienio.  La reducida utilización de recursos no relativos a personal se debió a la promoción concertada de la autosuficiencia de las redes de CATI existentes.  </w:t>
      </w:r>
    </w:p>
    <w:p w:rsidR="00B45FC3" w:rsidRPr="00526311" w:rsidRDefault="00B45FC3" w:rsidP="0063039A">
      <w:pPr>
        <w:jc w:val="both"/>
        <w:rPr>
          <w:sz w:val="20"/>
          <w:u w:val="single"/>
          <w:lang w:eastAsia="ko-KR"/>
        </w:rPr>
      </w:pPr>
    </w:p>
    <w:p w:rsidR="00B45FC3" w:rsidRPr="00526311" w:rsidRDefault="00B45FC3" w:rsidP="0063039A">
      <w:pPr>
        <w:jc w:val="both"/>
        <w:rPr>
          <w:sz w:val="20"/>
          <w:u w:val="single"/>
          <w:lang w:eastAsia="ko-KR"/>
        </w:rPr>
      </w:pPr>
    </w:p>
    <w:p w:rsidR="00B45FC3" w:rsidRPr="00526311" w:rsidRDefault="00B45FC3">
      <w:pPr>
        <w:rPr>
          <w:bCs/>
          <w:iCs/>
          <w:caps/>
          <w:sz w:val="20"/>
        </w:rPr>
      </w:pPr>
      <w:r w:rsidRPr="00526311">
        <w:rPr>
          <w:sz w:val="20"/>
        </w:rPr>
        <w:br w:type="page"/>
      </w:r>
    </w:p>
    <w:p w:rsidR="00B45FC3" w:rsidRPr="00526311" w:rsidRDefault="00B45FC3" w:rsidP="0063039A">
      <w:pPr>
        <w:pStyle w:val="Heading2"/>
        <w:tabs>
          <w:tab w:val="left" w:pos="2268"/>
        </w:tabs>
        <w:ind w:left="2268" w:hanging="2268"/>
        <w:jc w:val="both"/>
        <w:rPr>
          <w:b/>
          <w:szCs w:val="22"/>
        </w:rPr>
      </w:pPr>
      <w:bookmarkStart w:id="55" w:name="_Toc422927424"/>
      <w:r w:rsidRPr="00526311">
        <w:rPr>
          <w:b/>
          <w:szCs w:val="22"/>
        </w:rPr>
        <w:lastRenderedPageBreak/>
        <w:t>PROGRAMA 15</w:t>
      </w:r>
      <w:r w:rsidRPr="00526311">
        <w:rPr>
          <w:b/>
          <w:szCs w:val="22"/>
        </w:rPr>
        <w:tab/>
        <w:t>SOLUCIONES OPERATIVAS PARA LAS OFICINAS DE P.I.</w:t>
      </w:r>
      <w:bookmarkEnd w:id="55"/>
    </w:p>
    <w:p w:rsidR="00B45FC3" w:rsidRPr="00526311" w:rsidRDefault="00B45FC3" w:rsidP="0063039A">
      <w:pPr>
        <w:jc w:val="both"/>
        <w:rPr>
          <w:sz w:val="20"/>
        </w:rPr>
      </w:pPr>
    </w:p>
    <w:p w:rsidR="00B45FC3" w:rsidRPr="00526311" w:rsidRDefault="00B45FC3" w:rsidP="0063039A">
      <w:pPr>
        <w:tabs>
          <w:tab w:val="left" w:pos="1985"/>
        </w:tabs>
        <w:jc w:val="both"/>
        <w:rPr>
          <w:b/>
          <w:sz w:val="20"/>
        </w:rPr>
      </w:pPr>
      <w:r w:rsidRPr="00526311">
        <w:rPr>
          <w:b/>
          <w:sz w:val="20"/>
        </w:rPr>
        <w:t>Director de programa</w:t>
      </w:r>
      <w:r w:rsidRPr="00526311">
        <w:rPr>
          <w:b/>
          <w:sz w:val="20"/>
        </w:rPr>
        <w:tab/>
        <w:t>Sr. Y.</w:t>
      </w:r>
      <w:r w:rsidRPr="00526311">
        <w:rPr>
          <w:sz w:val="20"/>
        </w:rPr>
        <w:t xml:space="preserve"> </w:t>
      </w:r>
      <w:r w:rsidRPr="00526311">
        <w:rPr>
          <w:b/>
          <w:sz w:val="20"/>
        </w:rPr>
        <w:t>Takagi</w:t>
      </w:r>
    </w:p>
    <w:p w:rsidR="00B45FC3" w:rsidRPr="00526311" w:rsidRDefault="00B45FC3" w:rsidP="0063039A">
      <w:pPr>
        <w:jc w:val="both"/>
        <w:rPr>
          <w:sz w:val="20"/>
        </w:rPr>
      </w:pPr>
    </w:p>
    <w:p w:rsidR="00B45FC3" w:rsidRPr="00526311" w:rsidRDefault="00B45FC3" w:rsidP="0063039A">
      <w:pPr>
        <w:jc w:val="both"/>
        <w:rPr>
          <w:sz w:val="20"/>
        </w:rPr>
      </w:pPr>
    </w:p>
    <w:p w:rsidR="00B45FC3" w:rsidRPr="00526311" w:rsidRDefault="00B45FC3" w:rsidP="0063039A">
      <w:pPr>
        <w:jc w:val="both"/>
        <w:rPr>
          <w:bCs/>
          <w:szCs w:val="22"/>
        </w:rPr>
      </w:pPr>
      <w:r w:rsidRPr="00526311">
        <w:rPr>
          <w:bCs/>
          <w:szCs w:val="22"/>
        </w:rPr>
        <w:t>RESEÑA DE LOS AVANCES LOGRADOS EN 2014</w:t>
      </w:r>
    </w:p>
    <w:p w:rsidR="00B45FC3" w:rsidRPr="00526311" w:rsidRDefault="00B45FC3" w:rsidP="0063039A">
      <w:pPr>
        <w:jc w:val="both"/>
      </w:pPr>
    </w:p>
    <w:p w:rsidR="00B45FC3" w:rsidRPr="00526311" w:rsidRDefault="00B45FC3" w:rsidP="00B45FC3">
      <w:pPr>
        <w:pStyle w:val="ListParagraph"/>
        <w:numPr>
          <w:ilvl w:val="0"/>
          <w:numId w:val="66"/>
        </w:numPr>
        <w:tabs>
          <w:tab w:val="left" w:pos="709"/>
        </w:tabs>
        <w:ind w:left="0" w:firstLine="0"/>
        <w:jc w:val="both"/>
        <w:rPr>
          <w:rFonts w:cs="Arial"/>
          <w:lang w:val="es-ES"/>
        </w:rPr>
      </w:pPr>
      <w:r w:rsidRPr="00526311">
        <w:rPr>
          <w:rFonts w:cs="Arial"/>
          <w:lang w:val="es-ES"/>
        </w:rPr>
        <w:t>A lo largo de 2014 siguió aumentando la demanda de asistencia técnica por parte de las Oficinas de P.I., tanto en lo que respecta al número de oficinas que piden asistencia técnica como al tipo de asistencia solicitada, en particular, en lo tocante a la gestión electrónica de documentos, la presentación de solicitudes por Internet y la publicación en Internet.</w:t>
      </w:r>
    </w:p>
    <w:p w:rsidR="00B45FC3" w:rsidRPr="00526311" w:rsidRDefault="00B45FC3" w:rsidP="0063039A">
      <w:pPr>
        <w:tabs>
          <w:tab w:val="left" w:pos="709"/>
        </w:tabs>
        <w:jc w:val="both"/>
      </w:pPr>
    </w:p>
    <w:p w:rsidR="00B45FC3" w:rsidRPr="00526311" w:rsidRDefault="00B45FC3" w:rsidP="00B45FC3">
      <w:pPr>
        <w:pStyle w:val="ListParagraph"/>
        <w:numPr>
          <w:ilvl w:val="0"/>
          <w:numId w:val="66"/>
        </w:numPr>
        <w:tabs>
          <w:tab w:val="left" w:pos="709"/>
        </w:tabs>
        <w:ind w:left="0" w:firstLine="0"/>
        <w:jc w:val="both"/>
        <w:rPr>
          <w:rFonts w:cs="Arial"/>
          <w:lang w:val="es-ES"/>
        </w:rPr>
      </w:pPr>
      <w:r w:rsidRPr="00526311">
        <w:rPr>
          <w:rFonts w:cs="Arial"/>
          <w:lang w:val="es-ES"/>
        </w:rPr>
        <w:t xml:space="preserve">En respuesta, la Oficina Internacional siguió elaborando instrumentos para dar apoyo a los procesos operacionales de las Oficinas de P.I., en particular, el Sistema de Automatización de la Propiedad Industrial (IPAS).  Entre las principales funciones nuevas incorporadas en 2014 cabe citar un apoyo más sólido a la gestión electrónica de documentos y apoyo a las operaciones bilingües, en particular, para las oficinas que trabajan en </w:t>
      </w:r>
      <w:r w:rsidR="0009498A" w:rsidRPr="00526311">
        <w:rPr>
          <w:rFonts w:cs="Arial"/>
          <w:lang w:val="es-ES"/>
        </w:rPr>
        <w:t xml:space="preserve">el idioma </w:t>
      </w:r>
      <w:r w:rsidRPr="00526311">
        <w:rPr>
          <w:rFonts w:cs="Arial"/>
          <w:lang w:val="es-ES"/>
        </w:rPr>
        <w:t>árabe.</w:t>
      </w:r>
    </w:p>
    <w:p w:rsidR="00B45FC3" w:rsidRPr="00526311" w:rsidRDefault="00B45FC3" w:rsidP="0063039A">
      <w:pPr>
        <w:tabs>
          <w:tab w:val="left" w:pos="709"/>
        </w:tabs>
        <w:jc w:val="both"/>
      </w:pPr>
    </w:p>
    <w:p w:rsidR="00B45FC3" w:rsidRPr="00526311" w:rsidRDefault="00B45FC3" w:rsidP="00B45FC3">
      <w:pPr>
        <w:pStyle w:val="ListParagraph"/>
        <w:numPr>
          <w:ilvl w:val="0"/>
          <w:numId w:val="66"/>
        </w:numPr>
        <w:tabs>
          <w:tab w:val="left" w:pos="709"/>
        </w:tabs>
        <w:ind w:left="0" w:firstLine="0"/>
        <w:jc w:val="both"/>
        <w:rPr>
          <w:rFonts w:cs="Arial"/>
          <w:lang w:val="es-ES"/>
        </w:rPr>
      </w:pPr>
      <w:r w:rsidRPr="00526311">
        <w:rPr>
          <w:rFonts w:cs="Arial"/>
          <w:lang w:val="es-ES"/>
        </w:rPr>
        <w:t>Se llevaron a cabo dos nuevos módulos que actualmente se están contrastando y probando en diversas Oficinas de P.I.:</w:t>
      </w:r>
    </w:p>
    <w:p w:rsidR="00B45FC3" w:rsidRPr="00526311" w:rsidRDefault="00B45FC3" w:rsidP="0063039A">
      <w:pPr>
        <w:jc w:val="both"/>
      </w:pPr>
    </w:p>
    <w:p w:rsidR="00B45FC3" w:rsidRPr="00526311" w:rsidRDefault="00B45FC3" w:rsidP="00B45FC3">
      <w:pPr>
        <w:pStyle w:val="ListParagraph"/>
        <w:numPr>
          <w:ilvl w:val="0"/>
          <w:numId w:val="5"/>
        </w:numPr>
        <w:ind w:left="1134" w:hanging="425"/>
        <w:jc w:val="both"/>
        <w:rPr>
          <w:rFonts w:cs="Arial"/>
          <w:lang w:val="es-ES"/>
        </w:rPr>
      </w:pPr>
      <w:r w:rsidRPr="00526311">
        <w:rPr>
          <w:rFonts w:cs="Arial"/>
          <w:i/>
          <w:lang w:val="es-ES"/>
        </w:rPr>
        <w:t>WIPO Publish</w:t>
      </w:r>
      <w:r w:rsidRPr="00526311">
        <w:rPr>
          <w:rFonts w:cs="Arial"/>
          <w:lang w:val="es-ES"/>
        </w:rPr>
        <w:t xml:space="preserve"> fue diseñado para satisfacer las necesidades de las oficinas en lo que respecta a la publicación en Internet de datos de P.I., documentos, información sobre la situación jurídica y los expedientes, así como las necesidades de intercambio de datos (lo que incluye el intercambio de datos de las bases mundiales de datos de la OMPI). </w:t>
      </w:r>
    </w:p>
    <w:p w:rsidR="00B45FC3" w:rsidRPr="00526311" w:rsidRDefault="00B45FC3" w:rsidP="0063039A">
      <w:pPr>
        <w:jc w:val="both"/>
      </w:pPr>
    </w:p>
    <w:p w:rsidR="00B45FC3" w:rsidRPr="00526311" w:rsidRDefault="00B45FC3" w:rsidP="00B45FC3">
      <w:pPr>
        <w:pStyle w:val="ListParagraph"/>
        <w:numPr>
          <w:ilvl w:val="0"/>
          <w:numId w:val="5"/>
        </w:numPr>
        <w:ind w:left="1134" w:hanging="425"/>
        <w:jc w:val="both"/>
        <w:rPr>
          <w:rFonts w:cs="Arial"/>
          <w:lang w:val="es-ES"/>
        </w:rPr>
      </w:pPr>
      <w:r w:rsidRPr="00526311">
        <w:rPr>
          <w:rFonts w:cs="Arial"/>
          <w:i/>
          <w:lang w:val="es-ES"/>
        </w:rPr>
        <w:t>WIPO File</w:t>
      </w:r>
      <w:r w:rsidRPr="00526311">
        <w:rPr>
          <w:rFonts w:cs="Arial"/>
          <w:lang w:val="es-ES"/>
        </w:rPr>
        <w:t xml:space="preserve"> fue diseñado para facilitar una solución electrónica de presentación de solicitudes a las oficinas pequeñas y medianas, sin olvidar la flexibilidad para permitir una amplia adaptación a las condiciones locales (por ejemplo, a los sistemas de pago locales).</w:t>
      </w:r>
    </w:p>
    <w:p w:rsidR="00B45FC3" w:rsidRPr="00526311" w:rsidRDefault="00B45FC3" w:rsidP="0063039A">
      <w:pPr>
        <w:jc w:val="both"/>
      </w:pPr>
    </w:p>
    <w:p w:rsidR="00B45FC3" w:rsidRPr="00526311" w:rsidRDefault="0009498A" w:rsidP="00B45FC3">
      <w:pPr>
        <w:pStyle w:val="ListParagraph"/>
        <w:numPr>
          <w:ilvl w:val="0"/>
          <w:numId w:val="66"/>
        </w:numPr>
        <w:tabs>
          <w:tab w:val="left" w:pos="709"/>
        </w:tabs>
        <w:ind w:left="0" w:firstLine="0"/>
        <w:jc w:val="both"/>
        <w:rPr>
          <w:rFonts w:cs="Arial"/>
          <w:lang w:val="es-ES"/>
        </w:rPr>
      </w:pPr>
      <w:r w:rsidRPr="00526311">
        <w:rPr>
          <w:rFonts w:cs="Arial"/>
          <w:lang w:val="es-ES"/>
        </w:rPr>
        <w:t>En</w:t>
      </w:r>
      <w:r w:rsidR="00B45FC3" w:rsidRPr="00526311">
        <w:rPr>
          <w:rFonts w:cs="Arial"/>
          <w:lang w:val="es-ES"/>
        </w:rPr>
        <w:t xml:space="preserve"> 2014 se empezó a aplicar, en el marco del programa, una nueva estrategia, definida en 2013, para fomentar los niveles de apoyo, la transferencia de tecnología y la formación.  Como parte de la estrategia se aplicó un nuevo modelo de apoyo, que pres</w:t>
      </w:r>
      <w:r w:rsidRPr="00526311">
        <w:rPr>
          <w:rFonts w:cs="Arial"/>
          <w:lang w:val="es-ES"/>
        </w:rPr>
        <w:t xml:space="preserve">enta un servicio de asistencia para </w:t>
      </w:r>
      <w:r w:rsidR="00B45FC3" w:rsidRPr="00526311">
        <w:rPr>
          <w:rFonts w:cs="Arial"/>
          <w:lang w:val="es-ES"/>
        </w:rPr>
        <w:t>el IPAS (“</w:t>
      </w:r>
      <w:r w:rsidR="00B45FC3" w:rsidRPr="00526311">
        <w:rPr>
          <w:rFonts w:cs="Arial"/>
          <w:i/>
          <w:lang w:val="es-ES"/>
        </w:rPr>
        <w:t>IPAS Helpdesk</w:t>
      </w:r>
      <w:r w:rsidR="00B45FC3" w:rsidRPr="00526311">
        <w:rPr>
          <w:rFonts w:cs="Arial"/>
          <w:lang w:val="es-ES"/>
        </w:rPr>
        <w:t xml:space="preserve">”) dotado de recursos específicos y procedimientos más formales.  Además, se organizaron, en diversas regiones, varios talleres de formación técnica para mejorar las capacidades en los temas pertinentes. </w:t>
      </w:r>
    </w:p>
    <w:p w:rsidR="00B45FC3" w:rsidRPr="00526311" w:rsidRDefault="00B45FC3" w:rsidP="0063039A">
      <w:pPr>
        <w:tabs>
          <w:tab w:val="left" w:pos="709"/>
        </w:tabs>
        <w:jc w:val="both"/>
      </w:pPr>
    </w:p>
    <w:p w:rsidR="00B45FC3" w:rsidRPr="00526311" w:rsidRDefault="00B45FC3" w:rsidP="00B45FC3">
      <w:pPr>
        <w:pStyle w:val="ListParagraph"/>
        <w:numPr>
          <w:ilvl w:val="0"/>
          <w:numId w:val="66"/>
        </w:numPr>
        <w:tabs>
          <w:tab w:val="left" w:pos="709"/>
        </w:tabs>
        <w:ind w:left="0" w:firstLine="0"/>
        <w:jc w:val="both"/>
        <w:rPr>
          <w:rFonts w:cs="Arial"/>
          <w:lang w:val="es-ES"/>
        </w:rPr>
      </w:pPr>
      <w:r w:rsidRPr="00526311">
        <w:rPr>
          <w:rFonts w:cs="Arial"/>
          <w:lang w:val="es-ES"/>
        </w:rPr>
        <w:t xml:space="preserve">Con la ayuda del Gobierno del Japón mediante el fondo fiduciario, en el marco del programa se impulsaron proyectos de digitalización en las Oficinas de P.I., en particular en África (ARIPO, Etiopía, Nigeria, OAPI) y Asia y el Pacífico (Brunei Darussalam, Camboya).  En julio de 2014 se organizó un taller sobre requisitos técnicos para facilitar el programa de Cooperación para el Examen de Patentes de la ASEAN (ASPEC) y el portal de P.I. de la ASEAN.  La OMPI logró importantes avances en la aplicación de nuevos requisitos para la ASEAN en </w:t>
      </w:r>
      <w:r w:rsidRPr="00526311">
        <w:rPr>
          <w:rFonts w:cs="Arial"/>
          <w:i/>
          <w:lang w:val="es-ES"/>
        </w:rPr>
        <w:t>WIPO CASE</w:t>
      </w:r>
      <w:r w:rsidRPr="00526311">
        <w:rPr>
          <w:rFonts w:cs="Arial"/>
          <w:lang w:val="es-ES"/>
        </w:rPr>
        <w:t xml:space="preserve">, lo cual dio lugar a la creación, con muy buenos resultados, de un foro de comunicación para las Oficinas de P.I. de la ASEAN al que se dio acceso a los examinadores de Oficinas de P.I. participantes en el proyecto a fin de que lo prueben.   </w:t>
      </w:r>
    </w:p>
    <w:p w:rsidR="00B45FC3" w:rsidRPr="00526311" w:rsidRDefault="00B45FC3" w:rsidP="0063039A">
      <w:pPr>
        <w:jc w:val="both"/>
      </w:pPr>
    </w:p>
    <w:p w:rsidR="00B45FC3" w:rsidRPr="00526311" w:rsidRDefault="00B45FC3" w:rsidP="00B45FC3">
      <w:pPr>
        <w:pStyle w:val="ListParagraph"/>
        <w:numPr>
          <w:ilvl w:val="0"/>
          <w:numId w:val="66"/>
        </w:numPr>
        <w:tabs>
          <w:tab w:val="left" w:pos="709"/>
        </w:tabs>
        <w:ind w:left="0" w:firstLine="0"/>
        <w:jc w:val="both"/>
        <w:rPr>
          <w:rFonts w:cs="Arial"/>
          <w:lang w:val="es-ES"/>
        </w:rPr>
      </w:pPr>
      <w:r w:rsidRPr="00526311">
        <w:rPr>
          <w:rFonts w:cs="Arial"/>
          <w:lang w:val="es-ES"/>
        </w:rPr>
        <w:t>En 2014 se puso en marcha el proyecto “Conexión de Derecho de Autor de la OMPI” (WCC) (que ha sustituido al proyecto WIPOCOS) a fin de disponer de un sistema interconectado para la gestión de los derechos de autor y derechos conexos.  Se creó un grupo de expertos para el funcionamiento de la WCC constituido por representantes de organizaciones de gestión colectiva y otros socios (representantes de organizaciones internacionales y empresas interesadas), que se prestaron a ello voluntariamente, para definir las necesidades operativas del sistema.  A finales de 2014 se contrató a un contratista externo y está en curso una prueba de concepto técnica.  Está previsto que en 201</w:t>
      </w:r>
      <w:r w:rsidR="0009498A" w:rsidRPr="00526311">
        <w:rPr>
          <w:rFonts w:cs="Arial"/>
          <w:lang w:val="es-ES"/>
        </w:rPr>
        <w:t>6</w:t>
      </w:r>
      <w:r w:rsidRPr="00526311">
        <w:rPr>
          <w:rFonts w:cs="Arial"/>
          <w:lang w:val="es-ES"/>
        </w:rPr>
        <w:t xml:space="preserve"> el sistema esté en marcha en los países en desarrollo y PMA correspondientes.</w:t>
      </w:r>
    </w:p>
    <w:p w:rsidR="00B45FC3" w:rsidRPr="00526311" w:rsidRDefault="00B45FC3" w:rsidP="0063039A">
      <w:pPr>
        <w:jc w:val="both"/>
      </w:pPr>
    </w:p>
    <w:p w:rsidR="00B45FC3" w:rsidRPr="00526311" w:rsidRDefault="0039270A" w:rsidP="0039270A">
      <w:pPr>
        <w:keepNext/>
        <w:keepLines/>
        <w:rPr>
          <w:sz w:val="20"/>
        </w:rPr>
      </w:pPr>
      <w:r w:rsidRPr="00526311">
        <w:rPr>
          <w:sz w:val="20"/>
        </w:rPr>
        <w:lastRenderedPageBreak/>
        <w:t>SISTEMAS INFORMÁTICOS DE LAS OFICINAS DE P.I.</w:t>
      </w:r>
    </w:p>
    <w:p w:rsidR="00B45FC3" w:rsidRPr="00526311" w:rsidRDefault="00B45FC3" w:rsidP="0039270A">
      <w:pPr>
        <w:keepNext/>
        <w:keepLines/>
        <w:jc w:val="both"/>
        <w:rPr>
          <w:sz w:val="20"/>
        </w:rPr>
      </w:pPr>
    </w:p>
    <w:p w:rsidR="00B45FC3" w:rsidRPr="00526311" w:rsidRDefault="00B45FC3" w:rsidP="0039270A">
      <w:pPr>
        <w:pStyle w:val="ListParagraph"/>
        <w:keepNext/>
        <w:keepLines/>
        <w:numPr>
          <w:ilvl w:val="0"/>
          <w:numId w:val="66"/>
        </w:numPr>
        <w:tabs>
          <w:tab w:val="left" w:pos="709"/>
        </w:tabs>
        <w:ind w:left="0" w:firstLine="0"/>
        <w:jc w:val="both"/>
        <w:rPr>
          <w:rFonts w:cs="Arial"/>
          <w:lang w:val="es-ES"/>
        </w:rPr>
      </w:pPr>
      <w:r w:rsidRPr="00526311">
        <w:rPr>
          <w:rFonts w:cs="Arial"/>
          <w:lang w:val="es-ES"/>
        </w:rPr>
        <w:t>En el siguiente gráfico se ofrece un panorama general del incremento constante en el uso de los sistemas de la OMPI para las Oficinas de P.I. en los últimos cinco años.  A finales de 2014, unas 68 Oficinas de P.I. estaban utilizando los sistemas de la OMPI para las Oficinas de P.I. (que comprenden el sistema IPAS, el Sistema de Gestión de la Propiedad Industrial de la OMPI en Árabe (AIPMS), el EDMS, WIPOScan y el módulo Madrid de la OMPI).</w:t>
      </w:r>
    </w:p>
    <w:p w:rsidR="00B45FC3" w:rsidRPr="00526311" w:rsidRDefault="00B45FC3" w:rsidP="0063039A">
      <w:pPr>
        <w:keepNext/>
        <w:keepLines/>
        <w:jc w:val="both"/>
      </w:pPr>
    </w:p>
    <w:p w:rsidR="00B45FC3" w:rsidRPr="00526311" w:rsidRDefault="00B45FC3" w:rsidP="0063039A">
      <w:pPr>
        <w:keepNext/>
        <w:keepLines/>
        <w:autoSpaceDE w:val="0"/>
        <w:autoSpaceDN w:val="0"/>
        <w:adjustRightInd w:val="0"/>
        <w:jc w:val="both"/>
      </w:pPr>
      <w:r w:rsidRPr="00526311">
        <w:rPr>
          <w:noProof/>
          <w:lang w:val="en-US" w:eastAsia="en-US"/>
        </w:rPr>
        <w:drawing>
          <wp:inline distT="0" distB="0" distL="0" distR="0" wp14:anchorId="02F72CE1" wp14:editId="5F817872">
            <wp:extent cx="5857200" cy="341640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57200" cy="3416400"/>
                    </a:xfrm>
                    <a:prstGeom prst="rect">
                      <a:avLst/>
                    </a:prstGeom>
                    <a:noFill/>
                  </pic:spPr>
                </pic:pic>
              </a:graphicData>
            </a:graphic>
          </wp:inline>
        </w:drawing>
      </w:r>
    </w:p>
    <w:p w:rsidR="00B45FC3" w:rsidRPr="00526311" w:rsidRDefault="00B45FC3" w:rsidP="0063039A">
      <w:pPr>
        <w:keepNext/>
        <w:keepLines/>
        <w:autoSpaceDE w:val="0"/>
        <w:autoSpaceDN w:val="0"/>
        <w:adjustRightInd w:val="0"/>
        <w:jc w:val="both"/>
        <w:rPr>
          <w:sz w:val="20"/>
        </w:rPr>
      </w:pPr>
    </w:p>
    <w:p w:rsidR="00B45FC3" w:rsidRPr="00526311" w:rsidRDefault="00B45FC3" w:rsidP="0063039A">
      <w:pPr>
        <w:autoSpaceDE w:val="0"/>
        <w:autoSpaceDN w:val="0"/>
        <w:adjustRightInd w:val="0"/>
        <w:jc w:val="both"/>
        <w:rPr>
          <w:sz w:val="20"/>
        </w:rPr>
      </w:pPr>
    </w:p>
    <w:p w:rsidR="00B45FC3" w:rsidRPr="00526311" w:rsidRDefault="00420172" w:rsidP="00420172">
      <w:pPr>
        <w:keepNext/>
        <w:keepLines/>
        <w:rPr>
          <w:sz w:val="20"/>
        </w:rPr>
      </w:pPr>
      <w:r w:rsidRPr="00526311">
        <w:rPr>
          <w:sz w:val="20"/>
        </w:rPr>
        <w:t>PLATAFORMAS DE INTERCAMBIO DE RECURSOS</w:t>
      </w:r>
    </w:p>
    <w:p w:rsidR="00B45FC3" w:rsidRPr="00526311" w:rsidRDefault="00B45FC3" w:rsidP="0063039A">
      <w:pPr>
        <w:jc w:val="both"/>
        <w:rPr>
          <w:sz w:val="20"/>
        </w:rPr>
      </w:pPr>
    </w:p>
    <w:tbl>
      <w:tblPr>
        <w:tblW w:w="0" w:type="auto"/>
        <w:tblLook w:val="01E0" w:firstRow="1" w:lastRow="1" w:firstColumn="1" w:lastColumn="1" w:noHBand="0" w:noVBand="0"/>
      </w:tblPr>
      <w:tblGrid>
        <w:gridCol w:w="1951"/>
        <w:gridCol w:w="7371"/>
      </w:tblGrid>
      <w:tr w:rsidR="00B45FC3" w:rsidRPr="00526311" w:rsidTr="0063039A">
        <w:tc>
          <w:tcPr>
            <w:tcW w:w="1951" w:type="dxa"/>
            <w:shd w:val="clear" w:color="auto" w:fill="auto"/>
          </w:tcPr>
          <w:p w:rsidR="00B45FC3" w:rsidRPr="00526311" w:rsidRDefault="00B45FC3">
            <w:pPr>
              <w:tabs>
                <w:tab w:val="center" w:pos="4320"/>
                <w:tab w:val="right" w:pos="8640"/>
              </w:tabs>
              <w:jc w:val="both"/>
              <w:rPr>
                <w:i/>
                <w:sz w:val="20"/>
              </w:rPr>
            </w:pPr>
            <w:r w:rsidRPr="00526311">
              <w:rPr>
                <w:i/>
                <w:sz w:val="20"/>
              </w:rPr>
              <w:t xml:space="preserve">WIPO DAS </w:t>
            </w:r>
          </w:p>
        </w:tc>
        <w:tc>
          <w:tcPr>
            <w:tcW w:w="7371" w:type="dxa"/>
            <w:shd w:val="clear" w:color="auto" w:fill="auto"/>
          </w:tcPr>
          <w:p w:rsidR="00B45FC3" w:rsidRPr="00526311" w:rsidRDefault="0009498A" w:rsidP="0063039A">
            <w:pPr>
              <w:shd w:val="clear" w:color="auto" w:fill="FFFFFF"/>
              <w:jc w:val="both"/>
              <w:rPr>
                <w:sz w:val="20"/>
              </w:rPr>
            </w:pPr>
            <w:r w:rsidRPr="00526311">
              <w:rPr>
                <w:sz w:val="20"/>
              </w:rPr>
              <w:t>Sobre la base de un proceso de especificación y examen realizado con las Oficinas participantes,</w:t>
            </w:r>
            <w:r w:rsidR="00B45FC3" w:rsidRPr="00526311">
              <w:rPr>
                <w:sz w:val="20"/>
              </w:rPr>
              <w:t xml:space="preserve"> se publicó una nueva versión del portal</w:t>
            </w:r>
            <w:r w:rsidRPr="00526311">
              <w:rPr>
                <w:sz w:val="20"/>
              </w:rPr>
              <w:t xml:space="preserve"> del servicio de acceso digital (DAS)</w:t>
            </w:r>
            <w:r w:rsidR="00B45FC3" w:rsidRPr="00526311">
              <w:rPr>
                <w:sz w:val="20"/>
              </w:rPr>
              <w:t xml:space="preserve"> que fortalece el marco revisado de DAS 2.0.  En 2014, el número de Oficinas participantes permaneció estable, manteniéndose en 11.</w:t>
            </w:r>
          </w:p>
          <w:p w:rsidR="00B45FC3" w:rsidRPr="00526311" w:rsidRDefault="0009498A" w:rsidP="0009498A">
            <w:pPr>
              <w:tabs>
                <w:tab w:val="center" w:pos="4320"/>
                <w:tab w:val="right" w:pos="8640"/>
              </w:tabs>
              <w:jc w:val="both"/>
              <w:rPr>
                <w:sz w:val="20"/>
              </w:rPr>
            </w:pPr>
            <w:r w:rsidRPr="00526311">
              <w:rPr>
                <w:sz w:val="20"/>
              </w:rPr>
              <w:t xml:space="preserve"> </w:t>
            </w:r>
          </w:p>
        </w:tc>
      </w:tr>
      <w:tr w:rsidR="00B45FC3" w:rsidRPr="00526311" w:rsidTr="0063039A">
        <w:tc>
          <w:tcPr>
            <w:tcW w:w="1951" w:type="dxa"/>
            <w:shd w:val="clear" w:color="auto" w:fill="auto"/>
          </w:tcPr>
          <w:p w:rsidR="00B45FC3" w:rsidRPr="00526311" w:rsidRDefault="00B45FC3" w:rsidP="0063039A">
            <w:pPr>
              <w:tabs>
                <w:tab w:val="center" w:pos="4320"/>
                <w:tab w:val="right" w:pos="8640"/>
              </w:tabs>
              <w:jc w:val="both"/>
              <w:rPr>
                <w:i/>
                <w:sz w:val="20"/>
              </w:rPr>
            </w:pPr>
            <w:r w:rsidRPr="00526311">
              <w:rPr>
                <w:i/>
                <w:sz w:val="20"/>
              </w:rPr>
              <w:t>WIPO CASE</w:t>
            </w:r>
          </w:p>
        </w:tc>
        <w:tc>
          <w:tcPr>
            <w:tcW w:w="7371" w:type="dxa"/>
            <w:shd w:val="clear" w:color="auto" w:fill="auto"/>
          </w:tcPr>
          <w:p w:rsidR="00B45FC3" w:rsidRPr="00526311" w:rsidRDefault="00B45FC3" w:rsidP="0063039A">
            <w:pPr>
              <w:tabs>
                <w:tab w:val="center" w:pos="4320"/>
                <w:tab w:val="right" w:pos="8640"/>
              </w:tabs>
              <w:jc w:val="both"/>
              <w:rPr>
                <w:sz w:val="20"/>
              </w:rPr>
            </w:pPr>
            <w:r w:rsidRPr="00526311">
              <w:rPr>
                <w:sz w:val="20"/>
              </w:rPr>
              <w:t xml:space="preserve">En abril de 2014, el acceso centralizado a documentos de búsqueda y examen de la OMPI (CASE) se vinculó con la plataforma </w:t>
            </w:r>
            <w:r w:rsidRPr="00526311">
              <w:rPr>
                <w:i/>
                <w:sz w:val="20"/>
              </w:rPr>
              <w:t>One Portal Dossier</w:t>
            </w:r>
            <w:r w:rsidRPr="00526311">
              <w:rPr>
                <w:sz w:val="20"/>
              </w:rPr>
              <w:t xml:space="preserve"> de la Cooperación Pentalateral (IP5), que permite el intercambio recíproco de información sobre expedientes entre el sistema CASE y las Oficinas de la Cooperación Pentalateral.  A mediados de 2014, diversas oficinas utilizaban el sistema como parte de un proyecto piloto.  Además, se inscribieron cinco nuevas oficinas para utilizar </w:t>
            </w:r>
            <w:r w:rsidRPr="00526311">
              <w:rPr>
                <w:i/>
                <w:sz w:val="20"/>
              </w:rPr>
              <w:t>WIPO CASE</w:t>
            </w:r>
            <w:r w:rsidRPr="00526311">
              <w:rPr>
                <w:sz w:val="20"/>
              </w:rPr>
              <w:t>, lo que eleva el número total de oficinas participantes en el proyecto a 14.</w:t>
            </w:r>
            <w:r w:rsidRPr="00526311">
              <w:rPr>
                <w:rStyle w:val="FootnoteReference"/>
                <w:sz w:val="20"/>
              </w:rPr>
              <w:footnoteReference w:id="46"/>
            </w:r>
          </w:p>
        </w:tc>
      </w:tr>
    </w:tbl>
    <w:p w:rsidR="00B45FC3" w:rsidRPr="00526311" w:rsidRDefault="00B45FC3" w:rsidP="0063039A">
      <w:pPr>
        <w:jc w:val="both"/>
        <w:rPr>
          <w:bCs/>
          <w:sz w:val="20"/>
        </w:rPr>
      </w:pPr>
    </w:p>
    <w:p w:rsidR="00B45FC3" w:rsidRPr="00526311" w:rsidRDefault="00B45FC3" w:rsidP="00B45FC3">
      <w:pPr>
        <w:pStyle w:val="ListParagraph"/>
        <w:numPr>
          <w:ilvl w:val="0"/>
          <w:numId w:val="66"/>
        </w:numPr>
        <w:tabs>
          <w:tab w:val="left" w:pos="709"/>
        </w:tabs>
        <w:ind w:left="0" w:firstLine="0"/>
        <w:jc w:val="both"/>
        <w:rPr>
          <w:rFonts w:cs="Arial"/>
          <w:bCs/>
          <w:lang w:val="es-ES"/>
        </w:rPr>
      </w:pPr>
      <w:r w:rsidRPr="00526311">
        <w:rPr>
          <w:rFonts w:cs="Arial"/>
          <w:bCs/>
          <w:lang w:val="es-ES"/>
        </w:rPr>
        <w:t>En el diseño, la planificación y el desarrollo de las actividades emprendidas por el programa 15 se tuvieron en cuenta las recomendaciones pertinentes de la Agenda para el Desarrollo, en particular las recomendaciones 1, 2 y 10.</w:t>
      </w:r>
    </w:p>
    <w:p w:rsidR="00B45FC3" w:rsidRPr="00526311" w:rsidRDefault="00B45FC3" w:rsidP="0063039A">
      <w:pPr>
        <w:tabs>
          <w:tab w:val="left" w:pos="709"/>
        </w:tabs>
        <w:jc w:val="both"/>
        <w:rPr>
          <w:bCs/>
          <w:sz w:val="20"/>
        </w:rPr>
      </w:pPr>
    </w:p>
    <w:p w:rsidR="00B45FC3" w:rsidRPr="00526311" w:rsidRDefault="00B45FC3" w:rsidP="0063039A">
      <w:pPr>
        <w:tabs>
          <w:tab w:val="left" w:pos="709"/>
        </w:tabs>
        <w:jc w:val="both"/>
        <w:rPr>
          <w:bCs/>
        </w:rPr>
      </w:pPr>
    </w:p>
    <w:p w:rsidR="00B45FC3" w:rsidRPr="00526311" w:rsidRDefault="00B45FC3">
      <w:pPr>
        <w:rPr>
          <w:szCs w:val="22"/>
        </w:rPr>
      </w:pPr>
      <w:r w:rsidRPr="00526311">
        <w:rPr>
          <w:szCs w:val="22"/>
        </w:rPr>
        <w:br w:type="page"/>
      </w:r>
    </w:p>
    <w:p w:rsidR="00B45FC3" w:rsidRPr="00526311" w:rsidRDefault="00B45FC3" w:rsidP="0063039A">
      <w:pPr>
        <w:rPr>
          <w:szCs w:val="22"/>
        </w:rPr>
      </w:pPr>
      <w:r w:rsidRPr="00526311">
        <w:rPr>
          <w:szCs w:val="22"/>
        </w:rPr>
        <w:lastRenderedPageBreak/>
        <w:t>DATOS SOBRE EL RENDIMIENTO</w:t>
      </w:r>
    </w:p>
    <w:p w:rsidR="00B45FC3" w:rsidRPr="00526311" w:rsidRDefault="00B45FC3" w:rsidP="0063039A">
      <w:pPr>
        <w:tabs>
          <w:tab w:val="left" w:pos="709"/>
        </w:tabs>
        <w:jc w:val="both"/>
        <w:rPr>
          <w:bCs/>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2408"/>
        <w:gridCol w:w="1276"/>
        <w:gridCol w:w="2410"/>
        <w:gridCol w:w="994"/>
      </w:tblGrid>
      <w:tr w:rsidR="00B45FC3" w:rsidRPr="00526311" w:rsidTr="0063039A">
        <w:tc>
          <w:tcPr>
            <w:tcW w:w="5000" w:type="pct"/>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735"/>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sz w:val="16"/>
                <w:szCs w:val="16"/>
              </w:rPr>
              <w:t>IV.4 Mejora en la infraestructura técnica y de conocimientos de las Oficinas y demás instituciones de P.I. que les permita prestar mejores servicios (más económicos, más rápidos y de mejor calidad) a sus partes interesadas</w:t>
            </w:r>
          </w:p>
        </w:tc>
      </w:tr>
      <w:tr w:rsidR="00B45FC3" w:rsidRPr="00526311" w:rsidTr="0063039A">
        <w:tc>
          <w:tcPr>
            <w:tcW w:w="1212" w:type="pct"/>
            <w:tcBorders>
              <w:top w:val="single" w:sz="4" w:space="0" w:color="auto"/>
            </w:tcBorders>
            <w:shd w:val="clear" w:color="auto" w:fill="auto"/>
            <w:vAlign w:val="center"/>
          </w:tcPr>
          <w:p w:rsidR="00B45FC3" w:rsidRPr="00526311" w:rsidRDefault="00B45FC3" w:rsidP="0063039A">
            <w:pPr>
              <w:spacing w:after="40"/>
              <w:rPr>
                <w:sz w:val="16"/>
                <w:szCs w:val="16"/>
              </w:rPr>
            </w:pPr>
            <w:r w:rsidRPr="00526311">
              <w:rPr>
                <w:b/>
                <w:sz w:val="16"/>
                <w:szCs w:val="16"/>
              </w:rPr>
              <w:t>Indicadores de rendimiento</w:t>
            </w:r>
          </w:p>
        </w:tc>
        <w:tc>
          <w:tcPr>
            <w:tcW w:w="1287" w:type="pct"/>
            <w:tcBorders>
              <w:top w:val="single" w:sz="4" w:space="0" w:color="auto"/>
            </w:tcBorders>
            <w:shd w:val="clear" w:color="auto" w:fill="auto"/>
            <w:vAlign w:val="center"/>
          </w:tcPr>
          <w:p w:rsidR="00B45FC3" w:rsidRPr="00526311" w:rsidRDefault="00B45FC3" w:rsidP="0063039A">
            <w:pPr>
              <w:spacing w:after="40"/>
              <w:rPr>
                <w:b/>
                <w:bCs/>
                <w:sz w:val="16"/>
                <w:szCs w:val="16"/>
              </w:rPr>
            </w:pPr>
            <w:r w:rsidRPr="00526311">
              <w:rPr>
                <w:b/>
                <w:bCs/>
                <w:sz w:val="16"/>
                <w:szCs w:val="16"/>
              </w:rPr>
              <w:t>Referencia</w:t>
            </w:r>
          </w:p>
        </w:tc>
        <w:tc>
          <w:tcPr>
            <w:tcW w:w="682" w:type="pct"/>
            <w:tcBorders>
              <w:top w:val="single" w:sz="4" w:space="0" w:color="auto"/>
            </w:tcBorders>
            <w:shd w:val="clear" w:color="auto" w:fill="auto"/>
            <w:tcMar>
              <w:top w:w="110" w:type="dxa"/>
            </w:tcMar>
            <w:vAlign w:val="center"/>
          </w:tcPr>
          <w:p w:rsidR="00B45FC3" w:rsidRPr="00526311" w:rsidRDefault="00B45FC3" w:rsidP="0063039A">
            <w:pPr>
              <w:spacing w:after="40"/>
              <w:rPr>
                <w:b/>
                <w:sz w:val="16"/>
                <w:szCs w:val="16"/>
              </w:rPr>
            </w:pPr>
            <w:r w:rsidRPr="00526311">
              <w:rPr>
                <w:b/>
                <w:sz w:val="16"/>
                <w:szCs w:val="16"/>
              </w:rPr>
              <w:t>Objetivos</w:t>
            </w:r>
          </w:p>
        </w:tc>
        <w:tc>
          <w:tcPr>
            <w:tcW w:w="1288" w:type="pct"/>
            <w:tcBorders>
              <w:top w:val="single" w:sz="4" w:space="0" w:color="auto"/>
            </w:tcBorders>
            <w:shd w:val="clear" w:color="auto" w:fill="FFFFFF"/>
            <w:tcMar>
              <w:top w:w="110" w:type="dxa"/>
            </w:tcMar>
            <w:vAlign w:val="center"/>
          </w:tcPr>
          <w:p w:rsidR="00B45FC3" w:rsidRPr="00526311" w:rsidRDefault="00B45FC3" w:rsidP="0063039A">
            <w:pPr>
              <w:spacing w:after="40"/>
              <w:rPr>
                <w:sz w:val="16"/>
                <w:szCs w:val="16"/>
              </w:rPr>
            </w:pPr>
            <w:r w:rsidRPr="00526311">
              <w:rPr>
                <w:b/>
                <w:sz w:val="16"/>
                <w:szCs w:val="16"/>
              </w:rPr>
              <w:t>Datos sobre el rendimiento</w:t>
            </w:r>
          </w:p>
        </w:tc>
        <w:tc>
          <w:tcPr>
            <w:tcW w:w="531" w:type="pct"/>
            <w:tcBorders>
              <w:top w:val="single" w:sz="4" w:space="0" w:color="auto"/>
            </w:tcBorders>
            <w:shd w:val="clear" w:color="auto" w:fill="auto"/>
            <w:tcMar>
              <w:top w:w="110" w:type="dxa"/>
            </w:tcMar>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c>
          <w:tcPr>
            <w:tcW w:w="1212" w:type="pct"/>
            <w:shd w:val="clear" w:color="auto" w:fill="auto"/>
          </w:tcPr>
          <w:p w:rsidR="00B45FC3" w:rsidRPr="00526311" w:rsidRDefault="00B45FC3" w:rsidP="0063039A">
            <w:pPr>
              <w:rPr>
                <w:sz w:val="16"/>
                <w:szCs w:val="16"/>
              </w:rPr>
            </w:pPr>
            <w:r w:rsidRPr="00526311">
              <w:rPr>
                <w:sz w:val="16"/>
                <w:szCs w:val="16"/>
              </w:rPr>
              <w:t>Número de oficinas que utilizan las plataformas de infraestructura de la OMPI.</w:t>
            </w:r>
          </w:p>
        </w:tc>
        <w:tc>
          <w:tcPr>
            <w:tcW w:w="1287" w:type="pct"/>
            <w:shd w:val="clear" w:color="auto" w:fill="auto"/>
          </w:tcPr>
          <w:p w:rsidR="00B45FC3" w:rsidRPr="00526311" w:rsidRDefault="00B45FC3" w:rsidP="0063039A">
            <w:pPr>
              <w:rPr>
                <w:i/>
                <w:color w:val="002060"/>
                <w:sz w:val="16"/>
                <w:szCs w:val="16"/>
              </w:rPr>
            </w:pPr>
            <w:r w:rsidRPr="00526311">
              <w:rPr>
                <w:i/>
                <w:color w:val="002060"/>
                <w:sz w:val="16"/>
                <w:szCs w:val="16"/>
              </w:rPr>
              <w:t xml:space="preserve">Referencia actualizada a fines de 2013:  </w:t>
            </w:r>
          </w:p>
          <w:p w:rsidR="00B45FC3" w:rsidRPr="00526311" w:rsidRDefault="00B45FC3" w:rsidP="0063039A">
            <w:pPr>
              <w:spacing w:after="120"/>
              <w:rPr>
                <w:color w:val="002060"/>
                <w:sz w:val="16"/>
                <w:szCs w:val="16"/>
              </w:rPr>
            </w:pPr>
            <w:r w:rsidRPr="00526311">
              <w:rPr>
                <w:color w:val="002060"/>
                <w:sz w:val="16"/>
                <w:szCs w:val="16"/>
              </w:rPr>
              <w:t>Asia y el Pacífico (4): China, Mongolia, Singapur, Viet Nam</w:t>
            </w:r>
          </w:p>
          <w:p w:rsidR="00B45FC3" w:rsidRPr="00526311" w:rsidRDefault="00B45FC3" w:rsidP="0063039A">
            <w:pPr>
              <w:rPr>
                <w:color w:val="002060"/>
                <w:sz w:val="16"/>
                <w:szCs w:val="16"/>
              </w:rPr>
            </w:pPr>
            <w:r w:rsidRPr="00526311">
              <w:rPr>
                <w:color w:val="002060"/>
                <w:sz w:val="16"/>
                <w:szCs w:val="16"/>
              </w:rPr>
              <w:t>Otras (12): Australia, Canadá, Dinamarca, España, Estados Unidos de América, Finlandia, Israel, Japón, Nueva Zelandia, Reino Unido, República de Corea, Suecia (16 (en total))</w:t>
            </w:r>
          </w:p>
          <w:p w:rsidR="00B45FC3" w:rsidRPr="00526311" w:rsidRDefault="00B45FC3" w:rsidP="0063039A">
            <w:pPr>
              <w:rPr>
                <w:i/>
                <w:sz w:val="8"/>
                <w:szCs w:val="8"/>
              </w:rPr>
            </w:pPr>
          </w:p>
          <w:p w:rsidR="00B45FC3" w:rsidRPr="00526311" w:rsidRDefault="00B45FC3" w:rsidP="0063039A">
            <w:pPr>
              <w:rPr>
                <w:sz w:val="16"/>
                <w:szCs w:val="16"/>
              </w:rPr>
            </w:pPr>
            <w:r w:rsidRPr="00526311">
              <w:rPr>
                <w:i/>
                <w:sz w:val="16"/>
                <w:szCs w:val="16"/>
              </w:rPr>
              <w:t>Referencia original en el presupuesto de 2014/15:</w:t>
            </w:r>
            <w:r w:rsidRPr="00526311">
              <w:rPr>
                <w:sz w:val="16"/>
                <w:szCs w:val="16"/>
              </w:rPr>
              <w:t xml:space="preserve">  Norteamérica - 2  </w:t>
            </w:r>
          </w:p>
          <w:p w:rsidR="00B45FC3" w:rsidRPr="00526311" w:rsidRDefault="00B45FC3" w:rsidP="0063039A">
            <w:pPr>
              <w:rPr>
                <w:sz w:val="16"/>
                <w:szCs w:val="16"/>
              </w:rPr>
            </w:pPr>
            <w:r w:rsidRPr="00526311">
              <w:rPr>
                <w:sz w:val="16"/>
                <w:szCs w:val="16"/>
              </w:rPr>
              <w:t xml:space="preserve">Europa Occidental - 7  </w:t>
            </w:r>
          </w:p>
          <w:p w:rsidR="00B45FC3" w:rsidRPr="00526311" w:rsidRDefault="00B45FC3" w:rsidP="0063039A">
            <w:pPr>
              <w:rPr>
                <w:sz w:val="16"/>
                <w:szCs w:val="16"/>
              </w:rPr>
            </w:pPr>
            <w:r w:rsidRPr="00526311">
              <w:rPr>
                <w:sz w:val="16"/>
                <w:szCs w:val="16"/>
              </w:rPr>
              <w:t xml:space="preserve">Asia y el Pacífico - 6 </w:t>
            </w:r>
          </w:p>
        </w:tc>
        <w:tc>
          <w:tcPr>
            <w:tcW w:w="682" w:type="pct"/>
            <w:shd w:val="clear" w:color="auto" w:fill="auto"/>
            <w:tcMar>
              <w:top w:w="110" w:type="dxa"/>
            </w:tcMar>
          </w:tcPr>
          <w:p w:rsidR="00B45FC3" w:rsidRPr="00526311" w:rsidRDefault="00B45FC3" w:rsidP="0063039A">
            <w:pPr>
              <w:rPr>
                <w:color w:val="000000" w:themeColor="text1"/>
                <w:sz w:val="16"/>
                <w:szCs w:val="16"/>
              </w:rPr>
            </w:pPr>
            <w:r w:rsidRPr="00526311">
              <w:rPr>
                <w:sz w:val="16"/>
                <w:szCs w:val="16"/>
              </w:rPr>
              <w:t>25 (desglose por región)</w:t>
            </w:r>
          </w:p>
        </w:tc>
        <w:tc>
          <w:tcPr>
            <w:tcW w:w="1288" w:type="pct"/>
            <w:shd w:val="clear" w:color="auto" w:fill="FFFFFF"/>
            <w:tcMar>
              <w:top w:w="110" w:type="dxa"/>
            </w:tcMar>
          </w:tcPr>
          <w:p w:rsidR="00B45FC3" w:rsidRPr="00526311" w:rsidRDefault="00B45FC3">
            <w:pPr>
              <w:rPr>
                <w:color w:val="000000" w:themeColor="text1"/>
                <w:sz w:val="16"/>
                <w:szCs w:val="16"/>
                <w:lang w:bidi="th-TH"/>
              </w:rPr>
            </w:pPr>
            <w:r w:rsidRPr="00526311">
              <w:rPr>
                <w:color w:val="000000" w:themeColor="text1"/>
                <w:sz w:val="16"/>
                <w:szCs w:val="16"/>
                <w:lang w:bidi="th-TH"/>
              </w:rPr>
              <w:t>5 oficinas más en Asia y el Pacífico: Brunei Darussalam, Filipinas, India, Indonesia, Malasia</w:t>
            </w:r>
          </w:p>
          <w:p w:rsidR="00B45FC3" w:rsidRPr="00526311" w:rsidRDefault="00B45FC3" w:rsidP="0063039A">
            <w:pPr>
              <w:rPr>
                <w:color w:val="000000" w:themeColor="text1"/>
                <w:sz w:val="16"/>
                <w:szCs w:val="16"/>
              </w:rPr>
            </w:pPr>
            <w:r w:rsidRPr="00526311">
              <w:rPr>
                <w:sz w:val="16"/>
                <w:szCs w:val="16"/>
              </w:rPr>
              <w:t>21 (en total)</w:t>
            </w:r>
          </w:p>
        </w:tc>
        <w:tc>
          <w:tcPr>
            <w:tcW w:w="531" w:type="pct"/>
            <w:shd w:val="clear" w:color="auto" w:fill="auto"/>
            <w:tcMar>
              <w:top w:w="110" w:type="dxa"/>
            </w:tcMar>
          </w:tcPr>
          <w:p w:rsidR="00B45FC3" w:rsidRPr="00526311" w:rsidRDefault="00B45FC3" w:rsidP="0063039A">
            <w:pPr>
              <w:keepNext/>
              <w:keepLines/>
              <w:ind w:left="-107"/>
              <w:jc w:val="center"/>
              <w:rPr>
                <w:b/>
                <w:bCs/>
                <w:color w:val="00B050"/>
                <w:sz w:val="16"/>
                <w:szCs w:val="16"/>
              </w:rPr>
            </w:pPr>
            <w:r w:rsidRPr="00526311">
              <w:rPr>
                <w:b/>
                <w:bCs/>
                <w:color w:val="00B050"/>
                <w:sz w:val="16"/>
                <w:szCs w:val="16"/>
              </w:rPr>
              <w:t>Avanza</w:t>
            </w:r>
          </w:p>
        </w:tc>
      </w:tr>
      <w:tr w:rsidR="00B45FC3" w:rsidRPr="00526311" w:rsidTr="0063039A">
        <w:tc>
          <w:tcPr>
            <w:tcW w:w="1212" w:type="pct"/>
            <w:shd w:val="clear" w:color="auto" w:fill="auto"/>
          </w:tcPr>
          <w:p w:rsidR="00B45FC3" w:rsidRPr="00526311" w:rsidRDefault="00B45FC3" w:rsidP="0063039A">
            <w:pPr>
              <w:ind w:firstLineChars="3" w:firstLine="5"/>
              <w:rPr>
                <w:sz w:val="16"/>
                <w:szCs w:val="16"/>
              </w:rPr>
            </w:pPr>
            <w:r w:rsidRPr="00526311">
              <w:rPr>
                <w:sz w:val="16"/>
                <w:szCs w:val="16"/>
              </w:rPr>
              <w:t>Media del nivel de los servicios prestados por las Oficinas de P.I. que reciben asistencia (en una escala del 1 al 5).</w:t>
            </w:r>
          </w:p>
        </w:tc>
        <w:tc>
          <w:tcPr>
            <w:tcW w:w="1287" w:type="pct"/>
            <w:shd w:val="clear" w:color="auto" w:fill="auto"/>
          </w:tcPr>
          <w:p w:rsidR="00B45FC3" w:rsidRPr="00526311" w:rsidRDefault="00B45FC3" w:rsidP="0063039A">
            <w:pPr>
              <w:rPr>
                <w:color w:val="002060"/>
                <w:sz w:val="16"/>
                <w:szCs w:val="16"/>
              </w:rPr>
            </w:pPr>
            <w:r w:rsidRPr="00526311">
              <w:rPr>
                <w:i/>
                <w:color w:val="002060"/>
                <w:sz w:val="16"/>
                <w:szCs w:val="16"/>
              </w:rPr>
              <w:t>Referencia actualizada a fines de 2013:</w:t>
            </w:r>
            <w:r w:rsidRPr="00526311">
              <w:rPr>
                <w:color w:val="002060"/>
                <w:sz w:val="16"/>
                <w:szCs w:val="16"/>
              </w:rPr>
              <w:t xml:space="preserve">  </w:t>
            </w:r>
            <w:r w:rsidRPr="00526311">
              <w:rPr>
                <w:color w:val="000000" w:themeColor="text1"/>
                <w:sz w:val="16"/>
                <w:szCs w:val="16"/>
              </w:rPr>
              <w:t>2,8</w:t>
            </w:r>
          </w:p>
          <w:p w:rsidR="00B45FC3" w:rsidRPr="00526311" w:rsidRDefault="00B45FC3" w:rsidP="0063039A">
            <w:pPr>
              <w:rPr>
                <w:i/>
                <w:sz w:val="8"/>
                <w:szCs w:val="8"/>
              </w:rPr>
            </w:pPr>
          </w:p>
          <w:p w:rsidR="00B45FC3" w:rsidRPr="00526311" w:rsidRDefault="00B45FC3" w:rsidP="0063039A">
            <w:pPr>
              <w:rPr>
                <w:sz w:val="16"/>
                <w:szCs w:val="16"/>
              </w:rPr>
            </w:pPr>
            <w:r w:rsidRPr="00526311">
              <w:rPr>
                <w:i/>
                <w:sz w:val="16"/>
                <w:szCs w:val="16"/>
              </w:rPr>
              <w:t>Referencia original en el presupuesto de 2014/15:</w:t>
            </w:r>
            <w:r w:rsidRPr="00526311">
              <w:rPr>
                <w:sz w:val="16"/>
                <w:szCs w:val="16"/>
              </w:rPr>
              <w:t xml:space="preserve">  por determinar</w:t>
            </w:r>
          </w:p>
          <w:p w:rsidR="00B45FC3" w:rsidRPr="00526311" w:rsidRDefault="00B45FC3" w:rsidP="0063039A">
            <w:pPr>
              <w:rPr>
                <w:sz w:val="16"/>
                <w:szCs w:val="16"/>
              </w:rPr>
            </w:pPr>
          </w:p>
        </w:tc>
        <w:tc>
          <w:tcPr>
            <w:tcW w:w="682" w:type="pct"/>
            <w:shd w:val="clear" w:color="auto" w:fill="auto"/>
            <w:tcMar>
              <w:top w:w="110" w:type="dxa"/>
            </w:tcMar>
          </w:tcPr>
          <w:p w:rsidR="00B45FC3" w:rsidRPr="00526311" w:rsidRDefault="00B45FC3" w:rsidP="0063039A">
            <w:pPr>
              <w:pStyle w:val="Default"/>
              <w:rPr>
                <w:rFonts w:eastAsia="Times New Roman"/>
                <w:color w:val="002060"/>
                <w:sz w:val="16"/>
                <w:szCs w:val="16"/>
                <w:lang w:val="es-ES" w:eastAsia="en-US"/>
              </w:rPr>
            </w:pPr>
            <w:r w:rsidRPr="00526311">
              <w:rPr>
                <w:rFonts w:eastAsia="Times New Roman"/>
                <w:i/>
                <w:color w:val="002060"/>
                <w:sz w:val="16"/>
                <w:szCs w:val="16"/>
                <w:lang w:val="es-ES" w:eastAsia="en-US"/>
              </w:rPr>
              <w:t xml:space="preserve">Objetivo definido: </w:t>
            </w:r>
            <w:r w:rsidRPr="00526311">
              <w:rPr>
                <w:rFonts w:eastAsia="Times New Roman"/>
                <w:color w:val="002060"/>
                <w:sz w:val="16"/>
                <w:szCs w:val="16"/>
                <w:lang w:val="es-ES" w:eastAsia="en-US"/>
              </w:rPr>
              <w:t>3</w:t>
            </w:r>
          </w:p>
          <w:p w:rsidR="00B45FC3" w:rsidRPr="00526311" w:rsidRDefault="00B45FC3" w:rsidP="0063039A">
            <w:pPr>
              <w:pStyle w:val="Default"/>
              <w:rPr>
                <w:rFonts w:eastAsia="Times New Roman"/>
                <w:color w:val="002060"/>
                <w:sz w:val="16"/>
                <w:szCs w:val="16"/>
                <w:lang w:val="es-ES" w:eastAsia="en-US"/>
              </w:rPr>
            </w:pPr>
          </w:p>
          <w:p w:rsidR="00B45FC3" w:rsidRPr="00526311" w:rsidRDefault="00B45FC3" w:rsidP="0063039A">
            <w:pPr>
              <w:pStyle w:val="Default"/>
              <w:rPr>
                <w:color w:val="000000" w:themeColor="text1"/>
                <w:sz w:val="16"/>
                <w:szCs w:val="16"/>
                <w:lang w:val="es-ES"/>
              </w:rPr>
            </w:pPr>
            <w:r w:rsidRPr="00526311">
              <w:rPr>
                <w:rFonts w:eastAsia="Times New Roman"/>
                <w:i/>
                <w:color w:val="002060"/>
                <w:sz w:val="16"/>
                <w:szCs w:val="16"/>
                <w:lang w:val="es-ES" w:eastAsia="en-US"/>
              </w:rPr>
              <w:t xml:space="preserve">Objetivo original en el presup. de 2014/15:  </w:t>
            </w:r>
            <w:r w:rsidRPr="00526311">
              <w:rPr>
                <w:rFonts w:eastAsia="Times New Roman"/>
                <w:color w:val="002060"/>
                <w:sz w:val="16"/>
                <w:szCs w:val="16"/>
                <w:lang w:val="es-ES" w:eastAsia="en-US"/>
              </w:rPr>
              <w:t>por determinar</w:t>
            </w:r>
          </w:p>
        </w:tc>
        <w:tc>
          <w:tcPr>
            <w:tcW w:w="1288" w:type="pct"/>
            <w:shd w:val="clear" w:color="auto" w:fill="FFFFFF"/>
            <w:tcMar>
              <w:top w:w="110" w:type="dxa"/>
            </w:tcMar>
          </w:tcPr>
          <w:p w:rsidR="00B45FC3" w:rsidRPr="00526311" w:rsidRDefault="00B45FC3" w:rsidP="0063039A">
            <w:pPr>
              <w:rPr>
                <w:color w:val="000000" w:themeColor="text1"/>
                <w:sz w:val="16"/>
                <w:szCs w:val="16"/>
              </w:rPr>
            </w:pPr>
            <w:r w:rsidRPr="00526311">
              <w:rPr>
                <w:color w:val="000000" w:themeColor="text1"/>
                <w:sz w:val="16"/>
                <w:szCs w:val="16"/>
              </w:rPr>
              <w:t>Promedio general: 2,9</w:t>
            </w:r>
          </w:p>
          <w:p w:rsidR="00B45FC3" w:rsidRPr="00526311" w:rsidRDefault="00B45FC3" w:rsidP="00B45FC3">
            <w:pPr>
              <w:pStyle w:val="ListParagraph"/>
              <w:numPr>
                <w:ilvl w:val="0"/>
                <w:numId w:val="51"/>
              </w:numPr>
              <w:rPr>
                <w:sz w:val="16"/>
                <w:szCs w:val="16"/>
                <w:lang w:val="es-ES"/>
              </w:rPr>
            </w:pPr>
            <w:r w:rsidRPr="00526311">
              <w:rPr>
                <w:sz w:val="16"/>
                <w:szCs w:val="16"/>
                <w:lang w:val="es-ES"/>
              </w:rPr>
              <w:t>África:  3</w:t>
            </w:r>
          </w:p>
          <w:p w:rsidR="00B45FC3" w:rsidRPr="00526311" w:rsidRDefault="00B45FC3" w:rsidP="00B45FC3">
            <w:pPr>
              <w:pStyle w:val="ListParagraph"/>
              <w:numPr>
                <w:ilvl w:val="0"/>
                <w:numId w:val="51"/>
              </w:numPr>
              <w:rPr>
                <w:sz w:val="16"/>
                <w:szCs w:val="16"/>
                <w:lang w:val="es-ES"/>
              </w:rPr>
            </w:pPr>
            <w:r w:rsidRPr="00526311">
              <w:rPr>
                <w:sz w:val="16"/>
                <w:szCs w:val="16"/>
                <w:lang w:val="es-ES"/>
              </w:rPr>
              <w:t>Región de los países árabes:  2,7</w:t>
            </w:r>
          </w:p>
          <w:p w:rsidR="00B45FC3" w:rsidRPr="00526311" w:rsidRDefault="00B45FC3" w:rsidP="00B45FC3">
            <w:pPr>
              <w:pStyle w:val="ListParagraph"/>
              <w:numPr>
                <w:ilvl w:val="0"/>
                <w:numId w:val="51"/>
              </w:numPr>
              <w:rPr>
                <w:sz w:val="16"/>
                <w:szCs w:val="16"/>
                <w:lang w:val="es-ES"/>
              </w:rPr>
            </w:pPr>
            <w:r w:rsidRPr="00526311">
              <w:rPr>
                <w:sz w:val="16"/>
                <w:szCs w:val="16"/>
                <w:lang w:val="es-ES"/>
              </w:rPr>
              <w:t>Asia y el Pacífico:  2,7</w:t>
            </w:r>
          </w:p>
          <w:p w:rsidR="00B45FC3" w:rsidRPr="00526311" w:rsidRDefault="00B45FC3" w:rsidP="00B45FC3">
            <w:pPr>
              <w:pStyle w:val="ListParagraph"/>
              <w:numPr>
                <w:ilvl w:val="0"/>
                <w:numId w:val="51"/>
              </w:numPr>
              <w:rPr>
                <w:sz w:val="16"/>
                <w:szCs w:val="16"/>
                <w:lang w:val="es-ES"/>
              </w:rPr>
            </w:pPr>
            <w:r w:rsidRPr="00526311">
              <w:rPr>
                <w:sz w:val="16"/>
                <w:szCs w:val="16"/>
                <w:lang w:val="es-ES"/>
              </w:rPr>
              <w:t>Determinados países de Europa y Asia:  3,2</w:t>
            </w:r>
          </w:p>
          <w:p w:rsidR="00B45FC3" w:rsidRPr="00526311" w:rsidRDefault="00B45FC3" w:rsidP="00B45FC3">
            <w:pPr>
              <w:pStyle w:val="ListParagraph"/>
              <w:numPr>
                <w:ilvl w:val="0"/>
                <w:numId w:val="51"/>
              </w:numPr>
              <w:rPr>
                <w:sz w:val="16"/>
                <w:szCs w:val="16"/>
                <w:lang w:val="es-ES"/>
              </w:rPr>
            </w:pPr>
            <w:r w:rsidRPr="00526311">
              <w:rPr>
                <w:sz w:val="16"/>
                <w:szCs w:val="16"/>
                <w:lang w:val="es-ES"/>
              </w:rPr>
              <w:t>América Latina y el Caribe:  3,1</w:t>
            </w:r>
          </w:p>
          <w:p w:rsidR="00B45FC3" w:rsidRPr="00526311" w:rsidRDefault="00B45FC3" w:rsidP="00B45FC3">
            <w:pPr>
              <w:pStyle w:val="ListParagraph"/>
              <w:numPr>
                <w:ilvl w:val="0"/>
                <w:numId w:val="51"/>
              </w:numPr>
              <w:rPr>
                <w:sz w:val="16"/>
                <w:szCs w:val="16"/>
                <w:lang w:val="es-ES"/>
              </w:rPr>
            </w:pPr>
            <w:r w:rsidRPr="00526311">
              <w:rPr>
                <w:sz w:val="16"/>
                <w:szCs w:val="16"/>
                <w:lang w:val="es-ES"/>
              </w:rPr>
              <w:t>Otros:  2,4</w:t>
            </w:r>
          </w:p>
          <w:p w:rsidR="00B45FC3" w:rsidRPr="00526311" w:rsidRDefault="00B45FC3" w:rsidP="0063039A">
            <w:pPr>
              <w:rPr>
                <w:color w:val="000000" w:themeColor="text1"/>
                <w:sz w:val="16"/>
                <w:szCs w:val="16"/>
              </w:rPr>
            </w:pPr>
          </w:p>
        </w:tc>
        <w:tc>
          <w:tcPr>
            <w:tcW w:w="531" w:type="pct"/>
            <w:shd w:val="clear" w:color="auto" w:fill="auto"/>
            <w:tcMar>
              <w:top w:w="110" w:type="dxa"/>
            </w:tcMar>
          </w:tcPr>
          <w:p w:rsidR="00B45FC3" w:rsidRPr="00526311" w:rsidRDefault="00B45FC3" w:rsidP="0063039A">
            <w:pPr>
              <w:keepNext/>
              <w:keepLines/>
              <w:ind w:left="-107"/>
              <w:jc w:val="center"/>
              <w:rPr>
                <w:rStyle w:val="StyleStyleHeading3ComplexItalicLatin12ptChar"/>
                <w:color w:val="00B050"/>
                <w:sz w:val="16"/>
                <w:szCs w:val="16"/>
              </w:rPr>
            </w:pPr>
            <w:r w:rsidRPr="00526311">
              <w:rPr>
                <w:b/>
                <w:bCs/>
                <w:color w:val="00B050"/>
                <w:sz w:val="16"/>
                <w:szCs w:val="16"/>
              </w:rPr>
              <w:t>Avanza</w:t>
            </w:r>
          </w:p>
        </w:tc>
      </w:tr>
      <w:tr w:rsidR="00B45FC3" w:rsidRPr="00526311" w:rsidTr="0063039A">
        <w:tc>
          <w:tcPr>
            <w:tcW w:w="1212" w:type="pct"/>
            <w:shd w:val="clear" w:color="auto" w:fill="auto"/>
          </w:tcPr>
          <w:p w:rsidR="00B45FC3" w:rsidRPr="00526311" w:rsidRDefault="00B45FC3" w:rsidP="0063039A">
            <w:pPr>
              <w:ind w:firstLineChars="3" w:firstLine="5"/>
              <w:rPr>
                <w:sz w:val="16"/>
                <w:szCs w:val="16"/>
              </w:rPr>
            </w:pPr>
            <w:r w:rsidRPr="00526311">
              <w:rPr>
                <w:sz w:val="16"/>
                <w:szCs w:val="16"/>
              </w:rPr>
              <w:t xml:space="preserve">Número de OGC de países en desarrollo y PMA que participan en las redes regionales y mundiales facilitadas por la OMPI. </w:t>
            </w:r>
          </w:p>
          <w:p w:rsidR="00B45FC3" w:rsidRPr="00526311" w:rsidRDefault="00B45FC3" w:rsidP="0063039A">
            <w:pPr>
              <w:ind w:firstLineChars="3" w:firstLine="5"/>
              <w:rPr>
                <w:sz w:val="16"/>
                <w:szCs w:val="16"/>
              </w:rPr>
            </w:pPr>
          </w:p>
        </w:tc>
        <w:tc>
          <w:tcPr>
            <w:tcW w:w="1287" w:type="pct"/>
            <w:shd w:val="clear" w:color="auto" w:fill="auto"/>
          </w:tcPr>
          <w:p w:rsidR="00B45FC3" w:rsidRPr="00526311" w:rsidRDefault="00B45FC3" w:rsidP="0063039A">
            <w:pPr>
              <w:rPr>
                <w:i/>
                <w:sz w:val="16"/>
                <w:szCs w:val="16"/>
              </w:rPr>
            </w:pPr>
            <w:r w:rsidRPr="00526311">
              <w:rPr>
                <w:sz w:val="16"/>
                <w:szCs w:val="16"/>
              </w:rPr>
              <w:t>0</w:t>
            </w:r>
          </w:p>
        </w:tc>
        <w:tc>
          <w:tcPr>
            <w:tcW w:w="682" w:type="pct"/>
            <w:shd w:val="clear" w:color="auto" w:fill="auto"/>
            <w:tcMar>
              <w:top w:w="110" w:type="dxa"/>
            </w:tcMar>
          </w:tcPr>
          <w:p w:rsidR="00B45FC3" w:rsidRPr="00526311" w:rsidRDefault="00B45FC3" w:rsidP="0063039A">
            <w:pPr>
              <w:pStyle w:val="Default"/>
              <w:rPr>
                <w:i/>
                <w:color w:val="auto"/>
                <w:sz w:val="16"/>
                <w:szCs w:val="16"/>
                <w:lang w:val="es-ES"/>
              </w:rPr>
            </w:pPr>
            <w:r w:rsidRPr="00526311">
              <w:rPr>
                <w:color w:val="auto"/>
                <w:sz w:val="16"/>
                <w:szCs w:val="16"/>
                <w:lang w:val="es-ES"/>
              </w:rPr>
              <w:t>10</w:t>
            </w:r>
          </w:p>
        </w:tc>
        <w:tc>
          <w:tcPr>
            <w:tcW w:w="1288" w:type="pct"/>
            <w:shd w:val="clear" w:color="auto" w:fill="FFFFFF"/>
            <w:tcMar>
              <w:top w:w="110" w:type="dxa"/>
            </w:tcMar>
          </w:tcPr>
          <w:p w:rsidR="00B45FC3" w:rsidRPr="00526311" w:rsidRDefault="00B45FC3" w:rsidP="0063039A">
            <w:pPr>
              <w:rPr>
                <w:color w:val="000000" w:themeColor="text1"/>
                <w:sz w:val="16"/>
                <w:szCs w:val="16"/>
              </w:rPr>
            </w:pPr>
            <w:r w:rsidRPr="00526311">
              <w:rPr>
                <w:color w:val="000000" w:themeColor="text1"/>
                <w:sz w:val="16"/>
                <w:szCs w:val="16"/>
                <w:lang w:bidi="th-TH"/>
              </w:rPr>
              <w:t>Se está desarrollando el sistema WCC y está previsto ponerlo en funcionamiento en 2015.</w:t>
            </w:r>
          </w:p>
        </w:tc>
        <w:tc>
          <w:tcPr>
            <w:tcW w:w="531" w:type="pct"/>
            <w:shd w:val="clear" w:color="auto" w:fill="auto"/>
            <w:tcMar>
              <w:top w:w="110" w:type="dxa"/>
            </w:tcMar>
          </w:tcPr>
          <w:p w:rsidR="00B45FC3" w:rsidRPr="00526311" w:rsidRDefault="0009498A" w:rsidP="00A54CE8">
            <w:pPr>
              <w:rPr>
                <w:b/>
                <w:color w:val="808080"/>
                <w:sz w:val="16"/>
                <w:szCs w:val="16"/>
              </w:rPr>
            </w:pPr>
            <w:bookmarkStart w:id="56" w:name="_Toc422755473"/>
            <w:r w:rsidRPr="00526311">
              <w:rPr>
                <w:b/>
                <w:color w:val="0070C0"/>
                <w:sz w:val="16"/>
                <w:szCs w:val="16"/>
              </w:rPr>
              <w:t>N</w:t>
            </w:r>
            <w:r w:rsidR="00A54CE8" w:rsidRPr="00526311">
              <w:rPr>
                <w:b/>
                <w:color w:val="0070C0"/>
                <w:sz w:val="16"/>
                <w:szCs w:val="16"/>
              </w:rPr>
              <w:t>.d</w:t>
            </w:r>
            <w:r w:rsidR="00B45FC3" w:rsidRPr="00526311">
              <w:rPr>
                <w:b/>
                <w:color w:val="0070C0"/>
                <w:sz w:val="16"/>
                <w:szCs w:val="16"/>
              </w:rPr>
              <w:t>. para 2014</w:t>
            </w:r>
            <w:bookmarkEnd w:id="56"/>
            <w:r w:rsidR="00B45FC3" w:rsidRPr="00526311" w:rsidDel="008E5DB1">
              <w:rPr>
                <w:rStyle w:val="StyleStyleHeading3ComplexItalicLatin12ptChar"/>
                <w:b w:val="0"/>
                <w:color w:val="0070C0"/>
                <w:sz w:val="16"/>
                <w:szCs w:val="16"/>
              </w:rPr>
              <w:t xml:space="preserve"> </w:t>
            </w:r>
          </w:p>
        </w:tc>
      </w:tr>
    </w:tbl>
    <w:p w:rsidR="00B45FC3" w:rsidRPr="00526311" w:rsidRDefault="00B45FC3" w:rsidP="0063039A">
      <w:pPr>
        <w:jc w:val="both"/>
        <w:rPr>
          <w:bCs/>
        </w:rPr>
      </w:pPr>
    </w:p>
    <w:p w:rsidR="00B45FC3" w:rsidRPr="00526311" w:rsidRDefault="00B45FC3">
      <w:pPr>
        <w:rPr>
          <w:color w:val="000000"/>
        </w:rPr>
      </w:pPr>
    </w:p>
    <w:p w:rsidR="00B45FC3" w:rsidRPr="00526311" w:rsidRDefault="00B45FC3" w:rsidP="0063039A">
      <w:pPr>
        <w:jc w:val="both"/>
        <w:rPr>
          <w:b/>
        </w:rPr>
      </w:pPr>
      <w:r w:rsidRPr="00526311">
        <w:rPr>
          <w:szCs w:val="22"/>
        </w:rPr>
        <w:t>UTILIZACIÓN DE LOS RECURSOS</w:t>
      </w:r>
    </w:p>
    <w:p w:rsidR="00B45FC3" w:rsidRPr="00526311" w:rsidRDefault="00B45FC3" w:rsidP="0063039A">
      <w:pPr>
        <w:jc w:val="both"/>
      </w:pPr>
    </w:p>
    <w:p w:rsidR="00B45FC3" w:rsidRPr="00526311" w:rsidRDefault="00B45FC3" w:rsidP="0063039A">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B45FC3" w:rsidRPr="00526311" w:rsidRDefault="00B45FC3"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pStyle w:val="NormalWeb"/>
        <w:spacing w:before="0" w:beforeAutospacing="0" w:after="0" w:afterAutospacing="0"/>
        <w:jc w:val="both"/>
        <w:rPr>
          <w:sz w:val="20"/>
          <w:szCs w:val="20"/>
          <w:lang w:val="es-ES"/>
        </w:rPr>
      </w:pPr>
    </w:p>
    <w:p w:rsidR="00B45FC3" w:rsidRPr="00526311" w:rsidRDefault="00DD7B62" w:rsidP="0063039A">
      <w:pPr>
        <w:jc w:val="center"/>
      </w:pPr>
      <w:r w:rsidRPr="00526311">
        <w:rPr>
          <w:noProof/>
          <w:lang w:val="en-US" w:eastAsia="en-US"/>
        </w:rPr>
        <w:drawing>
          <wp:inline distT="0" distB="0" distL="0" distR="0" wp14:anchorId="04F69CEA" wp14:editId="03EE6BEB">
            <wp:extent cx="5762625" cy="1409700"/>
            <wp:effectExtent l="0" t="0" r="9525"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2625" cy="1409700"/>
                    </a:xfrm>
                    <a:prstGeom prst="rect">
                      <a:avLst/>
                    </a:prstGeom>
                    <a:noFill/>
                    <a:ln>
                      <a:noFill/>
                    </a:ln>
                  </pic:spPr>
                </pic:pic>
              </a:graphicData>
            </a:graphic>
          </wp:inline>
        </w:drawing>
      </w:r>
    </w:p>
    <w:p w:rsidR="00B45FC3" w:rsidRPr="00526311" w:rsidRDefault="00B45FC3" w:rsidP="0063039A">
      <w:pPr>
        <w:jc w:val="both"/>
      </w:pPr>
    </w:p>
    <w:p w:rsidR="00B45FC3" w:rsidRPr="00526311" w:rsidRDefault="00B45FC3" w:rsidP="0063039A">
      <w:pPr>
        <w:jc w:val="both"/>
      </w:pPr>
    </w:p>
    <w:p w:rsidR="00B45FC3" w:rsidRPr="00526311" w:rsidRDefault="00B45FC3" w:rsidP="0063039A">
      <w:pPr>
        <w:pStyle w:val="NormalWeb"/>
        <w:keepNext/>
        <w:keepLines/>
        <w:spacing w:before="0" w:beforeAutospacing="0" w:after="0" w:afterAutospacing="0"/>
        <w:jc w:val="center"/>
        <w:rPr>
          <w:sz w:val="20"/>
          <w:szCs w:val="20"/>
          <w:lang w:val="es-ES"/>
        </w:rPr>
      </w:pPr>
      <w:r w:rsidRPr="00526311">
        <w:rPr>
          <w:sz w:val="20"/>
          <w:szCs w:val="20"/>
          <w:lang w:val="es-ES"/>
        </w:rPr>
        <w:lastRenderedPageBreak/>
        <w:t>Presupuesto y gastos reales (de personal y no relativos a personal)</w:t>
      </w:r>
    </w:p>
    <w:p w:rsidR="00B45FC3" w:rsidRPr="00526311" w:rsidRDefault="00B45FC3"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pStyle w:val="NormalWeb"/>
        <w:keepNext/>
        <w:keepLines/>
        <w:spacing w:before="0" w:beforeAutospacing="0" w:after="0" w:afterAutospacing="0"/>
        <w:jc w:val="both"/>
        <w:rPr>
          <w:sz w:val="20"/>
          <w:szCs w:val="20"/>
          <w:lang w:val="es-ES"/>
        </w:rPr>
      </w:pPr>
    </w:p>
    <w:p w:rsidR="00B45FC3" w:rsidRPr="00526311" w:rsidRDefault="00FF6E74" w:rsidP="0063039A">
      <w:pPr>
        <w:jc w:val="center"/>
      </w:pPr>
      <w:bookmarkStart w:id="57" w:name="Punto15"/>
      <w:r w:rsidRPr="00526311">
        <w:rPr>
          <w:noProof/>
          <w:lang w:val="en-US" w:eastAsia="en-US"/>
        </w:rPr>
        <w:drawing>
          <wp:inline distT="0" distB="0" distL="0" distR="0" wp14:anchorId="6CAEBE9B" wp14:editId="06D32EE8">
            <wp:extent cx="5940425" cy="1231877"/>
            <wp:effectExtent l="0" t="0" r="3175" b="698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0425" cy="1231877"/>
                    </a:xfrm>
                    <a:prstGeom prst="rect">
                      <a:avLst/>
                    </a:prstGeom>
                    <a:noFill/>
                    <a:ln>
                      <a:noFill/>
                    </a:ln>
                  </pic:spPr>
                </pic:pic>
              </a:graphicData>
            </a:graphic>
          </wp:inline>
        </w:drawing>
      </w:r>
      <w:bookmarkEnd w:id="57"/>
    </w:p>
    <w:p w:rsidR="00B45FC3" w:rsidRPr="00526311" w:rsidRDefault="00B45FC3" w:rsidP="0063039A">
      <w:pPr>
        <w:widowControl w:val="0"/>
        <w:autoSpaceDE w:val="0"/>
        <w:autoSpaceDN w:val="0"/>
        <w:adjustRightInd w:val="0"/>
        <w:jc w:val="both"/>
        <w:rPr>
          <w:i/>
          <w:sz w:val="16"/>
          <w:szCs w:val="16"/>
        </w:rPr>
      </w:pPr>
      <w:r w:rsidRPr="00526311">
        <w:rPr>
          <w:i/>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B45FC3" w:rsidRPr="00526311" w:rsidRDefault="00B45FC3" w:rsidP="0063039A">
      <w:pPr>
        <w:widowControl w:val="0"/>
        <w:autoSpaceDE w:val="0"/>
        <w:autoSpaceDN w:val="0"/>
        <w:adjustRightInd w:val="0"/>
        <w:jc w:val="both"/>
        <w:rPr>
          <w:sz w:val="20"/>
        </w:rPr>
      </w:pPr>
    </w:p>
    <w:p w:rsidR="00B45FC3" w:rsidRPr="00526311" w:rsidRDefault="00B45FC3" w:rsidP="0063039A">
      <w:pPr>
        <w:jc w:val="both"/>
        <w:rPr>
          <w:sz w:val="20"/>
          <w:u w:val="single"/>
        </w:rPr>
      </w:pPr>
      <w:r w:rsidRPr="00526311">
        <w:rPr>
          <w:sz w:val="20"/>
        </w:rPr>
        <w:t>A.</w:t>
      </w:r>
      <w:r w:rsidRPr="00526311">
        <w:rPr>
          <w:sz w:val="20"/>
        </w:rPr>
        <w:tab/>
      </w:r>
      <w:r w:rsidRPr="00526311">
        <w:rPr>
          <w:sz w:val="20"/>
          <w:u w:val="single"/>
        </w:rPr>
        <w:t>Presupuesto de 2014/15 tras las transferencias</w:t>
      </w:r>
    </w:p>
    <w:p w:rsidR="00B45FC3" w:rsidRPr="00526311" w:rsidRDefault="00B45FC3" w:rsidP="0063039A">
      <w:pPr>
        <w:jc w:val="both"/>
        <w:rPr>
          <w:sz w:val="20"/>
          <w:u w:val="single"/>
        </w:rPr>
      </w:pPr>
    </w:p>
    <w:p w:rsidR="00B45FC3" w:rsidRPr="00526311" w:rsidRDefault="00B45FC3" w:rsidP="00B45FC3">
      <w:pPr>
        <w:pStyle w:val="ListParagraph"/>
        <w:numPr>
          <w:ilvl w:val="0"/>
          <w:numId w:val="66"/>
        </w:numPr>
        <w:tabs>
          <w:tab w:val="left" w:pos="709"/>
        </w:tabs>
        <w:ind w:left="0" w:firstLine="0"/>
        <w:jc w:val="both"/>
        <w:rPr>
          <w:rFonts w:cs="Arial"/>
          <w:bCs/>
          <w:lang w:val="es-ES"/>
        </w:rPr>
      </w:pPr>
      <w:r w:rsidRPr="00526311">
        <w:rPr>
          <w:rFonts w:cs="Arial"/>
          <w:bCs/>
          <w:lang w:val="es-ES"/>
        </w:rPr>
        <w:t xml:space="preserve">El incremento en el presupuesto de 2014/15 tras las transferencias se debe principalmente a i) recursos adicionales no relativos a personal proporcionados para cubrir costos de TIC para el proyecto TIGAR tras la trasferencia de responsabilidades, con respecto a las tareas de TIC del proyecto TIGAR, del programa 15 al programa 3;  y ii) la transferencia de un </w:t>
      </w:r>
      <w:r w:rsidR="00787D5F" w:rsidRPr="00526311">
        <w:rPr>
          <w:rFonts w:cs="Arial"/>
          <w:bCs/>
          <w:lang w:val="es-ES"/>
        </w:rPr>
        <w:t>cargo</w:t>
      </w:r>
      <w:r w:rsidRPr="00526311">
        <w:rPr>
          <w:rFonts w:cs="Arial"/>
          <w:bCs/>
          <w:lang w:val="es-ES"/>
        </w:rPr>
        <w:t xml:space="preserve"> al programa para asistir en la puesta en marcha y la adaptación de las soluciones operativas de la OMPI para las Oficinas de P.I.</w:t>
      </w:r>
    </w:p>
    <w:p w:rsidR="00B45FC3" w:rsidRPr="00526311" w:rsidRDefault="00B45FC3" w:rsidP="0063039A">
      <w:pPr>
        <w:autoSpaceDE w:val="0"/>
        <w:autoSpaceDN w:val="0"/>
        <w:jc w:val="both"/>
        <w:rPr>
          <w:sz w:val="20"/>
          <w:lang w:eastAsia="ko-KR"/>
        </w:rPr>
      </w:pPr>
    </w:p>
    <w:p w:rsidR="00B45FC3" w:rsidRPr="00526311" w:rsidRDefault="00B45FC3"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w:t>
      </w:r>
      <w:r w:rsidR="00787D5F" w:rsidRPr="00526311">
        <w:rPr>
          <w:sz w:val="20"/>
          <w:u w:val="single"/>
          <w:lang w:eastAsia="ko-KR"/>
        </w:rPr>
        <w:t xml:space="preserve">ón del presupuesto </w:t>
      </w:r>
      <w:r w:rsidRPr="00526311">
        <w:rPr>
          <w:sz w:val="20"/>
          <w:u w:val="single"/>
          <w:lang w:eastAsia="ko-KR"/>
        </w:rPr>
        <w:t>e</w:t>
      </w:r>
      <w:r w:rsidR="00787D5F" w:rsidRPr="00526311">
        <w:rPr>
          <w:sz w:val="20"/>
          <w:u w:val="single"/>
          <w:lang w:eastAsia="ko-KR"/>
        </w:rPr>
        <w:t>n</w:t>
      </w:r>
      <w:r w:rsidRPr="00526311">
        <w:rPr>
          <w:sz w:val="20"/>
          <w:u w:val="single"/>
          <w:lang w:eastAsia="ko-KR"/>
        </w:rPr>
        <w:t xml:space="preserve"> 2014</w:t>
      </w:r>
    </w:p>
    <w:p w:rsidR="00B45FC3" w:rsidRPr="00526311" w:rsidRDefault="00B45FC3" w:rsidP="0063039A">
      <w:pPr>
        <w:tabs>
          <w:tab w:val="left" w:pos="709"/>
        </w:tabs>
        <w:jc w:val="both"/>
        <w:rPr>
          <w:sz w:val="20"/>
          <w:u w:val="single"/>
          <w:lang w:eastAsia="ko-KR"/>
        </w:rPr>
      </w:pPr>
    </w:p>
    <w:p w:rsidR="00B45FC3" w:rsidRPr="00526311" w:rsidRDefault="00581419" w:rsidP="00B45FC3">
      <w:pPr>
        <w:pStyle w:val="ListParagraph"/>
        <w:numPr>
          <w:ilvl w:val="0"/>
          <w:numId w:val="66"/>
        </w:numPr>
        <w:tabs>
          <w:tab w:val="left" w:pos="709"/>
        </w:tabs>
        <w:ind w:left="0" w:firstLine="0"/>
        <w:jc w:val="both"/>
        <w:rPr>
          <w:rFonts w:cs="Arial"/>
          <w:bCs/>
          <w:lang w:val="es-ES"/>
        </w:rPr>
      </w:pPr>
      <w:r w:rsidRPr="00526311">
        <w:rPr>
          <w:rFonts w:cs="Arial"/>
          <w:bCs/>
          <w:lang w:val="es-ES"/>
        </w:rPr>
        <w:t>L</w:t>
      </w:r>
      <w:r w:rsidR="00B45FC3" w:rsidRPr="00526311">
        <w:rPr>
          <w:rFonts w:cs="Arial"/>
          <w:bCs/>
          <w:lang w:val="es-ES"/>
        </w:rPr>
        <w:t>a utilización</w:t>
      </w:r>
      <w:r w:rsidRPr="00526311">
        <w:rPr>
          <w:rFonts w:cs="Arial"/>
          <w:bCs/>
          <w:lang w:val="es-ES"/>
        </w:rPr>
        <w:t xml:space="preserve"> global</w:t>
      </w:r>
      <w:r w:rsidR="00B45FC3" w:rsidRPr="00526311">
        <w:rPr>
          <w:rFonts w:cs="Arial"/>
          <w:bCs/>
          <w:lang w:val="es-ES"/>
        </w:rPr>
        <w:t xml:space="preserve"> del presupuesto se ha mantenido dentro de los límites establecidos (40</w:t>
      </w:r>
      <w:r w:rsidRPr="00526311">
        <w:rPr>
          <w:rFonts w:cs="Arial"/>
          <w:bCs/>
          <w:lang w:val="es-ES"/>
        </w:rPr>
        <w:noBreakHyphen/>
      </w:r>
      <w:r w:rsidR="00B45FC3" w:rsidRPr="00526311">
        <w:rPr>
          <w:rFonts w:cs="Arial"/>
          <w:bCs/>
          <w:lang w:val="es-ES"/>
        </w:rPr>
        <w:t xml:space="preserve">60%) durante el primer año del bienio.  La infrautilización de los recursos no relativos a personal se debe principalmente </w:t>
      </w:r>
      <w:r w:rsidR="00787D5F" w:rsidRPr="00526311">
        <w:rPr>
          <w:rFonts w:cs="Arial"/>
          <w:bCs/>
          <w:lang w:val="es-ES"/>
        </w:rPr>
        <w:t>a un gasto desparejo en el bienio en relación c</w:t>
      </w:r>
      <w:r w:rsidR="00B45FC3" w:rsidRPr="00526311">
        <w:rPr>
          <w:rFonts w:cs="Arial"/>
          <w:bCs/>
          <w:lang w:val="es-ES"/>
        </w:rPr>
        <w:t>on el proyecto WCC</w:t>
      </w:r>
      <w:r w:rsidR="00787D5F" w:rsidRPr="00526311">
        <w:rPr>
          <w:rFonts w:cs="Arial"/>
          <w:bCs/>
          <w:lang w:val="es-ES"/>
        </w:rPr>
        <w:t>, destinado a los organismos de gestión colectiva</w:t>
      </w:r>
      <w:r w:rsidR="00B45FC3" w:rsidRPr="00526311">
        <w:rPr>
          <w:rFonts w:cs="Arial"/>
          <w:bCs/>
          <w:lang w:val="es-ES"/>
        </w:rPr>
        <w:t xml:space="preserve"> (está previsto que la mayor parte del gasto bienal con respecto al WCC tenga lugar en 2015).</w:t>
      </w:r>
    </w:p>
    <w:p w:rsidR="00B45FC3" w:rsidRPr="00526311" w:rsidRDefault="00B45FC3" w:rsidP="0063039A">
      <w:pPr>
        <w:autoSpaceDE w:val="0"/>
        <w:autoSpaceDN w:val="0"/>
        <w:jc w:val="both"/>
        <w:rPr>
          <w:sz w:val="20"/>
        </w:rPr>
      </w:pPr>
    </w:p>
    <w:p w:rsidR="00B45FC3" w:rsidRPr="00526311" w:rsidRDefault="00B45FC3" w:rsidP="0063039A">
      <w:pPr>
        <w:autoSpaceDE w:val="0"/>
        <w:autoSpaceDN w:val="0"/>
        <w:jc w:val="both"/>
        <w:rPr>
          <w:sz w:val="20"/>
        </w:rPr>
      </w:pPr>
    </w:p>
    <w:p w:rsidR="00B45FC3" w:rsidRPr="00526311" w:rsidRDefault="00B45FC3">
      <w:pPr>
        <w:rPr>
          <w:rFonts w:eastAsia="Times New Roman"/>
          <w:b/>
          <w:bCs/>
          <w:iCs/>
          <w:caps/>
          <w:sz w:val="20"/>
          <w:lang w:eastAsia="da-DK"/>
        </w:rPr>
      </w:pPr>
      <w:bookmarkStart w:id="58" w:name="_Toc367350592"/>
      <w:r w:rsidRPr="00526311">
        <w:rPr>
          <w:sz w:val="20"/>
        </w:rPr>
        <w:br w:type="page"/>
      </w:r>
    </w:p>
    <w:p w:rsidR="00B45FC3" w:rsidRPr="00526311" w:rsidRDefault="00173D9F" w:rsidP="0063039A">
      <w:pPr>
        <w:pStyle w:val="StyleHeading214ptAuto"/>
        <w:rPr>
          <w:rFonts w:ascii="Arial" w:hAnsi="Arial" w:cs="Arial"/>
          <w:sz w:val="20"/>
          <w:szCs w:val="20"/>
          <w:lang w:val="es-ES"/>
        </w:rPr>
      </w:pPr>
      <w:bookmarkStart w:id="59" w:name="_Toc422927425"/>
      <w:r w:rsidRPr="00526311">
        <w:rPr>
          <w:rFonts w:ascii="Arial" w:hAnsi="Arial" w:cs="Arial"/>
          <w:caps w:val="0"/>
          <w:sz w:val="20"/>
          <w:szCs w:val="20"/>
          <w:lang w:val="es-ES"/>
        </w:rPr>
        <w:lastRenderedPageBreak/>
        <w:t>META ESTRATÉGICA V</w:t>
      </w:r>
      <w:bookmarkEnd w:id="59"/>
    </w:p>
    <w:p w:rsidR="00B45FC3" w:rsidRPr="00526311" w:rsidRDefault="00B45FC3" w:rsidP="0063039A">
      <w:pPr>
        <w:jc w:val="center"/>
        <w:rPr>
          <w:sz w:val="20"/>
        </w:rPr>
      </w:pPr>
    </w:p>
    <w:bookmarkEnd w:id="58"/>
    <w:p w:rsidR="00B45FC3" w:rsidRPr="00526311" w:rsidRDefault="00B45FC3" w:rsidP="0063039A">
      <w:pPr>
        <w:jc w:val="center"/>
        <w:rPr>
          <w:b/>
          <w:sz w:val="20"/>
        </w:rPr>
      </w:pPr>
      <w:r w:rsidRPr="00526311">
        <w:rPr>
          <w:b/>
          <w:sz w:val="20"/>
        </w:rPr>
        <w:t>FUENTE DE REFERENCIA EN EL MUNDO DE INFORMACIÓN Y ANÁLISIS EN MATERIA DE P.I.</w:t>
      </w:r>
    </w:p>
    <w:p w:rsidR="00B45FC3" w:rsidRPr="00526311" w:rsidRDefault="00B45FC3" w:rsidP="0063039A">
      <w:pPr>
        <w:jc w:val="center"/>
        <w:rPr>
          <w:b/>
          <w:sz w:val="20"/>
        </w:rPr>
      </w:pPr>
    </w:p>
    <w:p w:rsidR="00B45FC3" w:rsidRPr="00526311" w:rsidRDefault="00B45FC3" w:rsidP="0063039A">
      <w:pPr>
        <w:jc w:val="center"/>
        <w:rPr>
          <w:b/>
          <w:sz w:val="20"/>
        </w:rPr>
      </w:pPr>
      <w:r w:rsidRPr="00526311">
        <w:rPr>
          <w:b/>
          <w:sz w:val="20"/>
        </w:rPr>
        <w:t>Tablero de control del rendimiento a mediano plazo (2014)</w:t>
      </w:r>
    </w:p>
    <w:p w:rsidR="00B45FC3" w:rsidRPr="00526311" w:rsidRDefault="00B45FC3" w:rsidP="0063039A">
      <w:pPr>
        <w:jc w:val="center"/>
        <w:rPr>
          <w:b/>
          <w:sz w:val="20"/>
        </w:rPr>
      </w:pPr>
    </w:p>
    <w:p w:rsidR="00B45FC3" w:rsidRPr="00526311" w:rsidRDefault="00B45FC3" w:rsidP="0063039A">
      <w:pPr>
        <w:jc w:val="both"/>
        <w:rPr>
          <w:sz w:val="20"/>
        </w:rPr>
      </w:pPr>
      <w:r w:rsidRPr="00526311">
        <w:rPr>
          <w:sz w:val="20"/>
        </w:rPr>
        <w:t>En el siguiente tablero de control se reseñan los avances realizados hacia la consecución de los resultados en 2014, medidos con arreglo a los indicadores del programa o programas que contribuyen al logro de esta meta estratégica.</w:t>
      </w:r>
    </w:p>
    <w:p w:rsidR="00B45FC3" w:rsidRPr="00526311" w:rsidRDefault="00787D5F" w:rsidP="0063039A">
      <w:pPr>
        <w:jc w:val="center"/>
        <w:rPr>
          <w:sz w:val="20"/>
        </w:rPr>
      </w:pPr>
      <w:r w:rsidRPr="00526311">
        <w:rPr>
          <w:noProof/>
          <w:lang w:val="en-US" w:eastAsia="en-US"/>
        </w:rPr>
        <w:drawing>
          <wp:inline distT="0" distB="0" distL="0" distR="0" wp14:anchorId="6EBB31A7" wp14:editId="1E6CB66D">
            <wp:extent cx="5452110" cy="2898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52110" cy="2898775"/>
                    </a:xfrm>
                    <a:prstGeom prst="rect">
                      <a:avLst/>
                    </a:prstGeom>
                    <a:noFill/>
                    <a:ln>
                      <a:noFill/>
                    </a:ln>
                  </pic:spPr>
                </pic:pic>
              </a:graphicData>
            </a:graphic>
          </wp:inline>
        </w:drawing>
      </w:r>
    </w:p>
    <w:p w:rsidR="00B45FC3" w:rsidRPr="00526311" w:rsidRDefault="00B45FC3" w:rsidP="0063039A">
      <w:pPr>
        <w:rPr>
          <w:bCs/>
          <w:caps/>
          <w:sz w:val="20"/>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28"/>
        <w:gridCol w:w="3998"/>
        <w:gridCol w:w="1506"/>
        <w:gridCol w:w="1128"/>
      </w:tblGrid>
      <w:tr w:rsidR="00B45FC3" w:rsidRPr="00526311" w:rsidTr="0063039A">
        <w:trPr>
          <w:cantSplit/>
          <w:trHeight w:val="605"/>
        </w:trPr>
        <w:tc>
          <w:tcPr>
            <w:tcW w:w="1495" w:type="pct"/>
            <w:tcBorders>
              <w:top w:val="single" w:sz="4" w:space="0" w:color="auto"/>
              <w:bottom w:val="single" w:sz="4" w:space="0" w:color="auto"/>
            </w:tcBorders>
            <w:shd w:val="clear" w:color="auto" w:fill="CCFFFF"/>
            <w:tcMar>
              <w:top w:w="113" w:type="dxa"/>
              <w:bottom w:w="85" w:type="dxa"/>
            </w:tcMar>
            <w:vAlign w:val="center"/>
          </w:tcPr>
          <w:p w:rsidR="00B45FC3" w:rsidRPr="00526311" w:rsidRDefault="00B45FC3" w:rsidP="0063039A">
            <w:pPr>
              <w:spacing w:after="120"/>
              <w:jc w:val="center"/>
              <w:rPr>
                <w:b/>
                <w:bCs/>
                <w:sz w:val="18"/>
                <w:szCs w:val="18"/>
              </w:rPr>
            </w:pPr>
            <w:r w:rsidRPr="00526311">
              <w:rPr>
                <w:b/>
                <w:bCs/>
                <w:sz w:val="18"/>
                <w:szCs w:val="18"/>
              </w:rPr>
              <w:t>Resultados previstos</w:t>
            </w:r>
          </w:p>
        </w:tc>
        <w:tc>
          <w:tcPr>
            <w:tcW w:w="2113" w:type="pct"/>
            <w:tcBorders>
              <w:top w:val="single" w:sz="4" w:space="0" w:color="auto"/>
              <w:bottom w:val="single" w:sz="4" w:space="0" w:color="auto"/>
            </w:tcBorders>
            <w:shd w:val="clear" w:color="auto" w:fill="CCFFFF"/>
            <w:tcMar>
              <w:top w:w="113" w:type="dxa"/>
              <w:bottom w:w="85" w:type="dxa"/>
            </w:tcMar>
            <w:vAlign w:val="center"/>
          </w:tcPr>
          <w:p w:rsidR="00B45FC3" w:rsidRPr="00526311" w:rsidRDefault="00B45FC3" w:rsidP="0063039A">
            <w:pPr>
              <w:spacing w:after="120"/>
              <w:jc w:val="center"/>
              <w:rPr>
                <w:b/>
                <w:bCs/>
                <w:sz w:val="18"/>
                <w:szCs w:val="18"/>
              </w:rPr>
            </w:pPr>
            <w:r w:rsidRPr="00526311">
              <w:rPr>
                <w:b/>
                <w:bCs/>
                <w:sz w:val="18"/>
                <w:szCs w:val="18"/>
              </w:rPr>
              <w:t>Indicadores de rendimiento</w:t>
            </w:r>
          </w:p>
        </w:tc>
        <w:tc>
          <w:tcPr>
            <w:tcW w:w="796" w:type="pct"/>
            <w:tcBorders>
              <w:top w:val="single" w:sz="4" w:space="0" w:color="auto"/>
              <w:bottom w:val="single" w:sz="4" w:space="0" w:color="auto"/>
            </w:tcBorders>
            <w:shd w:val="clear" w:color="auto" w:fill="CCFFFF"/>
            <w:tcMar>
              <w:top w:w="113" w:type="dxa"/>
              <w:bottom w:w="85" w:type="dxa"/>
            </w:tcMar>
            <w:vAlign w:val="center"/>
          </w:tcPr>
          <w:p w:rsidR="00B45FC3" w:rsidRPr="00526311" w:rsidRDefault="00B45FC3" w:rsidP="0063039A">
            <w:pPr>
              <w:spacing w:after="120"/>
              <w:ind w:left="85"/>
              <w:jc w:val="center"/>
              <w:rPr>
                <w:b/>
                <w:bCs/>
                <w:sz w:val="18"/>
                <w:szCs w:val="18"/>
              </w:rPr>
            </w:pPr>
            <w:r w:rsidRPr="00526311">
              <w:rPr>
                <w:b/>
                <w:bCs/>
                <w:sz w:val="18"/>
                <w:szCs w:val="18"/>
              </w:rPr>
              <w:t>Programas responsables</w:t>
            </w:r>
          </w:p>
        </w:tc>
        <w:tc>
          <w:tcPr>
            <w:tcW w:w="596" w:type="pct"/>
            <w:tcBorders>
              <w:top w:val="single" w:sz="4" w:space="0" w:color="auto"/>
              <w:bottom w:val="single" w:sz="4" w:space="0" w:color="auto"/>
            </w:tcBorders>
            <w:shd w:val="clear" w:color="auto" w:fill="CCFFFF"/>
            <w:vAlign w:val="center"/>
          </w:tcPr>
          <w:p w:rsidR="00B45FC3" w:rsidRPr="00526311" w:rsidRDefault="00B45FC3" w:rsidP="0063039A">
            <w:pPr>
              <w:spacing w:after="120"/>
              <w:ind w:left="85"/>
              <w:jc w:val="center"/>
              <w:rPr>
                <w:b/>
                <w:bCs/>
                <w:sz w:val="18"/>
                <w:szCs w:val="18"/>
              </w:rPr>
            </w:pPr>
            <w:r w:rsidRPr="00526311">
              <w:rPr>
                <w:b/>
                <w:bCs/>
                <w:sz w:val="18"/>
                <w:szCs w:val="18"/>
              </w:rPr>
              <w:t>Clave de colores</w:t>
            </w:r>
          </w:p>
        </w:tc>
      </w:tr>
      <w:tr w:rsidR="00B45FC3" w:rsidRPr="00526311" w:rsidTr="0063039A">
        <w:trPr>
          <w:cantSplit/>
        </w:trPr>
        <w:tc>
          <w:tcPr>
            <w:tcW w:w="1495" w:type="pct"/>
            <w:tcBorders>
              <w:top w:val="single" w:sz="4" w:space="0" w:color="auto"/>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V.1 Ampliación y mejora del uso de la información estadística de la OMPI en materia de P.I.</w:t>
            </w:r>
          </w:p>
        </w:tc>
        <w:tc>
          <w:tcPr>
            <w:tcW w:w="2113" w:type="pct"/>
            <w:tcBorders>
              <w:top w:val="single" w:sz="4" w:space="0" w:color="auto"/>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descargas de los cuatro principales informes estadísticos (Indicadores mundiales de propiedad intelectual, reseñas anuales del PCT, La Haya y Madrid)</w:t>
            </w:r>
          </w:p>
        </w:tc>
        <w:tc>
          <w:tcPr>
            <w:tcW w:w="796" w:type="pct"/>
            <w:tcBorders>
              <w:top w:val="single" w:sz="4" w:space="0" w:color="auto"/>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16</w:t>
            </w:r>
          </w:p>
        </w:tc>
        <w:tc>
          <w:tcPr>
            <w:tcW w:w="596" w:type="pct"/>
            <w:tcBorders>
              <w:top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A6A6A6" w:themeColor="background1" w:themeShade="A6"/>
                <w:szCs w:val="22"/>
              </w:rPr>
              <w:sym w:font="Wingdings" w:char="F06C"/>
            </w:r>
          </w:p>
        </w:tc>
      </w:tr>
      <w:tr w:rsidR="00B45FC3" w:rsidRPr="00526311" w:rsidTr="0063039A">
        <w:trPr>
          <w:cantSplit/>
          <w:trHeight w:val="500"/>
        </w:trPr>
        <w:tc>
          <w:tcPr>
            <w:tcW w:w="1495" w:type="pct"/>
            <w:shd w:val="clear" w:color="auto" w:fill="auto"/>
            <w:tcMar>
              <w:top w:w="113" w:type="dxa"/>
              <w:bottom w:w="85" w:type="dxa"/>
            </w:tcMar>
          </w:tcPr>
          <w:p w:rsidR="00B45FC3" w:rsidRPr="00526311" w:rsidRDefault="00B45FC3" w:rsidP="0063039A">
            <w:pPr>
              <w:rPr>
                <w:sz w:val="16"/>
                <w:szCs w:val="16"/>
              </w:rPr>
            </w:pPr>
          </w:p>
        </w:tc>
        <w:tc>
          <w:tcPr>
            <w:tcW w:w="2113"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visitantes que utilizan el Centro de datos de estadísticas de P.I.</w:t>
            </w:r>
          </w:p>
        </w:tc>
        <w:tc>
          <w:tcPr>
            <w:tcW w:w="796" w:type="pct"/>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16</w:t>
            </w:r>
          </w:p>
        </w:tc>
        <w:tc>
          <w:tcPr>
            <w:tcW w:w="596" w:type="pct"/>
            <w:shd w:val="clear" w:color="auto" w:fill="FFFFFF"/>
          </w:tcPr>
          <w:p w:rsidR="00B45FC3" w:rsidRPr="00526311" w:rsidRDefault="00B45FC3" w:rsidP="0063039A">
            <w:pPr>
              <w:jc w:val="center"/>
            </w:pPr>
            <w:r w:rsidRPr="00526311">
              <w:rPr>
                <w:b/>
                <w:color w:val="008000"/>
                <w:szCs w:val="22"/>
              </w:rPr>
              <w:sym w:font="Wingdings" w:char="F06C"/>
            </w:r>
          </w:p>
        </w:tc>
      </w:tr>
      <w:tr w:rsidR="00B45FC3" w:rsidRPr="00526311" w:rsidTr="0063039A">
        <w:trPr>
          <w:cantSplit/>
          <w:trHeight w:val="507"/>
        </w:trPr>
        <w:tc>
          <w:tcPr>
            <w:tcW w:w="1495" w:type="pct"/>
            <w:shd w:val="clear" w:color="auto" w:fill="auto"/>
            <w:tcMar>
              <w:top w:w="113" w:type="dxa"/>
              <w:bottom w:w="85" w:type="dxa"/>
            </w:tcMar>
          </w:tcPr>
          <w:p w:rsidR="00B45FC3" w:rsidRPr="00526311" w:rsidRDefault="00B45FC3" w:rsidP="0063039A">
            <w:pPr>
              <w:tabs>
                <w:tab w:val="right" w:pos="2835"/>
              </w:tabs>
              <w:spacing w:after="60"/>
              <w:rPr>
                <w:sz w:val="15"/>
                <w:szCs w:val="15"/>
              </w:rPr>
            </w:pPr>
            <w:r w:rsidRPr="00526311">
              <w:rPr>
                <w:sz w:val="15"/>
                <w:szCs w:val="15"/>
              </w:rPr>
              <w:t>V.2 Ampliación y mejora del uso de los análisis económicos de la OMPI en la formulación de políticas</w:t>
            </w:r>
          </w:p>
        </w:tc>
        <w:tc>
          <w:tcPr>
            <w:tcW w:w="2113"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Uso de estudios económicos de la OMPI sobre derecho de autor en la toma de decisiones de gobiernos y ONG</w:t>
            </w:r>
          </w:p>
        </w:tc>
        <w:tc>
          <w:tcPr>
            <w:tcW w:w="796" w:type="pct"/>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w:t>
            </w:r>
          </w:p>
        </w:tc>
        <w:tc>
          <w:tcPr>
            <w:tcW w:w="596" w:type="pct"/>
            <w:shd w:val="clear" w:color="auto" w:fill="FFFFFF"/>
          </w:tcPr>
          <w:p w:rsidR="00B45FC3" w:rsidRPr="00526311" w:rsidRDefault="00B45FC3" w:rsidP="0063039A">
            <w:pPr>
              <w:spacing w:before="40"/>
              <w:jc w:val="center"/>
            </w:pPr>
            <w:r w:rsidRPr="00526311">
              <w:rPr>
                <w:b/>
                <w:color w:val="008000"/>
                <w:szCs w:val="22"/>
              </w:rPr>
              <w:sym w:font="Wingdings" w:char="F06C"/>
            </w:r>
          </w:p>
        </w:tc>
      </w:tr>
      <w:tr w:rsidR="00B45FC3" w:rsidRPr="00526311" w:rsidTr="0063039A">
        <w:trPr>
          <w:cantSplit/>
          <w:trHeight w:val="842"/>
        </w:trPr>
        <w:tc>
          <w:tcPr>
            <w:tcW w:w="1495" w:type="pct"/>
            <w:shd w:val="clear" w:color="auto" w:fill="auto"/>
            <w:tcMar>
              <w:top w:w="113" w:type="dxa"/>
              <w:bottom w:w="85" w:type="dxa"/>
            </w:tcMar>
          </w:tcPr>
          <w:p w:rsidR="00B45FC3" w:rsidRPr="00526311" w:rsidRDefault="00B45FC3" w:rsidP="0063039A">
            <w:pPr>
              <w:rPr>
                <w:sz w:val="16"/>
                <w:szCs w:val="16"/>
              </w:rPr>
            </w:pPr>
          </w:p>
        </w:tc>
        <w:tc>
          <w:tcPr>
            <w:tcW w:w="2113"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Iniciativas nacionales para elaborar nuevas estadísticas sobre las industrias creativas teniendo en cuenta la labor de la OMPI en ese ámbito</w:t>
            </w:r>
          </w:p>
        </w:tc>
        <w:tc>
          <w:tcPr>
            <w:tcW w:w="796" w:type="pct"/>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w:t>
            </w:r>
          </w:p>
        </w:tc>
        <w:tc>
          <w:tcPr>
            <w:tcW w:w="596" w:type="pct"/>
            <w:shd w:val="clear" w:color="auto" w:fill="FFFFFF"/>
          </w:tcPr>
          <w:p w:rsidR="00B45FC3" w:rsidRPr="00526311" w:rsidRDefault="00B45FC3" w:rsidP="0063039A">
            <w:pPr>
              <w:spacing w:before="40"/>
              <w:jc w:val="center"/>
            </w:pPr>
            <w:r w:rsidRPr="00526311">
              <w:rPr>
                <w:b/>
                <w:color w:val="008000"/>
                <w:szCs w:val="22"/>
              </w:rPr>
              <w:sym w:font="Wingdings" w:char="F06C"/>
            </w:r>
          </w:p>
        </w:tc>
      </w:tr>
      <w:tr w:rsidR="00B45FC3" w:rsidRPr="00526311" w:rsidTr="0063039A">
        <w:trPr>
          <w:cantSplit/>
          <w:trHeight w:val="512"/>
        </w:trPr>
        <w:tc>
          <w:tcPr>
            <w:tcW w:w="1495" w:type="pct"/>
            <w:shd w:val="clear" w:color="auto" w:fill="auto"/>
            <w:tcMar>
              <w:top w:w="113" w:type="dxa"/>
              <w:bottom w:w="85" w:type="dxa"/>
            </w:tcMar>
          </w:tcPr>
          <w:p w:rsidR="00B45FC3" w:rsidRPr="00526311" w:rsidRDefault="00B45FC3" w:rsidP="0063039A">
            <w:pPr>
              <w:rPr>
                <w:sz w:val="16"/>
                <w:szCs w:val="16"/>
              </w:rPr>
            </w:pPr>
          </w:p>
        </w:tc>
        <w:tc>
          <w:tcPr>
            <w:tcW w:w="2113"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descargas de las principales publicaciones económicas</w:t>
            </w:r>
          </w:p>
        </w:tc>
        <w:tc>
          <w:tcPr>
            <w:tcW w:w="796" w:type="pct"/>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16</w:t>
            </w:r>
          </w:p>
        </w:tc>
        <w:tc>
          <w:tcPr>
            <w:tcW w:w="596" w:type="pct"/>
            <w:shd w:val="clear" w:color="auto" w:fill="FFFFFF"/>
          </w:tcPr>
          <w:p w:rsidR="00B45FC3" w:rsidRPr="00526311" w:rsidRDefault="00B45FC3" w:rsidP="0063039A">
            <w:pPr>
              <w:jc w:val="center"/>
              <w:rPr>
                <w:color w:val="A6A6A6" w:themeColor="background1" w:themeShade="A6"/>
                <w:szCs w:val="22"/>
              </w:rPr>
            </w:pPr>
            <w:r w:rsidRPr="00526311">
              <w:rPr>
                <w:color w:val="A6A6A6" w:themeColor="background1" w:themeShade="A6"/>
                <w:szCs w:val="22"/>
              </w:rPr>
              <w:sym w:font="Wingdings" w:char="F06C"/>
            </w:r>
          </w:p>
        </w:tc>
      </w:tr>
      <w:tr w:rsidR="00B45FC3" w:rsidRPr="00526311" w:rsidTr="0063039A">
        <w:trPr>
          <w:cantSplit/>
          <w:trHeight w:val="532"/>
        </w:trPr>
        <w:tc>
          <w:tcPr>
            <w:tcW w:w="1495" w:type="pct"/>
            <w:shd w:val="clear" w:color="auto" w:fill="auto"/>
            <w:tcMar>
              <w:top w:w="113" w:type="dxa"/>
              <w:bottom w:w="85" w:type="dxa"/>
            </w:tcMar>
          </w:tcPr>
          <w:p w:rsidR="00B45FC3" w:rsidRPr="00526311" w:rsidRDefault="00B45FC3" w:rsidP="0063039A">
            <w:pPr>
              <w:rPr>
                <w:sz w:val="16"/>
                <w:szCs w:val="16"/>
              </w:rPr>
            </w:pPr>
          </w:p>
        </w:tc>
        <w:tc>
          <w:tcPr>
            <w:tcW w:w="2113"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descargas de estudios</w:t>
            </w:r>
          </w:p>
        </w:tc>
        <w:tc>
          <w:tcPr>
            <w:tcW w:w="796" w:type="pct"/>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16</w:t>
            </w:r>
          </w:p>
        </w:tc>
        <w:tc>
          <w:tcPr>
            <w:tcW w:w="596" w:type="pct"/>
            <w:shd w:val="clear" w:color="auto" w:fill="FFFFFF"/>
          </w:tcPr>
          <w:p w:rsidR="00B45FC3" w:rsidRPr="00526311" w:rsidRDefault="00B45FC3" w:rsidP="0063039A">
            <w:pPr>
              <w:jc w:val="center"/>
            </w:pPr>
            <w:r w:rsidRPr="00526311">
              <w:rPr>
                <w:b/>
                <w:color w:val="008000"/>
                <w:szCs w:val="22"/>
              </w:rPr>
              <w:sym w:font="Wingdings" w:char="F06C"/>
            </w:r>
          </w:p>
        </w:tc>
      </w:tr>
      <w:tr w:rsidR="00B45FC3" w:rsidRPr="00526311" w:rsidTr="0063039A">
        <w:trPr>
          <w:cantSplit/>
          <w:trHeight w:val="381"/>
        </w:trPr>
        <w:tc>
          <w:tcPr>
            <w:tcW w:w="1495" w:type="pct"/>
            <w:shd w:val="clear" w:color="auto" w:fill="auto"/>
            <w:tcMar>
              <w:top w:w="113" w:type="dxa"/>
              <w:bottom w:w="85" w:type="dxa"/>
            </w:tcMar>
          </w:tcPr>
          <w:p w:rsidR="00B45FC3" w:rsidRPr="00526311" w:rsidRDefault="00B45FC3" w:rsidP="0063039A">
            <w:pPr>
              <w:rPr>
                <w:sz w:val="16"/>
                <w:szCs w:val="16"/>
              </w:rPr>
            </w:pPr>
          </w:p>
        </w:tc>
        <w:tc>
          <w:tcPr>
            <w:tcW w:w="2113"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descargas de seminarios</w:t>
            </w:r>
          </w:p>
        </w:tc>
        <w:tc>
          <w:tcPr>
            <w:tcW w:w="796" w:type="pct"/>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16</w:t>
            </w:r>
          </w:p>
        </w:tc>
        <w:tc>
          <w:tcPr>
            <w:tcW w:w="596" w:type="pct"/>
            <w:shd w:val="clear" w:color="auto" w:fill="FFFFFF"/>
          </w:tcPr>
          <w:p w:rsidR="00B45FC3" w:rsidRPr="00526311" w:rsidRDefault="00B45FC3" w:rsidP="0063039A">
            <w:pPr>
              <w:jc w:val="center"/>
            </w:pPr>
            <w:r w:rsidRPr="00526311">
              <w:rPr>
                <w:szCs w:val="22"/>
              </w:rPr>
              <w:sym w:font="Wingdings" w:char="F06C"/>
            </w:r>
          </w:p>
        </w:tc>
      </w:tr>
    </w:tbl>
    <w:p w:rsidR="00B45FC3" w:rsidRPr="00526311" w:rsidRDefault="00B45FC3" w:rsidP="0063039A">
      <w:pPr>
        <w:rPr>
          <w:sz w:val="20"/>
        </w:rPr>
      </w:pPr>
    </w:p>
    <w:p w:rsidR="00B45FC3" w:rsidRPr="00526311" w:rsidRDefault="00B45FC3" w:rsidP="0063039A">
      <w:pPr>
        <w:rPr>
          <w:sz w:val="20"/>
        </w:rPr>
      </w:pPr>
    </w:p>
    <w:p w:rsidR="00B45FC3" w:rsidRPr="00526311" w:rsidRDefault="00B45FC3">
      <w:pPr>
        <w:rPr>
          <w:bCs/>
          <w:iCs/>
          <w:caps/>
          <w:szCs w:val="28"/>
        </w:rPr>
      </w:pPr>
      <w:r w:rsidRPr="00526311">
        <w:br w:type="page"/>
      </w:r>
    </w:p>
    <w:p w:rsidR="00B45FC3" w:rsidRPr="00526311" w:rsidRDefault="00B45FC3" w:rsidP="0063039A">
      <w:pPr>
        <w:pStyle w:val="Heading2"/>
        <w:tabs>
          <w:tab w:val="left" w:pos="2268"/>
        </w:tabs>
        <w:ind w:left="2268" w:hanging="2268"/>
        <w:jc w:val="both"/>
        <w:rPr>
          <w:b/>
        </w:rPr>
      </w:pPr>
      <w:bookmarkStart w:id="60" w:name="_Toc422927426"/>
      <w:r w:rsidRPr="00526311">
        <w:rPr>
          <w:b/>
        </w:rPr>
        <w:lastRenderedPageBreak/>
        <w:t>PROGRAMA 16</w:t>
      </w:r>
      <w:r w:rsidRPr="00526311">
        <w:rPr>
          <w:b/>
        </w:rPr>
        <w:tab/>
        <w:t>ECONOMÍA Y ESTADÍSTICA</w:t>
      </w:r>
      <w:bookmarkEnd w:id="60"/>
    </w:p>
    <w:p w:rsidR="00B45FC3" w:rsidRPr="00526311" w:rsidRDefault="00B45FC3" w:rsidP="0063039A">
      <w:pPr>
        <w:tabs>
          <w:tab w:val="left" w:pos="1985"/>
        </w:tabs>
        <w:jc w:val="both"/>
        <w:rPr>
          <w:sz w:val="20"/>
        </w:rPr>
      </w:pPr>
    </w:p>
    <w:p w:rsidR="00B45FC3" w:rsidRPr="00526311" w:rsidRDefault="00B45FC3" w:rsidP="0063039A">
      <w:pPr>
        <w:tabs>
          <w:tab w:val="left" w:pos="1985"/>
        </w:tabs>
        <w:jc w:val="both"/>
        <w:rPr>
          <w:b/>
          <w:sz w:val="20"/>
        </w:rPr>
      </w:pPr>
      <w:r w:rsidRPr="00526311">
        <w:rPr>
          <w:b/>
          <w:sz w:val="20"/>
        </w:rPr>
        <w:t>Director de programa</w:t>
      </w:r>
      <w:r w:rsidRPr="00526311">
        <w:rPr>
          <w:b/>
          <w:sz w:val="20"/>
        </w:rPr>
        <w:tab/>
        <w:t>Director General</w:t>
      </w:r>
    </w:p>
    <w:p w:rsidR="00B45FC3" w:rsidRPr="00526311" w:rsidRDefault="00B45FC3" w:rsidP="0063039A">
      <w:pPr>
        <w:rPr>
          <w:sz w:val="20"/>
        </w:rPr>
      </w:pPr>
    </w:p>
    <w:p w:rsidR="00B45FC3" w:rsidRPr="00526311" w:rsidRDefault="00B45FC3" w:rsidP="0063039A">
      <w:pPr>
        <w:jc w:val="both"/>
        <w:rPr>
          <w:sz w:val="20"/>
        </w:rPr>
      </w:pPr>
    </w:p>
    <w:p w:rsidR="00B45FC3" w:rsidRPr="00526311" w:rsidRDefault="00B45FC3" w:rsidP="0063039A">
      <w:pPr>
        <w:jc w:val="both"/>
        <w:rPr>
          <w:bCs/>
          <w:szCs w:val="22"/>
        </w:rPr>
      </w:pPr>
      <w:r w:rsidRPr="00526311">
        <w:rPr>
          <w:bCs/>
          <w:szCs w:val="22"/>
        </w:rPr>
        <w:t>RESEÑA DE LOS AVANCES LOGRADOS EN 2014</w:t>
      </w:r>
    </w:p>
    <w:p w:rsidR="00B45FC3" w:rsidRPr="00526311" w:rsidRDefault="00B45FC3" w:rsidP="0063039A">
      <w:pPr>
        <w:jc w:val="both"/>
      </w:pPr>
    </w:p>
    <w:p w:rsidR="00B45FC3" w:rsidRPr="00526311" w:rsidRDefault="00B45FC3" w:rsidP="00B45FC3">
      <w:pPr>
        <w:pStyle w:val="ListParagraph"/>
        <w:numPr>
          <w:ilvl w:val="0"/>
          <w:numId w:val="67"/>
        </w:numPr>
        <w:tabs>
          <w:tab w:val="left" w:pos="709"/>
        </w:tabs>
        <w:ind w:left="0" w:firstLine="0"/>
        <w:jc w:val="both"/>
        <w:rPr>
          <w:lang w:val="es-ES"/>
        </w:rPr>
      </w:pPr>
      <w:r w:rsidRPr="00526311">
        <w:rPr>
          <w:lang w:val="es-ES"/>
        </w:rPr>
        <w:t>La labor estadística consiguió plenamente el objetivo de promocionar la disponibilidad de información estadística precisa, exhaustiva y puntual sobre el desempeño del sistema de P.I. en todo el mundo.  Como sucediera en años anteriores, el programa llevó a cabo una encuesta anual entre las oficinas nacionales y regionales de P.I.  Se recibieron respuestas de más de 90 países, entre ellas, las jurisdicciones de mayor tamaño que utilizan la P.I.  En el caso de las Oficinas de P.I. de economías pequeñas y menos desarrolladas, las limitaciones de recursos siguieron planteando obstáculos a la hora de responder a la encuesta estadística.  Sin embargo, mediante los programas de divulgación y de asistencia específica, el programa ha sido capaz de mejorar gradualmente la cobertura a lo largo de los años.</w:t>
      </w:r>
    </w:p>
    <w:p w:rsidR="00B45FC3" w:rsidRPr="00526311" w:rsidRDefault="00B45FC3" w:rsidP="0063039A">
      <w:pPr>
        <w:tabs>
          <w:tab w:val="left" w:pos="709"/>
        </w:tabs>
        <w:jc w:val="both"/>
      </w:pPr>
    </w:p>
    <w:p w:rsidR="00B45FC3" w:rsidRPr="00526311" w:rsidRDefault="00B45FC3" w:rsidP="00B45FC3">
      <w:pPr>
        <w:pStyle w:val="ListParagraph"/>
        <w:numPr>
          <w:ilvl w:val="0"/>
          <w:numId w:val="67"/>
        </w:numPr>
        <w:tabs>
          <w:tab w:val="left" w:pos="709"/>
        </w:tabs>
        <w:ind w:left="0" w:firstLine="0"/>
        <w:jc w:val="both"/>
        <w:rPr>
          <w:lang w:val="es-ES"/>
        </w:rPr>
      </w:pPr>
      <w:r w:rsidRPr="00526311">
        <w:rPr>
          <w:lang w:val="es-ES"/>
        </w:rPr>
        <w:t>El programa también cumplió la función de presentación de informes estadísticos, sobre todo mediante la difusión puntual de los Indicadores mundiales de P.I., el informe de la OMPI de datos y cifras de P.I., las reseñas anuales de los sistemas del Tratado de Cooperación en materia de Patentes (PCT), de Madrid y de La Haya, así como mediante el Centro de datos de estadísticas de P.I. y los perfiles estadísticos de los países disponibles en la página dedicada a las estadísticas del sitio web de la OMPI.  Un logro reseñable en 2014 fue la mejora de la capacidad funcional del Centro de datos, sin olvidarse de la puesta en marcha de interfaces de usuario en español y francés.  Otro logro fue la concepción de la nueva estructura del informe Indicadores mundiales de propiedad intelectual, con el fin de facilitar la búsqueda de información a los lectores.  En general, la oferta de datos estadísticos del programa dio respuesta a las necesidades de datos y análisis estadístico de una amplia gama de usuarios, desde especialistas de Oficinas de P.I.  y académicos hasta usuarios más generales ajenos a la comunidad de la P.I.</w:t>
      </w:r>
    </w:p>
    <w:p w:rsidR="00B45FC3" w:rsidRPr="00526311" w:rsidRDefault="00B45FC3" w:rsidP="0063039A"/>
    <w:p w:rsidR="00B45FC3" w:rsidRPr="00526311" w:rsidRDefault="00B45FC3" w:rsidP="00B45FC3">
      <w:pPr>
        <w:pStyle w:val="ListParagraph"/>
        <w:numPr>
          <w:ilvl w:val="0"/>
          <w:numId w:val="67"/>
        </w:numPr>
        <w:tabs>
          <w:tab w:val="left" w:pos="709"/>
        </w:tabs>
        <w:ind w:left="0" w:firstLine="0"/>
        <w:jc w:val="both"/>
        <w:rPr>
          <w:lang w:val="es-ES"/>
        </w:rPr>
      </w:pPr>
      <w:r w:rsidRPr="00526311">
        <w:rPr>
          <w:lang w:val="es-ES"/>
        </w:rPr>
        <w:t>La labor de análisis económico del programa también avanzó satisfactoriamente en la promoción de análisis empíricos de alta calidad para sentar las bases de la formulación de políticas bien fundamentadas.  Al igual que en años anteriores, la OMPI publicó el Índice mundial de innovación conjuntamente con el INSEAD y la Universidad de Cornell.  El Índice de 2014, en el que figuraban 143 economías, se presentó en Sydney (Australia), en una reunión de líderes empresariales internacionales denominada B20.  Posteriormente, se presentó en conferencias nacionales e internacionales a lo largo del mundo.  Igualmente, la publicación del Índice siguió recibiendo una notable atención de los medios de comunicación.  Además, gobiernos nacionales, organizaciones internacionales y otros sectores interesados en el sistema de la innovación utilizaron habitualmente el Índice como fuente de referencia para analizar el desempeño nacional en materia de innovación, según queda reflejado en las numerosas citas, solicitudes de datos y peticiones de servicios de asesoramiento recibidas.</w:t>
      </w:r>
    </w:p>
    <w:p w:rsidR="00B45FC3" w:rsidRPr="00526311" w:rsidRDefault="00B45FC3" w:rsidP="0063039A">
      <w:pPr>
        <w:tabs>
          <w:tab w:val="left" w:pos="709"/>
        </w:tabs>
        <w:jc w:val="both"/>
      </w:pPr>
    </w:p>
    <w:p w:rsidR="00B45FC3" w:rsidRPr="00526311" w:rsidRDefault="00B45FC3" w:rsidP="00B45FC3">
      <w:pPr>
        <w:pStyle w:val="ListParagraph"/>
        <w:numPr>
          <w:ilvl w:val="0"/>
          <w:numId w:val="67"/>
        </w:numPr>
        <w:tabs>
          <w:tab w:val="left" w:pos="709"/>
        </w:tabs>
        <w:ind w:left="0" w:firstLine="0"/>
        <w:jc w:val="both"/>
        <w:rPr>
          <w:lang w:val="es-ES"/>
        </w:rPr>
      </w:pPr>
      <w:r w:rsidRPr="00526311">
        <w:rPr>
          <w:lang w:val="es-ES"/>
        </w:rPr>
        <w:t>También se obtuvieron logros significativos en otros frentes.  Se avanzó notablemente en la elaboración de un nuevo Informe mundial sobre la P.I., que se publicará en el segundo semestre de</w:t>
      </w:r>
      <w:r w:rsidR="00F52B24" w:rsidRPr="00526311">
        <w:rPr>
          <w:lang w:val="es-ES"/>
        </w:rPr>
        <w:t> </w:t>
      </w:r>
      <w:r w:rsidRPr="00526311">
        <w:rPr>
          <w:lang w:val="es-ES"/>
        </w:rPr>
        <w:t>2015.  Asimismo, el programa contribuyó directamente a la labor de los comités de la OMPI, sobre todo mediante un estudio de la elasticidad de las tasas del PCT destinado al Grupo de Trabajo del PCT y un seminario sobre excepciones y limitaciones a los derechos conferidos por las patentes que tuvo lugar durante las sesiones del SCP.  Además, prestar asistencia a los Estados miembros de la OMPI mediante estudios de países siguió siendo un pilar importante de la labor de análisis económico del programa que tuvo lugar en el marco del proyecto de la A.D. sobre P.I. y desarrollo socioeconómico.  En 2014, finalizó la primera fase de este proyecto (CDIP/5/7) y se sometió a una evaluación externa (CDIP/14/3), que se presentó en la decimocuarta sesión del CDIP.  Los Estados miembros de la OMPI aprobaron la segunda fase del proyecto (CDIP/14/7), que se ejecutará de 2015 a 2017.  Los estudios realizados en el marco del proyecto de la A.D. siguieron respondiendo a las recomendaciones pertinentes de la A.D., especialmente las recomendaciones 35 y 37.</w:t>
      </w:r>
    </w:p>
    <w:p w:rsidR="00B45FC3" w:rsidRPr="00526311" w:rsidRDefault="00B45FC3" w:rsidP="0063039A">
      <w:pPr>
        <w:tabs>
          <w:tab w:val="left" w:pos="709"/>
        </w:tabs>
        <w:jc w:val="both"/>
      </w:pPr>
    </w:p>
    <w:p w:rsidR="00B45FC3" w:rsidRPr="00526311" w:rsidRDefault="00B45FC3" w:rsidP="00B45FC3">
      <w:pPr>
        <w:pStyle w:val="ListParagraph"/>
        <w:numPr>
          <w:ilvl w:val="0"/>
          <w:numId w:val="67"/>
        </w:numPr>
        <w:tabs>
          <w:tab w:val="left" w:pos="709"/>
        </w:tabs>
        <w:ind w:left="0" w:firstLine="0"/>
        <w:jc w:val="both"/>
        <w:rPr>
          <w:rFonts w:cs="Arial"/>
          <w:lang w:val="es-ES"/>
        </w:rPr>
      </w:pPr>
      <w:r w:rsidRPr="00526311">
        <w:rPr>
          <w:lang w:val="es-ES"/>
        </w:rPr>
        <w:t>Por último, el programa siguió coordinando una red de economistas de oficinas de P.I., abierta a todas las Oficinas de P.I. dotadas de capacidades de investigación de los aspectos económicos, para contribuir a fomentar y facilitar la investigación de los aspectos económicos de la P.I. de manera empírica y rigurosa desde el punto de vista científico.</w:t>
      </w:r>
    </w:p>
    <w:p w:rsidR="00B45FC3" w:rsidRPr="00526311" w:rsidRDefault="00B45FC3" w:rsidP="0063039A">
      <w:pPr>
        <w:jc w:val="both"/>
        <w:rPr>
          <w:b/>
        </w:rPr>
      </w:pPr>
    </w:p>
    <w:p w:rsidR="00B45FC3" w:rsidRPr="00526311" w:rsidRDefault="00B45FC3" w:rsidP="0063039A">
      <w:pPr>
        <w:jc w:val="both"/>
        <w:rPr>
          <w:b/>
        </w:rPr>
      </w:pPr>
    </w:p>
    <w:p w:rsidR="00B45FC3" w:rsidRPr="00526311" w:rsidRDefault="00B45FC3" w:rsidP="0063039A">
      <w:pPr>
        <w:keepNext/>
        <w:keepLines/>
        <w:jc w:val="both"/>
        <w:rPr>
          <w:szCs w:val="22"/>
        </w:rPr>
      </w:pPr>
      <w:r w:rsidRPr="00526311">
        <w:rPr>
          <w:szCs w:val="22"/>
        </w:rPr>
        <w:t>DATOS SOBRE EL RENDIMIENTO</w:t>
      </w:r>
    </w:p>
    <w:p w:rsidR="00B45FC3" w:rsidRPr="00526311" w:rsidRDefault="00B45FC3" w:rsidP="0063039A">
      <w:pPr>
        <w:keepNext/>
        <w:keepLines/>
        <w:jc w:val="both"/>
        <w:rPr>
          <w:b/>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268"/>
        <w:gridCol w:w="1422"/>
        <w:gridCol w:w="2405"/>
        <w:gridCol w:w="140"/>
        <w:gridCol w:w="994"/>
      </w:tblGrid>
      <w:tr w:rsidR="00B45FC3" w:rsidRPr="00526311" w:rsidTr="0063039A">
        <w:trPr>
          <w:cantSplit/>
        </w:trPr>
        <w:tc>
          <w:tcPr>
            <w:tcW w:w="5000" w:type="pct"/>
            <w:gridSpan w:val="6"/>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735"/>
                <w:tab w:val="left" w:pos="1877"/>
              </w:tabs>
              <w:spacing w:before="120" w:after="120"/>
              <w:ind w:left="1735" w:hanging="1735"/>
              <w:rPr>
                <w:b/>
                <w:bCs/>
                <w:sz w:val="16"/>
                <w:szCs w:val="16"/>
              </w:rPr>
            </w:pPr>
            <w:r w:rsidRPr="00526311">
              <w:rPr>
                <w:b/>
                <w:bCs/>
                <w:sz w:val="16"/>
                <w:szCs w:val="16"/>
              </w:rPr>
              <w:t>Resultado previsto:</w:t>
            </w:r>
            <w:r w:rsidRPr="00526311">
              <w:rPr>
                <w:b/>
              </w:rPr>
              <w:tab/>
            </w:r>
            <w:r w:rsidRPr="00526311">
              <w:rPr>
                <w:sz w:val="16"/>
                <w:szCs w:val="16"/>
              </w:rPr>
              <w:t>V.1 Ampliación y mejora del uso de la información estadística de la OMPI en materia de P.I.</w:t>
            </w:r>
          </w:p>
        </w:tc>
      </w:tr>
      <w:tr w:rsidR="00B45FC3" w:rsidRPr="00526311" w:rsidTr="0063039A">
        <w:trPr>
          <w:cantSplit/>
        </w:trPr>
        <w:tc>
          <w:tcPr>
            <w:tcW w:w="1137" w:type="pct"/>
            <w:tcBorders>
              <w:top w:val="single" w:sz="4" w:space="0" w:color="auto"/>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12" w:type="pct"/>
            <w:tcBorders>
              <w:top w:val="single" w:sz="4" w:space="0" w:color="auto"/>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760" w:type="pct"/>
            <w:tcBorders>
              <w:top w:val="single" w:sz="4" w:space="0" w:color="auto"/>
            </w:tcBorders>
            <w:shd w:val="clear" w:color="auto" w:fill="auto"/>
            <w:tcMar>
              <w:top w:w="110" w:type="dxa"/>
            </w:tcMar>
            <w:vAlign w:val="center"/>
          </w:tcPr>
          <w:p w:rsidR="00B45FC3" w:rsidRPr="00526311" w:rsidRDefault="00B45FC3" w:rsidP="0063039A">
            <w:pPr>
              <w:keepNext/>
              <w:keepLines/>
              <w:rPr>
                <w:b/>
                <w:sz w:val="16"/>
                <w:szCs w:val="16"/>
              </w:rPr>
            </w:pPr>
            <w:r w:rsidRPr="00526311">
              <w:rPr>
                <w:b/>
                <w:sz w:val="16"/>
                <w:szCs w:val="16"/>
              </w:rPr>
              <w:t>Objetivos</w:t>
            </w:r>
          </w:p>
        </w:tc>
        <w:tc>
          <w:tcPr>
            <w:tcW w:w="1285" w:type="pct"/>
            <w:tcBorders>
              <w:top w:val="single" w:sz="4" w:space="0" w:color="auto"/>
            </w:tcBorders>
            <w:shd w:val="clear" w:color="auto" w:fill="FFFFFF"/>
            <w:tcMar>
              <w:top w:w="110" w:type="dxa"/>
            </w:tcMar>
            <w:vAlign w:val="center"/>
          </w:tcPr>
          <w:p w:rsidR="00B45FC3" w:rsidRPr="00526311" w:rsidRDefault="00B45FC3" w:rsidP="0063039A">
            <w:pPr>
              <w:keepNext/>
              <w:keepLines/>
              <w:rPr>
                <w:sz w:val="16"/>
                <w:szCs w:val="16"/>
              </w:rPr>
            </w:pPr>
            <w:r w:rsidRPr="00526311">
              <w:rPr>
                <w:b/>
                <w:sz w:val="16"/>
                <w:szCs w:val="16"/>
              </w:rPr>
              <w:t>Datos sobre el rendimiento</w:t>
            </w:r>
          </w:p>
        </w:tc>
        <w:tc>
          <w:tcPr>
            <w:tcW w:w="606" w:type="pct"/>
            <w:gridSpan w:val="2"/>
            <w:tcBorders>
              <w:top w:val="single" w:sz="4" w:space="0" w:color="auto"/>
            </w:tcBorders>
            <w:shd w:val="clear" w:color="auto" w:fill="auto"/>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rPr>
          <w:cantSplit/>
        </w:trPr>
        <w:tc>
          <w:tcPr>
            <w:tcW w:w="1137" w:type="pct"/>
            <w:shd w:val="clear" w:color="auto" w:fill="auto"/>
          </w:tcPr>
          <w:p w:rsidR="00B45FC3" w:rsidRPr="00526311" w:rsidRDefault="00B45FC3" w:rsidP="0063039A">
            <w:pPr>
              <w:keepNext/>
              <w:keepLines/>
              <w:rPr>
                <w:sz w:val="16"/>
                <w:szCs w:val="16"/>
              </w:rPr>
            </w:pPr>
            <w:r w:rsidRPr="00526311">
              <w:rPr>
                <w:sz w:val="16"/>
                <w:szCs w:val="16"/>
              </w:rPr>
              <w:t>Número de descargas de los cuatro principales informes estadísticos (Indicadores mundiales de propiedad intelectual, reseñas anuales del PCT, La Haya y Madrid)</w:t>
            </w:r>
          </w:p>
        </w:tc>
        <w:tc>
          <w:tcPr>
            <w:tcW w:w="1212" w:type="pct"/>
            <w:shd w:val="clear" w:color="auto" w:fill="auto"/>
          </w:tcPr>
          <w:p w:rsidR="00B45FC3" w:rsidRPr="00526311" w:rsidRDefault="00B45FC3" w:rsidP="0063039A">
            <w:pPr>
              <w:keepNext/>
              <w:keepLines/>
              <w:rPr>
                <w:color w:val="002060"/>
                <w:sz w:val="16"/>
                <w:szCs w:val="16"/>
              </w:rPr>
            </w:pPr>
            <w:r w:rsidRPr="00526311">
              <w:rPr>
                <w:i/>
                <w:color w:val="002060"/>
                <w:sz w:val="16"/>
                <w:szCs w:val="16"/>
              </w:rPr>
              <w:t xml:space="preserve">Referencia actualizada a fines de 2013: </w:t>
            </w:r>
            <w:r w:rsidRPr="00526311">
              <w:rPr>
                <w:color w:val="002060"/>
                <w:sz w:val="16"/>
                <w:szCs w:val="16"/>
              </w:rPr>
              <w:t>En 2013, se descargaron en 52.670 ocasiones las últimas ediciones disponibles (2012 y 2013) de los Indicadores mundiales de propiedad intelectual (publicación n°941) y de los Datos y cifras de la OMPI (n°943)</w:t>
            </w:r>
          </w:p>
          <w:p w:rsidR="00B45FC3" w:rsidRPr="00526311" w:rsidRDefault="00B45FC3" w:rsidP="0063039A">
            <w:pPr>
              <w:keepNext/>
              <w:keepLines/>
              <w:spacing w:before="120"/>
              <w:rPr>
                <w:sz w:val="16"/>
                <w:szCs w:val="16"/>
              </w:rPr>
            </w:pPr>
            <w:r w:rsidRPr="00526311">
              <w:rPr>
                <w:i/>
                <w:sz w:val="16"/>
                <w:szCs w:val="16"/>
              </w:rPr>
              <w:t xml:space="preserve">Referencia original en el presupuesto de 2014/15:  </w:t>
            </w:r>
            <w:r w:rsidRPr="00526311">
              <w:rPr>
                <w:sz w:val="16"/>
                <w:szCs w:val="16"/>
              </w:rPr>
              <w:t>por determinar</w:t>
            </w:r>
            <w:r w:rsidR="00787D5F" w:rsidRPr="00526311">
              <w:rPr>
                <w:sz w:val="16"/>
                <w:szCs w:val="16"/>
              </w:rPr>
              <w:t xml:space="preserve"> a fines de 2013</w:t>
            </w:r>
          </w:p>
          <w:p w:rsidR="00B45FC3" w:rsidRPr="00526311" w:rsidRDefault="00B45FC3" w:rsidP="0063039A">
            <w:pPr>
              <w:keepNext/>
              <w:keepLines/>
              <w:rPr>
                <w:i/>
                <w:sz w:val="16"/>
                <w:szCs w:val="16"/>
              </w:rPr>
            </w:pPr>
          </w:p>
        </w:tc>
        <w:tc>
          <w:tcPr>
            <w:tcW w:w="760" w:type="pct"/>
            <w:shd w:val="clear" w:color="auto" w:fill="auto"/>
            <w:tcMar>
              <w:top w:w="110" w:type="dxa"/>
            </w:tcMar>
          </w:tcPr>
          <w:p w:rsidR="00B45FC3" w:rsidRPr="00526311" w:rsidRDefault="00B45FC3" w:rsidP="0063039A">
            <w:pPr>
              <w:keepNext/>
              <w:keepLines/>
              <w:rPr>
                <w:sz w:val="16"/>
                <w:szCs w:val="16"/>
              </w:rPr>
            </w:pPr>
            <w:r w:rsidRPr="00526311">
              <w:rPr>
                <w:sz w:val="16"/>
                <w:szCs w:val="16"/>
              </w:rPr>
              <w:t>Aumento del 10% respecto de 2012/13 en el número de descargas y usuarios</w:t>
            </w:r>
          </w:p>
        </w:tc>
        <w:tc>
          <w:tcPr>
            <w:tcW w:w="1285" w:type="pct"/>
            <w:shd w:val="clear" w:color="auto" w:fill="FFFFFF"/>
            <w:tcMar>
              <w:top w:w="110" w:type="dxa"/>
            </w:tcMar>
          </w:tcPr>
          <w:p w:rsidR="00B45FC3" w:rsidRPr="00526311" w:rsidRDefault="00B45FC3" w:rsidP="0063039A">
            <w:pPr>
              <w:keepNext/>
              <w:keepLines/>
              <w:rPr>
                <w:sz w:val="16"/>
                <w:szCs w:val="16"/>
                <w:lang w:bidi="th-TH"/>
              </w:rPr>
            </w:pPr>
            <w:r w:rsidRPr="00526311">
              <w:rPr>
                <w:sz w:val="16"/>
                <w:szCs w:val="16"/>
                <w:lang w:bidi="th-TH"/>
              </w:rPr>
              <w:t>Se están desarrollando y probando nuevas herramientas y metodologías estadísticas basadas en Internet.  Los datos estarán disponibles a fines de 2015.</w:t>
            </w:r>
          </w:p>
          <w:p w:rsidR="00B45FC3" w:rsidRPr="00526311" w:rsidRDefault="00B45FC3" w:rsidP="0063039A">
            <w:pPr>
              <w:pStyle w:val="ListParagraph"/>
              <w:keepNext/>
              <w:keepLines/>
              <w:ind w:left="360"/>
              <w:rPr>
                <w:rFonts w:cs="Arial"/>
                <w:sz w:val="16"/>
                <w:szCs w:val="16"/>
                <w:lang w:val="es-ES"/>
              </w:rPr>
            </w:pPr>
          </w:p>
        </w:tc>
        <w:tc>
          <w:tcPr>
            <w:tcW w:w="606" w:type="pct"/>
            <w:gridSpan w:val="2"/>
            <w:shd w:val="clear" w:color="auto" w:fill="auto"/>
            <w:tcMar>
              <w:top w:w="110" w:type="dxa"/>
            </w:tcMar>
          </w:tcPr>
          <w:p w:rsidR="00B45FC3" w:rsidRPr="00526311" w:rsidRDefault="00B45FC3" w:rsidP="0063039A">
            <w:pPr>
              <w:keepNext/>
              <w:keepLines/>
              <w:jc w:val="center"/>
              <w:rPr>
                <w:b/>
                <w:bCs/>
                <w:sz w:val="16"/>
                <w:szCs w:val="16"/>
              </w:rPr>
            </w:pPr>
            <w:r w:rsidRPr="00526311">
              <w:rPr>
                <w:b/>
                <w:bCs/>
                <w:color w:val="A6A6A6" w:themeColor="background1" w:themeShade="A6"/>
                <w:sz w:val="16"/>
                <w:szCs w:val="16"/>
              </w:rPr>
              <w:t>No mensurable</w:t>
            </w:r>
          </w:p>
        </w:tc>
      </w:tr>
      <w:tr w:rsidR="00B45FC3" w:rsidRPr="00526311" w:rsidTr="0063039A">
        <w:trPr>
          <w:cantSplit/>
        </w:trPr>
        <w:tc>
          <w:tcPr>
            <w:tcW w:w="1137" w:type="pct"/>
            <w:tcBorders>
              <w:bottom w:val="single" w:sz="4" w:space="0" w:color="auto"/>
            </w:tcBorders>
            <w:shd w:val="clear" w:color="auto" w:fill="auto"/>
          </w:tcPr>
          <w:p w:rsidR="00B45FC3" w:rsidRPr="00526311" w:rsidRDefault="00B45FC3" w:rsidP="0063039A">
            <w:pPr>
              <w:rPr>
                <w:sz w:val="16"/>
                <w:szCs w:val="16"/>
              </w:rPr>
            </w:pPr>
            <w:r w:rsidRPr="00526311">
              <w:rPr>
                <w:sz w:val="16"/>
                <w:szCs w:val="16"/>
              </w:rPr>
              <w:t>Número de visitantes que utilizan el Centro de datos de estadísticas de P.I.</w:t>
            </w:r>
          </w:p>
        </w:tc>
        <w:tc>
          <w:tcPr>
            <w:tcW w:w="1212" w:type="pct"/>
            <w:tcBorders>
              <w:bottom w:val="single" w:sz="4" w:space="0" w:color="auto"/>
            </w:tcBorders>
            <w:shd w:val="clear" w:color="auto" w:fill="auto"/>
          </w:tcPr>
          <w:p w:rsidR="00B45FC3" w:rsidRPr="00526311" w:rsidRDefault="00B45FC3" w:rsidP="0063039A">
            <w:pPr>
              <w:rPr>
                <w:i/>
                <w:color w:val="002060"/>
                <w:sz w:val="16"/>
                <w:szCs w:val="16"/>
              </w:rPr>
            </w:pPr>
            <w:r w:rsidRPr="00526311">
              <w:rPr>
                <w:i/>
                <w:color w:val="002060"/>
                <w:sz w:val="16"/>
                <w:szCs w:val="16"/>
              </w:rPr>
              <w:t xml:space="preserve">Referencia actualizada a fines de 2013: </w:t>
            </w:r>
          </w:p>
          <w:p w:rsidR="00B45FC3" w:rsidRPr="00526311" w:rsidRDefault="00B45FC3" w:rsidP="0063039A">
            <w:pPr>
              <w:rPr>
                <w:color w:val="002060"/>
                <w:sz w:val="16"/>
                <w:szCs w:val="16"/>
              </w:rPr>
            </w:pPr>
            <w:r w:rsidRPr="00526311">
              <w:rPr>
                <w:color w:val="002060"/>
                <w:sz w:val="16"/>
                <w:szCs w:val="16"/>
              </w:rPr>
              <w:t>En 2013, el Centro de datos de estadísticas de la OMPI tuvo 23.496 visitantes únicos (1.958 al mes) que vieron 162.463 páginas</w:t>
            </w:r>
          </w:p>
          <w:p w:rsidR="00B45FC3" w:rsidRPr="00526311" w:rsidRDefault="00B45FC3" w:rsidP="0063039A">
            <w:pPr>
              <w:spacing w:before="120"/>
              <w:rPr>
                <w:sz w:val="16"/>
                <w:szCs w:val="16"/>
              </w:rPr>
            </w:pPr>
            <w:r w:rsidRPr="00526311">
              <w:rPr>
                <w:i/>
                <w:sz w:val="16"/>
                <w:szCs w:val="16"/>
              </w:rPr>
              <w:t xml:space="preserve">Referencia original en el presupuesto de 2014/15:  </w:t>
            </w:r>
            <w:r w:rsidRPr="00526311">
              <w:rPr>
                <w:sz w:val="16"/>
                <w:szCs w:val="16"/>
              </w:rPr>
              <w:t>por determinar</w:t>
            </w:r>
            <w:r w:rsidR="00787D5F" w:rsidRPr="00526311">
              <w:rPr>
                <w:sz w:val="16"/>
                <w:szCs w:val="16"/>
              </w:rPr>
              <w:t xml:space="preserve"> a fines de 2013</w:t>
            </w:r>
            <w:r w:rsidRPr="00526311">
              <w:rPr>
                <w:sz w:val="16"/>
                <w:szCs w:val="16"/>
              </w:rPr>
              <w:br/>
            </w:r>
          </w:p>
        </w:tc>
        <w:tc>
          <w:tcPr>
            <w:tcW w:w="760" w:type="pct"/>
            <w:tcBorders>
              <w:bottom w:val="single" w:sz="4" w:space="0" w:color="auto"/>
            </w:tcBorders>
            <w:shd w:val="clear" w:color="auto" w:fill="auto"/>
            <w:tcMar>
              <w:top w:w="110" w:type="dxa"/>
            </w:tcMar>
          </w:tcPr>
          <w:p w:rsidR="00B45FC3" w:rsidRPr="00526311" w:rsidRDefault="00B45FC3" w:rsidP="0063039A">
            <w:pPr>
              <w:rPr>
                <w:rFonts w:ascii="ArialMT" w:hAnsi="ArialMT" w:cs="ArialMT"/>
                <w:sz w:val="16"/>
                <w:szCs w:val="16"/>
              </w:rPr>
            </w:pPr>
            <w:r w:rsidRPr="00526311">
              <w:rPr>
                <w:rFonts w:ascii="ArialMT" w:hAnsi="ArialMT" w:cs="ArialMT"/>
                <w:sz w:val="16"/>
                <w:szCs w:val="16"/>
              </w:rPr>
              <w:t>Aumento del 10% respecto de 2012/13 en el número de usuarios</w:t>
            </w:r>
          </w:p>
          <w:p w:rsidR="00B45FC3" w:rsidRPr="00526311" w:rsidRDefault="00B45FC3" w:rsidP="0063039A">
            <w:pPr>
              <w:rPr>
                <w:rFonts w:ascii="ArialMT" w:hAnsi="ArialMT" w:cs="ArialMT"/>
                <w:sz w:val="16"/>
                <w:szCs w:val="16"/>
              </w:rPr>
            </w:pPr>
          </w:p>
          <w:p w:rsidR="00B45FC3" w:rsidRPr="00526311" w:rsidRDefault="00B45FC3" w:rsidP="0063039A">
            <w:pPr>
              <w:rPr>
                <w:i/>
                <w:sz w:val="16"/>
                <w:szCs w:val="16"/>
              </w:rPr>
            </w:pPr>
          </w:p>
        </w:tc>
        <w:tc>
          <w:tcPr>
            <w:tcW w:w="1285" w:type="pct"/>
            <w:tcBorders>
              <w:bottom w:val="single" w:sz="4" w:space="0" w:color="auto"/>
            </w:tcBorders>
            <w:shd w:val="clear" w:color="auto" w:fill="FFFFFF"/>
            <w:tcMar>
              <w:top w:w="110" w:type="dxa"/>
            </w:tcMar>
          </w:tcPr>
          <w:p w:rsidR="00B45FC3" w:rsidRPr="00526311" w:rsidRDefault="00B45FC3" w:rsidP="0063039A">
            <w:pPr>
              <w:rPr>
                <w:sz w:val="16"/>
                <w:szCs w:val="16"/>
              </w:rPr>
            </w:pPr>
            <w:r w:rsidRPr="00526311">
              <w:rPr>
                <w:rFonts w:eastAsia="Batang"/>
                <w:sz w:val="16"/>
                <w:szCs w:val="16"/>
                <w:lang w:eastAsia="ja-JP"/>
              </w:rPr>
              <w:t>2,999 sesiones mensuales de media</w:t>
            </w:r>
            <w:r w:rsidRPr="00526311">
              <w:rPr>
                <w:rStyle w:val="FootnoteReference"/>
                <w:rFonts w:eastAsia="Batang"/>
                <w:sz w:val="16"/>
                <w:szCs w:val="16"/>
                <w:lang w:eastAsia="ja-JP"/>
              </w:rPr>
              <w:footnoteReference w:id="47"/>
            </w:r>
          </w:p>
        </w:tc>
        <w:tc>
          <w:tcPr>
            <w:tcW w:w="606" w:type="pct"/>
            <w:gridSpan w:val="2"/>
            <w:tcBorders>
              <w:bottom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r w:rsidR="00B45FC3" w:rsidRPr="00526311" w:rsidTr="0063039A">
        <w:trPr>
          <w:cantSplit/>
        </w:trPr>
        <w:tc>
          <w:tcPr>
            <w:tcW w:w="5000" w:type="pct"/>
            <w:gridSpan w:val="6"/>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735"/>
                <w:tab w:val="left" w:pos="1877"/>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sz w:val="16"/>
                <w:szCs w:val="16"/>
              </w:rPr>
              <w:t>V.2 Ampliación y mejora del uso de los análisis económicos de la OMPI en la formulación de políticas</w:t>
            </w:r>
          </w:p>
        </w:tc>
      </w:tr>
      <w:tr w:rsidR="00B45FC3" w:rsidRPr="00526311" w:rsidTr="0063039A">
        <w:trPr>
          <w:cantSplit/>
          <w:trHeight w:val="527"/>
        </w:trPr>
        <w:tc>
          <w:tcPr>
            <w:tcW w:w="1137" w:type="pct"/>
            <w:tcBorders>
              <w:top w:val="single" w:sz="4" w:space="0" w:color="auto"/>
            </w:tcBorders>
            <w:shd w:val="clear" w:color="auto" w:fill="auto"/>
            <w:vAlign w:val="center"/>
          </w:tcPr>
          <w:p w:rsidR="00B45FC3" w:rsidRPr="00526311" w:rsidRDefault="00B45FC3" w:rsidP="0063039A">
            <w:pPr>
              <w:rPr>
                <w:sz w:val="16"/>
                <w:szCs w:val="16"/>
              </w:rPr>
            </w:pPr>
            <w:r w:rsidRPr="00526311">
              <w:rPr>
                <w:b/>
                <w:sz w:val="16"/>
                <w:szCs w:val="16"/>
              </w:rPr>
              <w:t>Indicadores de rendimiento</w:t>
            </w:r>
          </w:p>
        </w:tc>
        <w:tc>
          <w:tcPr>
            <w:tcW w:w="1212"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760" w:type="pct"/>
            <w:tcBorders>
              <w:top w:val="single" w:sz="4" w:space="0" w:color="auto"/>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360" w:type="pct"/>
            <w:gridSpan w:val="2"/>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531" w:type="pct"/>
            <w:tcBorders>
              <w:top w:val="single" w:sz="4" w:space="0" w:color="auto"/>
            </w:tcBorders>
            <w:shd w:val="clear" w:color="auto" w:fill="auto"/>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rPr>
          <w:cantSplit/>
        </w:trPr>
        <w:tc>
          <w:tcPr>
            <w:tcW w:w="1137" w:type="pct"/>
            <w:shd w:val="clear" w:color="auto" w:fill="auto"/>
          </w:tcPr>
          <w:p w:rsidR="00B45FC3" w:rsidRPr="00526311" w:rsidRDefault="00B45FC3" w:rsidP="0063039A">
            <w:pPr>
              <w:rPr>
                <w:sz w:val="16"/>
                <w:szCs w:val="16"/>
              </w:rPr>
            </w:pPr>
            <w:r w:rsidRPr="00526311">
              <w:rPr>
                <w:sz w:val="16"/>
                <w:szCs w:val="16"/>
              </w:rPr>
              <w:t>Número de descargas de las principales publicaciones económicas</w:t>
            </w:r>
          </w:p>
        </w:tc>
        <w:tc>
          <w:tcPr>
            <w:tcW w:w="1212" w:type="pct"/>
            <w:shd w:val="clear" w:color="auto" w:fill="auto"/>
          </w:tcPr>
          <w:p w:rsidR="00B45FC3" w:rsidRPr="00526311" w:rsidRDefault="00B45FC3" w:rsidP="0063039A">
            <w:pPr>
              <w:rPr>
                <w:sz w:val="16"/>
                <w:szCs w:val="16"/>
              </w:rPr>
            </w:pPr>
            <w:r w:rsidRPr="00526311">
              <w:rPr>
                <w:sz w:val="16"/>
                <w:szCs w:val="16"/>
              </w:rPr>
              <w:t>Por determinar</w:t>
            </w:r>
            <w:r w:rsidR="00787D5F" w:rsidRPr="00526311">
              <w:rPr>
                <w:sz w:val="16"/>
                <w:szCs w:val="16"/>
              </w:rPr>
              <w:t xml:space="preserve"> a fines de 2013</w:t>
            </w:r>
          </w:p>
        </w:tc>
        <w:tc>
          <w:tcPr>
            <w:tcW w:w="760" w:type="pct"/>
            <w:shd w:val="clear" w:color="auto" w:fill="auto"/>
            <w:tcMar>
              <w:top w:w="110" w:type="dxa"/>
            </w:tcMar>
          </w:tcPr>
          <w:p w:rsidR="00B45FC3" w:rsidRPr="00526311" w:rsidRDefault="00B45FC3" w:rsidP="0063039A">
            <w:pPr>
              <w:autoSpaceDE w:val="0"/>
              <w:autoSpaceDN w:val="0"/>
              <w:adjustRightInd w:val="0"/>
              <w:rPr>
                <w:rFonts w:ascii="ArialMT" w:hAnsi="ArialMT" w:cs="ArialMT"/>
                <w:sz w:val="16"/>
                <w:szCs w:val="16"/>
              </w:rPr>
            </w:pPr>
            <w:r w:rsidRPr="00526311">
              <w:rPr>
                <w:rFonts w:ascii="ArialMT" w:hAnsi="ArialMT" w:cs="ArialMT"/>
                <w:sz w:val="16"/>
                <w:szCs w:val="16"/>
              </w:rPr>
              <w:t>Aumento del 20% respecto de 2012/13</w:t>
            </w:r>
          </w:p>
        </w:tc>
        <w:tc>
          <w:tcPr>
            <w:tcW w:w="1360" w:type="pct"/>
            <w:gridSpan w:val="2"/>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Se están desarrollando y probando nuevas herramientas y metodologías estadísticas basadas en Internet.  Los datos estarán disponibles a fines de 2015.</w:t>
            </w:r>
          </w:p>
          <w:p w:rsidR="00B45FC3" w:rsidRPr="00526311" w:rsidRDefault="00B45FC3" w:rsidP="0063039A">
            <w:pPr>
              <w:rPr>
                <w:sz w:val="16"/>
                <w:szCs w:val="16"/>
                <w:lang w:bidi="th-TH"/>
              </w:rPr>
            </w:pPr>
          </w:p>
        </w:tc>
        <w:tc>
          <w:tcPr>
            <w:tcW w:w="531" w:type="pct"/>
            <w:shd w:val="clear" w:color="auto" w:fill="auto"/>
            <w:tcMar>
              <w:top w:w="110" w:type="dxa"/>
            </w:tcMar>
          </w:tcPr>
          <w:p w:rsidR="00B45FC3" w:rsidRPr="00526311" w:rsidRDefault="00B45FC3" w:rsidP="0063039A">
            <w:pPr>
              <w:keepNext/>
              <w:keepLines/>
              <w:ind w:left="-107" w:right="-107"/>
              <w:jc w:val="center"/>
              <w:rPr>
                <w:bCs/>
                <w:sz w:val="16"/>
                <w:szCs w:val="16"/>
              </w:rPr>
            </w:pPr>
            <w:r w:rsidRPr="00526311">
              <w:rPr>
                <w:b/>
                <w:bCs/>
                <w:sz w:val="16"/>
                <w:szCs w:val="16"/>
              </w:rPr>
              <w:t>No mensurable</w:t>
            </w:r>
          </w:p>
        </w:tc>
      </w:tr>
      <w:tr w:rsidR="00B45FC3" w:rsidRPr="00526311" w:rsidTr="0063039A">
        <w:trPr>
          <w:cantSplit/>
          <w:trHeight w:val="1567"/>
        </w:trPr>
        <w:tc>
          <w:tcPr>
            <w:tcW w:w="1137" w:type="pct"/>
            <w:shd w:val="clear" w:color="auto" w:fill="auto"/>
          </w:tcPr>
          <w:p w:rsidR="00B45FC3" w:rsidRPr="00526311" w:rsidRDefault="00B45FC3" w:rsidP="0063039A">
            <w:pPr>
              <w:rPr>
                <w:sz w:val="16"/>
                <w:szCs w:val="16"/>
              </w:rPr>
            </w:pPr>
            <w:r w:rsidRPr="00526311">
              <w:rPr>
                <w:sz w:val="16"/>
                <w:szCs w:val="16"/>
              </w:rPr>
              <w:t>Número de descargas de estudios</w:t>
            </w:r>
          </w:p>
        </w:tc>
        <w:tc>
          <w:tcPr>
            <w:tcW w:w="1212" w:type="pct"/>
            <w:shd w:val="clear" w:color="auto" w:fill="auto"/>
          </w:tcPr>
          <w:p w:rsidR="00B45FC3" w:rsidRPr="00526311" w:rsidRDefault="00B45FC3" w:rsidP="0063039A">
            <w:pPr>
              <w:rPr>
                <w:i/>
                <w:color w:val="002060"/>
                <w:sz w:val="16"/>
                <w:szCs w:val="16"/>
              </w:rPr>
            </w:pPr>
            <w:r w:rsidRPr="00526311">
              <w:rPr>
                <w:i/>
                <w:color w:val="002060"/>
                <w:sz w:val="16"/>
                <w:szCs w:val="16"/>
              </w:rPr>
              <w:t xml:space="preserve">Referencia actualizada a fines de 2013: </w:t>
            </w:r>
          </w:p>
          <w:p w:rsidR="00B45FC3" w:rsidRPr="00526311" w:rsidRDefault="00B45FC3" w:rsidP="0063039A">
            <w:pPr>
              <w:autoSpaceDE w:val="0"/>
              <w:autoSpaceDN w:val="0"/>
              <w:adjustRightInd w:val="0"/>
              <w:rPr>
                <w:color w:val="002060"/>
                <w:sz w:val="16"/>
                <w:szCs w:val="16"/>
              </w:rPr>
            </w:pPr>
            <w:r w:rsidRPr="00526311">
              <w:rPr>
                <w:color w:val="002060"/>
                <w:sz w:val="16"/>
                <w:szCs w:val="16"/>
              </w:rPr>
              <w:t xml:space="preserve">7 documentos de trabajo publicados en 2013 </w:t>
            </w:r>
          </w:p>
          <w:p w:rsidR="00B45FC3" w:rsidRPr="00526311" w:rsidRDefault="00B45FC3" w:rsidP="0063039A">
            <w:pPr>
              <w:rPr>
                <w:i/>
                <w:sz w:val="8"/>
                <w:szCs w:val="8"/>
              </w:rPr>
            </w:pPr>
          </w:p>
          <w:p w:rsidR="00B45FC3" w:rsidRPr="00526311" w:rsidRDefault="00B45FC3" w:rsidP="0063039A">
            <w:pPr>
              <w:autoSpaceDE w:val="0"/>
              <w:autoSpaceDN w:val="0"/>
              <w:adjustRightInd w:val="0"/>
              <w:rPr>
                <w:color w:val="002060"/>
                <w:sz w:val="16"/>
                <w:szCs w:val="16"/>
              </w:rPr>
            </w:pPr>
            <w:r w:rsidRPr="00526311">
              <w:rPr>
                <w:i/>
                <w:sz w:val="16"/>
                <w:szCs w:val="16"/>
              </w:rPr>
              <w:t xml:space="preserve">Referencia original en el presupuesto de 2014/15: </w:t>
            </w:r>
            <w:r w:rsidRPr="00526311">
              <w:rPr>
                <w:sz w:val="16"/>
                <w:szCs w:val="16"/>
              </w:rPr>
              <w:t>por determinar a fines de 2013</w:t>
            </w:r>
          </w:p>
        </w:tc>
        <w:tc>
          <w:tcPr>
            <w:tcW w:w="760" w:type="pct"/>
            <w:shd w:val="clear" w:color="auto" w:fill="auto"/>
            <w:tcMar>
              <w:top w:w="110" w:type="dxa"/>
            </w:tcMar>
          </w:tcPr>
          <w:p w:rsidR="00B45FC3" w:rsidRPr="00526311" w:rsidRDefault="00787D5F" w:rsidP="0063039A">
            <w:pPr>
              <w:autoSpaceDE w:val="0"/>
              <w:autoSpaceDN w:val="0"/>
              <w:adjustRightInd w:val="0"/>
              <w:rPr>
                <w:rFonts w:ascii="ArialMT" w:hAnsi="ArialMT" w:cs="ArialMT"/>
                <w:sz w:val="16"/>
                <w:szCs w:val="16"/>
              </w:rPr>
            </w:pPr>
            <w:r w:rsidRPr="00526311">
              <w:rPr>
                <w:rFonts w:ascii="ArialMT" w:hAnsi="ArialMT" w:cs="ArialMT"/>
                <w:sz w:val="16"/>
                <w:szCs w:val="16"/>
              </w:rPr>
              <w:t>Ocho</w:t>
            </w:r>
            <w:r w:rsidR="00B45FC3" w:rsidRPr="00526311">
              <w:rPr>
                <w:rFonts w:ascii="ArialMT" w:hAnsi="ArialMT" w:cs="ArialMT"/>
                <w:sz w:val="16"/>
                <w:szCs w:val="16"/>
              </w:rPr>
              <w:t xml:space="preserve"> nuevos documentos de trabajo</w:t>
            </w:r>
          </w:p>
          <w:p w:rsidR="00B45FC3" w:rsidRPr="00526311" w:rsidRDefault="00B45FC3" w:rsidP="0063039A">
            <w:pPr>
              <w:autoSpaceDE w:val="0"/>
              <w:autoSpaceDN w:val="0"/>
              <w:adjustRightInd w:val="0"/>
              <w:rPr>
                <w:rFonts w:ascii="ArialMT" w:hAnsi="ArialMT" w:cs="ArialMT"/>
                <w:sz w:val="16"/>
                <w:szCs w:val="16"/>
              </w:rPr>
            </w:pPr>
          </w:p>
          <w:p w:rsidR="00B45FC3" w:rsidRPr="00526311" w:rsidRDefault="00B45FC3" w:rsidP="0063039A">
            <w:pPr>
              <w:autoSpaceDE w:val="0"/>
              <w:autoSpaceDN w:val="0"/>
              <w:adjustRightInd w:val="0"/>
              <w:rPr>
                <w:rFonts w:ascii="ArialMT" w:hAnsi="ArialMT" w:cs="ArialMT"/>
                <w:sz w:val="16"/>
                <w:szCs w:val="16"/>
              </w:rPr>
            </w:pPr>
          </w:p>
        </w:tc>
        <w:tc>
          <w:tcPr>
            <w:tcW w:w="1360" w:type="pct"/>
            <w:gridSpan w:val="2"/>
            <w:shd w:val="clear" w:color="auto" w:fill="FFFFFF"/>
            <w:tcMar>
              <w:top w:w="110" w:type="dxa"/>
            </w:tcMar>
          </w:tcPr>
          <w:p w:rsidR="00B45FC3" w:rsidRPr="00526311" w:rsidRDefault="00B45FC3" w:rsidP="0063039A">
            <w:r w:rsidRPr="00526311">
              <w:rPr>
                <w:rFonts w:ascii="ArialMT" w:hAnsi="ArialMT" w:cs="ArialMT"/>
                <w:sz w:val="16"/>
                <w:szCs w:val="16"/>
              </w:rPr>
              <w:t>11 documentos de trabajo publicados en 2014</w:t>
            </w:r>
          </w:p>
        </w:tc>
        <w:tc>
          <w:tcPr>
            <w:tcW w:w="531" w:type="pct"/>
            <w:shd w:val="clear" w:color="auto" w:fill="auto"/>
            <w:tcMar>
              <w:top w:w="110" w:type="dxa"/>
            </w:tcMar>
          </w:tcPr>
          <w:p w:rsidR="00B45FC3" w:rsidRPr="00526311" w:rsidRDefault="00B45FC3" w:rsidP="0063039A">
            <w:pPr>
              <w:keepNext/>
              <w:keepLines/>
              <w:ind w:left="-107"/>
              <w:jc w:val="center"/>
              <w:rPr>
                <w:bCs/>
                <w:sz w:val="16"/>
                <w:szCs w:val="16"/>
              </w:rPr>
            </w:pPr>
            <w:r w:rsidRPr="00526311">
              <w:rPr>
                <w:b/>
                <w:bCs/>
                <w:color w:val="00B050"/>
                <w:sz w:val="16"/>
                <w:szCs w:val="16"/>
              </w:rPr>
              <w:t>Avanza</w:t>
            </w:r>
          </w:p>
        </w:tc>
      </w:tr>
      <w:tr w:rsidR="00B45FC3" w:rsidRPr="00526311" w:rsidTr="0063039A">
        <w:trPr>
          <w:cantSplit/>
        </w:trPr>
        <w:tc>
          <w:tcPr>
            <w:tcW w:w="1137" w:type="pct"/>
            <w:shd w:val="clear" w:color="auto" w:fill="auto"/>
          </w:tcPr>
          <w:p w:rsidR="00B45FC3" w:rsidRPr="00526311" w:rsidRDefault="00B45FC3" w:rsidP="0063039A">
            <w:pPr>
              <w:rPr>
                <w:sz w:val="16"/>
                <w:szCs w:val="16"/>
              </w:rPr>
            </w:pPr>
            <w:r w:rsidRPr="00526311">
              <w:rPr>
                <w:sz w:val="16"/>
                <w:szCs w:val="16"/>
              </w:rPr>
              <w:t>Número de descargas de seminarios</w:t>
            </w:r>
          </w:p>
        </w:tc>
        <w:tc>
          <w:tcPr>
            <w:tcW w:w="1212" w:type="pct"/>
            <w:shd w:val="clear" w:color="auto" w:fill="auto"/>
          </w:tcPr>
          <w:p w:rsidR="00B45FC3" w:rsidRPr="00526311" w:rsidRDefault="00B45FC3" w:rsidP="0063039A">
            <w:pPr>
              <w:rPr>
                <w:i/>
                <w:color w:val="002060"/>
                <w:sz w:val="16"/>
                <w:szCs w:val="16"/>
              </w:rPr>
            </w:pPr>
            <w:r w:rsidRPr="00526311">
              <w:rPr>
                <w:i/>
                <w:color w:val="002060"/>
                <w:sz w:val="16"/>
                <w:szCs w:val="16"/>
              </w:rPr>
              <w:t>Referencia actualizada a fines de 2013:  n.d.</w:t>
            </w:r>
          </w:p>
          <w:p w:rsidR="00B45FC3" w:rsidRPr="00526311" w:rsidRDefault="00B45FC3" w:rsidP="0063039A">
            <w:pPr>
              <w:rPr>
                <w:i/>
                <w:sz w:val="8"/>
                <w:szCs w:val="8"/>
              </w:rPr>
            </w:pPr>
          </w:p>
          <w:p w:rsidR="00B45FC3" w:rsidRPr="00526311" w:rsidRDefault="00B45FC3" w:rsidP="0063039A">
            <w:pPr>
              <w:rPr>
                <w:i/>
                <w:color w:val="002060"/>
                <w:sz w:val="16"/>
                <w:szCs w:val="16"/>
              </w:rPr>
            </w:pPr>
            <w:r w:rsidRPr="00526311">
              <w:rPr>
                <w:i/>
                <w:sz w:val="16"/>
                <w:szCs w:val="16"/>
              </w:rPr>
              <w:t xml:space="preserve">Referencia original en el presupuesto de 2014/15: </w:t>
            </w:r>
            <w:r w:rsidRPr="00526311">
              <w:rPr>
                <w:sz w:val="16"/>
                <w:szCs w:val="16"/>
              </w:rPr>
              <w:t>por determinar a fines de 2013</w:t>
            </w:r>
            <w:r w:rsidRPr="00526311">
              <w:rPr>
                <w:sz w:val="16"/>
                <w:szCs w:val="16"/>
              </w:rPr>
              <w:br/>
            </w:r>
          </w:p>
        </w:tc>
        <w:tc>
          <w:tcPr>
            <w:tcW w:w="760" w:type="pct"/>
            <w:shd w:val="clear" w:color="auto" w:fill="auto"/>
            <w:tcMar>
              <w:top w:w="110" w:type="dxa"/>
            </w:tcMar>
          </w:tcPr>
          <w:p w:rsidR="00B45FC3" w:rsidRPr="00526311" w:rsidRDefault="00B45FC3" w:rsidP="0063039A">
            <w:pPr>
              <w:autoSpaceDE w:val="0"/>
              <w:autoSpaceDN w:val="0"/>
              <w:adjustRightInd w:val="0"/>
              <w:rPr>
                <w:rFonts w:ascii="ArialMT" w:hAnsi="ArialMT" w:cs="ArialMT"/>
                <w:sz w:val="16"/>
                <w:szCs w:val="16"/>
              </w:rPr>
            </w:pPr>
            <w:r w:rsidRPr="00526311">
              <w:rPr>
                <w:rFonts w:ascii="ArialMT" w:hAnsi="ArialMT" w:cs="ArialMT"/>
                <w:sz w:val="16"/>
                <w:szCs w:val="16"/>
              </w:rPr>
              <w:t>Mantenimiento del rendimiento del bienio anterior</w:t>
            </w:r>
          </w:p>
          <w:p w:rsidR="00B45FC3" w:rsidRPr="00526311" w:rsidRDefault="00B45FC3" w:rsidP="0063039A">
            <w:pPr>
              <w:autoSpaceDE w:val="0"/>
              <w:autoSpaceDN w:val="0"/>
              <w:adjustRightInd w:val="0"/>
              <w:rPr>
                <w:rFonts w:ascii="ArialMT" w:hAnsi="ArialMT" w:cs="ArialMT"/>
                <w:sz w:val="16"/>
                <w:szCs w:val="16"/>
              </w:rPr>
            </w:pPr>
          </w:p>
          <w:p w:rsidR="00B45FC3" w:rsidRPr="00526311" w:rsidRDefault="00B45FC3" w:rsidP="0063039A">
            <w:pPr>
              <w:autoSpaceDE w:val="0"/>
              <w:autoSpaceDN w:val="0"/>
              <w:adjustRightInd w:val="0"/>
              <w:rPr>
                <w:rFonts w:ascii="ArialMT" w:hAnsi="ArialMT" w:cs="ArialMT"/>
                <w:sz w:val="16"/>
                <w:szCs w:val="16"/>
              </w:rPr>
            </w:pPr>
          </w:p>
        </w:tc>
        <w:tc>
          <w:tcPr>
            <w:tcW w:w="1360" w:type="pct"/>
            <w:gridSpan w:val="2"/>
            <w:shd w:val="clear" w:color="auto" w:fill="FFFFFF"/>
            <w:tcMar>
              <w:top w:w="110" w:type="dxa"/>
            </w:tcMar>
          </w:tcPr>
          <w:p w:rsidR="00B45FC3" w:rsidRPr="00526311" w:rsidRDefault="00B45FC3" w:rsidP="0063039A">
            <w:pPr>
              <w:rPr>
                <w:rFonts w:ascii="ArialMT" w:hAnsi="ArialMT" w:cs="ArialMT"/>
                <w:sz w:val="16"/>
                <w:szCs w:val="16"/>
              </w:rPr>
            </w:pPr>
            <w:r w:rsidRPr="00526311">
              <w:rPr>
                <w:rFonts w:ascii="ArialMT" w:hAnsi="ArialMT" w:cs="ArialMT"/>
                <w:sz w:val="16"/>
                <w:szCs w:val="16"/>
              </w:rPr>
              <w:t>No se dispone de datos.</w:t>
            </w:r>
          </w:p>
        </w:tc>
        <w:tc>
          <w:tcPr>
            <w:tcW w:w="531" w:type="pct"/>
            <w:shd w:val="clear" w:color="auto" w:fill="auto"/>
            <w:tcMar>
              <w:top w:w="110" w:type="dxa"/>
            </w:tcMar>
          </w:tcPr>
          <w:p w:rsidR="00B45FC3" w:rsidRPr="00526311" w:rsidRDefault="00B45FC3" w:rsidP="0063039A">
            <w:pPr>
              <w:keepNext/>
              <w:keepLines/>
              <w:ind w:left="-107" w:right="-107"/>
              <w:jc w:val="center"/>
              <w:rPr>
                <w:b/>
                <w:bCs/>
                <w:sz w:val="14"/>
                <w:szCs w:val="14"/>
              </w:rPr>
            </w:pPr>
            <w:r w:rsidRPr="00526311">
              <w:rPr>
                <w:b/>
                <w:bCs/>
                <w:sz w:val="14"/>
                <w:szCs w:val="14"/>
              </w:rPr>
              <w:t>Discontinuado</w:t>
            </w:r>
          </w:p>
        </w:tc>
      </w:tr>
    </w:tbl>
    <w:p w:rsidR="00B45FC3" w:rsidRPr="00526311" w:rsidRDefault="00B45FC3" w:rsidP="0063039A">
      <w:pPr>
        <w:jc w:val="both"/>
        <w:rPr>
          <w:bCs/>
          <w:szCs w:val="22"/>
        </w:rPr>
      </w:pPr>
    </w:p>
    <w:p w:rsidR="00B45FC3" w:rsidRPr="00526311" w:rsidRDefault="00B45FC3" w:rsidP="0063039A">
      <w:r w:rsidRPr="00526311">
        <w:br w:type="page"/>
      </w:r>
    </w:p>
    <w:p w:rsidR="00B45FC3" w:rsidRPr="00526311" w:rsidRDefault="00B45FC3" w:rsidP="0063039A">
      <w:pPr>
        <w:jc w:val="both"/>
        <w:rPr>
          <w:bCs/>
          <w:szCs w:val="22"/>
        </w:rPr>
      </w:pPr>
    </w:p>
    <w:p w:rsidR="00B45FC3" w:rsidRPr="00526311" w:rsidRDefault="00B45FC3" w:rsidP="0063039A">
      <w:pPr>
        <w:jc w:val="both"/>
        <w:rPr>
          <w:szCs w:val="22"/>
        </w:rPr>
      </w:pPr>
      <w:r w:rsidRPr="00526311">
        <w:rPr>
          <w:szCs w:val="22"/>
        </w:rPr>
        <w:t>DATOS SOBRE EL RENDIMIENTO</w:t>
      </w:r>
    </w:p>
    <w:p w:rsidR="00B45FC3" w:rsidRPr="00526311" w:rsidRDefault="00B45FC3" w:rsidP="0063039A">
      <w:pPr>
        <w:rPr>
          <w:b/>
          <w:sz w:val="18"/>
          <w:szCs w:val="18"/>
        </w:rPr>
      </w:pPr>
    </w:p>
    <w:p w:rsidR="00B45FC3" w:rsidRPr="00526311" w:rsidRDefault="00B45FC3" w:rsidP="0063039A">
      <w:pPr>
        <w:jc w:val="center"/>
      </w:pPr>
    </w:p>
    <w:p w:rsidR="00B45FC3" w:rsidRPr="00526311" w:rsidRDefault="00B45FC3" w:rsidP="0063039A">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B45FC3" w:rsidRPr="00526311" w:rsidRDefault="00B45FC3"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jc w:val="both"/>
      </w:pPr>
    </w:p>
    <w:p w:rsidR="00B45FC3" w:rsidRPr="00526311" w:rsidRDefault="00DD7B62" w:rsidP="0063039A">
      <w:pPr>
        <w:jc w:val="center"/>
      </w:pPr>
      <w:r w:rsidRPr="00526311">
        <w:rPr>
          <w:noProof/>
          <w:lang w:val="en-US" w:eastAsia="en-US"/>
        </w:rPr>
        <w:drawing>
          <wp:inline distT="0" distB="0" distL="0" distR="0" wp14:anchorId="4B9F3682" wp14:editId="35FAFAEF">
            <wp:extent cx="5715000" cy="1398050"/>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15000" cy="1398050"/>
                    </a:xfrm>
                    <a:prstGeom prst="rect">
                      <a:avLst/>
                    </a:prstGeom>
                    <a:noFill/>
                    <a:ln>
                      <a:noFill/>
                    </a:ln>
                  </pic:spPr>
                </pic:pic>
              </a:graphicData>
            </a:graphic>
          </wp:inline>
        </w:drawing>
      </w:r>
    </w:p>
    <w:p w:rsidR="00B45FC3" w:rsidRPr="00526311" w:rsidRDefault="00B45FC3" w:rsidP="0063039A">
      <w:pPr>
        <w:jc w:val="both"/>
      </w:pPr>
    </w:p>
    <w:p w:rsidR="00B45FC3" w:rsidRPr="00526311" w:rsidRDefault="00B45FC3" w:rsidP="0063039A">
      <w:pPr>
        <w:jc w:val="both"/>
      </w:pPr>
    </w:p>
    <w:p w:rsidR="00B45FC3" w:rsidRPr="00526311" w:rsidRDefault="00B45FC3" w:rsidP="0063039A">
      <w:pPr>
        <w:pStyle w:val="NormalWeb"/>
        <w:keepNext/>
        <w:keepLines/>
        <w:spacing w:before="0" w:beforeAutospacing="0" w:after="0" w:afterAutospacing="0"/>
        <w:jc w:val="center"/>
        <w:rPr>
          <w:sz w:val="20"/>
          <w:szCs w:val="20"/>
          <w:lang w:val="es-ES"/>
        </w:rPr>
      </w:pPr>
      <w:r w:rsidRPr="00526311">
        <w:rPr>
          <w:sz w:val="20"/>
          <w:szCs w:val="20"/>
          <w:lang w:val="es-ES"/>
        </w:rPr>
        <w:t>Presupuesto y gastos reales (de personal y no relativos a personal)</w:t>
      </w:r>
    </w:p>
    <w:p w:rsidR="00B45FC3" w:rsidRPr="00526311" w:rsidRDefault="00B45FC3"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(en miles de francos suizos)</w:t>
      </w:r>
    </w:p>
    <w:p w:rsidR="00B45FC3" w:rsidRPr="00526311" w:rsidRDefault="00B45FC3" w:rsidP="0063039A">
      <w:pPr>
        <w:pStyle w:val="NormalWeb"/>
        <w:keepNext/>
        <w:keepLines/>
        <w:spacing w:before="0" w:beforeAutospacing="0" w:after="0" w:afterAutospacing="0"/>
        <w:jc w:val="both"/>
        <w:rPr>
          <w:lang w:val="es-ES"/>
        </w:rPr>
      </w:pPr>
    </w:p>
    <w:p w:rsidR="00B45FC3" w:rsidRPr="00526311" w:rsidRDefault="00FF6E74" w:rsidP="0063039A">
      <w:pPr>
        <w:jc w:val="center"/>
      </w:pPr>
      <w:bookmarkStart w:id="61" w:name="Punto16"/>
      <w:r w:rsidRPr="00526311">
        <w:rPr>
          <w:noProof/>
          <w:lang w:val="en-US" w:eastAsia="en-US"/>
        </w:rPr>
        <w:drawing>
          <wp:inline distT="0" distB="0" distL="0" distR="0" wp14:anchorId="78797744" wp14:editId="66E160BD">
            <wp:extent cx="5940425" cy="1209029"/>
            <wp:effectExtent l="0" t="0" r="317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0425" cy="1209029"/>
                    </a:xfrm>
                    <a:prstGeom prst="rect">
                      <a:avLst/>
                    </a:prstGeom>
                    <a:noFill/>
                    <a:ln>
                      <a:noFill/>
                    </a:ln>
                  </pic:spPr>
                </pic:pic>
              </a:graphicData>
            </a:graphic>
          </wp:inline>
        </w:drawing>
      </w:r>
      <w:bookmarkEnd w:id="61"/>
    </w:p>
    <w:p w:rsidR="00B45FC3" w:rsidRPr="00526311" w:rsidRDefault="00B45FC3" w:rsidP="0063039A">
      <w:pPr>
        <w:widowControl w:val="0"/>
        <w:autoSpaceDE w:val="0"/>
        <w:autoSpaceDN w:val="0"/>
        <w:adjustRightInd w:val="0"/>
        <w:jc w:val="both"/>
      </w:pPr>
      <w:r w:rsidRPr="00526311">
        <w:rPr>
          <w:i/>
          <w:sz w:val="16"/>
          <w:szCs w:val="16"/>
        </w:rPr>
        <w:t xml:space="preserve">NOTA:  </w:t>
      </w:r>
      <w:r w:rsidRPr="00526311">
        <w:rPr>
          <w:i/>
          <w:iCs/>
          <w:sz w:val="16"/>
          <w:szCs w:val="16"/>
        </w:rPr>
        <w:t>El presupuesto de 2014/15 tras las transferencias refleja las transferencias efectuadas al 31 de marzo de 2015 para hacer frente a las necesidades durante el bienio 2014/15, según lo previsto en el artículo 5.5 del Reglamento Financiero</w:t>
      </w:r>
      <w:r w:rsidRPr="00526311">
        <w:rPr>
          <w:i/>
          <w:sz w:val="16"/>
          <w:szCs w:val="16"/>
        </w:rPr>
        <w:t>.</w:t>
      </w:r>
    </w:p>
    <w:p w:rsidR="00B45FC3" w:rsidRPr="00526311" w:rsidRDefault="00B45FC3" w:rsidP="0063039A">
      <w:pPr>
        <w:widowControl w:val="0"/>
        <w:autoSpaceDE w:val="0"/>
        <w:autoSpaceDN w:val="0"/>
        <w:adjustRightInd w:val="0"/>
        <w:jc w:val="both"/>
        <w:rPr>
          <w:sz w:val="20"/>
        </w:rPr>
      </w:pPr>
    </w:p>
    <w:p w:rsidR="00B45FC3" w:rsidRPr="00526311" w:rsidRDefault="00B45FC3" w:rsidP="0063039A">
      <w:pPr>
        <w:jc w:val="both"/>
        <w:rPr>
          <w:sz w:val="20"/>
          <w:u w:val="single"/>
        </w:rPr>
      </w:pPr>
      <w:r w:rsidRPr="00526311">
        <w:rPr>
          <w:sz w:val="20"/>
        </w:rPr>
        <w:t>A.</w:t>
      </w:r>
      <w:r w:rsidRPr="00526311">
        <w:rPr>
          <w:sz w:val="20"/>
        </w:rPr>
        <w:tab/>
      </w:r>
      <w:r w:rsidRPr="00526311">
        <w:rPr>
          <w:sz w:val="20"/>
          <w:u w:val="single"/>
        </w:rPr>
        <w:t>Presupuesto de 2014/15 tras las transferencias</w:t>
      </w:r>
    </w:p>
    <w:p w:rsidR="00B45FC3" w:rsidRPr="00526311" w:rsidRDefault="00B45FC3" w:rsidP="0063039A">
      <w:pPr>
        <w:autoSpaceDE w:val="0"/>
        <w:autoSpaceDN w:val="0"/>
        <w:jc w:val="both"/>
        <w:rPr>
          <w:sz w:val="20"/>
          <w:lang w:eastAsia="ko-KR"/>
        </w:rPr>
      </w:pPr>
    </w:p>
    <w:p w:rsidR="00B45FC3" w:rsidRPr="00526311" w:rsidRDefault="00B45FC3" w:rsidP="00B45FC3">
      <w:pPr>
        <w:pStyle w:val="ListParagraph"/>
        <w:numPr>
          <w:ilvl w:val="0"/>
          <w:numId w:val="67"/>
        </w:numPr>
        <w:tabs>
          <w:tab w:val="left" w:pos="709"/>
        </w:tabs>
        <w:ind w:left="0" w:firstLine="0"/>
        <w:jc w:val="both"/>
        <w:rPr>
          <w:rFonts w:cs="Arial"/>
          <w:lang w:val="es-ES" w:eastAsia="ko-KR"/>
        </w:rPr>
      </w:pPr>
      <w:r w:rsidRPr="00526311">
        <w:rPr>
          <w:rFonts w:cs="Arial"/>
          <w:lang w:val="es-ES" w:eastAsia="ko-KR"/>
        </w:rPr>
        <w:t>La disminución global neta de los recursos no relativos a personal se debe principalmente a:  i) el ajuste de la consignación para el proyecto de la A.D. sobre P.I. y desarrollo socioeconómico tras la aprobación de la segunda fase del proyecto en la decimocuarta sesión del CDIP</w:t>
      </w:r>
      <w:r w:rsidRPr="00526311">
        <w:rPr>
          <w:lang w:val="es-ES"/>
        </w:rPr>
        <w:t xml:space="preserve"> (CDIP/14/7)</w:t>
      </w:r>
      <w:r w:rsidRPr="00526311">
        <w:rPr>
          <w:rFonts w:cs="Arial"/>
          <w:lang w:val="es-ES" w:eastAsia="ko-KR"/>
        </w:rPr>
        <w:t>;  y ii) la transferencia de recursos no relativos a personal para disponer de un pasante que prestara apoyo al programa.</w:t>
      </w:r>
    </w:p>
    <w:p w:rsidR="00B45FC3" w:rsidRPr="00526311" w:rsidRDefault="00B45FC3" w:rsidP="0063039A">
      <w:pPr>
        <w:pStyle w:val="ListParagraph"/>
        <w:tabs>
          <w:tab w:val="left" w:pos="709"/>
        </w:tabs>
        <w:ind w:left="0"/>
        <w:jc w:val="both"/>
        <w:rPr>
          <w:rFonts w:cs="Arial"/>
          <w:lang w:val="es-ES" w:eastAsia="ko-KR"/>
        </w:rPr>
      </w:pPr>
    </w:p>
    <w:p w:rsidR="00B45FC3" w:rsidRPr="00526311" w:rsidRDefault="00B45FC3"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B45FC3" w:rsidRPr="00526311" w:rsidRDefault="00B45FC3" w:rsidP="0063039A">
      <w:pPr>
        <w:rPr>
          <w:sz w:val="20"/>
          <w:lang w:eastAsia="ko-KR"/>
        </w:rPr>
      </w:pPr>
    </w:p>
    <w:p w:rsidR="00B45FC3" w:rsidRPr="00526311" w:rsidRDefault="00B45FC3" w:rsidP="00B45FC3">
      <w:pPr>
        <w:pStyle w:val="ListParagraph"/>
        <w:numPr>
          <w:ilvl w:val="0"/>
          <w:numId w:val="67"/>
        </w:numPr>
        <w:tabs>
          <w:tab w:val="left" w:pos="709"/>
        </w:tabs>
        <w:ind w:left="0" w:firstLine="0"/>
        <w:jc w:val="both"/>
        <w:rPr>
          <w:rFonts w:ascii="Calibri" w:hAnsi="Calibri"/>
          <w:lang w:val="es-ES"/>
        </w:rPr>
      </w:pPr>
      <w:r w:rsidRPr="00526311">
        <w:rPr>
          <w:rFonts w:cs="Arial"/>
          <w:lang w:val="es-ES" w:eastAsia="ko-KR"/>
        </w:rPr>
        <w:t>La utilización del presupuesto se ha mantenido dentro de los límites establecidos (40-60%) durante el primer año del bienio y está bien encaminada.</w:t>
      </w:r>
    </w:p>
    <w:p w:rsidR="00B45FC3" w:rsidRPr="00526311" w:rsidRDefault="00B45FC3" w:rsidP="0063039A">
      <w:pPr>
        <w:rPr>
          <w:sz w:val="20"/>
          <w:lang w:eastAsia="ko-KR"/>
        </w:rPr>
      </w:pPr>
    </w:p>
    <w:p w:rsidR="00B45FC3" w:rsidRPr="00526311" w:rsidRDefault="00B45FC3" w:rsidP="0063039A">
      <w:pPr>
        <w:rPr>
          <w:sz w:val="20"/>
          <w:lang w:eastAsia="ko-KR"/>
        </w:rPr>
      </w:pPr>
    </w:p>
    <w:p w:rsidR="00B45FC3" w:rsidRPr="00526311" w:rsidRDefault="00B45FC3">
      <w:pPr>
        <w:rPr>
          <w:rFonts w:eastAsia="Times New Roman"/>
          <w:b/>
          <w:bCs/>
          <w:iCs/>
          <w:caps/>
          <w:sz w:val="20"/>
          <w:lang w:eastAsia="da-DK"/>
        </w:rPr>
      </w:pPr>
      <w:bookmarkStart w:id="62" w:name="_Toc367350594"/>
      <w:r w:rsidRPr="00526311">
        <w:rPr>
          <w:sz w:val="20"/>
        </w:rPr>
        <w:br w:type="page"/>
      </w:r>
    </w:p>
    <w:p w:rsidR="00B45FC3" w:rsidRPr="00526311" w:rsidRDefault="00173D9F" w:rsidP="0063039A">
      <w:pPr>
        <w:pStyle w:val="StyleHeading214ptAuto"/>
        <w:rPr>
          <w:rFonts w:ascii="Arial" w:hAnsi="Arial" w:cs="Arial"/>
          <w:sz w:val="20"/>
          <w:szCs w:val="20"/>
          <w:lang w:val="es-ES"/>
        </w:rPr>
      </w:pPr>
      <w:bookmarkStart w:id="63" w:name="_Toc422927427"/>
      <w:r w:rsidRPr="00526311">
        <w:rPr>
          <w:rFonts w:ascii="Arial" w:hAnsi="Arial" w:cs="Arial"/>
          <w:caps w:val="0"/>
          <w:sz w:val="20"/>
          <w:szCs w:val="20"/>
          <w:lang w:val="es-ES"/>
        </w:rPr>
        <w:lastRenderedPageBreak/>
        <w:t>META ESTRATÉGICA VI</w:t>
      </w:r>
      <w:bookmarkEnd w:id="63"/>
    </w:p>
    <w:p w:rsidR="00B45FC3" w:rsidRPr="00526311" w:rsidRDefault="00B45FC3" w:rsidP="0063039A">
      <w:pPr>
        <w:rPr>
          <w:sz w:val="20"/>
        </w:rPr>
      </w:pPr>
    </w:p>
    <w:bookmarkEnd w:id="62"/>
    <w:p w:rsidR="00B45FC3" w:rsidRPr="00526311" w:rsidRDefault="00B45FC3" w:rsidP="0063039A">
      <w:pPr>
        <w:jc w:val="center"/>
        <w:rPr>
          <w:b/>
          <w:sz w:val="20"/>
        </w:rPr>
      </w:pPr>
      <w:r w:rsidRPr="00526311">
        <w:rPr>
          <w:b/>
          <w:sz w:val="20"/>
        </w:rPr>
        <w:t>COOPERACIÓN INTERNACIONAL PARA FOMENTAR EL RESPETO POR LA P.I.</w:t>
      </w:r>
    </w:p>
    <w:p w:rsidR="00B45FC3" w:rsidRPr="00526311" w:rsidRDefault="00B45FC3" w:rsidP="0063039A">
      <w:pPr>
        <w:jc w:val="center"/>
        <w:rPr>
          <w:sz w:val="20"/>
        </w:rPr>
      </w:pPr>
    </w:p>
    <w:p w:rsidR="00B45FC3" w:rsidRPr="00526311" w:rsidRDefault="00B45FC3" w:rsidP="0063039A">
      <w:pPr>
        <w:jc w:val="center"/>
        <w:rPr>
          <w:b/>
          <w:sz w:val="20"/>
        </w:rPr>
      </w:pPr>
      <w:r w:rsidRPr="00526311">
        <w:rPr>
          <w:b/>
          <w:sz w:val="20"/>
        </w:rPr>
        <w:t>Tablero de control del rendimiento a mediano plazo (2014)</w:t>
      </w:r>
    </w:p>
    <w:p w:rsidR="00B45FC3" w:rsidRPr="00526311" w:rsidRDefault="00B45FC3" w:rsidP="0063039A">
      <w:pPr>
        <w:jc w:val="center"/>
        <w:rPr>
          <w:b/>
        </w:rPr>
      </w:pPr>
    </w:p>
    <w:p w:rsidR="00B45FC3" w:rsidRPr="00526311" w:rsidRDefault="00B45FC3" w:rsidP="0063039A">
      <w:pPr>
        <w:jc w:val="both"/>
        <w:rPr>
          <w:sz w:val="20"/>
        </w:rPr>
      </w:pPr>
      <w:r w:rsidRPr="00526311">
        <w:rPr>
          <w:sz w:val="20"/>
        </w:rPr>
        <w:t>En el siguiente tablero de control se reseñan los avances realizados hacia la consecución de los resultados en 2014, medidos con arreglo a los indicadores del programa o programas que contribuyen al logro de esta meta estratégica.</w:t>
      </w:r>
    </w:p>
    <w:p w:rsidR="00B45FC3" w:rsidRPr="00526311" w:rsidRDefault="00B45FC3" w:rsidP="0063039A">
      <w:pPr>
        <w:rPr>
          <w:sz w:val="20"/>
        </w:rPr>
      </w:pPr>
    </w:p>
    <w:p w:rsidR="00B45FC3" w:rsidRPr="00526311" w:rsidRDefault="00787D5F" w:rsidP="0063039A">
      <w:pPr>
        <w:jc w:val="center"/>
        <w:rPr>
          <w:sz w:val="20"/>
        </w:rPr>
      </w:pPr>
      <w:r w:rsidRPr="00526311">
        <w:rPr>
          <w:noProof/>
          <w:lang w:val="en-US" w:eastAsia="en-US"/>
        </w:rPr>
        <w:drawing>
          <wp:inline distT="0" distB="0" distL="0" distR="0" wp14:anchorId="6F492838" wp14:editId="6498EC52">
            <wp:extent cx="5538470" cy="2933065"/>
            <wp:effectExtent l="0" t="0" r="508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538470" cy="2933065"/>
                    </a:xfrm>
                    <a:prstGeom prst="rect">
                      <a:avLst/>
                    </a:prstGeom>
                    <a:noFill/>
                    <a:ln>
                      <a:noFill/>
                    </a:ln>
                  </pic:spPr>
                </pic:pic>
              </a:graphicData>
            </a:graphic>
          </wp:inline>
        </w:drawing>
      </w:r>
    </w:p>
    <w:p w:rsidR="00B45FC3" w:rsidRPr="00526311" w:rsidRDefault="00B45FC3" w:rsidP="0063039A">
      <w:pPr>
        <w:rPr>
          <w:b/>
          <w:bCs/>
          <w:caps/>
          <w:sz w:val="20"/>
          <w:szCs w:val="24"/>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28"/>
        <w:gridCol w:w="4000"/>
        <w:gridCol w:w="1506"/>
        <w:gridCol w:w="1126"/>
      </w:tblGrid>
      <w:tr w:rsidR="00B45FC3" w:rsidRPr="00526311" w:rsidTr="0063039A">
        <w:trPr>
          <w:cantSplit/>
          <w:trHeight w:val="455"/>
        </w:trPr>
        <w:tc>
          <w:tcPr>
            <w:tcW w:w="1495" w:type="pct"/>
            <w:tcBorders>
              <w:top w:val="single" w:sz="4" w:space="0" w:color="auto"/>
              <w:bottom w:val="single" w:sz="4" w:space="0" w:color="auto"/>
            </w:tcBorders>
            <w:shd w:val="clear" w:color="auto" w:fill="CCFFFF"/>
            <w:vAlign w:val="center"/>
          </w:tcPr>
          <w:p w:rsidR="00B45FC3" w:rsidRPr="00526311" w:rsidRDefault="00B45FC3" w:rsidP="0063039A">
            <w:pPr>
              <w:spacing w:after="120"/>
              <w:jc w:val="center"/>
              <w:rPr>
                <w:b/>
                <w:bCs/>
                <w:sz w:val="18"/>
                <w:szCs w:val="18"/>
              </w:rPr>
            </w:pPr>
            <w:r w:rsidRPr="00526311">
              <w:rPr>
                <w:b/>
                <w:bCs/>
                <w:sz w:val="18"/>
                <w:szCs w:val="18"/>
              </w:rPr>
              <w:t>Resultados previstos</w:t>
            </w:r>
          </w:p>
        </w:tc>
        <w:tc>
          <w:tcPr>
            <w:tcW w:w="2114" w:type="pct"/>
            <w:tcBorders>
              <w:top w:val="single" w:sz="4" w:space="0" w:color="auto"/>
              <w:bottom w:val="single" w:sz="4" w:space="0" w:color="auto"/>
            </w:tcBorders>
            <w:shd w:val="clear" w:color="auto" w:fill="CCFFFF"/>
            <w:tcMar>
              <w:top w:w="110" w:type="dxa"/>
            </w:tcMar>
            <w:vAlign w:val="center"/>
          </w:tcPr>
          <w:p w:rsidR="00B45FC3" w:rsidRPr="00526311" w:rsidRDefault="00B45FC3" w:rsidP="0063039A">
            <w:pPr>
              <w:spacing w:after="120"/>
              <w:jc w:val="center"/>
              <w:rPr>
                <w:b/>
                <w:bCs/>
                <w:sz w:val="18"/>
                <w:szCs w:val="18"/>
              </w:rPr>
            </w:pPr>
            <w:r w:rsidRPr="00526311">
              <w:rPr>
                <w:b/>
                <w:bCs/>
                <w:sz w:val="18"/>
                <w:szCs w:val="18"/>
              </w:rPr>
              <w:t>Indicadores de rendimiento</w:t>
            </w:r>
          </w:p>
        </w:tc>
        <w:tc>
          <w:tcPr>
            <w:tcW w:w="796" w:type="pct"/>
            <w:tcBorders>
              <w:top w:val="single" w:sz="4" w:space="0" w:color="auto"/>
              <w:bottom w:val="single" w:sz="4" w:space="0" w:color="auto"/>
            </w:tcBorders>
            <w:shd w:val="clear" w:color="auto" w:fill="CCFFFF"/>
            <w:tcMar>
              <w:top w:w="110" w:type="dxa"/>
            </w:tcMar>
            <w:vAlign w:val="center"/>
          </w:tcPr>
          <w:p w:rsidR="00B45FC3" w:rsidRPr="00526311" w:rsidRDefault="00B45FC3" w:rsidP="0063039A">
            <w:pPr>
              <w:spacing w:after="120"/>
              <w:ind w:left="85"/>
              <w:jc w:val="center"/>
              <w:rPr>
                <w:b/>
                <w:bCs/>
                <w:sz w:val="18"/>
                <w:szCs w:val="18"/>
              </w:rPr>
            </w:pPr>
            <w:r w:rsidRPr="00526311">
              <w:rPr>
                <w:b/>
                <w:bCs/>
                <w:sz w:val="18"/>
                <w:szCs w:val="18"/>
              </w:rPr>
              <w:t>Programas responsables</w:t>
            </w:r>
          </w:p>
        </w:tc>
        <w:tc>
          <w:tcPr>
            <w:tcW w:w="595" w:type="pct"/>
            <w:tcBorders>
              <w:top w:val="single" w:sz="4" w:space="0" w:color="auto"/>
              <w:bottom w:val="single" w:sz="4" w:space="0" w:color="auto"/>
            </w:tcBorders>
            <w:shd w:val="clear" w:color="auto" w:fill="CCFFFF"/>
          </w:tcPr>
          <w:p w:rsidR="00B45FC3" w:rsidRPr="00526311" w:rsidRDefault="00B45FC3" w:rsidP="0063039A">
            <w:pPr>
              <w:spacing w:after="120"/>
              <w:ind w:left="85"/>
              <w:jc w:val="center"/>
              <w:rPr>
                <w:b/>
                <w:bCs/>
                <w:sz w:val="18"/>
                <w:szCs w:val="18"/>
              </w:rPr>
            </w:pPr>
            <w:r w:rsidRPr="00526311">
              <w:rPr>
                <w:b/>
                <w:bCs/>
                <w:sz w:val="18"/>
                <w:szCs w:val="18"/>
              </w:rPr>
              <w:t>Clave de colores</w:t>
            </w:r>
          </w:p>
        </w:tc>
      </w:tr>
      <w:tr w:rsidR="00B45FC3" w:rsidRPr="00526311" w:rsidTr="0063039A">
        <w:trPr>
          <w:cantSplit/>
          <w:trHeight w:val="944"/>
        </w:trPr>
        <w:tc>
          <w:tcPr>
            <w:tcW w:w="1495" w:type="pct"/>
            <w:tcBorders>
              <w:top w:val="single" w:sz="4" w:space="0" w:color="auto"/>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VI.1 Avances en el diálogo internacional sobre políticas entre los Estados miembros de la OMPI para fomentar el respeto por la P.I. sobre la base de la recomendación 45 de la Agenda de la OMPI para el Desarrollo</w:t>
            </w:r>
          </w:p>
        </w:tc>
        <w:tc>
          <w:tcPr>
            <w:tcW w:w="2114" w:type="pct"/>
            <w:tcBorders>
              <w:top w:val="single" w:sz="4" w:space="0" w:color="auto"/>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Acuerdo constante entre los Estados miembros sobre la labor sustantiva del Comité Asesor de la OMPI sobre Observancia (ACE), al incorporar elementos orientados al desarrollo</w:t>
            </w:r>
          </w:p>
        </w:tc>
        <w:tc>
          <w:tcPr>
            <w:tcW w:w="796" w:type="pct"/>
            <w:tcBorders>
              <w:top w:val="single" w:sz="4" w:space="0" w:color="auto"/>
            </w:tcBorders>
            <w:shd w:val="clear" w:color="auto" w:fill="FFFFFF"/>
            <w:tcMar>
              <w:top w:w="113" w:type="dxa"/>
              <w:bottom w:w="85" w:type="dxa"/>
            </w:tcMar>
          </w:tcPr>
          <w:p w:rsidR="00B45FC3" w:rsidRPr="00526311" w:rsidRDefault="00B45FC3" w:rsidP="0063039A">
            <w:pPr>
              <w:jc w:val="center"/>
              <w:rPr>
                <w:sz w:val="16"/>
                <w:szCs w:val="16"/>
              </w:rPr>
            </w:pPr>
            <w:r w:rsidRPr="00526311">
              <w:rPr>
                <w:sz w:val="16"/>
                <w:szCs w:val="16"/>
              </w:rPr>
              <w:t>Programa 17</w:t>
            </w:r>
          </w:p>
        </w:tc>
        <w:tc>
          <w:tcPr>
            <w:tcW w:w="595" w:type="pct"/>
            <w:tcBorders>
              <w:top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p>
        </w:tc>
      </w:tr>
      <w:tr w:rsidR="00B45FC3" w:rsidRPr="00526311" w:rsidTr="0063039A">
        <w:trPr>
          <w:cantSplit/>
          <w:trHeight w:val="704"/>
        </w:trPr>
        <w:tc>
          <w:tcPr>
            <w:tcW w:w="1495"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VI.2 Cooperación y coordinación sistemáticas, eficaces y transparentes entre la labor de la OMPI y la de otras organizaciones internacionales en el ámbito del fomento del respeto por la P.I.</w:t>
            </w:r>
          </w:p>
        </w:tc>
        <w:tc>
          <w:tcPr>
            <w:tcW w:w="2114"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actividades conjuntas de fomento del respeto por la P.I.</w:t>
            </w:r>
          </w:p>
        </w:tc>
        <w:tc>
          <w:tcPr>
            <w:tcW w:w="796" w:type="pct"/>
            <w:shd w:val="clear" w:color="auto" w:fill="FFFFFF"/>
            <w:tcMar>
              <w:top w:w="113" w:type="dxa"/>
              <w:bottom w:w="85" w:type="dxa"/>
            </w:tcMar>
          </w:tcPr>
          <w:p w:rsidR="00B45FC3" w:rsidRPr="00526311" w:rsidRDefault="00B45FC3" w:rsidP="0063039A">
            <w:pPr>
              <w:jc w:val="center"/>
              <w:rPr>
                <w:sz w:val="16"/>
                <w:szCs w:val="16"/>
              </w:rPr>
            </w:pPr>
            <w:r w:rsidRPr="00526311">
              <w:rPr>
                <w:sz w:val="16"/>
                <w:szCs w:val="16"/>
              </w:rPr>
              <w:t>Programa 17</w:t>
            </w:r>
          </w:p>
        </w:tc>
        <w:tc>
          <w:tcPr>
            <w:tcW w:w="595" w:type="pct"/>
            <w:shd w:val="clear" w:color="auto" w:fill="FFFFFF"/>
          </w:tcPr>
          <w:p w:rsidR="00B45FC3" w:rsidRPr="00526311" w:rsidRDefault="00B45FC3" w:rsidP="0063039A">
            <w:pPr>
              <w:jc w:val="center"/>
            </w:pPr>
            <w:r w:rsidRPr="00526311">
              <w:rPr>
                <w:color w:val="008000"/>
                <w:szCs w:val="22"/>
              </w:rPr>
              <w:sym w:font="Wingdings" w:char="F06C"/>
            </w:r>
          </w:p>
        </w:tc>
      </w:tr>
    </w:tbl>
    <w:p w:rsidR="00B45FC3" w:rsidRPr="00526311" w:rsidRDefault="00B45FC3" w:rsidP="0063039A">
      <w:pPr>
        <w:rPr>
          <w:sz w:val="20"/>
        </w:rPr>
      </w:pPr>
    </w:p>
    <w:p w:rsidR="00B45FC3" w:rsidRPr="00526311" w:rsidRDefault="00B45FC3" w:rsidP="0063039A">
      <w:pPr>
        <w:rPr>
          <w:sz w:val="20"/>
        </w:rPr>
      </w:pPr>
    </w:p>
    <w:p w:rsidR="00B45FC3" w:rsidRPr="00526311" w:rsidRDefault="00B45FC3">
      <w:pPr>
        <w:rPr>
          <w:bCs/>
          <w:iCs/>
          <w:caps/>
        </w:rPr>
      </w:pPr>
      <w:r w:rsidRPr="00526311">
        <w:br w:type="page"/>
      </w:r>
    </w:p>
    <w:p w:rsidR="00B45FC3" w:rsidRPr="00526311" w:rsidRDefault="00B45FC3" w:rsidP="0063039A">
      <w:pPr>
        <w:pStyle w:val="Heading2"/>
        <w:tabs>
          <w:tab w:val="left" w:pos="2410"/>
        </w:tabs>
        <w:jc w:val="both"/>
        <w:rPr>
          <w:b/>
          <w:szCs w:val="20"/>
        </w:rPr>
      </w:pPr>
      <w:bookmarkStart w:id="64" w:name="_Toc422927428"/>
      <w:r w:rsidRPr="00526311">
        <w:rPr>
          <w:b/>
          <w:szCs w:val="20"/>
        </w:rPr>
        <w:lastRenderedPageBreak/>
        <w:t>PROGRAMA 17</w:t>
      </w:r>
      <w:r w:rsidRPr="00526311">
        <w:rPr>
          <w:b/>
          <w:szCs w:val="20"/>
        </w:rPr>
        <w:tab/>
        <w:t>FOMENTAR EL RESPETO POR LA P.I.</w:t>
      </w:r>
      <w:bookmarkEnd w:id="64"/>
    </w:p>
    <w:p w:rsidR="00B45FC3" w:rsidRPr="00526311" w:rsidRDefault="00B45FC3" w:rsidP="0063039A">
      <w:pPr>
        <w:jc w:val="both"/>
        <w:rPr>
          <w:sz w:val="20"/>
        </w:rPr>
      </w:pPr>
    </w:p>
    <w:p w:rsidR="00B45FC3" w:rsidRPr="00526311" w:rsidRDefault="00B45FC3" w:rsidP="0063039A">
      <w:pPr>
        <w:tabs>
          <w:tab w:val="left" w:pos="2410"/>
        </w:tabs>
        <w:jc w:val="both"/>
        <w:rPr>
          <w:b/>
          <w:sz w:val="20"/>
        </w:rPr>
      </w:pPr>
      <w:r w:rsidRPr="00526311">
        <w:rPr>
          <w:b/>
          <w:color w:val="000000"/>
          <w:sz w:val="20"/>
        </w:rPr>
        <w:t>Director de programa</w:t>
      </w:r>
      <w:r w:rsidRPr="00526311">
        <w:rPr>
          <w:b/>
          <w:color w:val="000000"/>
          <w:sz w:val="20"/>
        </w:rPr>
        <w:tab/>
        <w:t>Sr. M.A. Getahun</w:t>
      </w:r>
    </w:p>
    <w:p w:rsidR="00B45FC3" w:rsidRPr="00526311" w:rsidRDefault="00B45FC3" w:rsidP="0063039A">
      <w:pPr>
        <w:jc w:val="both"/>
        <w:rPr>
          <w:sz w:val="20"/>
        </w:rPr>
      </w:pPr>
    </w:p>
    <w:p w:rsidR="00B45FC3" w:rsidRPr="00526311" w:rsidRDefault="00B45FC3" w:rsidP="0063039A">
      <w:pPr>
        <w:jc w:val="both"/>
        <w:rPr>
          <w:sz w:val="20"/>
        </w:rPr>
      </w:pPr>
    </w:p>
    <w:p w:rsidR="00B45FC3" w:rsidRPr="00526311" w:rsidRDefault="00B45FC3" w:rsidP="0063039A">
      <w:pPr>
        <w:jc w:val="both"/>
        <w:rPr>
          <w:bCs/>
        </w:rPr>
      </w:pPr>
      <w:r w:rsidRPr="00526311">
        <w:rPr>
          <w:bCs/>
        </w:rPr>
        <w:t>RESEÑA DE LOS AVANCES LOGRADOS EN 2014</w:t>
      </w:r>
    </w:p>
    <w:p w:rsidR="00B45FC3" w:rsidRPr="00526311" w:rsidRDefault="00B45FC3" w:rsidP="0063039A">
      <w:pPr>
        <w:jc w:val="both"/>
      </w:pPr>
    </w:p>
    <w:p w:rsidR="00B45FC3" w:rsidRPr="00526311" w:rsidRDefault="00B45FC3" w:rsidP="00B45FC3">
      <w:pPr>
        <w:pStyle w:val="ListParagraph"/>
        <w:numPr>
          <w:ilvl w:val="0"/>
          <w:numId w:val="68"/>
        </w:numPr>
        <w:ind w:left="0" w:firstLine="0"/>
        <w:jc w:val="both"/>
        <w:rPr>
          <w:rFonts w:cs="Arial"/>
          <w:lang w:val="es-ES"/>
        </w:rPr>
      </w:pPr>
      <w:r w:rsidRPr="00526311">
        <w:rPr>
          <w:rFonts w:cs="Arial"/>
          <w:color w:val="000000"/>
          <w:lang w:val="es-ES"/>
        </w:rPr>
        <w:t>Sobre la base de la meta estratégica VI y de la recomendación 45 de la A.D., las diversas actividades del programa 17 estaban orientadas a mejorar la cooperación internacional en lo que respecta al fomento del respeto por la P.I. en cuyo marco se intenta lograr un equilibrio adecuado entre los derechos privados y el interés público.</w:t>
      </w:r>
    </w:p>
    <w:p w:rsidR="00B45FC3" w:rsidRPr="00526311" w:rsidRDefault="00B45FC3" w:rsidP="0063039A">
      <w:pPr>
        <w:pStyle w:val="ListParagraph"/>
        <w:ind w:left="0"/>
        <w:jc w:val="both"/>
        <w:rPr>
          <w:rFonts w:cs="Arial"/>
          <w:lang w:val="es-ES"/>
        </w:rPr>
      </w:pPr>
    </w:p>
    <w:p w:rsidR="00B45FC3" w:rsidRPr="00526311" w:rsidRDefault="00B45FC3" w:rsidP="00B45FC3">
      <w:pPr>
        <w:pStyle w:val="ListParagraph"/>
        <w:numPr>
          <w:ilvl w:val="0"/>
          <w:numId w:val="68"/>
        </w:numPr>
        <w:ind w:left="0" w:firstLine="0"/>
        <w:jc w:val="both"/>
        <w:rPr>
          <w:rFonts w:cs="Arial"/>
          <w:lang w:val="es-ES"/>
        </w:rPr>
      </w:pPr>
      <w:r w:rsidRPr="00526311">
        <w:rPr>
          <w:rFonts w:cs="Arial"/>
          <w:color w:val="000000"/>
          <w:lang w:val="es-ES"/>
        </w:rPr>
        <w:t xml:space="preserve">Con miras a conseguir avances en el diálogo internacional sobre políticas entre los Estados miembros de la OMPI para fomentar el respeto por la P.I., la 9ª sesión del Comité Asesor en materia de Observancia (ACE) (celebrada del 3 al 5 de marzo de 2014) sirvió como un "mercado de ideas" propicio para el intercambio de experiencias y prácticas nacionales.  En la reunión de tres días de duración se observó el creciente interés que despiertan las estrategias de prevención eficaces, desde las actividades de sensibilización, los nuevos modelos de negocios y la seguridad en la cadena de suministro, hasta los mecanismos extrajudiciales de solución de controversias en materia de P.I.  Por primera vez se organizó, junto con la sesión, una exposición audiovisual en la que se presentaron 9 iniciativas de sensibilización a nivel nacional, y una a nivel regional.  Los </w:t>
      </w:r>
      <w:r w:rsidRPr="00526311">
        <w:rPr>
          <w:rFonts w:cs="Arial"/>
          <w:lang w:val="es-ES"/>
        </w:rPr>
        <w:t xml:space="preserve">Estados miembros </w:t>
      </w:r>
      <w:r w:rsidRPr="00526311">
        <w:rPr>
          <w:rFonts w:cs="Arial"/>
          <w:color w:val="000000"/>
          <w:lang w:val="es-ES"/>
        </w:rPr>
        <w:t xml:space="preserve">acordaron que el </w:t>
      </w:r>
      <w:r w:rsidRPr="00526311">
        <w:rPr>
          <w:rFonts w:cs="Arial"/>
          <w:lang w:val="es-ES"/>
        </w:rPr>
        <w:t xml:space="preserve">programa de trabajo </w:t>
      </w:r>
      <w:r w:rsidRPr="00526311">
        <w:rPr>
          <w:rFonts w:cs="Arial"/>
          <w:color w:val="000000"/>
          <w:lang w:val="es-ES"/>
        </w:rPr>
        <w:t>de la 10ª sesión se siguiera consagrando a:  i) prácticas de solución extrajudicial de controversias en materia de P.I. y ii) acciones y medidas preventivas o experiencias positivas que complementen las medidas de observancia con miras a reducir el mercado de productos falsificados o pirateados.</w:t>
      </w:r>
    </w:p>
    <w:p w:rsidR="00B45FC3" w:rsidRPr="00526311" w:rsidRDefault="00B45FC3" w:rsidP="0063039A">
      <w:pPr>
        <w:jc w:val="both"/>
      </w:pPr>
    </w:p>
    <w:p w:rsidR="00B45FC3" w:rsidRPr="00526311" w:rsidRDefault="00B45FC3" w:rsidP="00B45FC3">
      <w:pPr>
        <w:pStyle w:val="ListParagraph"/>
        <w:numPr>
          <w:ilvl w:val="0"/>
          <w:numId w:val="68"/>
        </w:numPr>
        <w:ind w:left="0" w:firstLine="0"/>
        <w:jc w:val="both"/>
        <w:rPr>
          <w:rFonts w:cs="Arial"/>
          <w:lang w:val="es-ES"/>
        </w:rPr>
      </w:pPr>
      <w:r w:rsidRPr="00526311">
        <w:rPr>
          <w:rFonts w:cs="Arial"/>
          <w:color w:val="000000"/>
          <w:lang w:val="es-ES"/>
        </w:rPr>
        <w:t xml:space="preserve">A fin de lograr la cohesión política internacional y la máxima repercusión mediante recursos comunes en la esfera del fomento del respeto por la P.I., se coordinó la labor del programa 17 con organizaciones intergubernamentales y no gubernamentales, asociaciones de sectores interesados e instituciones académicas.  A través de una colaboración sistemática, transparente y eficaz, la OMPI pudo integrar su enfoque orientado al desarrollo con miras a fomentar </w:t>
      </w:r>
      <w:r w:rsidRPr="00526311">
        <w:rPr>
          <w:rFonts w:cs="Arial"/>
          <w:lang w:val="es-ES"/>
        </w:rPr>
        <w:t xml:space="preserve">el respeto por la P.I. </w:t>
      </w:r>
      <w:r w:rsidRPr="00526311">
        <w:rPr>
          <w:rFonts w:cs="Arial"/>
          <w:color w:val="000000"/>
          <w:lang w:val="es-ES"/>
        </w:rPr>
        <w:t>en la labor de sus asociados internacionales.  Las actividades conjuntas se rigieron por la recomendación 40 de la A.D.</w:t>
      </w:r>
    </w:p>
    <w:p w:rsidR="00B45FC3" w:rsidRPr="00526311" w:rsidRDefault="00B45FC3" w:rsidP="0063039A">
      <w:pPr>
        <w:jc w:val="both"/>
      </w:pPr>
    </w:p>
    <w:p w:rsidR="00B45FC3" w:rsidRPr="00526311" w:rsidRDefault="00B45FC3" w:rsidP="00B45FC3">
      <w:pPr>
        <w:pStyle w:val="ListParagraph"/>
        <w:numPr>
          <w:ilvl w:val="0"/>
          <w:numId w:val="68"/>
        </w:numPr>
        <w:ind w:left="0" w:firstLine="0"/>
        <w:jc w:val="both"/>
        <w:rPr>
          <w:rFonts w:cs="Arial"/>
          <w:lang w:val="es-ES"/>
        </w:rPr>
      </w:pPr>
      <w:r w:rsidRPr="00526311">
        <w:rPr>
          <w:rFonts w:cs="Arial"/>
          <w:color w:val="000000"/>
          <w:lang w:val="es-ES"/>
        </w:rPr>
        <w:t xml:space="preserve">En 2014, siguió creciendo la demanda de la asistencia que presta la OMPI en forma de asesoramiento legislativo sobre la compatibilidad de las disposiciones en vigor o en proyecto relativas a la observancia, con las obligaciones enumeradas en la Parte III del Acuerdo sobre los ADPIC. </w:t>
      </w:r>
      <w:r w:rsidRPr="00526311">
        <w:rPr>
          <w:rFonts w:cs="Arial"/>
          <w:lang w:val="es-ES"/>
        </w:rPr>
        <w:t xml:space="preserve"> En</w:t>
      </w:r>
      <w:r w:rsidRPr="00526311">
        <w:rPr>
          <w:rFonts w:cs="Arial"/>
          <w:color w:val="000000"/>
          <w:lang w:val="es-ES"/>
        </w:rPr>
        <w:t xml:space="preserve"> el marco del programa 17, y en estrecha colaboración con los legisladores nacionales, se ayudó a los Estados miembros a encontrar soluciones legislativas que se ajusten a sus </w:t>
      </w:r>
      <w:r w:rsidRPr="00526311">
        <w:rPr>
          <w:rFonts w:cs="Arial"/>
          <w:lang w:val="es-ES"/>
        </w:rPr>
        <w:t xml:space="preserve">requisitos nacionales y </w:t>
      </w:r>
      <w:r w:rsidRPr="00526311">
        <w:rPr>
          <w:rFonts w:cs="Arial"/>
          <w:color w:val="000000"/>
          <w:lang w:val="es-ES"/>
        </w:rPr>
        <w:t>en las que se tomen en cuenta las opciones y flexibilidades disponibles.  Las actividades en la esfera de la asistencia legislativa, reguladora y de política se basaron en las recomendaciones 1, 6, 12, 13, 14 y 17 de la A.D.</w:t>
      </w:r>
    </w:p>
    <w:p w:rsidR="00B45FC3" w:rsidRPr="00526311" w:rsidRDefault="00B45FC3" w:rsidP="0063039A">
      <w:pPr>
        <w:pStyle w:val="ListParagraph"/>
        <w:ind w:left="0"/>
        <w:jc w:val="both"/>
        <w:rPr>
          <w:rFonts w:cs="Arial"/>
          <w:lang w:val="es-ES"/>
        </w:rPr>
      </w:pPr>
    </w:p>
    <w:p w:rsidR="00B45FC3" w:rsidRPr="00526311" w:rsidRDefault="00B45FC3" w:rsidP="00B45FC3">
      <w:pPr>
        <w:pStyle w:val="ListParagraph"/>
        <w:numPr>
          <w:ilvl w:val="0"/>
          <w:numId w:val="68"/>
        </w:numPr>
        <w:ind w:left="0" w:firstLine="0"/>
        <w:jc w:val="both"/>
        <w:rPr>
          <w:rFonts w:cs="Arial"/>
          <w:color w:val="000000"/>
          <w:lang w:val="es-ES"/>
        </w:rPr>
      </w:pPr>
      <w:r w:rsidRPr="00526311">
        <w:rPr>
          <w:rFonts w:cs="Arial"/>
          <w:color w:val="000000"/>
          <w:lang w:val="es-ES"/>
        </w:rPr>
        <w:t xml:space="preserve">Las actividades del programa relativas al </w:t>
      </w:r>
      <w:r w:rsidRPr="00526311">
        <w:rPr>
          <w:rFonts w:cs="Arial"/>
          <w:lang w:val="es-ES"/>
        </w:rPr>
        <w:t xml:space="preserve">fortalecimiento de capacidad tenían </w:t>
      </w:r>
      <w:r w:rsidRPr="00526311">
        <w:rPr>
          <w:rFonts w:cs="Arial"/>
          <w:color w:val="000000"/>
          <w:lang w:val="es-ES"/>
        </w:rPr>
        <w:t>por misión habilitar a las autoridades nacionales para que puedan fomentar el respeto por la P.I. mediante la suma equilibrada de actividades de observancia y medidas preventivas diseñadas para reducir la demanda de productos falsificados y destacar el valor del mercado de productos legítimos.  Para mejorar la sostenibilidad de la transferencia de conocimientos, se establecieron colaboraciones específicas con entidades nacionales de formación en materia de observancia de la ley capaces de actuar como multiplicadores.  Además, se publicó una edición francesa y una traducción al árabe de la edición inglesa del Repertorio de la OMPI</w:t>
      </w:r>
      <w:r w:rsidRPr="00526311">
        <w:rPr>
          <w:lang w:val="es-ES"/>
        </w:rPr>
        <w:t xml:space="preserve"> </w:t>
      </w:r>
      <w:r w:rsidRPr="00526311">
        <w:rPr>
          <w:rFonts w:cs="Arial"/>
          <w:color w:val="000000"/>
          <w:lang w:val="es-ES"/>
        </w:rPr>
        <w:t>de jurisprudencia en materia de observancia de los derechos de P.I.  Las actividades en esta esfera se basaron en las recomendaciones 3, 10, y 11 de la A.D.</w:t>
      </w:r>
    </w:p>
    <w:p w:rsidR="00B45FC3" w:rsidRPr="00526311" w:rsidRDefault="00B45FC3" w:rsidP="0063039A">
      <w:pPr>
        <w:pStyle w:val="ListParagraph"/>
        <w:ind w:left="0"/>
        <w:jc w:val="both"/>
        <w:rPr>
          <w:rFonts w:cs="Arial"/>
          <w:lang w:val="es-ES"/>
        </w:rPr>
      </w:pPr>
    </w:p>
    <w:p w:rsidR="00B45FC3" w:rsidRPr="00526311" w:rsidRDefault="00B45FC3" w:rsidP="00B45FC3">
      <w:pPr>
        <w:pStyle w:val="ListParagraph"/>
        <w:numPr>
          <w:ilvl w:val="0"/>
          <w:numId w:val="68"/>
        </w:numPr>
        <w:ind w:left="0" w:firstLine="0"/>
        <w:jc w:val="both"/>
        <w:rPr>
          <w:rFonts w:cs="Arial"/>
          <w:color w:val="000000"/>
          <w:lang w:val="es-ES"/>
        </w:rPr>
      </w:pPr>
      <w:r w:rsidRPr="00526311">
        <w:rPr>
          <w:rFonts w:cs="Arial"/>
          <w:color w:val="000000"/>
          <w:lang w:val="es-ES"/>
        </w:rPr>
        <w:t xml:space="preserve">Con objeto de dar apoyo a las iniciativas de educación y sensibilización en materia de P.I. de los </w:t>
      </w:r>
      <w:r w:rsidRPr="00526311">
        <w:rPr>
          <w:rFonts w:cs="Arial"/>
          <w:lang w:val="es-ES"/>
        </w:rPr>
        <w:t xml:space="preserve">Estados miembros, </w:t>
      </w:r>
      <w:r w:rsidRPr="00526311">
        <w:rPr>
          <w:rFonts w:cs="Arial"/>
          <w:color w:val="000000"/>
          <w:lang w:val="es-ES"/>
        </w:rPr>
        <w:t xml:space="preserve">destinadas a reducir las infracciones a los derechos de P.I. a través de cambios de comportamiento, se elaboró una metodología modular para establecer estrategias nacionales de sensibilización, y se brindó asistencia a dos </w:t>
      </w:r>
      <w:r w:rsidRPr="00526311">
        <w:rPr>
          <w:rFonts w:cs="Arial"/>
          <w:lang w:val="es-ES"/>
        </w:rPr>
        <w:t xml:space="preserve">Estados miembros </w:t>
      </w:r>
      <w:r w:rsidRPr="00526311">
        <w:rPr>
          <w:rFonts w:cs="Arial"/>
          <w:color w:val="000000"/>
          <w:lang w:val="es-ES"/>
        </w:rPr>
        <w:t xml:space="preserve">en su aplicación, de conformidad con las necesidades particulares de cada uno.  En el marco del programa, también se proporcionó apoyo a seis </w:t>
      </w:r>
      <w:r w:rsidRPr="00526311">
        <w:rPr>
          <w:rFonts w:cs="Arial"/>
          <w:lang w:val="es-ES"/>
        </w:rPr>
        <w:t xml:space="preserve">Estados miembros </w:t>
      </w:r>
      <w:r w:rsidRPr="00526311">
        <w:rPr>
          <w:rFonts w:cs="Arial"/>
          <w:color w:val="000000"/>
          <w:lang w:val="es-ES"/>
        </w:rPr>
        <w:t xml:space="preserve">en la organización de competencias escolares en torno al tema del Día Mundial de la P.I. de 2014, y se publicaron cuadernos didácticos con el personaje Póroro, el pingüinito, en inglés y francés, a fin de aumentar la </w:t>
      </w:r>
      <w:r w:rsidRPr="00526311">
        <w:rPr>
          <w:rFonts w:cs="Arial"/>
          <w:lang w:val="es-ES"/>
        </w:rPr>
        <w:t xml:space="preserve">comprensión pública sobre la importancia de la P.I., sobre todo entre los jóvenes.  Además, en el marco del programa de Premios de la OMPI, se concedieron 160 Premios a beneficiarios de 38 Estados miembros </w:t>
      </w:r>
      <w:r w:rsidRPr="00526311">
        <w:rPr>
          <w:rFonts w:cs="Arial"/>
          <w:color w:val="000000"/>
          <w:lang w:val="es-ES"/>
        </w:rPr>
        <w:t xml:space="preserve">para continuar celebrando los logros de inventores, creadores y </w:t>
      </w:r>
      <w:r w:rsidRPr="00526311">
        <w:rPr>
          <w:rFonts w:cs="Arial"/>
          <w:color w:val="000000"/>
          <w:lang w:val="es-ES"/>
        </w:rPr>
        <w:lastRenderedPageBreak/>
        <w:t xml:space="preserve">empresas innovadoras. </w:t>
      </w:r>
      <w:r w:rsidRPr="00526311">
        <w:rPr>
          <w:rFonts w:cs="Arial"/>
          <w:lang w:val="es-ES"/>
        </w:rPr>
        <w:t xml:space="preserve"> </w:t>
      </w:r>
      <w:r w:rsidRPr="00526311">
        <w:rPr>
          <w:rFonts w:cs="Arial"/>
          <w:color w:val="000000"/>
          <w:lang w:val="es-ES"/>
        </w:rPr>
        <w:t>Las actividades de sensibilización en el marco de este programa contribuyeron a la aplicación de la recomendación 3 de la A.D.</w:t>
      </w:r>
    </w:p>
    <w:p w:rsidR="00B45FC3" w:rsidRPr="00526311" w:rsidRDefault="00B45FC3" w:rsidP="0063039A">
      <w:pPr>
        <w:jc w:val="both"/>
      </w:pPr>
    </w:p>
    <w:p w:rsidR="00B45FC3" w:rsidRPr="00526311" w:rsidRDefault="00B45FC3"/>
    <w:p w:rsidR="00B45FC3" w:rsidRPr="00526311" w:rsidRDefault="00B45FC3" w:rsidP="0063039A">
      <w:pPr>
        <w:ind w:left="2268" w:hanging="2268"/>
        <w:rPr>
          <w:szCs w:val="22"/>
        </w:rPr>
      </w:pPr>
      <w:r w:rsidRPr="00526311">
        <w:rPr>
          <w:szCs w:val="22"/>
        </w:rPr>
        <w:t>DATOS SOBRE EL RENDIMIENTO</w:t>
      </w:r>
    </w:p>
    <w:p w:rsidR="00B45FC3" w:rsidRPr="00526311" w:rsidRDefault="00B45FC3" w:rsidP="0063039A">
      <w:pPr>
        <w:jc w:val="both"/>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410"/>
        <w:gridCol w:w="1559"/>
        <w:gridCol w:w="2408"/>
        <w:gridCol w:w="850"/>
      </w:tblGrid>
      <w:tr w:rsidR="00B45FC3" w:rsidRPr="00526311" w:rsidTr="0063039A">
        <w:trPr>
          <w:cantSplit/>
          <w:trHeight w:val="423"/>
        </w:trPr>
        <w:tc>
          <w:tcPr>
            <w:tcW w:w="5000" w:type="pct"/>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ind w:left="1735" w:hanging="1735"/>
              <w:rPr>
                <w:b/>
                <w:bCs/>
                <w:sz w:val="16"/>
                <w:szCs w:val="16"/>
              </w:rPr>
            </w:pPr>
            <w:r w:rsidRPr="00526311">
              <w:rPr>
                <w:b/>
                <w:bCs/>
                <w:sz w:val="16"/>
                <w:szCs w:val="16"/>
              </w:rPr>
              <w:t>Resultado previsto</w:t>
            </w:r>
            <w:r w:rsidRPr="00526311">
              <w:rPr>
                <w:bCs/>
                <w:sz w:val="16"/>
                <w:szCs w:val="16"/>
              </w:rPr>
              <w:t>:</w:t>
            </w:r>
            <w:r w:rsidRPr="00526311">
              <w:rPr>
                <w:b/>
                <w:bCs/>
                <w:sz w:val="16"/>
                <w:szCs w:val="16"/>
              </w:rPr>
              <w:tab/>
            </w:r>
            <w:r w:rsidRPr="00526311">
              <w:rPr>
                <w:bCs/>
                <w:sz w:val="16"/>
                <w:szCs w:val="16"/>
              </w:rPr>
              <w:t xml:space="preserve">I.2 </w:t>
            </w:r>
            <w:r w:rsidR="00EB0A80" w:rsidRPr="00526311">
              <w:rPr>
                <w:bCs/>
                <w:sz w:val="16"/>
                <w:szCs w:val="16"/>
              </w:rPr>
              <w:t>Marcos de P.I. adaptados y equilibrados en el ámbito legislativo, reglamentario y de política</w:t>
            </w:r>
          </w:p>
        </w:tc>
      </w:tr>
      <w:tr w:rsidR="00B45FC3" w:rsidRPr="00526311" w:rsidTr="0063039A">
        <w:trPr>
          <w:cantSplit/>
        </w:trPr>
        <w:tc>
          <w:tcPr>
            <w:tcW w:w="1138" w:type="pct"/>
            <w:tcBorders>
              <w:top w:val="single" w:sz="4" w:space="0" w:color="auto"/>
            </w:tcBorders>
            <w:shd w:val="clear" w:color="auto" w:fill="auto"/>
            <w:vAlign w:val="center"/>
          </w:tcPr>
          <w:p w:rsidR="00B45FC3" w:rsidRPr="00526311" w:rsidRDefault="00B45FC3" w:rsidP="0063039A">
            <w:pPr>
              <w:rPr>
                <w:sz w:val="16"/>
                <w:szCs w:val="16"/>
              </w:rPr>
            </w:pPr>
            <w:r w:rsidRPr="00526311">
              <w:rPr>
                <w:b/>
                <w:sz w:val="16"/>
                <w:szCs w:val="16"/>
              </w:rPr>
              <w:t>Indicadores de rendimiento</w:t>
            </w:r>
          </w:p>
        </w:tc>
        <w:tc>
          <w:tcPr>
            <w:tcW w:w="1288"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833" w:type="pct"/>
            <w:tcBorders>
              <w:top w:val="single" w:sz="4" w:space="0" w:color="auto"/>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287" w:type="pct"/>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454" w:type="pct"/>
            <w:tcBorders>
              <w:top w:val="single" w:sz="4" w:space="0" w:color="auto"/>
            </w:tcBorders>
            <w:shd w:val="clear" w:color="auto" w:fill="auto"/>
            <w:tcMar>
              <w:top w:w="110" w:type="dxa"/>
            </w:tcMar>
            <w:vAlign w:val="center"/>
          </w:tcPr>
          <w:p w:rsidR="00B45FC3" w:rsidRPr="00526311" w:rsidRDefault="00B45FC3" w:rsidP="0063039A">
            <w:pPr>
              <w:keepNext/>
              <w:keepLines/>
              <w:ind w:left="-109"/>
              <w:jc w:val="center"/>
              <w:rPr>
                <w:b/>
                <w:bCs/>
                <w:sz w:val="16"/>
                <w:szCs w:val="16"/>
              </w:rPr>
            </w:pPr>
            <w:r w:rsidRPr="00526311">
              <w:rPr>
                <w:b/>
                <w:bCs/>
                <w:sz w:val="16"/>
                <w:szCs w:val="16"/>
              </w:rPr>
              <w:t>Clave de colores</w:t>
            </w:r>
          </w:p>
        </w:tc>
      </w:tr>
      <w:tr w:rsidR="00B45FC3" w:rsidRPr="00526311" w:rsidTr="0063039A">
        <w:trPr>
          <w:cantSplit/>
        </w:trPr>
        <w:tc>
          <w:tcPr>
            <w:tcW w:w="1138" w:type="pct"/>
            <w:tcBorders>
              <w:bottom w:val="single" w:sz="4" w:space="0" w:color="auto"/>
            </w:tcBorders>
            <w:shd w:val="clear" w:color="auto" w:fill="auto"/>
          </w:tcPr>
          <w:p w:rsidR="00B45FC3" w:rsidRPr="00526311" w:rsidRDefault="00B45FC3" w:rsidP="0063039A">
            <w:pPr>
              <w:rPr>
                <w:sz w:val="16"/>
                <w:szCs w:val="16"/>
              </w:rPr>
            </w:pPr>
            <w:r w:rsidRPr="00526311">
              <w:rPr>
                <w:sz w:val="16"/>
                <w:szCs w:val="16"/>
              </w:rPr>
              <w:t>Número de países que han aprobado o modificado los marcos pertinentes (o lo están haciendo actualmente) tras recibir asistencia de la OMPI.</w:t>
            </w:r>
          </w:p>
          <w:p w:rsidR="00B45FC3" w:rsidRPr="00526311" w:rsidRDefault="00B45FC3" w:rsidP="0063039A">
            <w:pPr>
              <w:rPr>
                <w:sz w:val="16"/>
                <w:szCs w:val="16"/>
              </w:rPr>
            </w:pPr>
          </w:p>
        </w:tc>
        <w:tc>
          <w:tcPr>
            <w:tcW w:w="1288" w:type="pct"/>
            <w:tcBorders>
              <w:bottom w:val="single" w:sz="4" w:space="0" w:color="auto"/>
            </w:tcBorders>
            <w:shd w:val="clear" w:color="auto" w:fill="auto"/>
          </w:tcPr>
          <w:p w:rsidR="00B45FC3" w:rsidRPr="00526311" w:rsidRDefault="00542D75" w:rsidP="0063039A">
            <w:pPr>
              <w:rPr>
                <w:i/>
                <w:color w:val="002060"/>
                <w:sz w:val="16"/>
                <w:szCs w:val="16"/>
              </w:rPr>
            </w:pPr>
            <w:r w:rsidRPr="00526311">
              <w:rPr>
                <w:i/>
                <w:color w:val="002060"/>
                <w:sz w:val="16"/>
                <w:szCs w:val="16"/>
              </w:rPr>
              <w:t>Referencia actualizada a fines de 2013</w:t>
            </w:r>
            <w:r w:rsidR="00B45FC3" w:rsidRPr="00526311">
              <w:rPr>
                <w:i/>
                <w:color w:val="002060"/>
                <w:sz w:val="16"/>
                <w:szCs w:val="16"/>
              </w:rPr>
              <w:t xml:space="preserve">:  </w:t>
            </w:r>
          </w:p>
          <w:p w:rsidR="00B45FC3" w:rsidRPr="00526311" w:rsidRDefault="00B45FC3" w:rsidP="0063039A">
            <w:pPr>
              <w:rPr>
                <w:color w:val="002060"/>
                <w:sz w:val="16"/>
                <w:szCs w:val="16"/>
                <w:lang w:eastAsia="ko-KR" w:bidi="th-TH"/>
              </w:rPr>
            </w:pPr>
            <w:r w:rsidRPr="00526311">
              <w:rPr>
                <w:color w:val="002060"/>
                <w:sz w:val="16"/>
                <w:szCs w:val="16"/>
                <w:lang w:eastAsia="ko-KR" w:bidi="th-TH"/>
              </w:rPr>
              <w:t xml:space="preserve">9 países/organizaciones en proceso de modificar o aprobar los marcos pertinentes en aras de una observancia de P.I. efectiva: África (5), Asia y el Pacífico (2), América Latina y el Caribe (2) </w:t>
            </w:r>
          </w:p>
          <w:p w:rsidR="00B45FC3" w:rsidRPr="00526311" w:rsidRDefault="00B45FC3" w:rsidP="0063039A">
            <w:pPr>
              <w:rPr>
                <w:i/>
                <w:sz w:val="8"/>
                <w:szCs w:val="8"/>
              </w:rPr>
            </w:pPr>
          </w:p>
          <w:p w:rsidR="00B45FC3" w:rsidRPr="00526311" w:rsidRDefault="00B45FC3" w:rsidP="0063039A">
            <w:pPr>
              <w:rPr>
                <w:sz w:val="16"/>
                <w:szCs w:val="16"/>
                <w:lang w:bidi="th-TH"/>
              </w:rPr>
            </w:pPr>
            <w:r w:rsidRPr="00526311">
              <w:rPr>
                <w:i/>
                <w:color w:val="000000"/>
                <w:sz w:val="16"/>
                <w:szCs w:val="16"/>
                <w:lang w:bidi="th-TH"/>
              </w:rPr>
              <w:t>Referencia original en el presupuesto de 2014/15</w:t>
            </w:r>
            <w:r w:rsidRPr="00526311">
              <w:rPr>
                <w:i/>
                <w:color w:val="800080"/>
                <w:sz w:val="16"/>
                <w:szCs w:val="16"/>
                <w:lang w:bidi="th-TH"/>
              </w:rPr>
              <w:t xml:space="preserve">: </w:t>
            </w:r>
            <w:r w:rsidRPr="00526311">
              <w:rPr>
                <w:sz w:val="16"/>
                <w:szCs w:val="16"/>
                <w:lang w:bidi="th-TH"/>
              </w:rPr>
              <w:t>por determinar</w:t>
            </w:r>
            <w:r w:rsidRPr="00526311">
              <w:rPr>
                <w:color w:val="800080"/>
                <w:sz w:val="16"/>
                <w:szCs w:val="16"/>
                <w:lang w:bidi="th-TH"/>
              </w:rPr>
              <w:t>.</w:t>
            </w:r>
          </w:p>
          <w:p w:rsidR="00B45FC3" w:rsidRPr="00526311" w:rsidRDefault="00B45FC3" w:rsidP="0063039A">
            <w:pPr>
              <w:rPr>
                <w:sz w:val="16"/>
                <w:szCs w:val="16"/>
              </w:rPr>
            </w:pPr>
          </w:p>
        </w:tc>
        <w:tc>
          <w:tcPr>
            <w:tcW w:w="833" w:type="pct"/>
            <w:tcBorders>
              <w:bottom w:val="single" w:sz="4" w:space="0" w:color="auto"/>
            </w:tcBorders>
            <w:shd w:val="clear" w:color="auto" w:fill="auto"/>
            <w:tcMar>
              <w:top w:w="110" w:type="dxa"/>
            </w:tcMar>
          </w:tcPr>
          <w:p w:rsidR="00B45FC3" w:rsidRPr="00526311" w:rsidRDefault="00B45FC3" w:rsidP="0063039A">
            <w:pPr>
              <w:rPr>
                <w:i/>
                <w:color w:val="808080"/>
                <w:sz w:val="16"/>
                <w:szCs w:val="16"/>
              </w:rPr>
            </w:pPr>
            <w:r w:rsidRPr="00526311">
              <w:rPr>
                <w:sz w:val="16"/>
                <w:szCs w:val="16"/>
              </w:rPr>
              <w:t>6</w:t>
            </w:r>
            <w:r w:rsidRPr="00526311" w:rsidDel="0069614F">
              <w:rPr>
                <w:color w:val="808080"/>
                <w:sz w:val="16"/>
                <w:szCs w:val="16"/>
                <w:lang w:bidi="th-TH"/>
              </w:rPr>
              <w:t xml:space="preserve"> </w:t>
            </w:r>
          </w:p>
        </w:tc>
        <w:tc>
          <w:tcPr>
            <w:tcW w:w="1287" w:type="pct"/>
            <w:tcBorders>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color w:val="000000"/>
                <w:sz w:val="16"/>
                <w:szCs w:val="16"/>
                <w:lang w:bidi="th-TH"/>
              </w:rPr>
              <w:t xml:space="preserve">Otros 9 países/organizaciones en proceso de modificar o aprobar los marcos pertinentes en aras de una observancia de P.I. efectiva: África (4), Asia y el Pacífico (3), América Latina y el Caribe (2) </w:t>
            </w:r>
          </w:p>
          <w:p w:rsidR="00B45FC3" w:rsidRPr="00526311" w:rsidRDefault="00B45FC3" w:rsidP="0063039A">
            <w:pPr>
              <w:rPr>
                <w:sz w:val="16"/>
                <w:szCs w:val="16"/>
              </w:rPr>
            </w:pPr>
            <w:r w:rsidRPr="00526311">
              <w:rPr>
                <w:sz w:val="16"/>
                <w:szCs w:val="16"/>
              </w:rPr>
              <w:t>18 (en total).</w:t>
            </w:r>
          </w:p>
        </w:tc>
        <w:tc>
          <w:tcPr>
            <w:tcW w:w="454" w:type="pct"/>
            <w:tcBorders>
              <w:bottom w:val="single" w:sz="4" w:space="0" w:color="auto"/>
            </w:tcBorders>
            <w:shd w:val="clear" w:color="auto" w:fill="auto"/>
            <w:tcMar>
              <w:top w:w="110" w:type="dxa"/>
            </w:tcMar>
          </w:tcPr>
          <w:p w:rsidR="00B45FC3" w:rsidRPr="00526311" w:rsidRDefault="00B45FC3" w:rsidP="0063039A">
            <w:pPr>
              <w:keepNext/>
              <w:keepLines/>
              <w:ind w:right="-107"/>
              <w:jc w:val="center"/>
              <w:rPr>
                <w:b/>
                <w:bCs/>
                <w:color w:val="808080"/>
                <w:sz w:val="16"/>
                <w:szCs w:val="16"/>
              </w:rPr>
            </w:pPr>
            <w:r w:rsidRPr="00526311">
              <w:rPr>
                <w:b/>
                <w:bCs/>
                <w:color w:val="00B050"/>
                <w:sz w:val="16"/>
                <w:szCs w:val="16"/>
              </w:rPr>
              <w:t>Avanza</w:t>
            </w:r>
          </w:p>
        </w:tc>
      </w:tr>
      <w:tr w:rsidR="00B45FC3" w:rsidRPr="00526311" w:rsidTr="0063039A">
        <w:trPr>
          <w:cantSplit/>
          <w:trHeight w:val="745"/>
        </w:trPr>
        <w:tc>
          <w:tcPr>
            <w:tcW w:w="5000" w:type="pct"/>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ind w:left="1735" w:hanging="1735"/>
              <w:rPr>
                <w:b/>
                <w:bCs/>
                <w:sz w:val="16"/>
                <w:szCs w:val="16"/>
              </w:rPr>
            </w:pPr>
            <w:r w:rsidRPr="00526311">
              <w:rPr>
                <w:b/>
                <w:bCs/>
                <w:sz w:val="16"/>
                <w:szCs w:val="16"/>
              </w:rPr>
              <w:t>Resultado previsto</w:t>
            </w:r>
            <w:r w:rsidRPr="00526311">
              <w:rPr>
                <w:bCs/>
                <w:sz w:val="16"/>
                <w:szCs w:val="16"/>
              </w:rPr>
              <w:t>:</w:t>
            </w:r>
            <w:r w:rsidRPr="00526311">
              <w:rPr>
                <w:b/>
                <w:bCs/>
                <w:sz w:val="16"/>
                <w:szCs w:val="16"/>
              </w:rPr>
              <w:tab/>
            </w:r>
            <w:r w:rsidRPr="00526311">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B45FC3" w:rsidRPr="00526311" w:rsidTr="0063039A">
        <w:trPr>
          <w:cantSplit/>
        </w:trPr>
        <w:tc>
          <w:tcPr>
            <w:tcW w:w="1138" w:type="pct"/>
            <w:tcBorders>
              <w:top w:val="single" w:sz="4" w:space="0" w:color="auto"/>
              <w:left w:val="single" w:sz="4" w:space="0" w:color="auto"/>
              <w:bottom w:val="nil"/>
            </w:tcBorders>
            <w:shd w:val="clear" w:color="auto" w:fill="auto"/>
            <w:vAlign w:val="center"/>
          </w:tcPr>
          <w:p w:rsidR="00B45FC3" w:rsidRPr="00526311" w:rsidRDefault="00B45FC3" w:rsidP="0063039A">
            <w:pPr>
              <w:rPr>
                <w:sz w:val="16"/>
                <w:szCs w:val="16"/>
              </w:rPr>
            </w:pPr>
            <w:r w:rsidRPr="00526311">
              <w:rPr>
                <w:b/>
                <w:sz w:val="16"/>
                <w:szCs w:val="16"/>
              </w:rPr>
              <w:t>Indicadores de rendimiento</w:t>
            </w:r>
          </w:p>
        </w:tc>
        <w:tc>
          <w:tcPr>
            <w:tcW w:w="1288" w:type="pct"/>
            <w:tcBorders>
              <w:top w:val="single" w:sz="4" w:space="0" w:color="auto"/>
              <w:bottom w:val="nil"/>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833" w:type="pct"/>
            <w:tcBorders>
              <w:top w:val="single" w:sz="4" w:space="0" w:color="auto"/>
              <w:bottom w:val="nil"/>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287" w:type="pct"/>
            <w:tcBorders>
              <w:top w:val="single" w:sz="4" w:space="0" w:color="auto"/>
              <w:bottom w:val="nil"/>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454" w:type="pct"/>
            <w:tcBorders>
              <w:top w:val="single" w:sz="4" w:space="0" w:color="auto"/>
              <w:bottom w:val="nil"/>
              <w:right w:val="single" w:sz="4" w:space="0" w:color="auto"/>
            </w:tcBorders>
            <w:shd w:val="clear" w:color="auto" w:fill="auto"/>
            <w:tcMar>
              <w:top w:w="110" w:type="dxa"/>
            </w:tcMar>
            <w:vAlign w:val="center"/>
          </w:tcPr>
          <w:p w:rsidR="00B45FC3" w:rsidRPr="00526311" w:rsidRDefault="00B45FC3" w:rsidP="0063039A">
            <w:pPr>
              <w:keepNext/>
              <w:keepLines/>
              <w:ind w:left="-109"/>
              <w:jc w:val="center"/>
              <w:rPr>
                <w:b/>
                <w:bCs/>
                <w:sz w:val="16"/>
                <w:szCs w:val="16"/>
              </w:rPr>
            </w:pPr>
            <w:r w:rsidRPr="00526311">
              <w:rPr>
                <w:b/>
                <w:bCs/>
                <w:sz w:val="16"/>
                <w:szCs w:val="16"/>
              </w:rPr>
              <w:t>Clave de colores</w:t>
            </w:r>
          </w:p>
        </w:tc>
      </w:tr>
      <w:tr w:rsidR="00B45FC3" w:rsidRPr="00526311" w:rsidTr="0063039A">
        <w:trPr>
          <w:cantSplit/>
        </w:trPr>
        <w:tc>
          <w:tcPr>
            <w:tcW w:w="1138" w:type="pct"/>
            <w:tcBorders>
              <w:top w:val="nil"/>
              <w:left w:val="single" w:sz="4" w:space="0" w:color="auto"/>
              <w:bottom w:val="nil"/>
            </w:tcBorders>
            <w:shd w:val="clear" w:color="auto" w:fill="auto"/>
          </w:tcPr>
          <w:p w:rsidR="00B45FC3" w:rsidRPr="00526311" w:rsidRDefault="00B45FC3" w:rsidP="0063039A">
            <w:pPr>
              <w:rPr>
                <w:sz w:val="16"/>
                <w:szCs w:val="16"/>
              </w:rPr>
            </w:pPr>
            <w:r w:rsidRPr="00526311">
              <w:rPr>
                <w:sz w:val="16"/>
                <w:szCs w:val="16"/>
              </w:rPr>
              <w:t>Porcentaje de participantes que han recibido formación y que están satisfechos de la utilidad y pertinencia de la formación recibida para su vida profesional.</w:t>
            </w:r>
          </w:p>
        </w:tc>
        <w:tc>
          <w:tcPr>
            <w:tcW w:w="1288" w:type="pct"/>
            <w:tcBorders>
              <w:top w:val="nil"/>
              <w:bottom w:val="nil"/>
            </w:tcBorders>
            <w:shd w:val="clear" w:color="auto" w:fill="auto"/>
          </w:tcPr>
          <w:p w:rsidR="00B45FC3" w:rsidRPr="00526311" w:rsidRDefault="00B45FC3" w:rsidP="0063039A">
            <w:pPr>
              <w:rPr>
                <w:color w:val="002060"/>
                <w:sz w:val="16"/>
                <w:szCs w:val="16"/>
                <w:lang w:eastAsia="ko-KR" w:bidi="th-TH"/>
              </w:rPr>
            </w:pPr>
            <w:r w:rsidRPr="00526311">
              <w:rPr>
                <w:i/>
                <w:color w:val="002060"/>
                <w:sz w:val="16"/>
                <w:szCs w:val="16"/>
              </w:rPr>
              <w:t xml:space="preserve">Referencia actualizada a fines de 2013:  </w:t>
            </w:r>
            <w:r w:rsidRPr="00526311">
              <w:rPr>
                <w:color w:val="002060"/>
                <w:sz w:val="16"/>
                <w:szCs w:val="16"/>
                <w:lang w:eastAsia="ko-KR" w:bidi="th-TH"/>
              </w:rPr>
              <w:t>85%</w:t>
            </w:r>
          </w:p>
          <w:p w:rsidR="00B45FC3" w:rsidRPr="00526311" w:rsidRDefault="00B45FC3" w:rsidP="0063039A">
            <w:pPr>
              <w:rPr>
                <w:i/>
                <w:sz w:val="8"/>
                <w:szCs w:val="8"/>
              </w:rPr>
            </w:pPr>
          </w:p>
          <w:p w:rsidR="00B45FC3" w:rsidRPr="00526311" w:rsidRDefault="00B45FC3" w:rsidP="0063039A">
            <w:pPr>
              <w:rPr>
                <w:sz w:val="16"/>
                <w:szCs w:val="16"/>
                <w:lang w:bidi="th-TH"/>
              </w:rPr>
            </w:pPr>
            <w:r w:rsidRPr="00526311">
              <w:rPr>
                <w:i/>
                <w:sz w:val="16"/>
                <w:szCs w:val="16"/>
                <w:lang w:bidi="th-TH"/>
              </w:rPr>
              <w:t xml:space="preserve">Referencia original en el presupuesto de 2014/15:  </w:t>
            </w:r>
            <w:r w:rsidRPr="00526311">
              <w:rPr>
                <w:sz w:val="16"/>
                <w:szCs w:val="16"/>
                <w:lang w:bidi="th-TH"/>
              </w:rPr>
              <w:t>75%</w:t>
            </w:r>
          </w:p>
          <w:p w:rsidR="00B45FC3" w:rsidRPr="00526311" w:rsidRDefault="00B45FC3" w:rsidP="0063039A">
            <w:pPr>
              <w:rPr>
                <w:sz w:val="16"/>
                <w:szCs w:val="16"/>
              </w:rPr>
            </w:pPr>
          </w:p>
        </w:tc>
        <w:tc>
          <w:tcPr>
            <w:tcW w:w="833" w:type="pct"/>
            <w:tcBorders>
              <w:top w:val="nil"/>
              <w:bottom w:val="nil"/>
            </w:tcBorders>
            <w:shd w:val="clear" w:color="auto" w:fill="auto"/>
            <w:tcMar>
              <w:top w:w="110" w:type="dxa"/>
            </w:tcMar>
          </w:tcPr>
          <w:p w:rsidR="00B45FC3" w:rsidRPr="00526311" w:rsidRDefault="00B45FC3" w:rsidP="0063039A">
            <w:pPr>
              <w:rPr>
                <w:i/>
                <w:sz w:val="16"/>
                <w:szCs w:val="16"/>
              </w:rPr>
            </w:pPr>
            <w:r w:rsidRPr="00526311">
              <w:rPr>
                <w:sz w:val="16"/>
                <w:szCs w:val="16"/>
                <w:lang w:bidi="th-TH"/>
              </w:rPr>
              <w:t>75%</w:t>
            </w:r>
          </w:p>
        </w:tc>
        <w:tc>
          <w:tcPr>
            <w:tcW w:w="1287" w:type="pct"/>
            <w:tcBorders>
              <w:top w:val="nil"/>
              <w:bottom w:val="nil"/>
            </w:tcBorders>
            <w:shd w:val="clear" w:color="auto" w:fill="FFFFFF"/>
            <w:tcMar>
              <w:top w:w="110" w:type="dxa"/>
            </w:tcMar>
          </w:tcPr>
          <w:p w:rsidR="00B45FC3" w:rsidRPr="00526311" w:rsidRDefault="00B45FC3" w:rsidP="0063039A">
            <w:pPr>
              <w:pStyle w:val="ListParagraph"/>
              <w:tabs>
                <w:tab w:val="left" w:pos="307"/>
              </w:tabs>
              <w:ind w:left="24"/>
              <w:rPr>
                <w:rFonts w:cs="Arial"/>
                <w:sz w:val="16"/>
                <w:szCs w:val="16"/>
                <w:lang w:val="es-ES" w:bidi="th-TH"/>
              </w:rPr>
            </w:pPr>
            <w:r w:rsidRPr="00526311">
              <w:rPr>
                <w:rFonts w:cs="Arial"/>
                <w:sz w:val="16"/>
                <w:szCs w:val="16"/>
                <w:lang w:val="es-ES" w:bidi="th-TH"/>
              </w:rPr>
              <w:t>En promedio, un 90% de los participantes comunicó que la formación es útil para su vida profesional.</w:t>
            </w:r>
          </w:p>
          <w:p w:rsidR="00B45FC3" w:rsidRPr="00526311" w:rsidRDefault="00B45FC3" w:rsidP="0063039A">
            <w:pPr>
              <w:pStyle w:val="ListParagraph"/>
              <w:tabs>
                <w:tab w:val="left" w:pos="307"/>
              </w:tabs>
              <w:ind w:left="307" w:hanging="283"/>
              <w:rPr>
                <w:rFonts w:cs="Arial"/>
                <w:sz w:val="16"/>
                <w:szCs w:val="16"/>
                <w:lang w:val="es-ES" w:bidi="th-TH"/>
              </w:rPr>
            </w:pPr>
          </w:p>
          <w:p w:rsidR="00B45FC3" w:rsidRPr="00526311" w:rsidRDefault="00B45FC3" w:rsidP="0063039A">
            <w:pPr>
              <w:pStyle w:val="ListParagraph"/>
              <w:tabs>
                <w:tab w:val="left" w:pos="307"/>
              </w:tabs>
              <w:ind w:left="24"/>
              <w:rPr>
                <w:rFonts w:cs="Arial"/>
                <w:sz w:val="16"/>
                <w:szCs w:val="16"/>
                <w:lang w:val="es-ES" w:bidi="th-TH"/>
              </w:rPr>
            </w:pPr>
            <w:r w:rsidRPr="00526311">
              <w:rPr>
                <w:rFonts w:cs="Arial"/>
                <w:sz w:val="16"/>
                <w:szCs w:val="16"/>
                <w:lang w:val="es-ES" w:bidi="th-TH"/>
              </w:rPr>
              <w:t xml:space="preserve">En promedio, un 90% de los participantes dijo estar satisfecho con la formación.  </w:t>
            </w:r>
          </w:p>
          <w:p w:rsidR="00B45FC3" w:rsidRPr="00526311" w:rsidRDefault="00B45FC3" w:rsidP="0063039A">
            <w:pPr>
              <w:rPr>
                <w:sz w:val="16"/>
                <w:szCs w:val="16"/>
              </w:rPr>
            </w:pPr>
          </w:p>
        </w:tc>
        <w:tc>
          <w:tcPr>
            <w:tcW w:w="454" w:type="pct"/>
            <w:tcBorders>
              <w:top w:val="nil"/>
              <w:bottom w:val="nil"/>
              <w:right w:val="single" w:sz="4" w:space="0" w:color="auto"/>
            </w:tcBorders>
            <w:shd w:val="clear" w:color="auto" w:fill="auto"/>
            <w:tcMar>
              <w:top w:w="110" w:type="dxa"/>
            </w:tcMar>
          </w:tcPr>
          <w:p w:rsidR="00B45FC3" w:rsidRPr="00526311" w:rsidRDefault="00B45FC3" w:rsidP="0063039A">
            <w:pPr>
              <w:keepNext/>
              <w:keepLines/>
              <w:ind w:right="-107"/>
              <w:jc w:val="center"/>
              <w:rPr>
                <w:bCs/>
                <w:color w:val="00B050"/>
                <w:sz w:val="16"/>
                <w:szCs w:val="16"/>
              </w:rPr>
            </w:pPr>
            <w:r w:rsidRPr="00526311">
              <w:rPr>
                <w:b/>
                <w:bCs/>
                <w:color w:val="00B050"/>
                <w:sz w:val="16"/>
                <w:szCs w:val="16"/>
              </w:rPr>
              <w:t>Avanza</w:t>
            </w:r>
          </w:p>
        </w:tc>
      </w:tr>
      <w:tr w:rsidR="00B45FC3" w:rsidRPr="00526311" w:rsidTr="0063039A">
        <w:trPr>
          <w:cantSplit/>
        </w:trPr>
        <w:tc>
          <w:tcPr>
            <w:tcW w:w="1138" w:type="pct"/>
            <w:tcBorders>
              <w:top w:val="nil"/>
              <w:left w:val="single" w:sz="4" w:space="0" w:color="auto"/>
              <w:bottom w:val="nil"/>
            </w:tcBorders>
            <w:shd w:val="clear" w:color="auto" w:fill="auto"/>
          </w:tcPr>
          <w:p w:rsidR="00B45FC3" w:rsidRPr="00526311" w:rsidRDefault="00B45FC3" w:rsidP="0063039A">
            <w:pPr>
              <w:rPr>
                <w:sz w:val="16"/>
                <w:szCs w:val="16"/>
                <w:lang w:bidi="th-TH"/>
              </w:rPr>
            </w:pPr>
            <w:r w:rsidRPr="00526311">
              <w:rPr>
                <w:sz w:val="16"/>
                <w:szCs w:val="16"/>
                <w:lang w:bidi="th-TH"/>
              </w:rPr>
              <w:t>Porcentaje de destinatarios que han demostrado conocimientos básicos de un sistema equilibrado de P.I. tras las actividades de la OMPI.</w:t>
            </w:r>
          </w:p>
        </w:tc>
        <w:tc>
          <w:tcPr>
            <w:tcW w:w="1288" w:type="pct"/>
            <w:tcBorders>
              <w:top w:val="nil"/>
              <w:bottom w:val="nil"/>
            </w:tcBorders>
            <w:shd w:val="clear" w:color="auto" w:fill="auto"/>
          </w:tcPr>
          <w:p w:rsidR="00B45FC3" w:rsidRPr="00526311" w:rsidRDefault="00787D5F" w:rsidP="0063039A">
            <w:pPr>
              <w:rPr>
                <w:i/>
                <w:sz w:val="16"/>
                <w:szCs w:val="16"/>
              </w:rPr>
            </w:pPr>
            <w:r w:rsidRPr="00526311">
              <w:rPr>
                <w:sz w:val="16"/>
                <w:szCs w:val="16"/>
              </w:rPr>
              <w:t>N</w:t>
            </w:r>
            <w:r w:rsidR="00B45FC3" w:rsidRPr="00526311">
              <w:rPr>
                <w:sz w:val="16"/>
                <w:szCs w:val="16"/>
              </w:rPr>
              <w:t>.d.</w:t>
            </w:r>
          </w:p>
        </w:tc>
        <w:tc>
          <w:tcPr>
            <w:tcW w:w="833" w:type="pct"/>
            <w:tcBorders>
              <w:top w:val="nil"/>
              <w:bottom w:val="nil"/>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75%</w:t>
            </w:r>
          </w:p>
        </w:tc>
        <w:tc>
          <w:tcPr>
            <w:tcW w:w="1287" w:type="pct"/>
            <w:tcBorders>
              <w:top w:val="nil"/>
              <w:bottom w:val="nil"/>
            </w:tcBorders>
            <w:shd w:val="clear" w:color="auto" w:fill="FFFFFF"/>
            <w:tcMar>
              <w:top w:w="110" w:type="dxa"/>
            </w:tcMar>
          </w:tcPr>
          <w:p w:rsidR="00B45FC3" w:rsidRPr="00526311" w:rsidRDefault="00B45FC3" w:rsidP="0063039A">
            <w:pPr>
              <w:pStyle w:val="ListParagraph"/>
              <w:tabs>
                <w:tab w:val="left" w:pos="307"/>
              </w:tabs>
              <w:ind w:left="24"/>
              <w:rPr>
                <w:rFonts w:cs="Arial"/>
                <w:sz w:val="16"/>
                <w:szCs w:val="16"/>
                <w:lang w:val="es-ES" w:bidi="th-TH"/>
              </w:rPr>
            </w:pPr>
            <w:r w:rsidRPr="00526311">
              <w:rPr>
                <w:rFonts w:cs="Arial"/>
                <w:sz w:val="16"/>
                <w:szCs w:val="16"/>
                <w:lang w:val="es-ES" w:bidi="th-TH"/>
              </w:rPr>
              <w:t>&gt;75%</w:t>
            </w:r>
          </w:p>
        </w:tc>
        <w:tc>
          <w:tcPr>
            <w:tcW w:w="454" w:type="pct"/>
            <w:tcBorders>
              <w:top w:val="nil"/>
              <w:bottom w:val="nil"/>
              <w:right w:val="single" w:sz="4" w:space="0" w:color="auto"/>
            </w:tcBorders>
            <w:shd w:val="clear" w:color="auto" w:fill="auto"/>
            <w:tcMar>
              <w:top w:w="110" w:type="dxa"/>
            </w:tcMar>
          </w:tcPr>
          <w:p w:rsidR="00B45FC3" w:rsidRPr="00526311" w:rsidRDefault="00B45FC3" w:rsidP="0063039A">
            <w:pPr>
              <w:keepNext/>
              <w:keepLines/>
              <w:ind w:right="-107"/>
              <w:jc w:val="center"/>
              <w:rPr>
                <w:b/>
                <w:bCs/>
                <w:color w:val="00B050"/>
                <w:sz w:val="16"/>
                <w:szCs w:val="16"/>
              </w:rPr>
            </w:pPr>
            <w:r w:rsidRPr="00526311">
              <w:rPr>
                <w:b/>
                <w:bCs/>
                <w:color w:val="00B050"/>
                <w:sz w:val="16"/>
                <w:szCs w:val="16"/>
              </w:rPr>
              <w:t>Avanza</w:t>
            </w:r>
          </w:p>
        </w:tc>
      </w:tr>
      <w:tr w:rsidR="00B45FC3" w:rsidRPr="00526311" w:rsidTr="0063039A">
        <w:trPr>
          <w:cantSplit/>
        </w:trPr>
        <w:tc>
          <w:tcPr>
            <w:tcW w:w="1138" w:type="pct"/>
            <w:tcBorders>
              <w:top w:val="nil"/>
              <w:left w:val="single" w:sz="4" w:space="0" w:color="auto"/>
              <w:bottom w:val="single" w:sz="4" w:space="0" w:color="auto"/>
            </w:tcBorders>
            <w:shd w:val="clear" w:color="auto" w:fill="auto"/>
          </w:tcPr>
          <w:p w:rsidR="00B45FC3" w:rsidRPr="00526311" w:rsidRDefault="00B45FC3" w:rsidP="0063039A">
            <w:pPr>
              <w:rPr>
                <w:sz w:val="16"/>
                <w:szCs w:val="16"/>
                <w:lang w:bidi="th-TH"/>
              </w:rPr>
            </w:pPr>
            <w:r w:rsidRPr="00526311">
              <w:rPr>
                <w:sz w:val="16"/>
                <w:szCs w:val="16"/>
                <w:lang w:bidi="th-TH"/>
              </w:rPr>
              <w:t>Número de países participantes en el programa de Premios de la OMPI.</w:t>
            </w:r>
          </w:p>
        </w:tc>
        <w:tc>
          <w:tcPr>
            <w:tcW w:w="1288" w:type="pct"/>
            <w:tcBorders>
              <w:top w:val="nil"/>
              <w:bottom w:val="single" w:sz="4" w:space="0" w:color="auto"/>
            </w:tcBorders>
            <w:shd w:val="clear" w:color="auto" w:fill="auto"/>
          </w:tcPr>
          <w:p w:rsidR="00B45FC3" w:rsidRPr="00526311" w:rsidRDefault="00B45FC3" w:rsidP="0063039A">
            <w:pPr>
              <w:rPr>
                <w:i/>
                <w:color w:val="002060"/>
                <w:sz w:val="16"/>
                <w:szCs w:val="16"/>
              </w:rPr>
            </w:pPr>
            <w:r w:rsidRPr="00526311">
              <w:rPr>
                <w:i/>
                <w:color w:val="002060"/>
                <w:sz w:val="16"/>
                <w:szCs w:val="16"/>
              </w:rPr>
              <w:t>Referencia actualizada a fines de 2013:  42 en 2013</w:t>
            </w:r>
          </w:p>
          <w:p w:rsidR="00B45FC3" w:rsidRPr="00526311" w:rsidRDefault="00B45FC3" w:rsidP="0063039A">
            <w:pPr>
              <w:rPr>
                <w:i/>
                <w:sz w:val="8"/>
                <w:szCs w:val="8"/>
              </w:rPr>
            </w:pPr>
          </w:p>
          <w:p w:rsidR="00B45FC3" w:rsidRPr="00526311" w:rsidRDefault="00B45FC3" w:rsidP="0063039A">
            <w:pPr>
              <w:rPr>
                <w:sz w:val="16"/>
                <w:szCs w:val="16"/>
                <w:lang w:bidi="th-TH"/>
              </w:rPr>
            </w:pPr>
            <w:r w:rsidRPr="00526311">
              <w:rPr>
                <w:i/>
                <w:sz w:val="16"/>
                <w:szCs w:val="16"/>
                <w:lang w:bidi="th-TH"/>
              </w:rPr>
              <w:t>Referencia original en el presupuesto de 2014/15</w:t>
            </w:r>
            <w:r w:rsidRPr="00526311">
              <w:rPr>
                <w:i/>
                <w:sz w:val="16"/>
                <w:szCs w:val="16"/>
              </w:rPr>
              <w:t>:</w:t>
            </w:r>
            <w:r w:rsidRPr="00526311">
              <w:rPr>
                <w:sz w:val="16"/>
                <w:szCs w:val="16"/>
              </w:rPr>
              <w:br/>
            </w:r>
            <w:r w:rsidRPr="00526311">
              <w:rPr>
                <w:sz w:val="16"/>
                <w:szCs w:val="16"/>
                <w:lang w:bidi="th-TH"/>
              </w:rPr>
              <w:t>40 por año</w:t>
            </w:r>
          </w:p>
          <w:p w:rsidR="00B45FC3" w:rsidRPr="00526311" w:rsidRDefault="00B45FC3" w:rsidP="0063039A">
            <w:pPr>
              <w:rPr>
                <w:i/>
                <w:sz w:val="16"/>
                <w:szCs w:val="16"/>
              </w:rPr>
            </w:pPr>
          </w:p>
        </w:tc>
        <w:tc>
          <w:tcPr>
            <w:tcW w:w="833" w:type="pct"/>
            <w:tcBorders>
              <w:top w:val="nil"/>
              <w:bottom w:val="single" w:sz="4" w:space="0" w:color="auto"/>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40 por año</w:t>
            </w:r>
          </w:p>
        </w:tc>
        <w:tc>
          <w:tcPr>
            <w:tcW w:w="1287" w:type="pct"/>
            <w:tcBorders>
              <w:top w:val="nil"/>
              <w:bottom w:val="single" w:sz="4" w:space="0" w:color="auto"/>
            </w:tcBorders>
            <w:shd w:val="clear" w:color="auto" w:fill="FFFFFF"/>
            <w:tcMar>
              <w:top w:w="110" w:type="dxa"/>
            </w:tcMar>
          </w:tcPr>
          <w:p w:rsidR="00B45FC3" w:rsidRPr="00526311" w:rsidRDefault="00B45FC3" w:rsidP="0063039A">
            <w:pPr>
              <w:pStyle w:val="ListParagraph"/>
              <w:tabs>
                <w:tab w:val="left" w:pos="307"/>
              </w:tabs>
              <w:ind w:left="24"/>
              <w:rPr>
                <w:rFonts w:cs="Arial"/>
                <w:sz w:val="16"/>
                <w:szCs w:val="16"/>
                <w:lang w:val="es-ES" w:bidi="th-TH"/>
              </w:rPr>
            </w:pPr>
            <w:r w:rsidRPr="00526311">
              <w:rPr>
                <w:rFonts w:cs="Arial"/>
                <w:sz w:val="16"/>
                <w:szCs w:val="16"/>
                <w:lang w:val="es-ES" w:bidi="th-TH"/>
              </w:rPr>
              <w:t>38 en 2014</w:t>
            </w:r>
          </w:p>
        </w:tc>
        <w:tc>
          <w:tcPr>
            <w:tcW w:w="454" w:type="pct"/>
            <w:tcBorders>
              <w:top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ind w:right="-107"/>
              <w:jc w:val="center"/>
              <w:rPr>
                <w:b/>
                <w:bCs/>
                <w:color w:val="00B050"/>
                <w:sz w:val="16"/>
                <w:szCs w:val="16"/>
              </w:rPr>
            </w:pPr>
            <w:r w:rsidRPr="00526311">
              <w:rPr>
                <w:b/>
                <w:bCs/>
                <w:color w:val="00B050"/>
                <w:sz w:val="16"/>
                <w:szCs w:val="16"/>
              </w:rPr>
              <w:t>Avanza</w:t>
            </w:r>
          </w:p>
        </w:tc>
      </w:tr>
    </w:tbl>
    <w:p w:rsidR="00B45FC3" w:rsidRPr="00526311" w:rsidRDefault="00B45FC3">
      <w:r w:rsidRPr="00526311">
        <w:br w:type="page"/>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410"/>
        <w:gridCol w:w="1559"/>
        <w:gridCol w:w="2408"/>
        <w:gridCol w:w="850"/>
      </w:tblGrid>
      <w:tr w:rsidR="00B45FC3" w:rsidRPr="00526311" w:rsidTr="0063039A">
        <w:trPr>
          <w:cantSplit/>
          <w:trHeight w:val="738"/>
        </w:trPr>
        <w:tc>
          <w:tcPr>
            <w:tcW w:w="5000" w:type="pct"/>
            <w:gridSpan w:val="5"/>
            <w:tcBorders>
              <w:top w:val="single" w:sz="4" w:space="0" w:color="auto"/>
              <w:bottom w:val="single" w:sz="4" w:space="0" w:color="auto"/>
            </w:tcBorders>
            <w:shd w:val="clear" w:color="auto" w:fill="CCFFFF"/>
            <w:vAlign w:val="center"/>
          </w:tcPr>
          <w:p w:rsidR="00B45FC3" w:rsidRPr="00526311" w:rsidRDefault="00B45FC3" w:rsidP="0063039A">
            <w:pPr>
              <w:ind w:left="1735" w:hanging="1735"/>
              <w:rPr>
                <w:b/>
                <w:bCs/>
                <w:sz w:val="16"/>
                <w:szCs w:val="16"/>
              </w:rPr>
            </w:pPr>
            <w:r w:rsidRPr="00526311">
              <w:rPr>
                <w:b/>
                <w:bCs/>
                <w:color w:val="000000"/>
                <w:sz w:val="16"/>
                <w:szCs w:val="16"/>
              </w:rPr>
              <w:lastRenderedPageBreak/>
              <w:t>Resultado previsto</w:t>
            </w:r>
            <w:r w:rsidRPr="00526311">
              <w:rPr>
                <w:bCs/>
                <w:color w:val="000000"/>
                <w:sz w:val="16"/>
                <w:szCs w:val="16"/>
              </w:rPr>
              <w:t>:</w:t>
            </w:r>
            <w:r w:rsidRPr="00526311">
              <w:rPr>
                <w:b/>
                <w:bCs/>
                <w:sz w:val="16"/>
                <w:szCs w:val="16"/>
              </w:rPr>
              <w:tab/>
            </w:r>
            <w:r w:rsidRPr="00526311">
              <w:rPr>
                <w:bCs/>
                <w:sz w:val="16"/>
                <w:szCs w:val="16"/>
              </w:rPr>
              <w:t>VI.1 Avances en el diálogo internacional sobre políticas entre los Estados miembros de la OMPI para fomentar el respeto por la P.I. sobre la base de la recomendación 45 de la Agenda de la OMPI para el Desarrollo</w:t>
            </w:r>
          </w:p>
        </w:tc>
      </w:tr>
      <w:tr w:rsidR="00B45FC3" w:rsidRPr="00526311" w:rsidTr="0063039A">
        <w:trPr>
          <w:cantSplit/>
        </w:trPr>
        <w:tc>
          <w:tcPr>
            <w:tcW w:w="1138" w:type="pct"/>
            <w:tcBorders>
              <w:top w:val="single" w:sz="4" w:space="0" w:color="auto"/>
            </w:tcBorders>
            <w:shd w:val="clear" w:color="auto" w:fill="auto"/>
            <w:vAlign w:val="center"/>
          </w:tcPr>
          <w:p w:rsidR="00B45FC3" w:rsidRPr="00526311" w:rsidRDefault="00B45FC3" w:rsidP="0063039A">
            <w:pPr>
              <w:rPr>
                <w:sz w:val="16"/>
                <w:szCs w:val="16"/>
              </w:rPr>
            </w:pPr>
            <w:r w:rsidRPr="00526311">
              <w:rPr>
                <w:b/>
                <w:sz w:val="16"/>
                <w:szCs w:val="16"/>
              </w:rPr>
              <w:t>Indicadores de rendimiento</w:t>
            </w:r>
          </w:p>
        </w:tc>
        <w:tc>
          <w:tcPr>
            <w:tcW w:w="1288"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833" w:type="pct"/>
            <w:tcBorders>
              <w:top w:val="single" w:sz="4" w:space="0" w:color="auto"/>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287" w:type="pct"/>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454" w:type="pct"/>
            <w:tcBorders>
              <w:top w:val="single" w:sz="4" w:space="0" w:color="auto"/>
            </w:tcBorders>
            <w:shd w:val="clear" w:color="auto" w:fill="auto"/>
            <w:tcMar>
              <w:top w:w="110" w:type="dxa"/>
            </w:tcMar>
            <w:vAlign w:val="center"/>
          </w:tcPr>
          <w:p w:rsidR="00B45FC3" w:rsidRPr="00526311" w:rsidRDefault="00B45FC3" w:rsidP="0063039A">
            <w:pPr>
              <w:keepNext/>
              <w:keepLines/>
              <w:ind w:left="-109"/>
              <w:jc w:val="center"/>
              <w:rPr>
                <w:b/>
                <w:bCs/>
                <w:sz w:val="16"/>
                <w:szCs w:val="16"/>
              </w:rPr>
            </w:pPr>
            <w:r w:rsidRPr="00526311">
              <w:rPr>
                <w:b/>
                <w:bCs/>
                <w:sz w:val="16"/>
                <w:szCs w:val="16"/>
              </w:rPr>
              <w:t>Clave de colores</w:t>
            </w:r>
          </w:p>
        </w:tc>
      </w:tr>
      <w:tr w:rsidR="00B45FC3" w:rsidRPr="00526311" w:rsidTr="0063039A">
        <w:trPr>
          <w:cantSplit/>
        </w:trPr>
        <w:tc>
          <w:tcPr>
            <w:tcW w:w="1138" w:type="pct"/>
            <w:shd w:val="clear" w:color="auto" w:fill="auto"/>
          </w:tcPr>
          <w:p w:rsidR="00B45FC3" w:rsidRPr="00526311" w:rsidRDefault="00B45FC3" w:rsidP="0063039A">
            <w:pPr>
              <w:rPr>
                <w:sz w:val="16"/>
                <w:szCs w:val="16"/>
              </w:rPr>
            </w:pPr>
            <w:r w:rsidRPr="00526311">
              <w:rPr>
                <w:sz w:val="16"/>
                <w:szCs w:val="16"/>
              </w:rPr>
              <w:t>Acuerdo constante entre los Estados miembros sobre la labor sustantiva del Comité Asesor de la OMPI sobre Observancia (ACE), al incorporar elementos orientados al desarrollo.</w:t>
            </w:r>
          </w:p>
        </w:tc>
        <w:tc>
          <w:tcPr>
            <w:tcW w:w="1288" w:type="pct"/>
            <w:shd w:val="clear" w:color="auto" w:fill="auto"/>
          </w:tcPr>
          <w:p w:rsidR="00B45FC3" w:rsidRPr="00526311" w:rsidRDefault="00B45FC3" w:rsidP="0063039A">
            <w:pPr>
              <w:rPr>
                <w:i/>
                <w:color w:val="002060"/>
                <w:sz w:val="16"/>
                <w:szCs w:val="16"/>
              </w:rPr>
            </w:pPr>
            <w:r w:rsidRPr="00526311">
              <w:rPr>
                <w:i/>
                <w:color w:val="002060"/>
                <w:sz w:val="16"/>
                <w:szCs w:val="16"/>
              </w:rPr>
              <w:t>Referencia actualizada a fines de 2013</w:t>
            </w:r>
            <w:r w:rsidRPr="00526311">
              <w:rPr>
                <w:color w:val="002060"/>
                <w:sz w:val="16"/>
                <w:szCs w:val="16"/>
              </w:rPr>
              <w:t xml:space="preserve">: Acuerdo sobre el programa de trabajo de la </w:t>
            </w:r>
            <w:r w:rsidR="00581419" w:rsidRPr="00526311">
              <w:rPr>
                <w:color w:val="002060"/>
                <w:sz w:val="16"/>
                <w:szCs w:val="16"/>
              </w:rPr>
              <w:t>9ª</w:t>
            </w:r>
            <w:r w:rsidRPr="00526311">
              <w:rPr>
                <w:color w:val="002060"/>
                <w:sz w:val="16"/>
                <w:szCs w:val="16"/>
              </w:rPr>
              <w:t xml:space="preserve"> sesión del ACE </w:t>
            </w:r>
          </w:p>
          <w:p w:rsidR="00B45FC3" w:rsidRPr="00526311" w:rsidRDefault="00B45FC3" w:rsidP="0063039A">
            <w:pPr>
              <w:rPr>
                <w:i/>
                <w:sz w:val="8"/>
                <w:szCs w:val="8"/>
              </w:rPr>
            </w:pPr>
          </w:p>
          <w:p w:rsidR="00B45FC3" w:rsidRPr="00526311" w:rsidRDefault="00B45FC3" w:rsidP="0063039A">
            <w:pPr>
              <w:rPr>
                <w:sz w:val="16"/>
                <w:szCs w:val="16"/>
                <w:lang w:bidi="th-TH"/>
              </w:rPr>
            </w:pPr>
            <w:r w:rsidRPr="00526311">
              <w:rPr>
                <w:i/>
                <w:color w:val="000000"/>
                <w:sz w:val="16"/>
                <w:szCs w:val="16"/>
                <w:lang w:bidi="th-TH"/>
              </w:rPr>
              <w:t>Referencia original en el presupuesto de 2014/15</w:t>
            </w:r>
            <w:r w:rsidRPr="00526311">
              <w:rPr>
                <w:color w:val="000000"/>
                <w:sz w:val="16"/>
                <w:szCs w:val="16"/>
                <w:lang w:bidi="th-TH"/>
              </w:rPr>
              <w:t xml:space="preserve">: Acuerdo sobre el programa de trabajo de la 8ª sesión del ACE </w:t>
            </w:r>
          </w:p>
          <w:p w:rsidR="00B45FC3" w:rsidRPr="00526311" w:rsidRDefault="00B45FC3" w:rsidP="0063039A">
            <w:pPr>
              <w:rPr>
                <w:sz w:val="16"/>
                <w:szCs w:val="16"/>
              </w:rPr>
            </w:pPr>
          </w:p>
        </w:tc>
        <w:tc>
          <w:tcPr>
            <w:tcW w:w="833" w:type="pct"/>
            <w:shd w:val="clear" w:color="auto" w:fill="auto"/>
            <w:tcMar>
              <w:top w:w="110" w:type="dxa"/>
            </w:tcMar>
          </w:tcPr>
          <w:p w:rsidR="00B45FC3" w:rsidRPr="00526311" w:rsidRDefault="00B45FC3" w:rsidP="0063039A">
            <w:pPr>
              <w:rPr>
                <w:sz w:val="16"/>
                <w:szCs w:val="16"/>
              </w:rPr>
            </w:pPr>
            <w:r w:rsidRPr="00526311">
              <w:rPr>
                <w:sz w:val="16"/>
                <w:szCs w:val="16"/>
              </w:rPr>
              <w:t>Acuerdo sobre el programa de trabajo de la siguiente sesión del ACE</w:t>
            </w:r>
          </w:p>
        </w:tc>
        <w:tc>
          <w:tcPr>
            <w:tcW w:w="1287" w:type="pct"/>
            <w:shd w:val="clear" w:color="auto" w:fill="FFFFFF"/>
            <w:tcMar>
              <w:top w:w="110" w:type="dxa"/>
            </w:tcMar>
          </w:tcPr>
          <w:p w:rsidR="00B45FC3" w:rsidRPr="00526311" w:rsidRDefault="00B45FC3" w:rsidP="0063039A">
            <w:pPr>
              <w:pStyle w:val="ListParagraph"/>
              <w:ind w:left="0"/>
              <w:rPr>
                <w:rFonts w:cs="Arial"/>
                <w:sz w:val="16"/>
                <w:szCs w:val="16"/>
                <w:lang w:val="es-ES" w:bidi="th-TH"/>
              </w:rPr>
            </w:pPr>
            <w:r w:rsidRPr="00526311">
              <w:rPr>
                <w:rFonts w:cs="Arial"/>
                <w:color w:val="000000"/>
                <w:sz w:val="16"/>
                <w:szCs w:val="16"/>
                <w:lang w:val="es-ES" w:bidi="th-TH"/>
              </w:rPr>
              <w:t>Acuerdo sobre el siguiente programa de trabajo de la 10ª sesión del ACE: i) prácticas de solución extrajudicial de controversias de P.I. y ii) acciones y medidas preventivas o experiencias positivas que complementen las medidas de observancia con miras a reducir el mercado de productos falsificados o pirateados</w:t>
            </w:r>
            <w:r w:rsidRPr="00526311">
              <w:rPr>
                <w:rFonts w:cs="Arial"/>
                <w:sz w:val="16"/>
                <w:szCs w:val="16"/>
                <w:lang w:val="es-ES" w:bidi="th-TH"/>
              </w:rPr>
              <w:t xml:space="preserve"> (WIPO/ACE/9/29 Prov.)</w:t>
            </w:r>
          </w:p>
          <w:p w:rsidR="00B45FC3" w:rsidRPr="00526311" w:rsidRDefault="00B45FC3" w:rsidP="0063039A">
            <w:pPr>
              <w:pStyle w:val="ListParagraph"/>
              <w:ind w:left="0"/>
              <w:rPr>
                <w:rFonts w:cs="Arial"/>
                <w:sz w:val="16"/>
                <w:szCs w:val="16"/>
                <w:lang w:val="es-ES"/>
              </w:rPr>
            </w:pPr>
          </w:p>
        </w:tc>
        <w:tc>
          <w:tcPr>
            <w:tcW w:w="454" w:type="pct"/>
            <w:shd w:val="clear" w:color="auto" w:fill="auto"/>
            <w:tcMar>
              <w:top w:w="110" w:type="dxa"/>
            </w:tcMar>
          </w:tcPr>
          <w:p w:rsidR="00B45FC3" w:rsidRPr="00526311" w:rsidRDefault="00B45FC3" w:rsidP="0063039A">
            <w:pPr>
              <w:keepNext/>
              <w:keepLines/>
              <w:ind w:right="-107"/>
              <w:jc w:val="center"/>
              <w:rPr>
                <w:bCs/>
                <w:sz w:val="16"/>
                <w:szCs w:val="16"/>
              </w:rPr>
            </w:pPr>
            <w:r w:rsidRPr="00526311">
              <w:rPr>
                <w:b/>
                <w:bCs/>
                <w:color w:val="00B050"/>
                <w:sz w:val="16"/>
                <w:szCs w:val="16"/>
              </w:rPr>
              <w:t>Avanza</w:t>
            </w:r>
          </w:p>
        </w:tc>
      </w:tr>
      <w:tr w:rsidR="00B45FC3" w:rsidRPr="00526311" w:rsidTr="0063039A">
        <w:trPr>
          <w:cantSplit/>
          <w:trHeight w:val="549"/>
        </w:trPr>
        <w:tc>
          <w:tcPr>
            <w:tcW w:w="5000" w:type="pct"/>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ind w:left="1735" w:hanging="1735"/>
              <w:rPr>
                <w:b/>
                <w:bCs/>
                <w:sz w:val="16"/>
                <w:szCs w:val="16"/>
              </w:rPr>
            </w:pPr>
            <w:r w:rsidRPr="00526311">
              <w:rPr>
                <w:b/>
                <w:bCs/>
                <w:color w:val="000000"/>
                <w:sz w:val="16"/>
                <w:szCs w:val="16"/>
              </w:rPr>
              <w:t>Resultado previsto</w:t>
            </w:r>
            <w:r w:rsidRPr="00526311">
              <w:rPr>
                <w:bCs/>
                <w:color w:val="000000"/>
                <w:sz w:val="16"/>
                <w:szCs w:val="16"/>
              </w:rPr>
              <w:t>:</w:t>
            </w:r>
            <w:r w:rsidRPr="00526311">
              <w:rPr>
                <w:b/>
                <w:bCs/>
                <w:sz w:val="16"/>
                <w:szCs w:val="16"/>
              </w:rPr>
              <w:tab/>
            </w:r>
            <w:r w:rsidRPr="00526311">
              <w:rPr>
                <w:bCs/>
                <w:sz w:val="16"/>
                <w:szCs w:val="16"/>
              </w:rPr>
              <w:t>VI.2 Cooperación y coordinación sistemáticas, eficaces y transparentes entre la labor de la OMPI y la de otras organizaciones internacionales en el ámbito del fomento del respeto por la P.I.</w:t>
            </w:r>
          </w:p>
        </w:tc>
      </w:tr>
      <w:tr w:rsidR="00B45FC3" w:rsidRPr="00526311" w:rsidTr="0063039A">
        <w:trPr>
          <w:cantSplit/>
        </w:trPr>
        <w:tc>
          <w:tcPr>
            <w:tcW w:w="1138" w:type="pct"/>
            <w:tcBorders>
              <w:top w:val="single" w:sz="4" w:space="0" w:color="auto"/>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88" w:type="pct"/>
            <w:tcBorders>
              <w:top w:val="single" w:sz="4" w:space="0" w:color="auto"/>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833" w:type="pct"/>
            <w:tcBorders>
              <w:top w:val="single" w:sz="4" w:space="0" w:color="auto"/>
            </w:tcBorders>
            <w:shd w:val="clear" w:color="auto" w:fill="auto"/>
            <w:tcMar>
              <w:top w:w="110" w:type="dxa"/>
            </w:tcMar>
            <w:vAlign w:val="center"/>
          </w:tcPr>
          <w:p w:rsidR="00B45FC3" w:rsidRPr="00526311" w:rsidRDefault="00B45FC3" w:rsidP="0063039A">
            <w:pPr>
              <w:keepNext/>
              <w:keepLines/>
              <w:rPr>
                <w:b/>
                <w:sz w:val="16"/>
                <w:szCs w:val="16"/>
              </w:rPr>
            </w:pPr>
            <w:r w:rsidRPr="00526311">
              <w:rPr>
                <w:b/>
                <w:sz w:val="16"/>
                <w:szCs w:val="16"/>
              </w:rPr>
              <w:t>Objetivos</w:t>
            </w:r>
          </w:p>
        </w:tc>
        <w:tc>
          <w:tcPr>
            <w:tcW w:w="1287" w:type="pct"/>
            <w:tcBorders>
              <w:top w:val="single" w:sz="4" w:space="0" w:color="auto"/>
            </w:tcBorders>
            <w:shd w:val="clear" w:color="auto" w:fill="FFFFFF"/>
            <w:tcMar>
              <w:top w:w="110" w:type="dxa"/>
            </w:tcMar>
            <w:vAlign w:val="center"/>
          </w:tcPr>
          <w:p w:rsidR="00B45FC3" w:rsidRPr="00526311" w:rsidRDefault="00B45FC3" w:rsidP="0063039A">
            <w:pPr>
              <w:keepNext/>
              <w:keepLines/>
              <w:rPr>
                <w:sz w:val="16"/>
                <w:szCs w:val="16"/>
              </w:rPr>
            </w:pPr>
            <w:r w:rsidRPr="00526311">
              <w:rPr>
                <w:b/>
                <w:sz w:val="16"/>
                <w:szCs w:val="16"/>
              </w:rPr>
              <w:t>Datos sobre el rendimiento</w:t>
            </w:r>
          </w:p>
        </w:tc>
        <w:tc>
          <w:tcPr>
            <w:tcW w:w="454" w:type="pct"/>
            <w:tcBorders>
              <w:top w:val="single" w:sz="4" w:space="0" w:color="auto"/>
            </w:tcBorders>
            <w:shd w:val="clear" w:color="auto" w:fill="auto"/>
            <w:tcMar>
              <w:top w:w="110" w:type="dxa"/>
            </w:tcMar>
            <w:vAlign w:val="center"/>
          </w:tcPr>
          <w:p w:rsidR="00B45FC3" w:rsidRPr="00526311" w:rsidRDefault="00B45FC3" w:rsidP="0063039A">
            <w:pPr>
              <w:keepNext/>
              <w:keepLines/>
              <w:ind w:left="-109"/>
              <w:jc w:val="center"/>
              <w:rPr>
                <w:b/>
                <w:bCs/>
                <w:sz w:val="16"/>
                <w:szCs w:val="16"/>
              </w:rPr>
            </w:pPr>
            <w:r w:rsidRPr="00526311">
              <w:rPr>
                <w:b/>
                <w:bCs/>
                <w:sz w:val="16"/>
                <w:szCs w:val="16"/>
              </w:rPr>
              <w:t>Clave de colores</w:t>
            </w:r>
          </w:p>
        </w:tc>
      </w:tr>
      <w:tr w:rsidR="00B45FC3" w:rsidRPr="00526311" w:rsidTr="0063039A">
        <w:trPr>
          <w:cantSplit/>
        </w:trPr>
        <w:tc>
          <w:tcPr>
            <w:tcW w:w="1138" w:type="pct"/>
            <w:shd w:val="clear" w:color="auto" w:fill="auto"/>
          </w:tcPr>
          <w:p w:rsidR="00B45FC3" w:rsidRPr="00526311" w:rsidRDefault="00B45FC3" w:rsidP="0063039A">
            <w:pPr>
              <w:keepNext/>
              <w:keepLines/>
              <w:rPr>
                <w:sz w:val="16"/>
                <w:szCs w:val="16"/>
              </w:rPr>
            </w:pPr>
            <w:r w:rsidRPr="00526311">
              <w:rPr>
                <w:color w:val="000000"/>
                <w:sz w:val="16"/>
                <w:szCs w:val="16"/>
              </w:rPr>
              <w:t>Número de actividades conjuntas de fomento del respeto por la P.I.</w:t>
            </w:r>
          </w:p>
        </w:tc>
        <w:tc>
          <w:tcPr>
            <w:tcW w:w="1288" w:type="pct"/>
            <w:shd w:val="clear" w:color="auto" w:fill="auto"/>
          </w:tcPr>
          <w:p w:rsidR="00B45FC3" w:rsidRPr="00526311" w:rsidRDefault="00B45FC3" w:rsidP="0063039A">
            <w:pPr>
              <w:keepNext/>
              <w:keepLines/>
              <w:rPr>
                <w:i/>
                <w:color w:val="002060"/>
                <w:sz w:val="16"/>
                <w:szCs w:val="16"/>
              </w:rPr>
            </w:pPr>
            <w:r w:rsidRPr="00526311">
              <w:rPr>
                <w:i/>
                <w:color w:val="002060"/>
                <w:sz w:val="16"/>
                <w:szCs w:val="16"/>
              </w:rPr>
              <w:t xml:space="preserve">Referencia actualizada a fines de 2013:  </w:t>
            </w:r>
            <w:r w:rsidRPr="00526311">
              <w:rPr>
                <w:color w:val="002060"/>
                <w:sz w:val="16"/>
                <w:szCs w:val="16"/>
                <w:lang w:bidi="th-TH"/>
              </w:rPr>
              <w:t>39 en 2014/15</w:t>
            </w:r>
          </w:p>
          <w:p w:rsidR="00B45FC3" w:rsidRPr="00526311" w:rsidRDefault="00B45FC3" w:rsidP="0063039A">
            <w:pPr>
              <w:keepNext/>
              <w:keepLines/>
              <w:rPr>
                <w:i/>
                <w:sz w:val="16"/>
                <w:szCs w:val="16"/>
              </w:rPr>
            </w:pPr>
          </w:p>
          <w:p w:rsidR="00B45FC3" w:rsidRPr="00526311" w:rsidRDefault="00B45FC3" w:rsidP="0063039A">
            <w:pPr>
              <w:keepNext/>
              <w:keepLines/>
              <w:rPr>
                <w:sz w:val="16"/>
                <w:szCs w:val="16"/>
              </w:rPr>
            </w:pPr>
            <w:r w:rsidRPr="00526311">
              <w:rPr>
                <w:i/>
                <w:sz w:val="16"/>
                <w:szCs w:val="16"/>
                <w:lang w:bidi="th-TH"/>
              </w:rPr>
              <w:t>Referencia original en el presupuesto de 2014/15</w:t>
            </w:r>
            <w:r w:rsidRPr="00526311">
              <w:rPr>
                <w:i/>
                <w:sz w:val="16"/>
                <w:szCs w:val="16"/>
              </w:rPr>
              <w:t>:</w:t>
            </w:r>
            <w:r w:rsidRPr="00526311">
              <w:rPr>
                <w:sz w:val="16"/>
                <w:szCs w:val="16"/>
              </w:rPr>
              <w:t xml:space="preserve">  30</w:t>
            </w:r>
          </w:p>
          <w:p w:rsidR="00B45FC3" w:rsidRPr="00526311" w:rsidRDefault="00B45FC3" w:rsidP="0063039A">
            <w:pPr>
              <w:keepNext/>
              <w:keepLines/>
              <w:autoSpaceDE w:val="0"/>
              <w:autoSpaceDN w:val="0"/>
              <w:adjustRightInd w:val="0"/>
              <w:rPr>
                <w:sz w:val="16"/>
                <w:szCs w:val="16"/>
              </w:rPr>
            </w:pPr>
          </w:p>
        </w:tc>
        <w:tc>
          <w:tcPr>
            <w:tcW w:w="833" w:type="pct"/>
            <w:shd w:val="clear" w:color="auto" w:fill="auto"/>
            <w:tcMar>
              <w:top w:w="110" w:type="dxa"/>
            </w:tcMar>
          </w:tcPr>
          <w:p w:rsidR="00B45FC3" w:rsidRPr="00526311" w:rsidRDefault="00B45FC3" w:rsidP="0063039A">
            <w:pPr>
              <w:keepNext/>
              <w:keepLines/>
              <w:rPr>
                <w:sz w:val="16"/>
                <w:szCs w:val="16"/>
                <w:lang w:bidi="th-TH"/>
              </w:rPr>
            </w:pPr>
            <w:r w:rsidRPr="00526311">
              <w:rPr>
                <w:sz w:val="16"/>
                <w:szCs w:val="16"/>
              </w:rPr>
              <w:t xml:space="preserve">30 </w:t>
            </w:r>
          </w:p>
        </w:tc>
        <w:tc>
          <w:tcPr>
            <w:tcW w:w="1287" w:type="pct"/>
            <w:shd w:val="clear" w:color="auto" w:fill="FFFFFF"/>
            <w:tcMar>
              <w:top w:w="110" w:type="dxa"/>
            </w:tcMar>
          </w:tcPr>
          <w:p w:rsidR="00B45FC3" w:rsidRPr="00526311" w:rsidRDefault="00B45FC3" w:rsidP="0063039A">
            <w:pPr>
              <w:keepNext/>
              <w:keepLines/>
              <w:rPr>
                <w:sz w:val="16"/>
                <w:szCs w:val="16"/>
              </w:rPr>
            </w:pPr>
            <w:r w:rsidRPr="00526311">
              <w:rPr>
                <w:sz w:val="16"/>
                <w:szCs w:val="16"/>
              </w:rPr>
              <w:t>Se organizaron 30 actividades conjuntamente con organismos que cooperan con la OMPI y partes interesadas,  para las que se contó con la participación del programa 17.</w:t>
            </w:r>
          </w:p>
        </w:tc>
        <w:tc>
          <w:tcPr>
            <w:tcW w:w="454" w:type="pct"/>
            <w:shd w:val="clear" w:color="auto" w:fill="auto"/>
            <w:tcMar>
              <w:top w:w="110" w:type="dxa"/>
            </w:tcMar>
          </w:tcPr>
          <w:p w:rsidR="00B45FC3" w:rsidRPr="00526311" w:rsidRDefault="00B45FC3" w:rsidP="0063039A">
            <w:pPr>
              <w:keepNext/>
              <w:keepLines/>
              <w:ind w:right="-107"/>
              <w:jc w:val="center"/>
              <w:rPr>
                <w:bCs/>
                <w:color w:val="008000"/>
                <w:sz w:val="16"/>
                <w:szCs w:val="16"/>
              </w:rPr>
            </w:pPr>
            <w:r w:rsidRPr="00526311">
              <w:rPr>
                <w:b/>
                <w:bCs/>
                <w:color w:val="00B050"/>
                <w:sz w:val="16"/>
                <w:szCs w:val="16"/>
              </w:rPr>
              <w:t>Avanza</w:t>
            </w:r>
          </w:p>
        </w:tc>
      </w:tr>
    </w:tbl>
    <w:p w:rsidR="00B45FC3" w:rsidRPr="00526311" w:rsidRDefault="00B45FC3" w:rsidP="0063039A">
      <w:pPr>
        <w:jc w:val="both"/>
        <w:rPr>
          <w:color w:val="000000"/>
        </w:rPr>
      </w:pPr>
    </w:p>
    <w:p w:rsidR="00B45FC3" w:rsidRPr="00526311" w:rsidRDefault="00B45FC3" w:rsidP="0063039A">
      <w:pPr>
        <w:jc w:val="both"/>
        <w:rPr>
          <w:color w:val="000000"/>
        </w:rPr>
      </w:pPr>
    </w:p>
    <w:p w:rsidR="00B45FC3" w:rsidRPr="00526311" w:rsidRDefault="00B45FC3" w:rsidP="0063039A">
      <w:r w:rsidRPr="00526311">
        <w:rPr>
          <w:color w:val="000000"/>
        </w:rPr>
        <w:t>UTILIZACIÓN DE LOS RECURSOS</w:t>
      </w:r>
    </w:p>
    <w:p w:rsidR="00B45FC3" w:rsidRPr="00526311" w:rsidRDefault="00B45FC3" w:rsidP="0063039A">
      <w:pPr>
        <w:jc w:val="center"/>
        <w:rPr>
          <w:sz w:val="16"/>
          <w:szCs w:val="16"/>
        </w:rPr>
      </w:pPr>
    </w:p>
    <w:p w:rsidR="00B45FC3" w:rsidRPr="00526311" w:rsidRDefault="00B45FC3" w:rsidP="0063039A">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B45FC3" w:rsidRPr="00526311" w:rsidRDefault="00B45FC3" w:rsidP="0063039A">
      <w:pPr>
        <w:pStyle w:val="NormalWeb"/>
        <w:spacing w:before="0" w:beforeAutospacing="0" w:after="120" w:afterAutospacing="0"/>
        <w:jc w:val="center"/>
        <w:rPr>
          <w:i/>
          <w:iCs/>
          <w:sz w:val="20"/>
          <w:szCs w:val="20"/>
          <w:lang w:val="es-ES"/>
        </w:rPr>
      </w:pPr>
      <w:r w:rsidRPr="00526311">
        <w:rPr>
          <w:i/>
          <w:iCs/>
          <w:sz w:val="20"/>
          <w:szCs w:val="20"/>
          <w:lang w:val="es-ES"/>
        </w:rPr>
        <w:t>(en miles de francos suizos)</w:t>
      </w:r>
    </w:p>
    <w:p w:rsidR="00B45FC3" w:rsidRPr="00526311" w:rsidRDefault="00DD7B62" w:rsidP="0063039A">
      <w:pPr>
        <w:jc w:val="center"/>
      </w:pPr>
      <w:r w:rsidRPr="00526311">
        <w:rPr>
          <w:noProof/>
          <w:lang w:val="en-US" w:eastAsia="en-US"/>
        </w:rPr>
        <w:drawing>
          <wp:inline distT="0" distB="0" distL="0" distR="0" wp14:anchorId="59AEE8EB" wp14:editId="262A6520">
            <wp:extent cx="5762625" cy="3124200"/>
            <wp:effectExtent l="0" t="0" r="9525"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2625" cy="3124200"/>
                    </a:xfrm>
                    <a:prstGeom prst="rect">
                      <a:avLst/>
                    </a:prstGeom>
                    <a:noFill/>
                    <a:ln>
                      <a:noFill/>
                    </a:ln>
                  </pic:spPr>
                </pic:pic>
              </a:graphicData>
            </a:graphic>
          </wp:inline>
        </w:drawing>
      </w:r>
    </w:p>
    <w:p w:rsidR="00B45FC3" w:rsidRPr="00526311" w:rsidRDefault="00B45FC3" w:rsidP="0063039A">
      <w:pPr>
        <w:jc w:val="both"/>
      </w:pPr>
    </w:p>
    <w:p w:rsidR="00B45FC3" w:rsidRPr="00526311" w:rsidRDefault="00B45FC3" w:rsidP="0063039A">
      <w:pPr>
        <w:pStyle w:val="NormalWeb"/>
        <w:keepNext/>
        <w:keepLines/>
        <w:spacing w:before="0" w:beforeAutospacing="0" w:after="0" w:afterAutospacing="0"/>
        <w:jc w:val="center"/>
        <w:rPr>
          <w:sz w:val="20"/>
          <w:szCs w:val="20"/>
          <w:lang w:val="es-ES"/>
        </w:rPr>
      </w:pPr>
      <w:r w:rsidRPr="00526311">
        <w:rPr>
          <w:sz w:val="20"/>
          <w:szCs w:val="20"/>
          <w:lang w:val="es-ES"/>
        </w:rPr>
        <w:lastRenderedPageBreak/>
        <w:t>Presupuesto y gastos reales (de personal y no relativos a personal)</w:t>
      </w:r>
    </w:p>
    <w:p w:rsidR="00B45FC3" w:rsidRPr="00526311" w:rsidRDefault="00B45FC3" w:rsidP="0063039A">
      <w:pPr>
        <w:pStyle w:val="NormalWeb"/>
        <w:keepNext/>
        <w:keepLines/>
        <w:spacing w:before="0" w:beforeAutospacing="0" w:after="120" w:afterAutospacing="0"/>
        <w:jc w:val="center"/>
        <w:rPr>
          <w:i/>
          <w:iCs/>
          <w:sz w:val="20"/>
          <w:szCs w:val="20"/>
          <w:lang w:val="es-ES"/>
        </w:rPr>
      </w:pPr>
      <w:r w:rsidRPr="00526311">
        <w:rPr>
          <w:i/>
          <w:iCs/>
          <w:sz w:val="20"/>
          <w:szCs w:val="20"/>
          <w:lang w:val="es-ES"/>
        </w:rPr>
        <w:t>(en miles de francos suizos)</w:t>
      </w:r>
    </w:p>
    <w:p w:rsidR="00B45FC3" w:rsidRPr="00526311" w:rsidRDefault="00FF6E74" w:rsidP="0063039A">
      <w:pPr>
        <w:jc w:val="center"/>
      </w:pPr>
      <w:bookmarkStart w:id="65" w:name="Punto17"/>
      <w:r w:rsidRPr="00526311">
        <w:rPr>
          <w:noProof/>
          <w:lang w:val="en-US" w:eastAsia="en-US"/>
        </w:rPr>
        <w:drawing>
          <wp:inline distT="0" distB="0" distL="0" distR="0" wp14:anchorId="437649BA" wp14:editId="2BF73AE4">
            <wp:extent cx="5940425" cy="1163333"/>
            <wp:effectExtent l="0" t="0" r="3175"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0425" cy="1163333"/>
                    </a:xfrm>
                    <a:prstGeom prst="rect">
                      <a:avLst/>
                    </a:prstGeom>
                    <a:noFill/>
                    <a:ln>
                      <a:noFill/>
                    </a:ln>
                  </pic:spPr>
                </pic:pic>
              </a:graphicData>
            </a:graphic>
          </wp:inline>
        </w:drawing>
      </w:r>
      <w:bookmarkEnd w:id="65"/>
    </w:p>
    <w:p w:rsidR="00B45FC3" w:rsidRPr="00526311" w:rsidRDefault="00B45FC3" w:rsidP="0063039A">
      <w:pPr>
        <w:widowControl w:val="0"/>
        <w:autoSpaceDE w:val="0"/>
        <w:autoSpaceDN w:val="0"/>
        <w:adjustRightInd w:val="0"/>
        <w:jc w:val="both"/>
        <w:rPr>
          <w:i/>
          <w:sz w:val="16"/>
          <w:szCs w:val="16"/>
        </w:rPr>
      </w:pPr>
      <w:r w:rsidRPr="00526311">
        <w:rPr>
          <w:i/>
          <w:color w:val="000000"/>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B45FC3" w:rsidRPr="00526311" w:rsidRDefault="00B45FC3" w:rsidP="0063039A">
      <w:pPr>
        <w:widowControl w:val="0"/>
        <w:autoSpaceDE w:val="0"/>
        <w:autoSpaceDN w:val="0"/>
        <w:adjustRightInd w:val="0"/>
        <w:jc w:val="both"/>
        <w:rPr>
          <w:sz w:val="20"/>
        </w:rPr>
      </w:pPr>
    </w:p>
    <w:p w:rsidR="00B45FC3" w:rsidRPr="00526311" w:rsidRDefault="00B45FC3" w:rsidP="0063039A">
      <w:pPr>
        <w:jc w:val="both"/>
        <w:rPr>
          <w:sz w:val="20"/>
          <w:u w:val="single"/>
        </w:rPr>
      </w:pPr>
      <w:r w:rsidRPr="00526311">
        <w:rPr>
          <w:sz w:val="20"/>
        </w:rPr>
        <w:t>A.</w:t>
      </w:r>
      <w:r w:rsidRPr="00526311">
        <w:rPr>
          <w:sz w:val="20"/>
        </w:rPr>
        <w:tab/>
      </w:r>
      <w:r w:rsidRPr="00526311">
        <w:rPr>
          <w:sz w:val="20"/>
          <w:u w:val="single"/>
        </w:rPr>
        <w:t>Presupuesto de 2014/15 tras las transferencias</w:t>
      </w:r>
    </w:p>
    <w:p w:rsidR="00B45FC3" w:rsidRPr="00526311" w:rsidRDefault="00B45FC3" w:rsidP="0063039A">
      <w:pPr>
        <w:autoSpaceDE w:val="0"/>
        <w:autoSpaceDN w:val="0"/>
        <w:jc w:val="both"/>
        <w:rPr>
          <w:sz w:val="20"/>
          <w:lang w:eastAsia="ko-KR"/>
        </w:rPr>
      </w:pPr>
    </w:p>
    <w:p w:rsidR="00B45FC3" w:rsidRPr="00526311" w:rsidRDefault="00B45FC3" w:rsidP="00B45FC3">
      <w:pPr>
        <w:pStyle w:val="ListParagraph"/>
        <w:numPr>
          <w:ilvl w:val="0"/>
          <w:numId w:val="68"/>
        </w:numPr>
        <w:ind w:left="0" w:firstLine="0"/>
        <w:jc w:val="both"/>
        <w:rPr>
          <w:rFonts w:cs="Arial"/>
          <w:lang w:val="es-ES" w:eastAsia="ko-KR"/>
        </w:rPr>
      </w:pPr>
      <w:r w:rsidRPr="00526311">
        <w:rPr>
          <w:rFonts w:cs="Arial"/>
          <w:color w:val="000000"/>
          <w:lang w:val="es-ES" w:eastAsia="ko-KR"/>
        </w:rPr>
        <w:t xml:space="preserve">Los ajustes efectuados respecto de los distintos resultados en el presupuesto de 2014/15 tras las transferencias reflejan la nueva y más exacta metodología utilizada para asignar los recursos de personal que provienen de las mejoras realizadas al sistema de planificación de la gestión del rendimiento institucional para el plan de trabajo anual de 2014. </w:t>
      </w:r>
      <w:r w:rsidRPr="00526311">
        <w:rPr>
          <w:rFonts w:cs="Arial"/>
          <w:lang w:val="es-ES" w:eastAsia="ko-KR"/>
        </w:rPr>
        <w:t xml:space="preserve"> </w:t>
      </w:r>
    </w:p>
    <w:p w:rsidR="00B45FC3" w:rsidRPr="00526311" w:rsidRDefault="00B45FC3" w:rsidP="0063039A">
      <w:pPr>
        <w:autoSpaceDE w:val="0"/>
        <w:autoSpaceDN w:val="0"/>
        <w:jc w:val="both"/>
        <w:rPr>
          <w:sz w:val="20"/>
          <w:lang w:eastAsia="ko-KR"/>
        </w:rPr>
      </w:pPr>
    </w:p>
    <w:p w:rsidR="00B45FC3" w:rsidRPr="00526311" w:rsidRDefault="00B45FC3" w:rsidP="0063039A">
      <w:pPr>
        <w:jc w:val="both"/>
        <w:rPr>
          <w:sz w:val="20"/>
          <w:u w:val="single"/>
          <w:lang w:eastAsia="ko-KR"/>
        </w:rPr>
      </w:pPr>
      <w:r w:rsidRPr="00526311">
        <w:rPr>
          <w:color w:val="000000"/>
          <w:sz w:val="20"/>
          <w:lang w:eastAsia="ko-KR"/>
        </w:rPr>
        <w:t>B.</w:t>
      </w:r>
      <w:r w:rsidRPr="00526311">
        <w:rPr>
          <w:color w:val="000000"/>
          <w:sz w:val="20"/>
          <w:lang w:eastAsia="ko-KR"/>
        </w:rPr>
        <w:tab/>
      </w:r>
      <w:r w:rsidRPr="00526311">
        <w:rPr>
          <w:color w:val="000000"/>
          <w:sz w:val="20"/>
          <w:u w:val="single"/>
          <w:lang w:eastAsia="ko-KR"/>
        </w:rPr>
        <w:t>Utilización del presupuesto en 2014</w:t>
      </w:r>
    </w:p>
    <w:p w:rsidR="00B45FC3" w:rsidRPr="00526311" w:rsidRDefault="00B45FC3" w:rsidP="0063039A">
      <w:pPr>
        <w:autoSpaceDE w:val="0"/>
        <w:autoSpaceDN w:val="0"/>
        <w:jc w:val="both"/>
        <w:rPr>
          <w:sz w:val="20"/>
          <w:lang w:eastAsia="ko-KR"/>
        </w:rPr>
      </w:pPr>
    </w:p>
    <w:p w:rsidR="00B45FC3" w:rsidRPr="00526311" w:rsidRDefault="005763A1" w:rsidP="00B45FC3">
      <w:pPr>
        <w:pStyle w:val="ListParagraph"/>
        <w:numPr>
          <w:ilvl w:val="0"/>
          <w:numId w:val="68"/>
        </w:numPr>
        <w:ind w:left="0" w:firstLine="0"/>
        <w:jc w:val="both"/>
        <w:rPr>
          <w:rFonts w:cs="Arial"/>
          <w:lang w:val="es-ES"/>
        </w:rPr>
      </w:pPr>
      <w:r w:rsidRPr="00526311">
        <w:rPr>
          <w:lang w:val="es-ES" w:eastAsia="zh-CN"/>
        </w:rPr>
        <w:t>La utilización del presupuesto se ha mantenido dentro de los límites establecidos (40-60%) durante el primer año del bienio y está bien encaminada</w:t>
      </w:r>
      <w:r w:rsidRPr="00526311">
        <w:rPr>
          <w:rFonts w:cs="Arial"/>
          <w:lang w:val="es-ES" w:eastAsia="ko-KR"/>
        </w:rPr>
        <w:t>.</w:t>
      </w:r>
    </w:p>
    <w:p w:rsidR="00B45FC3" w:rsidRPr="00526311" w:rsidRDefault="00B45FC3" w:rsidP="0063039A">
      <w:pPr>
        <w:pStyle w:val="ListParagraph"/>
        <w:ind w:left="0"/>
        <w:jc w:val="both"/>
        <w:rPr>
          <w:rFonts w:cs="Arial"/>
          <w:lang w:val="es-ES"/>
        </w:rPr>
      </w:pPr>
    </w:p>
    <w:p w:rsidR="00B45FC3" w:rsidRPr="00526311" w:rsidRDefault="00B45FC3" w:rsidP="0063039A">
      <w:pPr>
        <w:pStyle w:val="ListParagraph"/>
        <w:ind w:left="0"/>
        <w:jc w:val="both"/>
        <w:rPr>
          <w:rFonts w:cs="Arial"/>
          <w:lang w:val="es-ES"/>
        </w:rPr>
      </w:pPr>
    </w:p>
    <w:p w:rsidR="00B45FC3" w:rsidRPr="00526311" w:rsidRDefault="00B45FC3">
      <w:pPr>
        <w:rPr>
          <w:rFonts w:eastAsia="Times New Roman"/>
          <w:b/>
          <w:bCs/>
          <w:iCs/>
          <w:caps/>
          <w:color w:val="000000"/>
          <w:sz w:val="20"/>
          <w:lang w:eastAsia="da-DK"/>
        </w:rPr>
      </w:pPr>
      <w:bookmarkStart w:id="66" w:name="_Toc367350596"/>
      <w:r w:rsidRPr="00526311">
        <w:rPr>
          <w:color w:val="000000"/>
          <w:sz w:val="20"/>
        </w:rPr>
        <w:br w:type="page"/>
      </w:r>
    </w:p>
    <w:p w:rsidR="00B45FC3" w:rsidRPr="00526311" w:rsidRDefault="00B45FC3" w:rsidP="0063039A">
      <w:pPr>
        <w:pStyle w:val="StyleHeading214ptAuto"/>
        <w:rPr>
          <w:rFonts w:ascii="Arial" w:hAnsi="Arial" w:cs="Arial"/>
          <w:sz w:val="20"/>
          <w:szCs w:val="20"/>
          <w:lang w:val="es-ES"/>
        </w:rPr>
      </w:pPr>
      <w:bookmarkStart w:id="67" w:name="_Toc422927429"/>
      <w:r w:rsidRPr="00526311">
        <w:rPr>
          <w:rFonts w:ascii="Arial" w:hAnsi="Arial" w:cs="Arial"/>
          <w:color w:val="000000"/>
          <w:sz w:val="20"/>
          <w:szCs w:val="20"/>
          <w:lang w:val="es-ES"/>
        </w:rPr>
        <w:lastRenderedPageBreak/>
        <w:t>META ESTRATÉGICA VII</w:t>
      </w:r>
      <w:bookmarkEnd w:id="67"/>
    </w:p>
    <w:p w:rsidR="00B45FC3" w:rsidRPr="00526311" w:rsidRDefault="00B45FC3" w:rsidP="0063039A">
      <w:pPr>
        <w:rPr>
          <w:sz w:val="20"/>
        </w:rPr>
      </w:pPr>
    </w:p>
    <w:bookmarkEnd w:id="66"/>
    <w:p w:rsidR="00B45FC3" w:rsidRPr="00526311" w:rsidRDefault="00B45FC3" w:rsidP="0063039A">
      <w:pPr>
        <w:jc w:val="center"/>
        <w:rPr>
          <w:b/>
          <w:sz w:val="20"/>
        </w:rPr>
      </w:pPr>
      <w:r w:rsidRPr="00526311">
        <w:rPr>
          <w:b/>
          <w:color w:val="000000"/>
          <w:sz w:val="20"/>
        </w:rPr>
        <w:t>VÍNCULOS ENTRE LA P.I. Y LOS PROBLEMAS MUNDIALES DE POLÍTICA PÚBLICA</w:t>
      </w:r>
    </w:p>
    <w:p w:rsidR="00B45FC3" w:rsidRPr="00526311" w:rsidRDefault="00B45FC3" w:rsidP="0063039A">
      <w:pPr>
        <w:rPr>
          <w:sz w:val="20"/>
        </w:rPr>
      </w:pPr>
    </w:p>
    <w:p w:rsidR="00B45FC3" w:rsidRPr="00526311" w:rsidRDefault="00B45FC3" w:rsidP="0063039A">
      <w:pPr>
        <w:jc w:val="center"/>
        <w:rPr>
          <w:b/>
          <w:sz w:val="20"/>
        </w:rPr>
      </w:pPr>
      <w:r w:rsidRPr="00526311">
        <w:rPr>
          <w:b/>
          <w:sz w:val="20"/>
          <w:szCs w:val="24"/>
        </w:rPr>
        <w:t>T</w:t>
      </w:r>
      <w:r w:rsidRPr="00526311">
        <w:rPr>
          <w:b/>
          <w:sz w:val="20"/>
        </w:rPr>
        <w:t>ablero de control del rendimiento a mediano plazo (2014)</w:t>
      </w:r>
    </w:p>
    <w:p w:rsidR="00B45FC3" w:rsidRPr="00526311" w:rsidRDefault="00B45FC3" w:rsidP="0063039A">
      <w:pPr>
        <w:jc w:val="center"/>
        <w:rPr>
          <w:b/>
          <w:sz w:val="20"/>
        </w:rPr>
      </w:pPr>
    </w:p>
    <w:p w:rsidR="00B45FC3" w:rsidRPr="00526311" w:rsidRDefault="00B45FC3" w:rsidP="005763A1">
      <w:pPr>
        <w:jc w:val="both"/>
        <w:rPr>
          <w:sz w:val="20"/>
        </w:rPr>
      </w:pPr>
      <w:r w:rsidRPr="00526311">
        <w:rPr>
          <w:sz w:val="20"/>
        </w:rPr>
        <w:t>En el siguiente tablero de control se reseñan los avances realizados hacia la consecución de los resultados en 2014, medidos con arreglo a los indicadores del programa o programas que contribuyen al logro de esta meta estratégica</w:t>
      </w:r>
      <w:r w:rsidRPr="00526311">
        <w:rPr>
          <w:sz w:val="20"/>
          <w:szCs w:val="24"/>
        </w:rPr>
        <w:t>.</w:t>
      </w:r>
    </w:p>
    <w:p w:rsidR="00B45FC3" w:rsidRPr="00526311" w:rsidRDefault="00B45FC3" w:rsidP="0063039A">
      <w:pPr>
        <w:rPr>
          <w:sz w:val="20"/>
        </w:rPr>
      </w:pPr>
    </w:p>
    <w:p w:rsidR="00B45FC3" w:rsidRPr="00526311" w:rsidRDefault="005763A1" w:rsidP="0063039A">
      <w:pPr>
        <w:rPr>
          <w:sz w:val="20"/>
        </w:rPr>
      </w:pPr>
      <w:r w:rsidRPr="00526311">
        <w:rPr>
          <w:noProof/>
          <w:lang w:val="en-US" w:eastAsia="en-US"/>
        </w:rPr>
        <w:drawing>
          <wp:inline distT="0" distB="0" distL="0" distR="0" wp14:anchorId="469AF9E5" wp14:editId="4271A174">
            <wp:extent cx="5452110" cy="3070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452110" cy="3070860"/>
                    </a:xfrm>
                    <a:prstGeom prst="rect">
                      <a:avLst/>
                    </a:prstGeom>
                    <a:noFill/>
                    <a:ln>
                      <a:noFill/>
                    </a:ln>
                  </pic:spPr>
                </pic:pic>
              </a:graphicData>
            </a:graphic>
          </wp:inline>
        </w:drawing>
      </w: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96"/>
        <w:gridCol w:w="3966"/>
        <w:gridCol w:w="1563"/>
        <w:gridCol w:w="1135"/>
      </w:tblGrid>
      <w:tr w:rsidR="00B45FC3" w:rsidRPr="00526311" w:rsidTr="0063039A">
        <w:trPr>
          <w:cantSplit/>
          <w:tblHeader/>
        </w:trPr>
        <w:tc>
          <w:tcPr>
            <w:tcW w:w="1478" w:type="pct"/>
            <w:tcBorders>
              <w:top w:val="single" w:sz="4" w:space="0" w:color="auto"/>
              <w:bottom w:val="single" w:sz="4" w:space="0" w:color="auto"/>
            </w:tcBorders>
            <w:shd w:val="clear" w:color="auto" w:fill="CCFFFF"/>
            <w:tcMar>
              <w:top w:w="113" w:type="dxa"/>
              <w:bottom w:w="85" w:type="dxa"/>
            </w:tcMar>
            <w:vAlign w:val="center"/>
          </w:tcPr>
          <w:p w:rsidR="00B45FC3" w:rsidRPr="00526311" w:rsidRDefault="00B45FC3" w:rsidP="0063039A">
            <w:pPr>
              <w:spacing w:after="120"/>
              <w:jc w:val="center"/>
              <w:rPr>
                <w:b/>
                <w:bCs/>
                <w:sz w:val="18"/>
                <w:szCs w:val="18"/>
              </w:rPr>
            </w:pPr>
            <w:r w:rsidRPr="00526311">
              <w:rPr>
                <w:b/>
                <w:bCs/>
                <w:sz w:val="18"/>
                <w:szCs w:val="18"/>
              </w:rPr>
              <w:t>Resultados previstos</w:t>
            </w:r>
          </w:p>
        </w:tc>
        <w:tc>
          <w:tcPr>
            <w:tcW w:w="2096" w:type="pct"/>
            <w:tcBorders>
              <w:top w:val="single" w:sz="4" w:space="0" w:color="auto"/>
              <w:bottom w:val="single" w:sz="4" w:space="0" w:color="auto"/>
            </w:tcBorders>
            <w:shd w:val="clear" w:color="auto" w:fill="CCFFFF"/>
            <w:tcMar>
              <w:top w:w="113" w:type="dxa"/>
              <w:bottom w:w="85" w:type="dxa"/>
            </w:tcMar>
            <w:vAlign w:val="center"/>
          </w:tcPr>
          <w:p w:rsidR="00B45FC3" w:rsidRPr="00526311" w:rsidRDefault="00B45FC3" w:rsidP="0063039A">
            <w:pPr>
              <w:spacing w:after="120"/>
              <w:jc w:val="center"/>
              <w:rPr>
                <w:b/>
                <w:sz w:val="18"/>
                <w:szCs w:val="18"/>
              </w:rPr>
            </w:pPr>
            <w:r w:rsidRPr="00526311">
              <w:rPr>
                <w:b/>
                <w:sz w:val="18"/>
                <w:szCs w:val="18"/>
              </w:rPr>
              <w:t>Indicadores de rendimiento</w:t>
            </w:r>
          </w:p>
        </w:tc>
        <w:tc>
          <w:tcPr>
            <w:tcW w:w="826" w:type="pct"/>
            <w:tcBorders>
              <w:top w:val="single" w:sz="4" w:space="0" w:color="auto"/>
              <w:bottom w:val="single" w:sz="4" w:space="0" w:color="auto"/>
            </w:tcBorders>
            <w:shd w:val="clear" w:color="auto" w:fill="CCFFFF"/>
            <w:tcMar>
              <w:top w:w="113" w:type="dxa"/>
              <w:bottom w:w="85" w:type="dxa"/>
            </w:tcMar>
            <w:vAlign w:val="center"/>
          </w:tcPr>
          <w:p w:rsidR="00B45FC3" w:rsidRPr="00526311" w:rsidRDefault="00B45FC3" w:rsidP="0063039A">
            <w:pPr>
              <w:spacing w:after="120"/>
              <w:ind w:left="85"/>
              <w:jc w:val="center"/>
              <w:rPr>
                <w:sz w:val="18"/>
                <w:szCs w:val="18"/>
              </w:rPr>
            </w:pPr>
            <w:r w:rsidRPr="00526311">
              <w:rPr>
                <w:b/>
                <w:sz w:val="18"/>
                <w:szCs w:val="18"/>
              </w:rPr>
              <w:t>Programas responsables</w:t>
            </w:r>
          </w:p>
        </w:tc>
        <w:tc>
          <w:tcPr>
            <w:tcW w:w="600" w:type="pct"/>
            <w:tcBorders>
              <w:top w:val="single" w:sz="4" w:space="0" w:color="auto"/>
              <w:bottom w:val="single" w:sz="4" w:space="0" w:color="auto"/>
            </w:tcBorders>
            <w:shd w:val="clear" w:color="auto" w:fill="CCFFFF"/>
            <w:vAlign w:val="center"/>
          </w:tcPr>
          <w:p w:rsidR="00B45FC3" w:rsidRPr="00526311" w:rsidRDefault="00B45FC3" w:rsidP="0063039A">
            <w:pPr>
              <w:spacing w:after="120"/>
              <w:ind w:left="-29"/>
              <w:jc w:val="center"/>
              <w:rPr>
                <w:b/>
                <w:bCs/>
                <w:sz w:val="18"/>
                <w:szCs w:val="18"/>
              </w:rPr>
            </w:pPr>
            <w:r w:rsidRPr="00526311">
              <w:rPr>
                <w:b/>
                <w:bCs/>
                <w:color w:val="000000"/>
                <w:sz w:val="18"/>
                <w:szCs w:val="18"/>
              </w:rPr>
              <w:t>Clave de colores</w:t>
            </w:r>
          </w:p>
        </w:tc>
      </w:tr>
      <w:tr w:rsidR="00B45FC3" w:rsidRPr="00526311" w:rsidTr="0063039A">
        <w:trPr>
          <w:cantSplit/>
          <w:trHeight w:val="504"/>
        </w:trPr>
        <w:tc>
          <w:tcPr>
            <w:tcW w:w="1478" w:type="pct"/>
            <w:vMerge w:val="restart"/>
            <w:tcBorders>
              <w:top w:val="single" w:sz="4" w:space="0" w:color="auto"/>
              <w:right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VII.2 Plataformas y herramientas de P.I. utilizadas para la transferencia de conocimiento y la difusión y adaptación de tecnología de los países desarrollados en los países en desarrollo, en particular en los menos adelantados, con el fin de atender los desafíos mundiales</w:t>
            </w:r>
          </w:p>
        </w:tc>
        <w:tc>
          <w:tcPr>
            <w:tcW w:w="2096" w:type="pct"/>
            <w:tcBorders>
              <w:top w:val="single" w:sz="4" w:space="0" w:color="auto"/>
              <w:left w:val="nil"/>
              <w:bottom w:val="nil"/>
              <w:right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 xml:space="preserve">Aumento del número de miembros de </w:t>
            </w:r>
            <w:r w:rsidR="00526311" w:rsidRPr="00526311">
              <w:rPr>
                <w:i/>
                <w:sz w:val="16"/>
                <w:szCs w:val="16"/>
              </w:rPr>
              <w:t>WIPO Re:Search</w:t>
            </w:r>
            <w:r w:rsidRPr="00526311">
              <w:rPr>
                <w:sz w:val="16"/>
                <w:szCs w:val="16"/>
              </w:rPr>
              <w:t>, incluidos los procedentes de países en desarrollo y PMA</w:t>
            </w:r>
          </w:p>
          <w:p w:rsidR="00B45FC3" w:rsidRPr="00526311" w:rsidRDefault="00B45FC3" w:rsidP="0063039A">
            <w:pPr>
              <w:rPr>
                <w:sz w:val="16"/>
                <w:szCs w:val="16"/>
              </w:rPr>
            </w:pPr>
          </w:p>
        </w:tc>
        <w:tc>
          <w:tcPr>
            <w:tcW w:w="826" w:type="pct"/>
            <w:tcBorders>
              <w:top w:val="single" w:sz="4" w:space="0" w:color="auto"/>
              <w:left w:val="nil"/>
              <w:bottom w:val="nil"/>
              <w:right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18</w:t>
            </w:r>
          </w:p>
        </w:tc>
        <w:tc>
          <w:tcPr>
            <w:tcW w:w="600" w:type="pct"/>
            <w:tcBorders>
              <w:top w:val="single" w:sz="4" w:space="0" w:color="auto"/>
              <w:left w:val="nil"/>
            </w:tcBorders>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p>
        </w:tc>
      </w:tr>
      <w:tr w:rsidR="00B45FC3" w:rsidRPr="00526311" w:rsidTr="0063039A">
        <w:trPr>
          <w:cantSplit/>
          <w:trHeight w:val="443"/>
        </w:trPr>
        <w:tc>
          <w:tcPr>
            <w:tcW w:w="1478" w:type="pct"/>
            <w:vMerge/>
            <w:tcBorders>
              <w:right w:val="nil"/>
            </w:tcBorders>
            <w:shd w:val="clear" w:color="auto" w:fill="auto"/>
            <w:tcMar>
              <w:top w:w="113" w:type="dxa"/>
              <w:bottom w:w="85" w:type="dxa"/>
            </w:tcMar>
          </w:tcPr>
          <w:p w:rsidR="00B45FC3" w:rsidRPr="00526311" w:rsidRDefault="00B45FC3" w:rsidP="0063039A">
            <w:pPr>
              <w:rPr>
                <w:sz w:val="16"/>
                <w:szCs w:val="16"/>
              </w:rPr>
            </w:pPr>
          </w:p>
        </w:tc>
        <w:tc>
          <w:tcPr>
            <w:tcW w:w="2096" w:type="pct"/>
            <w:tcBorders>
              <w:top w:val="nil"/>
              <w:left w:val="nil"/>
              <w:bottom w:val="nil"/>
              <w:right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 xml:space="preserve">Aumento de las contribuciones a la base de datos de </w:t>
            </w:r>
            <w:r w:rsidR="00526311" w:rsidRPr="00526311">
              <w:rPr>
                <w:i/>
                <w:sz w:val="16"/>
                <w:szCs w:val="16"/>
              </w:rPr>
              <w:t>WIPO Re:Search</w:t>
            </w:r>
          </w:p>
        </w:tc>
        <w:tc>
          <w:tcPr>
            <w:tcW w:w="826" w:type="pct"/>
            <w:tcBorders>
              <w:top w:val="nil"/>
              <w:left w:val="nil"/>
              <w:bottom w:val="nil"/>
              <w:right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18</w:t>
            </w:r>
          </w:p>
        </w:tc>
        <w:tc>
          <w:tcPr>
            <w:tcW w:w="600" w:type="pct"/>
            <w:tcBorders>
              <w:top w:val="nil"/>
              <w:left w:val="nil"/>
            </w:tcBorders>
            <w:shd w:val="clear" w:color="auto" w:fill="FFFFFF"/>
          </w:tcPr>
          <w:p w:rsidR="00B45FC3" w:rsidRPr="00526311" w:rsidRDefault="00B45FC3" w:rsidP="0063039A">
            <w:pPr>
              <w:jc w:val="center"/>
            </w:pPr>
            <w:r w:rsidRPr="00526311">
              <w:rPr>
                <w:color w:val="FF0000"/>
                <w:szCs w:val="22"/>
              </w:rPr>
              <w:sym w:font="Wingdings" w:char="F06C"/>
            </w:r>
          </w:p>
        </w:tc>
      </w:tr>
      <w:tr w:rsidR="00B45FC3" w:rsidRPr="00526311" w:rsidTr="0063039A">
        <w:trPr>
          <w:cantSplit/>
          <w:trHeight w:val="676"/>
        </w:trPr>
        <w:tc>
          <w:tcPr>
            <w:tcW w:w="1478" w:type="pct"/>
            <w:vMerge/>
            <w:tcBorders>
              <w:right w:val="nil"/>
            </w:tcBorders>
            <w:shd w:val="clear" w:color="auto" w:fill="auto"/>
            <w:tcMar>
              <w:top w:w="113" w:type="dxa"/>
              <w:bottom w:w="85" w:type="dxa"/>
            </w:tcMar>
          </w:tcPr>
          <w:p w:rsidR="00B45FC3" w:rsidRPr="00526311" w:rsidRDefault="00B45FC3" w:rsidP="0063039A">
            <w:pPr>
              <w:rPr>
                <w:sz w:val="16"/>
                <w:szCs w:val="16"/>
              </w:rPr>
            </w:pPr>
          </w:p>
        </w:tc>
        <w:tc>
          <w:tcPr>
            <w:tcW w:w="2096" w:type="pct"/>
            <w:tcBorders>
              <w:top w:val="nil"/>
              <w:left w:val="nil"/>
              <w:bottom w:val="nil"/>
              <w:right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 xml:space="preserve">Aumento del número de acuerdos suscritos en el marco de </w:t>
            </w:r>
            <w:r w:rsidR="00526311" w:rsidRPr="00526311">
              <w:rPr>
                <w:i/>
                <w:sz w:val="16"/>
                <w:szCs w:val="16"/>
              </w:rPr>
              <w:t>WIPO Re:Search</w:t>
            </w:r>
            <w:r w:rsidRPr="00526311">
              <w:rPr>
                <w:sz w:val="16"/>
                <w:szCs w:val="16"/>
              </w:rPr>
              <w:t xml:space="preserve"> que conducen a nuevas actividades de I+D, o a un aceleramiento de las mismas, en enfermedades tropicales desatendidas, paludismo y tuberculosis</w:t>
            </w:r>
          </w:p>
        </w:tc>
        <w:tc>
          <w:tcPr>
            <w:tcW w:w="826" w:type="pct"/>
            <w:tcBorders>
              <w:top w:val="nil"/>
              <w:left w:val="nil"/>
              <w:bottom w:val="nil"/>
              <w:right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18</w:t>
            </w:r>
          </w:p>
        </w:tc>
        <w:tc>
          <w:tcPr>
            <w:tcW w:w="600" w:type="pct"/>
            <w:tcBorders>
              <w:top w:val="nil"/>
              <w:left w:val="nil"/>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272"/>
        </w:trPr>
        <w:tc>
          <w:tcPr>
            <w:tcW w:w="1478" w:type="pct"/>
            <w:shd w:val="clear" w:color="auto" w:fill="auto"/>
            <w:tcMar>
              <w:top w:w="113" w:type="dxa"/>
              <w:bottom w:w="85" w:type="dxa"/>
            </w:tcMar>
          </w:tcPr>
          <w:p w:rsidR="00B45FC3" w:rsidRPr="00526311" w:rsidRDefault="00B45FC3" w:rsidP="0063039A">
            <w:pPr>
              <w:rPr>
                <w:sz w:val="16"/>
                <w:szCs w:val="16"/>
              </w:rPr>
            </w:pPr>
          </w:p>
        </w:tc>
        <w:tc>
          <w:tcPr>
            <w:tcW w:w="2096" w:type="pct"/>
            <w:tcBorders>
              <w:top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miembros de WIPO GREEN</w:t>
            </w:r>
          </w:p>
        </w:tc>
        <w:tc>
          <w:tcPr>
            <w:tcW w:w="826" w:type="pct"/>
            <w:tcBorders>
              <w:top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18</w:t>
            </w:r>
          </w:p>
        </w:tc>
        <w:tc>
          <w:tcPr>
            <w:tcW w:w="600" w:type="pct"/>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706"/>
        </w:trPr>
        <w:tc>
          <w:tcPr>
            <w:tcW w:w="1478" w:type="pct"/>
            <w:shd w:val="clear" w:color="auto" w:fill="auto"/>
            <w:tcMar>
              <w:top w:w="113" w:type="dxa"/>
              <w:bottom w:w="85" w:type="dxa"/>
            </w:tcMar>
          </w:tcPr>
          <w:p w:rsidR="00B45FC3" w:rsidRPr="00526311" w:rsidRDefault="00B45FC3" w:rsidP="0063039A">
            <w:pPr>
              <w:rPr>
                <w:sz w:val="16"/>
                <w:szCs w:val="16"/>
              </w:rPr>
            </w:pPr>
          </w:p>
        </w:tc>
        <w:tc>
          <w:tcPr>
            <w:tcW w:w="2096"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vínculos establecidos entre WIPO GREEN y los mecanismos pertinentes, como los centros y redes de tecnología del clima (CMNUCC) y los centros de innovación climática (infoDev)</w:t>
            </w:r>
          </w:p>
        </w:tc>
        <w:tc>
          <w:tcPr>
            <w:tcW w:w="826" w:type="pct"/>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18</w:t>
            </w:r>
          </w:p>
        </w:tc>
        <w:tc>
          <w:tcPr>
            <w:tcW w:w="600" w:type="pct"/>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p>
        </w:tc>
      </w:tr>
      <w:tr w:rsidR="00B45FC3" w:rsidRPr="00526311" w:rsidTr="0063039A">
        <w:trPr>
          <w:cantSplit/>
          <w:trHeight w:val="296"/>
        </w:trPr>
        <w:tc>
          <w:tcPr>
            <w:tcW w:w="1478" w:type="pct"/>
            <w:shd w:val="clear" w:color="auto" w:fill="auto"/>
            <w:tcMar>
              <w:top w:w="113" w:type="dxa"/>
              <w:bottom w:w="85" w:type="dxa"/>
            </w:tcMar>
          </w:tcPr>
          <w:p w:rsidR="00B45FC3" w:rsidRPr="00526311" w:rsidRDefault="00B45FC3" w:rsidP="0063039A">
            <w:pPr>
              <w:rPr>
                <w:sz w:val="16"/>
                <w:szCs w:val="16"/>
              </w:rPr>
            </w:pPr>
          </w:p>
        </w:tc>
        <w:tc>
          <w:tcPr>
            <w:tcW w:w="2096"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acuerdos catalizados por medio de WIPO GREEN que facilitan la transferencia de conocimiento así como la adaptación, transferencia o difusión de tecnología</w:t>
            </w:r>
          </w:p>
        </w:tc>
        <w:tc>
          <w:tcPr>
            <w:tcW w:w="826" w:type="pct"/>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18</w:t>
            </w:r>
          </w:p>
        </w:tc>
        <w:tc>
          <w:tcPr>
            <w:tcW w:w="600" w:type="pct"/>
            <w:shd w:val="clear" w:color="auto" w:fill="FFFFFF"/>
          </w:tcPr>
          <w:p w:rsidR="00B45FC3" w:rsidRPr="00526311" w:rsidRDefault="00B45FC3" w:rsidP="0063039A">
            <w:pPr>
              <w:jc w:val="center"/>
            </w:pPr>
            <w:r w:rsidRPr="00526311">
              <w:rPr>
                <w:color w:val="FF0000"/>
                <w:szCs w:val="22"/>
              </w:rPr>
              <w:sym w:font="Wingdings" w:char="F06C"/>
            </w:r>
          </w:p>
        </w:tc>
      </w:tr>
      <w:tr w:rsidR="00B45FC3" w:rsidRPr="00526311" w:rsidTr="0063039A">
        <w:trPr>
          <w:cantSplit/>
          <w:trHeight w:val="344"/>
        </w:trPr>
        <w:tc>
          <w:tcPr>
            <w:tcW w:w="1478" w:type="pct"/>
            <w:shd w:val="clear" w:color="auto" w:fill="auto"/>
            <w:tcMar>
              <w:top w:w="113" w:type="dxa"/>
              <w:bottom w:w="85" w:type="dxa"/>
            </w:tcMar>
          </w:tcPr>
          <w:p w:rsidR="00B45FC3" w:rsidRPr="00526311" w:rsidRDefault="00B45FC3" w:rsidP="0063039A">
            <w:pPr>
              <w:rPr>
                <w:sz w:val="16"/>
                <w:szCs w:val="16"/>
              </w:rPr>
            </w:pPr>
          </w:p>
        </w:tc>
        <w:tc>
          <w:tcPr>
            <w:tcW w:w="2096"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visitas a las páginas sobre desafíos mundiales del sitio web</w:t>
            </w:r>
          </w:p>
        </w:tc>
        <w:tc>
          <w:tcPr>
            <w:tcW w:w="826" w:type="pct"/>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18</w:t>
            </w:r>
          </w:p>
        </w:tc>
        <w:tc>
          <w:tcPr>
            <w:tcW w:w="600" w:type="pct"/>
            <w:shd w:val="clear" w:color="auto" w:fill="FFFFFF"/>
          </w:tcPr>
          <w:p w:rsidR="00B45FC3" w:rsidRPr="00526311" w:rsidRDefault="00B45FC3" w:rsidP="0063039A">
            <w:pPr>
              <w:ind w:left="-107"/>
              <w:jc w:val="center"/>
              <w:rPr>
                <w:color w:val="A6A6A6" w:themeColor="background1" w:themeShade="A6"/>
                <w:szCs w:val="22"/>
              </w:rPr>
            </w:pPr>
            <w:r w:rsidRPr="00526311">
              <w:rPr>
                <w:color w:val="FF0000"/>
                <w:szCs w:val="22"/>
              </w:rPr>
              <w:sym w:font="Wingdings" w:char="F06C"/>
            </w:r>
            <w:r w:rsidRPr="00526311">
              <w:rPr>
                <w:color w:val="A6A6A6" w:themeColor="background1" w:themeShade="A6"/>
                <w:szCs w:val="22"/>
              </w:rPr>
              <w:sym w:font="Wingdings" w:char="F06C"/>
            </w:r>
            <w:r w:rsidRPr="00526311">
              <w:rPr>
                <w:color w:val="A6A6A6" w:themeColor="background1" w:themeShade="A6"/>
                <w:szCs w:val="22"/>
              </w:rPr>
              <w:sym w:font="Wingdings" w:char="F06C"/>
            </w:r>
            <w:r w:rsidRPr="00526311">
              <w:rPr>
                <w:color w:val="FF0000"/>
                <w:szCs w:val="22"/>
              </w:rPr>
              <w:sym w:font="Wingdings" w:char="F06C"/>
            </w:r>
            <w:r w:rsidR="005763A1" w:rsidRPr="00526311">
              <w:rPr>
                <w:color w:val="FF0000"/>
                <w:szCs w:val="22"/>
              </w:rPr>
              <w:br/>
            </w:r>
            <w:r w:rsidRPr="00526311">
              <w:rPr>
                <w:color w:val="008000"/>
                <w:szCs w:val="22"/>
              </w:rPr>
              <w:sym w:font="Wingdings" w:char="F06C"/>
            </w:r>
          </w:p>
        </w:tc>
      </w:tr>
      <w:tr w:rsidR="00B45FC3" w:rsidRPr="00526311" w:rsidTr="0063039A">
        <w:trPr>
          <w:cantSplit/>
          <w:trHeight w:val="344"/>
        </w:trPr>
        <w:tc>
          <w:tcPr>
            <w:tcW w:w="1478" w:type="pct"/>
            <w:shd w:val="clear" w:color="auto" w:fill="auto"/>
            <w:tcMar>
              <w:top w:w="113" w:type="dxa"/>
              <w:bottom w:w="85" w:type="dxa"/>
            </w:tcMar>
          </w:tcPr>
          <w:p w:rsidR="00B45FC3" w:rsidRPr="00526311" w:rsidRDefault="00B45FC3" w:rsidP="0063039A">
            <w:pPr>
              <w:rPr>
                <w:sz w:val="16"/>
                <w:szCs w:val="16"/>
              </w:rPr>
            </w:pPr>
          </w:p>
        </w:tc>
        <w:tc>
          <w:tcPr>
            <w:tcW w:w="2096"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 xml:space="preserve">Participación de las partes interesadas en plataformas de la OMPI como WIPO GREEN y </w:t>
            </w:r>
            <w:r w:rsidR="00526311" w:rsidRPr="00526311">
              <w:rPr>
                <w:i/>
                <w:sz w:val="16"/>
                <w:szCs w:val="16"/>
              </w:rPr>
              <w:t>WIPO Re:Search</w:t>
            </w:r>
          </w:p>
        </w:tc>
        <w:tc>
          <w:tcPr>
            <w:tcW w:w="826" w:type="pct"/>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20</w:t>
            </w:r>
          </w:p>
        </w:tc>
        <w:tc>
          <w:tcPr>
            <w:tcW w:w="600" w:type="pct"/>
            <w:shd w:val="clear" w:color="auto" w:fill="FFFFFF"/>
          </w:tcPr>
          <w:p w:rsidR="00B45FC3" w:rsidRPr="00526311" w:rsidRDefault="00B45FC3" w:rsidP="0063039A">
            <w:pPr>
              <w:ind w:left="-107"/>
              <w:jc w:val="center"/>
              <w:rPr>
                <w:color w:val="008000"/>
                <w:szCs w:val="22"/>
              </w:rPr>
            </w:pPr>
            <w:r w:rsidRPr="00526311">
              <w:rPr>
                <w:color w:val="FF0000"/>
                <w:szCs w:val="22"/>
              </w:rPr>
              <w:sym w:font="Wingdings" w:char="F06C"/>
            </w:r>
            <w:r w:rsidRPr="00526311">
              <w:rPr>
                <w:color w:val="008000"/>
                <w:szCs w:val="22"/>
              </w:rPr>
              <w:sym w:font="Wingdings" w:char="F06C"/>
            </w:r>
            <w:r w:rsidRPr="00526311">
              <w:rPr>
                <w:color w:val="008000"/>
                <w:szCs w:val="22"/>
              </w:rPr>
              <w:sym w:font="Wingdings" w:char="F06C"/>
            </w:r>
            <w:r w:rsidRPr="00526311">
              <w:rPr>
                <w:color w:val="A6A6A6" w:themeColor="background1" w:themeShade="A6"/>
                <w:szCs w:val="22"/>
              </w:rPr>
              <w:sym w:font="Wingdings" w:char="F06C"/>
            </w:r>
            <w:r w:rsidR="005763A1" w:rsidRPr="00526311">
              <w:rPr>
                <w:color w:val="A6A6A6" w:themeColor="background1" w:themeShade="A6"/>
                <w:szCs w:val="22"/>
              </w:rPr>
              <w:br/>
            </w:r>
            <w:r w:rsidRPr="00526311">
              <w:rPr>
                <w:color w:val="008000"/>
                <w:szCs w:val="22"/>
              </w:rPr>
              <w:sym w:font="Wingdings" w:char="F06C"/>
            </w:r>
          </w:p>
        </w:tc>
      </w:tr>
      <w:tr w:rsidR="00B45FC3" w:rsidRPr="00526311" w:rsidTr="0063039A">
        <w:trPr>
          <w:cantSplit/>
          <w:trHeight w:val="602"/>
        </w:trPr>
        <w:tc>
          <w:tcPr>
            <w:tcW w:w="1478" w:type="pct"/>
            <w:shd w:val="clear" w:color="auto" w:fill="auto"/>
            <w:tcMar>
              <w:top w:w="113" w:type="dxa"/>
              <w:bottom w:w="85" w:type="dxa"/>
            </w:tcMar>
          </w:tcPr>
          <w:p w:rsidR="00B45FC3" w:rsidRPr="00526311" w:rsidRDefault="00B45FC3" w:rsidP="0063039A">
            <w:pPr>
              <w:rPr>
                <w:sz w:val="16"/>
                <w:szCs w:val="16"/>
              </w:rPr>
            </w:pPr>
            <w:r w:rsidRPr="00526311">
              <w:rPr>
                <w:sz w:val="16"/>
                <w:szCs w:val="16"/>
              </w:rPr>
              <w:lastRenderedPageBreak/>
              <w:t>VII.3 Mayor credibilidad de la OMPI en tanto que foro para el análisis de cuestiones en el ámbito de la P.I. y la política de competencia</w:t>
            </w:r>
          </w:p>
        </w:tc>
        <w:tc>
          <w:tcPr>
            <w:tcW w:w="2096"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países que solicitan la aportación específica de la OMPI en materia de P.I. en relación con la política de competencia</w:t>
            </w:r>
          </w:p>
        </w:tc>
        <w:tc>
          <w:tcPr>
            <w:tcW w:w="826" w:type="pct"/>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18</w:t>
            </w:r>
          </w:p>
        </w:tc>
        <w:tc>
          <w:tcPr>
            <w:tcW w:w="600" w:type="pct"/>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706"/>
        </w:trPr>
        <w:tc>
          <w:tcPr>
            <w:tcW w:w="1478" w:type="pct"/>
            <w:shd w:val="clear" w:color="auto" w:fill="auto"/>
            <w:tcMar>
              <w:top w:w="113" w:type="dxa"/>
              <w:bottom w:w="85" w:type="dxa"/>
            </w:tcMar>
          </w:tcPr>
          <w:p w:rsidR="00B45FC3" w:rsidRPr="00526311" w:rsidRDefault="00B45FC3" w:rsidP="0063039A">
            <w:pPr>
              <w:rPr>
                <w:sz w:val="16"/>
                <w:szCs w:val="16"/>
              </w:rPr>
            </w:pPr>
          </w:p>
        </w:tc>
        <w:tc>
          <w:tcPr>
            <w:tcW w:w="2096" w:type="pct"/>
            <w:shd w:val="clear" w:color="auto" w:fill="auto"/>
            <w:tcMar>
              <w:top w:w="113" w:type="dxa"/>
              <w:bottom w:w="85" w:type="dxa"/>
            </w:tcMar>
          </w:tcPr>
          <w:p w:rsidR="00B45FC3" w:rsidRPr="00526311" w:rsidRDefault="00B45FC3" w:rsidP="0063039A">
            <w:pPr>
              <w:rPr>
                <w:rFonts w:eastAsia="MS Mincho" w:cs="Courier New"/>
                <w:sz w:val="16"/>
                <w:szCs w:val="16"/>
                <w:lang w:bidi="th-TH"/>
              </w:rPr>
            </w:pPr>
            <w:r w:rsidRPr="00526311">
              <w:rPr>
                <w:rFonts w:eastAsia="MS Mincho" w:cs="Courier New"/>
                <w:sz w:val="16"/>
                <w:szCs w:val="16"/>
                <w:lang w:bidi="th-TH"/>
              </w:rPr>
              <w:t>Número y diversidad de sectores interesados (oficinas de P.I., autoridades encargadas de cuestiones de competencia, OIG y ONG) que entablan diálogo con la OMPI</w:t>
            </w:r>
          </w:p>
        </w:tc>
        <w:tc>
          <w:tcPr>
            <w:tcW w:w="826" w:type="pct"/>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18</w:t>
            </w:r>
          </w:p>
        </w:tc>
        <w:tc>
          <w:tcPr>
            <w:tcW w:w="600" w:type="pct"/>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p>
        </w:tc>
      </w:tr>
    </w:tbl>
    <w:p w:rsidR="00B45FC3" w:rsidRPr="00526311" w:rsidRDefault="00B45FC3" w:rsidP="0063039A">
      <w:pPr>
        <w:rPr>
          <w:sz w:val="20"/>
        </w:rPr>
      </w:pPr>
    </w:p>
    <w:p w:rsidR="00B45FC3" w:rsidRPr="00526311" w:rsidRDefault="00B45FC3" w:rsidP="0063039A">
      <w:pPr>
        <w:rPr>
          <w:sz w:val="20"/>
        </w:rPr>
      </w:pPr>
    </w:p>
    <w:p w:rsidR="00794E04" w:rsidRPr="00526311" w:rsidRDefault="00794E04">
      <w:pPr>
        <w:rPr>
          <w:bCs/>
          <w:iCs/>
          <w:caps/>
        </w:rPr>
      </w:pPr>
      <w:r w:rsidRPr="00526311">
        <w:br w:type="page"/>
      </w:r>
    </w:p>
    <w:p w:rsidR="00794E04" w:rsidRPr="00526311" w:rsidRDefault="00794E04" w:rsidP="0063039A">
      <w:pPr>
        <w:pStyle w:val="Heading2"/>
        <w:keepNext w:val="0"/>
        <w:widowControl w:val="0"/>
        <w:tabs>
          <w:tab w:val="left" w:pos="2410"/>
        </w:tabs>
        <w:rPr>
          <w:b/>
          <w:szCs w:val="20"/>
        </w:rPr>
      </w:pPr>
      <w:bookmarkStart w:id="68" w:name="_Toc422927430"/>
      <w:r w:rsidRPr="00526311">
        <w:rPr>
          <w:b/>
          <w:szCs w:val="20"/>
        </w:rPr>
        <w:lastRenderedPageBreak/>
        <w:t>PROGRAMA 18</w:t>
      </w:r>
      <w:r w:rsidRPr="00526311">
        <w:rPr>
          <w:b/>
          <w:szCs w:val="20"/>
        </w:rPr>
        <w:tab/>
        <w:t>LA P.I. Y LOS DESAFÍOS MUNDIALES</w:t>
      </w:r>
      <w:bookmarkEnd w:id="68"/>
    </w:p>
    <w:p w:rsidR="00794E04" w:rsidRPr="00526311" w:rsidRDefault="00794E04" w:rsidP="0063039A">
      <w:pPr>
        <w:widowControl w:val="0"/>
        <w:rPr>
          <w:sz w:val="20"/>
        </w:rPr>
      </w:pPr>
    </w:p>
    <w:p w:rsidR="00794E04" w:rsidRPr="00526311" w:rsidRDefault="00794E04" w:rsidP="0063039A">
      <w:pPr>
        <w:widowControl w:val="0"/>
        <w:tabs>
          <w:tab w:val="left" w:pos="2410"/>
        </w:tabs>
        <w:rPr>
          <w:b/>
          <w:sz w:val="20"/>
        </w:rPr>
      </w:pPr>
      <w:r w:rsidRPr="00526311">
        <w:rPr>
          <w:b/>
          <w:sz w:val="20"/>
        </w:rPr>
        <w:t>Director de programa</w:t>
      </w:r>
      <w:r w:rsidRPr="00526311">
        <w:rPr>
          <w:b/>
          <w:sz w:val="20"/>
        </w:rPr>
        <w:tab/>
        <w:t>Sr. M. A. Getahun</w:t>
      </w:r>
    </w:p>
    <w:p w:rsidR="00794E04" w:rsidRPr="00526311" w:rsidRDefault="00794E04" w:rsidP="0063039A">
      <w:pPr>
        <w:widowControl w:val="0"/>
        <w:rPr>
          <w:sz w:val="20"/>
        </w:rPr>
      </w:pPr>
    </w:p>
    <w:p w:rsidR="00794E04" w:rsidRPr="00526311" w:rsidRDefault="00794E04" w:rsidP="0063039A">
      <w:pPr>
        <w:widowControl w:val="0"/>
        <w:rPr>
          <w:sz w:val="20"/>
        </w:rPr>
      </w:pPr>
    </w:p>
    <w:p w:rsidR="00794E04" w:rsidRPr="00526311" w:rsidRDefault="00794E04" w:rsidP="0063039A">
      <w:pPr>
        <w:widowControl w:val="0"/>
        <w:rPr>
          <w:bCs/>
        </w:rPr>
      </w:pPr>
      <w:r w:rsidRPr="00526311">
        <w:rPr>
          <w:bCs/>
        </w:rPr>
        <w:t>RESEÑA DE LOS AVANCES LOGRADOS EN 2014</w:t>
      </w:r>
    </w:p>
    <w:p w:rsidR="00794E04" w:rsidRPr="00526311" w:rsidRDefault="00794E04" w:rsidP="0063039A">
      <w:pPr>
        <w:widowControl w:val="0"/>
        <w:jc w:val="both"/>
      </w:pPr>
    </w:p>
    <w:p w:rsidR="00794E04" w:rsidRPr="00526311" w:rsidRDefault="00794E04" w:rsidP="00794E04">
      <w:pPr>
        <w:pStyle w:val="Default"/>
        <w:widowControl w:val="0"/>
        <w:numPr>
          <w:ilvl w:val="0"/>
          <w:numId w:val="71"/>
        </w:numPr>
        <w:tabs>
          <w:tab w:val="left" w:pos="709"/>
        </w:tabs>
        <w:ind w:left="0" w:firstLine="0"/>
        <w:jc w:val="both"/>
        <w:rPr>
          <w:color w:val="000000" w:themeColor="text1"/>
          <w:sz w:val="20"/>
          <w:szCs w:val="20"/>
          <w:lang w:val="es-ES"/>
        </w:rPr>
      </w:pPr>
      <w:r w:rsidRPr="00526311">
        <w:rPr>
          <w:bCs/>
          <w:color w:val="auto"/>
          <w:sz w:val="20"/>
          <w:szCs w:val="20"/>
          <w:lang w:val="es-ES"/>
        </w:rPr>
        <w:t xml:space="preserve">El programa 18 concierne a la innovación y la P.I. en la confluencia de varios desafíos mundiales interrelacionados, en particular la salud mundial, el cambio climático y la seguridad alimentaria.  En 2014, el programa siguió contribuyendo </w:t>
      </w:r>
      <w:r w:rsidRPr="00526311">
        <w:rPr>
          <w:bCs/>
          <w:color w:val="000000" w:themeColor="text1"/>
          <w:sz w:val="20"/>
          <w:szCs w:val="20"/>
          <w:lang w:val="es-ES"/>
        </w:rPr>
        <w:t xml:space="preserve">a mejorar la comprensión de los encargados de la formulación de políticas acerca de la relación existente entre los desafíos mundiales, la innovación y la propiedad intelectual, entre otras cosas, mediante las dos plataformas de múltiples interesados sobre innovación y transferencia </w:t>
      </w:r>
      <w:r w:rsidR="005763A1" w:rsidRPr="00526311">
        <w:rPr>
          <w:bCs/>
          <w:color w:val="000000" w:themeColor="text1"/>
          <w:sz w:val="20"/>
          <w:szCs w:val="20"/>
          <w:lang w:val="es-ES"/>
        </w:rPr>
        <w:t xml:space="preserve">y difusión </w:t>
      </w:r>
      <w:r w:rsidRPr="00526311">
        <w:rPr>
          <w:bCs/>
          <w:color w:val="000000" w:themeColor="text1"/>
          <w:sz w:val="20"/>
          <w:szCs w:val="20"/>
          <w:lang w:val="es-ES"/>
        </w:rPr>
        <w:t xml:space="preserve">de tecnología </w:t>
      </w:r>
      <w:r w:rsidRPr="00526311">
        <w:rPr>
          <w:color w:val="000000" w:themeColor="text1"/>
          <w:sz w:val="20"/>
          <w:szCs w:val="20"/>
          <w:lang w:val="es-ES"/>
        </w:rPr>
        <w:t>(</w:t>
      </w:r>
      <w:r w:rsidR="00526311" w:rsidRPr="00526311">
        <w:rPr>
          <w:i/>
          <w:color w:val="000000" w:themeColor="text1"/>
          <w:sz w:val="20"/>
          <w:szCs w:val="20"/>
          <w:lang w:val="es-ES"/>
        </w:rPr>
        <w:t>WIPO Re:Search</w:t>
      </w:r>
      <w:r w:rsidRPr="00526311">
        <w:rPr>
          <w:color w:val="000000" w:themeColor="text1"/>
          <w:sz w:val="20"/>
          <w:szCs w:val="20"/>
          <w:lang w:val="es-ES"/>
        </w:rPr>
        <w:t xml:space="preserve"> y </w:t>
      </w:r>
      <w:r w:rsidRPr="00526311">
        <w:rPr>
          <w:i/>
          <w:color w:val="000000" w:themeColor="text1"/>
          <w:sz w:val="20"/>
          <w:szCs w:val="20"/>
          <w:lang w:val="es-ES"/>
        </w:rPr>
        <w:t>WIPO GREEN</w:t>
      </w:r>
      <w:r w:rsidRPr="00526311">
        <w:rPr>
          <w:color w:val="000000" w:themeColor="text1"/>
          <w:sz w:val="20"/>
          <w:szCs w:val="20"/>
          <w:lang w:val="es-ES"/>
        </w:rPr>
        <w:t xml:space="preserve">, respectivamente) y la colaboración en curso con la OMS y la OMC, centrada en la </w:t>
      </w:r>
      <w:r w:rsidR="005763A1" w:rsidRPr="00526311">
        <w:rPr>
          <w:color w:val="000000" w:themeColor="text1"/>
          <w:sz w:val="20"/>
          <w:szCs w:val="20"/>
          <w:lang w:val="es-ES"/>
        </w:rPr>
        <w:t>inter</w:t>
      </w:r>
      <w:r w:rsidRPr="00526311">
        <w:rPr>
          <w:color w:val="000000" w:themeColor="text1"/>
          <w:sz w:val="20"/>
          <w:szCs w:val="20"/>
          <w:lang w:val="es-ES"/>
        </w:rPr>
        <w:t xml:space="preserve">relación entre la salud, la propiedad intelectual, la innovación y el comercio.  A lo largo del año se siguieron recibiendo comentarios positivos de una amplia gama de sectores interesados acerca de la labor desempeñada por la OMPI en el ámbito de la P.I. y los desafíos mundiales.   </w:t>
      </w:r>
    </w:p>
    <w:p w:rsidR="00794E04" w:rsidRPr="00526311" w:rsidRDefault="00794E04" w:rsidP="0063039A">
      <w:pPr>
        <w:pStyle w:val="Default"/>
        <w:widowControl w:val="0"/>
        <w:tabs>
          <w:tab w:val="left" w:pos="709"/>
        </w:tabs>
        <w:jc w:val="both"/>
        <w:rPr>
          <w:color w:val="000000" w:themeColor="text1"/>
          <w:sz w:val="20"/>
          <w:szCs w:val="20"/>
          <w:lang w:val="es-ES"/>
        </w:rPr>
      </w:pPr>
    </w:p>
    <w:p w:rsidR="00794E04" w:rsidRPr="00526311" w:rsidRDefault="00794E04" w:rsidP="00794E04">
      <w:pPr>
        <w:pStyle w:val="Default"/>
        <w:widowControl w:val="0"/>
        <w:numPr>
          <w:ilvl w:val="0"/>
          <w:numId w:val="71"/>
        </w:numPr>
        <w:tabs>
          <w:tab w:val="left" w:pos="709"/>
        </w:tabs>
        <w:ind w:left="0" w:firstLine="0"/>
        <w:jc w:val="both"/>
        <w:rPr>
          <w:color w:val="000000" w:themeColor="text1"/>
          <w:sz w:val="20"/>
          <w:szCs w:val="20"/>
          <w:lang w:val="es-ES"/>
        </w:rPr>
      </w:pPr>
      <w:r w:rsidRPr="00526311">
        <w:rPr>
          <w:color w:val="000000" w:themeColor="text1"/>
          <w:sz w:val="20"/>
          <w:szCs w:val="20"/>
          <w:lang w:val="es-ES"/>
        </w:rPr>
        <w:t>En estrecha coordinación con los programas pertinentes, en particular los programas 20 (Relaciones exteriores, alianzas y oficinas en el exterior) y 30 (Pequeñas y medianas empresas (pymes) e innovación), la OMPI consolidó su posición como fuente fiable de apoyo y referencia en lo que atañe a la información sobre cuestiones relativas a las políticas públicas y la P.I., lo que motivó las continuas solicitudes dirigidas a la Organización para contribuir y participar en foros de políticas públicas organizados por otras organizaciones, incluidas la OMS, la OMC, las ONG, el sector privado y las universidades.  Se organizó un Seminario de la OMPI sobre Desafíos Mundiales que llevaba por título:</w:t>
      </w:r>
      <w:hyperlink r:id="rId134" w:history="1">
        <w:r w:rsidRPr="00526311">
          <w:rPr>
            <w:rStyle w:val="Hyperlink"/>
            <w:color w:val="auto"/>
            <w:sz w:val="20"/>
            <w:szCs w:val="20"/>
            <w:lang w:val="es-ES"/>
          </w:rPr>
          <w:t xml:space="preserve">  </w:t>
        </w:r>
        <w:r w:rsidRPr="00526311">
          <w:rPr>
            <w:rStyle w:val="Hyperlink"/>
            <w:i/>
            <w:color w:val="auto"/>
            <w:sz w:val="20"/>
            <w:szCs w:val="20"/>
            <w:u w:val="none"/>
            <w:lang w:val="es-ES"/>
          </w:rPr>
          <w:t>Innovation and Access to Medicines:  A Case Study for HIV/AIDS and Hepatitis C</w:t>
        </w:r>
      </w:hyperlink>
      <w:r w:rsidRPr="00526311">
        <w:rPr>
          <w:color w:val="000000" w:themeColor="text1"/>
          <w:sz w:val="20"/>
          <w:szCs w:val="20"/>
          <w:lang w:val="es-ES"/>
        </w:rPr>
        <w:t xml:space="preserve"> (Innovación y acceso a los medicamentos:  caso práctico en relación con el VIH/SIDA y la hepatitis C) que permitió a los participantes intercambiar ideas, conocimientos especializados e información</w:t>
      </w:r>
      <w:r w:rsidRPr="00526311">
        <w:rPr>
          <w:sz w:val="20"/>
          <w:szCs w:val="20"/>
          <w:lang w:val="es-ES"/>
        </w:rPr>
        <w:t>.  En junio de 2014 se publicó un d</w:t>
      </w:r>
      <w:r w:rsidRPr="00526311">
        <w:rPr>
          <w:rFonts w:eastAsia="Times New Roman"/>
          <w:color w:val="000000" w:themeColor="text1"/>
          <w:sz w:val="20"/>
          <w:szCs w:val="20"/>
          <w:lang w:val="es-ES"/>
        </w:rPr>
        <w:t xml:space="preserve">ocumento de información sobre los desafíos mundiales titulado: </w:t>
      </w:r>
      <w:r w:rsidRPr="00526311">
        <w:rPr>
          <w:rFonts w:eastAsia="Times New Roman"/>
          <w:i/>
          <w:color w:val="000000" w:themeColor="text1"/>
          <w:sz w:val="20"/>
          <w:szCs w:val="20"/>
          <w:lang w:val="es-ES"/>
        </w:rPr>
        <w:t xml:space="preserve">Renewable Energy Technology: Evolution and Policy Implications –Evidence from Patent Literature </w:t>
      </w:r>
      <w:r w:rsidRPr="00526311">
        <w:rPr>
          <w:rFonts w:eastAsia="Times New Roman"/>
          <w:color w:val="000000" w:themeColor="text1"/>
          <w:sz w:val="20"/>
          <w:szCs w:val="20"/>
          <w:lang w:val="es-ES"/>
        </w:rPr>
        <w:t xml:space="preserve">(Las tecnologías de las energías renovables: evolución e implicaciones políticas;  pruebas extraídas de la literatura sobre patentes).  Otro documento de información sobre los desafíos mundiales: </w:t>
      </w:r>
      <w:r w:rsidRPr="00526311">
        <w:rPr>
          <w:rFonts w:eastAsia="Times New Roman"/>
          <w:i/>
          <w:color w:val="000000" w:themeColor="text1"/>
          <w:sz w:val="20"/>
          <w:szCs w:val="20"/>
          <w:lang w:val="es-ES"/>
        </w:rPr>
        <w:t>Incentivizing the adoption of green technology on a global scale</w:t>
      </w:r>
      <w:r w:rsidRPr="00526311">
        <w:rPr>
          <w:rFonts w:eastAsia="Times New Roman"/>
          <w:color w:val="000000" w:themeColor="text1"/>
          <w:sz w:val="20"/>
          <w:szCs w:val="20"/>
          <w:lang w:val="es-ES"/>
        </w:rPr>
        <w:t xml:space="preserve"> (Incentivar la adopción de tecnología ecológica a escala mundial) se distribuyó durante la reunión de la</w:t>
      </w:r>
      <w:r w:rsidRPr="00526311">
        <w:rPr>
          <w:rFonts w:ascii="inherit" w:eastAsia="Times New Roman" w:hAnsi="inherit"/>
          <w:color w:val="666666"/>
          <w:sz w:val="18"/>
          <w:szCs w:val="18"/>
          <w:lang w:val="es-ES" w:eastAsia="en-US"/>
        </w:rPr>
        <w:t xml:space="preserve"> </w:t>
      </w:r>
      <w:r w:rsidRPr="00526311">
        <w:rPr>
          <w:rFonts w:eastAsia="Times New Roman"/>
          <w:color w:val="000000" w:themeColor="text1"/>
          <w:sz w:val="20"/>
          <w:szCs w:val="20"/>
          <w:lang w:val="es-ES"/>
        </w:rPr>
        <w:t xml:space="preserve">Conferencia de las Partes (COP 20) en la </w:t>
      </w:r>
      <w:r w:rsidRPr="00526311">
        <w:rPr>
          <w:rFonts w:eastAsia="Times New Roman"/>
          <w:bCs/>
          <w:color w:val="000000" w:themeColor="text1"/>
          <w:sz w:val="20"/>
          <w:szCs w:val="20"/>
          <w:lang w:val="es-ES"/>
        </w:rPr>
        <w:t>Convención Marco de las Naciones Unidas sobre el Cambio Climático</w:t>
      </w:r>
      <w:r w:rsidRPr="00526311">
        <w:rPr>
          <w:rFonts w:eastAsia="Times New Roman"/>
          <w:color w:val="000000" w:themeColor="text1"/>
          <w:sz w:val="20"/>
          <w:szCs w:val="20"/>
          <w:lang w:val="es-ES"/>
        </w:rPr>
        <w:t xml:space="preserve"> (</w:t>
      </w:r>
      <w:r w:rsidRPr="00526311">
        <w:rPr>
          <w:rFonts w:eastAsia="Times New Roman"/>
          <w:bCs/>
          <w:color w:val="000000" w:themeColor="text1"/>
          <w:sz w:val="20"/>
          <w:szCs w:val="20"/>
          <w:lang w:val="es-ES"/>
        </w:rPr>
        <w:t>CMNUCC</w:t>
      </w:r>
      <w:r w:rsidRPr="00526311">
        <w:rPr>
          <w:rFonts w:eastAsia="Times New Roman"/>
          <w:color w:val="000000" w:themeColor="text1"/>
          <w:sz w:val="20"/>
          <w:szCs w:val="20"/>
          <w:lang w:val="es-ES"/>
        </w:rPr>
        <w:t>), celebrada en Lima en noviembre de 2014.  En el marco de la labor relativa al fortalecimiento de capacidad en los países en desarrollo</w:t>
      </w:r>
      <w:r w:rsidRPr="00526311">
        <w:rPr>
          <w:rFonts w:eastAsia="Times New Roman" w:cs="Times New Roman"/>
          <w:color w:val="000000" w:themeColor="text1"/>
          <w:sz w:val="20"/>
          <w:szCs w:val="20"/>
          <w:lang w:val="es-ES" w:eastAsia="en-US"/>
        </w:rPr>
        <w:t xml:space="preserve"> </w:t>
      </w:r>
      <w:r w:rsidRPr="00526311">
        <w:rPr>
          <w:rFonts w:eastAsia="Times New Roman"/>
          <w:color w:val="000000" w:themeColor="text1"/>
          <w:sz w:val="20"/>
          <w:szCs w:val="20"/>
          <w:lang w:val="es-ES"/>
        </w:rPr>
        <w:t>de la plataforma Re:Search de la OMPI</w:t>
      </w:r>
      <w:r w:rsidRPr="00526311">
        <w:rPr>
          <w:sz w:val="20"/>
          <w:szCs w:val="20"/>
          <w:lang w:val="es-ES"/>
        </w:rPr>
        <w:t xml:space="preserve">, se organizó un seminario de formación sobre la gestión de la P.I., en coordinación con el programa 30 </w:t>
      </w:r>
      <w:r w:rsidRPr="00526311">
        <w:rPr>
          <w:color w:val="000000" w:themeColor="text1"/>
          <w:sz w:val="20"/>
          <w:szCs w:val="20"/>
          <w:lang w:val="es-ES"/>
        </w:rPr>
        <w:t>(Pequeñas y medianas empresas (pymes) e innovación)</w:t>
      </w:r>
      <w:r w:rsidRPr="00526311">
        <w:rPr>
          <w:sz w:val="20"/>
          <w:szCs w:val="20"/>
          <w:lang w:val="es-ES"/>
        </w:rPr>
        <w:t xml:space="preserve">, dirigido a los científicos de los países en desarrollo que son miembros de la plataforma.  </w:t>
      </w:r>
    </w:p>
    <w:p w:rsidR="00794E04" w:rsidRPr="00526311" w:rsidRDefault="00794E04" w:rsidP="0063039A">
      <w:pPr>
        <w:pStyle w:val="Default"/>
        <w:widowControl w:val="0"/>
        <w:tabs>
          <w:tab w:val="left" w:pos="0"/>
          <w:tab w:val="left" w:pos="1134"/>
        </w:tabs>
        <w:jc w:val="both"/>
        <w:rPr>
          <w:bCs/>
          <w:color w:val="000000" w:themeColor="text1"/>
          <w:sz w:val="20"/>
          <w:szCs w:val="20"/>
          <w:lang w:val="es-ES"/>
        </w:rPr>
      </w:pPr>
    </w:p>
    <w:p w:rsidR="00794E04" w:rsidRPr="00526311" w:rsidRDefault="00794E04" w:rsidP="00794E04">
      <w:pPr>
        <w:pStyle w:val="Default"/>
        <w:widowControl w:val="0"/>
        <w:numPr>
          <w:ilvl w:val="0"/>
          <w:numId w:val="71"/>
        </w:numPr>
        <w:tabs>
          <w:tab w:val="left" w:pos="709"/>
        </w:tabs>
        <w:ind w:left="0" w:firstLine="0"/>
        <w:jc w:val="both"/>
        <w:rPr>
          <w:rFonts w:eastAsia="Times New Roman"/>
          <w:color w:val="000000" w:themeColor="text1"/>
          <w:sz w:val="20"/>
          <w:szCs w:val="20"/>
          <w:lang w:val="es-ES"/>
        </w:rPr>
      </w:pPr>
      <w:r w:rsidRPr="00526311">
        <w:rPr>
          <w:color w:val="000000" w:themeColor="text1"/>
          <w:sz w:val="20"/>
          <w:szCs w:val="20"/>
          <w:lang w:val="es-ES"/>
        </w:rPr>
        <w:t xml:space="preserve">La plataforma </w:t>
      </w:r>
      <w:r w:rsidRPr="00526311">
        <w:rPr>
          <w:i/>
          <w:color w:val="000000" w:themeColor="text1"/>
          <w:sz w:val="20"/>
          <w:szCs w:val="20"/>
          <w:lang w:val="es-ES"/>
        </w:rPr>
        <w:t>WIPO GREEN</w:t>
      </w:r>
      <w:r w:rsidRPr="00526311">
        <w:rPr>
          <w:color w:val="000000" w:themeColor="text1"/>
          <w:sz w:val="20"/>
          <w:szCs w:val="20"/>
          <w:lang w:val="es-ES"/>
        </w:rPr>
        <w:t xml:space="preserve">, que fue inaugurada en noviembre de 2013, celebró en 2014 su primer año de actividad.  Gracias a la realización de campañas de sensibilización dirigidas a destinatarios específicos, se logró potenciar considerablemente la visibilidad de </w:t>
      </w:r>
      <w:r w:rsidRPr="00526311">
        <w:rPr>
          <w:i/>
          <w:color w:val="000000" w:themeColor="text1"/>
          <w:sz w:val="20"/>
          <w:szCs w:val="20"/>
          <w:lang w:val="es-ES"/>
        </w:rPr>
        <w:t>WIPO GREEN</w:t>
      </w:r>
      <w:r w:rsidRPr="00526311">
        <w:rPr>
          <w:color w:val="000000" w:themeColor="text1"/>
          <w:sz w:val="20"/>
          <w:szCs w:val="20"/>
          <w:lang w:val="es-ES"/>
        </w:rPr>
        <w:t xml:space="preserve"> en 2014.  La red de asociados aumentó de 36 a 54 y el número de usuarios inscritos casi se duplicó, de 160 a 300.  Este crecimiento puso de manifiesto el éxito de la labor de divulgación, que incluyó la utilización de una multitud de canales de comunicación, como las redes sociales y los medios especializados y el Boletín periódico de noticias </w:t>
      </w:r>
      <w:r w:rsidRPr="00526311">
        <w:rPr>
          <w:i/>
          <w:color w:val="000000" w:themeColor="text1"/>
          <w:sz w:val="20"/>
          <w:szCs w:val="20"/>
          <w:lang w:val="es-ES"/>
        </w:rPr>
        <w:t>WIPO GREEN</w:t>
      </w:r>
      <w:r w:rsidRPr="00526311">
        <w:rPr>
          <w:color w:val="000000" w:themeColor="text1"/>
          <w:sz w:val="20"/>
          <w:szCs w:val="20"/>
          <w:lang w:val="es-ES"/>
        </w:rPr>
        <w:t xml:space="preserve">, y la asistencia a diversos foros nacionales regionales e internacionales.  El número de registros de la base de datos </w:t>
      </w:r>
      <w:r w:rsidRPr="00526311">
        <w:rPr>
          <w:rFonts w:eastAsia="Times New Roman"/>
          <w:i/>
          <w:color w:val="000000" w:themeColor="text1"/>
          <w:sz w:val="20"/>
          <w:szCs w:val="20"/>
          <w:lang w:val="es-ES"/>
        </w:rPr>
        <w:t>WIPO GREEN</w:t>
      </w:r>
      <w:r w:rsidRPr="00526311">
        <w:rPr>
          <w:rFonts w:eastAsia="Times New Roman"/>
          <w:color w:val="000000" w:themeColor="text1"/>
          <w:sz w:val="20"/>
          <w:szCs w:val="20"/>
          <w:lang w:val="es-ES"/>
        </w:rPr>
        <w:t xml:space="preserve"> aumentó a más del doble, pasando de 830 a 1.773 registros, gracias a la combinación de los acuerdos de integración de bases de datos y las aportaciones individuales de datos.  </w:t>
      </w:r>
      <w:r w:rsidR="005763A1" w:rsidRPr="00526311">
        <w:rPr>
          <w:rFonts w:eastAsia="Times New Roman"/>
          <w:color w:val="000000" w:themeColor="text1"/>
          <w:sz w:val="20"/>
          <w:szCs w:val="20"/>
          <w:lang w:val="es-ES"/>
        </w:rPr>
        <w:t>Aunque</w:t>
      </w:r>
      <w:r w:rsidRPr="00526311">
        <w:rPr>
          <w:rFonts w:eastAsia="Times New Roman"/>
          <w:color w:val="000000" w:themeColor="text1"/>
          <w:sz w:val="20"/>
          <w:szCs w:val="20"/>
          <w:lang w:val="es-ES"/>
        </w:rPr>
        <w:t xml:space="preserve"> en 2014 se mantuvo el objetivo de constituir un sólido grupo de colaboradores y aumentar el número de registros para propiciar una mayor interacción con el mercado y el uso de la plataforma a los fines de las transacciones, </w:t>
      </w:r>
      <w:r w:rsidRPr="00526311">
        <w:rPr>
          <w:color w:val="000000" w:themeColor="text1"/>
          <w:sz w:val="20"/>
          <w:szCs w:val="20"/>
          <w:lang w:val="es-ES"/>
        </w:rPr>
        <w:t xml:space="preserve">los progresos realizados no se tradujeron en </w:t>
      </w:r>
      <w:r w:rsidR="005763A1" w:rsidRPr="00526311">
        <w:rPr>
          <w:color w:val="000000" w:themeColor="text1"/>
          <w:sz w:val="20"/>
          <w:szCs w:val="20"/>
          <w:lang w:val="es-ES"/>
        </w:rPr>
        <w:t>transacciones</w:t>
      </w:r>
      <w:r w:rsidRPr="00526311">
        <w:rPr>
          <w:color w:val="000000" w:themeColor="text1"/>
          <w:sz w:val="20"/>
          <w:szCs w:val="20"/>
          <w:lang w:val="es-ES"/>
        </w:rPr>
        <w:t xml:space="preserve"> que pudieran atribuirse directamente al uso de</w:t>
      </w:r>
      <w:r w:rsidRPr="00526311">
        <w:rPr>
          <w:rFonts w:eastAsia="Times New Roman"/>
          <w:color w:val="000000" w:themeColor="text1"/>
          <w:sz w:val="20"/>
          <w:szCs w:val="20"/>
          <w:lang w:val="es-ES"/>
        </w:rPr>
        <w:t xml:space="preserve"> </w:t>
      </w:r>
      <w:r w:rsidRPr="00526311">
        <w:rPr>
          <w:rFonts w:eastAsia="Times New Roman"/>
          <w:i/>
          <w:color w:val="000000" w:themeColor="text1"/>
          <w:sz w:val="20"/>
          <w:szCs w:val="20"/>
          <w:lang w:val="es-ES"/>
        </w:rPr>
        <w:t>WIPO GREEN</w:t>
      </w:r>
      <w:r w:rsidRPr="00526311">
        <w:rPr>
          <w:rFonts w:eastAsia="Times New Roman"/>
          <w:color w:val="000000" w:themeColor="text1"/>
          <w:sz w:val="20"/>
          <w:szCs w:val="20"/>
          <w:lang w:val="es-ES"/>
        </w:rPr>
        <w:t xml:space="preserve">.  Por otra parte, el hecho de que </w:t>
      </w:r>
      <w:r w:rsidRPr="00526311">
        <w:rPr>
          <w:rFonts w:eastAsia="Times New Roman"/>
          <w:i/>
          <w:color w:val="000000" w:themeColor="text1"/>
          <w:sz w:val="20"/>
          <w:szCs w:val="20"/>
          <w:lang w:val="es-ES"/>
        </w:rPr>
        <w:t>WIPO GREEN</w:t>
      </w:r>
      <w:r w:rsidRPr="00526311">
        <w:rPr>
          <w:rFonts w:eastAsia="Times New Roman"/>
          <w:color w:val="000000" w:themeColor="text1"/>
          <w:sz w:val="20"/>
          <w:szCs w:val="20"/>
          <w:lang w:val="es-ES"/>
        </w:rPr>
        <w:t xml:space="preserve"> no cuente actualmente con un “centro de vínculos de cooperación” o con un proveedor de servicios, y de que, por lo general, el tiempo necesario para la concertación de acuerdos sea largo, contribuyó también a que no se concretaran transacciones.</w:t>
      </w:r>
    </w:p>
    <w:p w:rsidR="00794E04" w:rsidRPr="00526311" w:rsidRDefault="00794E04" w:rsidP="0063039A">
      <w:pPr>
        <w:pStyle w:val="Default"/>
        <w:widowControl w:val="0"/>
        <w:tabs>
          <w:tab w:val="left" w:pos="0"/>
        </w:tabs>
        <w:jc w:val="both"/>
        <w:rPr>
          <w:color w:val="000000" w:themeColor="text1"/>
          <w:sz w:val="20"/>
          <w:szCs w:val="20"/>
          <w:lang w:val="es-ES"/>
        </w:rPr>
      </w:pPr>
    </w:p>
    <w:p w:rsidR="00794E04" w:rsidRPr="00526311" w:rsidRDefault="00526311" w:rsidP="00794E04">
      <w:pPr>
        <w:pStyle w:val="Default"/>
        <w:widowControl w:val="0"/>
        <w:numPr>
          <w:ilvl w:val="0"/>
          <w:numId w:val="71"/>
        </w:numPr>
        <w:tabs>
          <w:tab w:val="left" w:pos="709"/>
        </w:tabs>
        <w:ind w:left="0" w:firstLine="0"/>
        <w:jc w:val="both"/>
        <w:rPr>
          <w:color w:val="000000" w:themeColor="text1"/>
          <w:sz w:val="20"/>
          <w:szCs w:val="20"/>
          <w:lang w:val="es-ES"/>
        </w:rPr>
      </w:pPr>
      <w:r w:rsidRPr="00526311">
        <w:rPr>
          <w:i/>
          <w:color w:val="000000" w:themeColor="text1"/>
          <w:sz w:val="20"/>
          <w:szCs w:val="20"/>
          <w:lang w:val="es-ES"/>
        </w:rPr>
        <w:t>WIPO Re:Search</w:t>
      </w:r>
      <w:r w:rsidR="00794E04" w:rsidRPr="00526311">
        <w:rPr>
          <w:color w:val="000000" w:themeColor="text1"/>
          <w:sz w:val="20"/>
          <w:szCs w:val="20"/>
          <w:lang w:val="es-ES"/>
        </w:rPr>
        <w:t xml:space="preserve"> – Compartir la innovación en la lucha contra las enfermedades tropicales desatendidas – logró un mayor reconocimiento como plataforma de apoyo a la innovación y </w:t>
      </w:r>
      <w:r w:rsidR="005763A1" w:rsidRPr="00526311">
        <w:rPr>
          <w:color w:val="000000" w:themeColor="text1"/>
          <w:sz w:val="20"/>
          <w:szCs w:val="20"/>
          <w:lang w:val="es-ES"/>
        </w:rPr>
        <w:t>de intercambio de conocimientos</w:t>
      </w:r>
      <w:r w:rsidR="00794E04" w:rsidRPr="00526311">
        <w:rPr>
          <w:color w:val="000000" w:themeColor="text1"/>
          <w:sz w:val="20"/>
          <w:szCs w:val="20"/>
          <w:lang w:val="es-ES"/>
        </w:rPr>
        <w:t xml:space="preserve"> relacionad</w:t>
      </w:r>
      <w:r w:rsidR="005763A1" w:rsidRPr="00526311">
        <w:rPr>
          <w:color w:val="000000" w:themeColor="text1"/>
          <w:sz w:val="20"/>
          <w:szCs w:val="20"/>
          <w:lang w:val="es-ES"/>
        </w:rPr>
        <w:t>os</w:t>
      </w:r>
      <w:r w:rsidR="00794E04" w:rsidRPr="00526311">
        <w:rPr>
          <w:color w:val="000000" w:themeColor="text1"/>
          <w:sz w:val="20"/>
          <w:szCs w:val="20"/>
          <w:lang w:val="es-ES"/>
        </w:rPr>
        <w:t xml:space="preserve"> con la investigación en el ámbito de las enfermedades tropicales desatendidas, la tuberculosis y el paludismo.  En 2014 la plataforma consiguió 38 nuevas colaboraciones e incorporó a 16 nuevos miembros, alcanzado un total de 82 colaboraciones y 96 </w:t>
      </w:r>
      <w:r w:rsidR="00794E04" w:rsidRPr="00526311">
        <w:rPr>
          <w:color w:val="000000" w:themeColor="text1"/>
          <w:sz w:val="20"/>
          <w:szCs w:val="20"/>
          <w:lang w:val="es-ES"/>
        </w:rPr>
        <w:lastRenderedPageBreak/>
        <w:t xml:space="preserve">miembros, de los que seis procedían de países en desarrollo.  Además, el potencial de la plataforma para la transferencia de tecnología de países desarrollados a países en desarrollo respecto de los activos de propiedad intelectual, incluidos los conocimientos especializados y la capacidad técnica, se concretó en la continuación de la concesión de licencias sabáticas a cinco científicos africanos para que realizaran labores de investigación en instituciones de investigación extranjeras.  Las licencias sabáticas, que arrancaron en el bienio pasado, fueron posibles gracias a un fondo fiduciario dotado por el Gobierno australiano.  Cuatro de ellas </w:t>
      </w:r>
      <w:r w:rsidR="005763A1" w:rsidRPr="00526311">
        <w:rPr>
          <w:color w:val="000000" w:themeColor="text1"/>
          <w:sz w:val="20"/>
          <w:szCs w:val="20"/>
          <w:lang w:val="es-ES"/>
        </w:rPr>
        <w:t xml:space="preserve">ya habían </w:t>
      </w:r>
      <w:r w:rsidR="00794E04" w:rsidRPr="00526311">
        <w:rPr>
          <w:color w:val="000000" w:themeColor="text1"/>
          <w:sz w:val="20"/>
          <w:szCs w:val="20"/>
          <w:lang w:val="es-ES"/>
        </w:rPr>
        <w:t>finaliza</w:t>
      </w:r>
      <w:r w:rsidR="005763A1" w:rsidRPr="00526311">
        <w:rPr>
          <w:color w:val="000000" w:themeColor="text1"/>
          <w:sz w:val="20"/>
          <w:szCs w:val="20"/>
          <w:lang w:val="es-ES"/>
        </w:rPr>
        <w:t>d</w:t>
      </w:r>
      <w:r w:rsidR="00794E04" w:rsidRPr="00526311">
        <w:rPr>
          <w:color w:val="000000" w:themeColor="text1"/>
          <w:sz w:val="20"/>
          <w:szCs w:val="20"/>
          <w:lang w:val="es-ES"/>
        </w:rPr>
        <w:t>o a fin</w:t>
      </w:r>
      <w:r w:rsidR="005763A1" w:rsidRPr="00526311">
        <w:rPr>
          <w:color w:val="000000" w:themeColor="text1"/>
          <w:sz w:val="20"/>
          <w:szCs w:val="20"/>
          <w:lang w:val="es-ES"/>
        </w:rPr>
        <w:t>es</w:t>
      </w:r>
      <w:r w:rsidR="00794E04" w:rsidRPr="00526311">
        <w:rPr>
          <w:color w:val="000000" w:themeColor="text1"/>
          <w:sz w:val="20"/>
          <w:szCs w:val="20"/>
          <w:lang w:val="es-ES"/>
        </w:rPr>
        <w:t xml:space="preserve"> de 2014.</w:t>
      </w:r>
    </w:p>
    <w:p w:rsidR="00794E04" w:rsidRPr="00526311" w:rsidRDefault="00794E04" w:rsidP="0063039A">
      <w:pPr>
        <w:widowControl w:val="0"/>
        <w:tabs>
          <w:tab w:val="left" w:pos="709"/>
        </w:tabs>
        <w:jc w:val="both"/>
        <w:rPr>
          <w:bCs/>
        </w:rPr>
      </w:pPr>
    </w:p>
    <w:p w:rsidR="00794E04" w:rsidRPr="00526311" w:rsidRDefault="00794E04" w:rsidP="00794E04">
      <w:pPr>
        <w:pStyle w:val="Default"/>
        <w:widowControl w:val="0"/>
        <w:numPr>
          <w:ilvl w:val="0"/>
          <w:numId w:val="71"/>
        </w:numPr>
        <w:tabs>
          <w:tab w:val="left" w:pos="709"/>
        </w:tabs>
        <w:ind w:left="0" w:firstLine="0"/>
        <w:jc w:val="both"/>
        <w:rPr>
          <w:color w:val="000000" w:themeColor="text1"/>
          <w:sz w:val="20"/>
          <w:szCs w:val="20"/>
          <w:lang w:val="es-ES"/>
        </w:rPr>
      </w:pPr>
      <w:r w:rsidRPr="00526311">
        <w:rPr>
          <w:color w:val="000000" w:themeColor="text1"/>
          <w:sz w:val="20"/>
          <w:szCs w:val="20"/>
          <w:lang w:val="es-ES"/>
        </w:rPr>
        <w:t xml:space="preserve">La cooperación trilateral entre la OMS, la OMPI y la OMC siguió centrándose en la mejora de la comprensión entre los responsables de la formulación de políticas de la interacción entre la salud, la P.I. y el comercio.  En el cuarto simposio trilateral, que tuvo lugar en noviembre de 2014 en Ginebra, se examinaron los desafíos y las oportunidades en la esfera de la innovación en materia de salud en los países de ingresos medianos y las políticas públicas necesarias para asegurar que el rápido crecimiento económico contribuya al acceso y a una cobertura sanitaria universal.  </w:t>
      </w:r>
    </w:p>
    <w:p w:rsidR="00794E04" w:rsidRPr="00526311" w:rsidRDefault="00794E04" w:rsidP="0063039A">
      <w:pPr>
        <w:widowControl w:val="0"/>
        <w:tabs>
          <w:tab w:val="left" w:pos="709"/>
        </w:tabs>
        <w:jc w:val="both"/>
      </w:pPr>
    </w:p>
    <w:p w:rsidR="00794E04" w:rsidRPr="00526311" w:rsidRDefault="00794E04" w:rsidP="00794E04">
      <w:pPr>
        <w:pStyle w:val="Default"/>
        <w:widowControl w:val="0"/>
        <w:numPr>
          <w:ilvl w:val="0"/>
          <w:numId w:val="71"/>
        </w:numPr>
        <w:tabs>
          <w:tab w:val="left" w:pos="709"/>
        </w:tabs>
        <w:ind w:left="0" w:firstLine="0"/>
        <w:jc w:val="both"/>
        <w:rPr>
          <w:color w:val="000000" w:themeColor="text1"/>
          <w:sz w:val="20"/>
          <w:szCs w:val="20"/>
          <w:lang w:val="es-ES"/>
        </w:rPr>
      </w:pPr>
      <w:r w:rsidRPr="00526311">
        <w:rPr>
          <w:color w:val="000000" w:themeColor="text1"/>
          <w:sz w:val="20"/>
          <w:szCs w:val="20"/>
          <w:lang w:val="es-ES"/>
        </w:rPr>
        <w:t>En el ámbito de la P.I. y la política de competencia, los Estados miembros siguieron manifestando interés en mantener un diálogo destinado a mejorar su comprensión sobre la relación entre la P.I. y la política de competencia.  Se recibieron solicitudes tanto de las oficinas de P.I. como de las administraciones competentes en materia de competencia, incluso de economías menos familiarizadas con las cuestiones relacionadas con la competencia en el ámbito de la P.I.</w:t>
      </w:r>
    </w:p>
    <w:p w:rsidR="00794E04" w:rsidRPr="00526311" w:rsidRDefault="00794E04" w:rsidP="0063039A">
      <w:pPr>
        <w:pStyle w:val="Default"/>
        <w:widowControl w:val="0"/>
        <w:tabs>
          <w:tab w:val="left" w:pos="709"/>
        </w:tabs>
        <w:jc w:val="both"/>
        <w:rPr>
          <w:color w:val="000000" w:themeColor="text1"/>
          <w:sz w:val="20"/>
          <w:szCs w:val="20"/>
          <w:lang w:val="es-ES"/>
        </w:rPr>
      </w:pPr>
    </w:p>
    <w:p w:rsidR="00794E04" w:rsidRPr="00526311" w:rsidRDefault="00794E04" w:rsidP="00794E04">
      <w:pPr>
        <w:pStyle w:val="Default"/>
        <w:widowControl w:val="0"/>
        <w:numPr>
          <w:ilvl w:val="0"/>
          <w:numId w:val="71"/>
        </w:numPr>
        <w:tabs>
          <w:tab w:val="left" w:pos="709"/>
        </w:tabs>
        <w:ind w:left="0" w:firstLine="0"/>
        <w:jc w:val="both"/>
        <w:rPr>
          <w:color w:val="000000" w:themeColor="text1"/>
          <w:sz w:val="20"/>
          <w:szCs w:val="20"/>
          <w:lang w:val="es-ES"/>
        </w:rPr>
      </w:pPr>
      <w:r w:rsidRPr="00526311">
        <w:rPr>
          <w:color w:val="000000" w:themeColor="text1"/>
          <w:sz w:val="20"/>
          <w:szCs w:val="20"/>
          <w:lang w:val="es-ES"/>
        </w:rPr>
        <w:t>El número de administraciones competentes en materia de competencia que han mantenido una colaboración con la OMPI aumentó a 26 y se consolidó la cooperación estructurada e informal con otras organizaciones competentes en ese campo, en particular la OCDE, la UNCTAD, la OMC, la Red Internacional de Competencia y el Mercado Común para el África Oriental y Meridional (COMESA), que se había iniciado en el bienio anterior.  La OMPI coorganizó y/o participó en nueve talleres.  Estas actividades conjuntas de las oficinas de P.I. y las administraciones encargadas de cuestiones de competencia sirvieron de foro para el diálogo y el debate sobre la conexión existente entre la P.I. y la política de competencia.</w:t>
      </w:r>
    </w:p>
    <w:p w:rsidR="00794E04" w:rsidRPr="00526311" w:rsidRDefault="00794E04" w:rsidP="0063039A">
      <w:pPr>
        <w:pStyle w:val="Default"/>
        <w:widowControl w:val="0"/>
        <w:tabs>
          <w:tab w:val="left" w:pos="709"/>
        </w:tabs>
        <w:jc w:val="both"/>
        <w:rPr>
          <w:color w:val="000000" w:themeColor="text1"/>
          <w:sz w:val="20"/>
          <w:szCs w:val="20"/>
          <w:lang w:val="es-ES"/>
        </w:rPr>
      </w:pPr>
    </w:p>
    <w:p w:rsidR="00794E04" w:rsidRPr="00526311" w:rsidRDefault="00794E04" w:rsidP="00794E04">
      <w:pPr>
        <w:pStyle w:val="Default"/>
        <w:widowControl w:val="0"/>
        <w:numPr>
          <w:ilvl w:val="0"/>
          <w:numId w:val="71"/>
        </w:numPr>
        <w:tabs>
          <w:tab w:val="left" w:pos="709"/>
        </w:tabs>
        <w:ind w:left="0" w:firstLine="0"/>
        <w:jc w:val="both"/>
        <w:rPr>
          <w:color w:val="000000" w:themeColor="text1"/>
          <w:sz w:val="20"/>
          <w:szCs w:val="20"/>
          <w:lang w:val="es-ES"/>
        </w:rPr>
      </w:pPr>
      <w:r w:rsidRPr="00526311">
        <w:rPr>
          <w:color w:val="000000" w:themeColor="text1"/>
          <w:sz w:val="20"/>
          <w:szCs w:val="20"/>
          <w:lang w:val="es-ES"/>
        </w:rPr>
        <w:t>La concepción, planificación y ejecución de las actividades del programa 18 se basaron en las recomendaciones pertinentes de la Agenda para el Desarrollo, en particular las recomendaciones 19, 25, 30, 40 y 42.</w:t>
      </w:r>
    </w:p>
    <w:p w:rsidR="00794E04" w:rsidRPr="00526311" w:rsidRDefault="00794E04" w:rsidP="0063039A">
      <w:pPr>
        <w:widowControl w:val="0"/>
        <w:tabs>
          <w:tab w:val="left" w:pos="0"/>
          <w:tab w:val="left" w:pos="709"/>
        </w:tabs>
        <w:jc w:val="both"/>
        <w:rPr>
          <w:bCs/>
          <w:szCs w:val="22"/>
        </w:rPr>
      </w:pPr>
    </w:p>
    <w:p w:rsidR="00794E04" w:rsidRPr="00526311" w:rsidRDefault="00794E04" w:rsidP="0063039A">
      <w:pPr>
        <w:widowControl w:val="0"/>
        <w:tabs>
          <w:tab w:val="left" w:pos="709"/>
        </w:tabs>
        <w:rPr>
          <w:bCs/>
          <w:szCs w:val="22"/>
        </w:rPr>
      </w:pPr>
    </w:p>
    <w:p w:rsidR="00794E04" w:rsidRPr="00526311" w:rsidRDefault="00794E04" w:rsidP="0063039A">
      <w:pPr>
        <w:widowControl w:val="0"/>
        <w:rPr>
          <w:szCs w:val="22"/>
        </w:rPr>
      </w:pPr>
      <w:r w:rsidRPr="00526311">
        <w:rPr>
          <w:szCs w:val="22"/>
        </w:rPr>
        <w:t>DATOS SOBRE EL RENDIMIENTO</w:t>
      </w:r>
    </w:p>
    <w:p w:rsidR="00794E04" w:rsidRPr="00526311" w:rsidRDefault="00794E04" w:rsidP="0063039A">
      <w:pPr>
        <w:widowControl w:val="0"/>
        <w:rPr>
          <w:bCs/>
          <w:szCs w:val="22"/>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73"/>
        <w:gridCol w:w="2434"/>
        <w:gridCol w:w="1548"/>
        <w:gridCol w:w="2393"/>
        <w:gridCol w:w="1050"/>
      </w:tblGrid>
      <w:tr w:rsidR="00794E04" w:rsidRPr="00526311" w:rsidTr="0063039A">
        <w:trPr>
          <w:cantSplit/>
          <w:trHeight w:val="479"/>
        </w:trPr>
        <w:tc>
          <w:tcPr>
            <w:tcW w:w="5000" w:type="pct"/>
            <w:gridSpan w:val="5"/>
            <w:tcBorders>
              <w:top w:val="single" w:sz="4" w:space="0" w:color="auto"/>
              <w:bottom w:val="single" w:sz="4" w:space="0" w:color="auto"/>
            </w:tcBorders>
            <w:shd w:val="clear" w:color="auto" w:fill="CCFFFF"/>
            <w:vAlign w:val="center"/>
          </w:tcPr>
          <w:p w:rsidR="00794E04" w:rsidRPr="00526311" w:rsidRDefault="00794E04" w:rsidP="0063039A">
            <w:pPr>
              <w:tabs>
                <w:tab w:val="left" w:pos="1735"/>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794E04" w:rsidRPr="00526311" w:rsidTr="0063039A">
        <w:trPr>
          <w:cantSplit/>
        </w:trPr>
        <w:tc>
          <w:tcPr>
            <w:tcW w:w="1091" w:type="pct"/>
            <w:tcBorders>
              <w:top w:val="single" w:sz="4" w:space="0" w:color="auto"/>
            </w:tcBorders>
            <w:shd w:val="clear" w:color="auto" w:fill="auto"/>
            <w:vAlign w:val="center"/>
          </w:tcPr>
          <w:p w:rsidR="00794E04" w:rsidRPr="00526311" w:rsidRDefault="00794E04" w:rsidP="0063039A">
            <w:pPr>
              <w:widowControl w:val="0"/>
              <w:rPr>
                <w:sz w:val="16"/>
                <w:szCs w:val="16"/>
              </w:rPr>
            </w:pPr>
            <w:r w:rsidRPr="00526311">
              <w:rPr>
                <w:b/>
                <w:sz w:val="16"/>
                <w:szCs w:val="16"/>
              </w:rPr>
              <w:t>Indicadores de rendimiento</w:t>
            </w:r>
          </w:p>
        </w:tc>
        <w:tc>
          <w:tcPr>
            <w:tcW w:w="1281" w:type="pct"/>
            <w:tcBorders>
              <w:top w:val="single" w:sz="4" w:space="0" w:color="auto"/>
            </w:tcBorders>
            <w:shd w:val="clear" w:color="auto" w:fill="auto"/>
            <w:vAlign w:val="center"/>
          </w:tcPr>
          <w:p w:rsidR="00794E04" w:rsidRPr="00526311" w:rsidRDefault="00794E04" w:rsidP="0063039A">
            <w:pPr>
              <w:widowControl w:val="0"/>
              <w:rPr>
                <w:b/>
                <w:bCs/>
                <w:sz w:val="16"/>
                <w:szCs w:val="16"/>
              </w:rPr>
            </w:pPr>
            <w:r w:rsidRPr="00526311">
              <w:rPr>
                <w:b/>
                <w:bCs/>
                <w:sz w:val="16"/>
                <w:szCs w:val="16"/>
              </w:rPr>
              <w:t>Referencia</w:t>
            </w:r>
          </w:p>
        </w:tc>
        <w:tc>
          <w:tcPr>
            <w:tcW w:w="815" w:type="pct"/>
            <w:tcBorders>
              <w:top w:val="single" w:sz="4" w:space="0" w:color="auto"/>
            </w:tcBorders>
            <w:shd w:val="clear" w:color="auto" w:fill="auto"/>
            <w:tcMar>
              <w:top w:w="110" w:type="dxa"/>
            </w:tcMar>
            <w:vAlign w:val="center"/>
          </w:tcPr>
          <w:p w:rsidR="00794E04" w:rsidRPr="00526311" w:rsidRDefault="00794E04" w:rsidP="0063039A">
            <w:pPr>
              <w:widowControl w:val="0"/>
              <w:rPr>
                <w:b/>
                <w:sz w:val="16"/>
                <w:szCs w:val="16"/>
              </w:rPr>
            </w:pPr>
            <w:r w:rsidRPr="00526311">
              <w:rPr>
                <w:b/>
                <w:sz w:val="16"/>
                <w:szCs w:val="16"/>
              </w:rPr>
              <w:t>Objetivos</w:t>
            </w:r>
          </w:p>
        </w:tc>
        <w:tc>
          <w:tcPr>
            <w:tcW w:w="1260" w:type="pct"/>
            <w:tcBorders>
              <w:top w:val="single" w:sz="4" w:space="0" w:color="auto"/>
            </w:tcBorders>
            <w:shd w:val="clear" w:color="auto" w:fill="FFFFFF"/>
            <w:tcMar>
              <w:top w:w="110" w:type="dxa"/>
            </w:tcMar>
            <w:vAlign w:val="center"/>
          </w:tcPr>
          <w:p w:rsidR="00794E04" w:rsidRPr="00526311" w:rsidRDefault="00794E04" w:rsidP="0063039A">
            <w:pPr>
              <w:widowControl w:val="0"/>
              <w:rPr>
                <w:sz w:val="16"/>
                <w:szCs w:val="16"/>
              </w:rPr>
            </w:pPr>
            <w:r w:rsidRPr="00526311">
              <w:rPr>
                <w:b/>
                <w:sz w:val="16"/>
                <w:szCs w:val="16"/>
              </w:rPr>
              <w:t>Datos sobre el rendimiento</w:t>
            </w:r>
          </w:p>
        </w:tc>
        <w:tc>
          <w:tcPr>
            <w:tcW w:w="553" w:type="pct"/>
            <w:tcBorders>
              <w:top w:val="single" w:sz="4" w:space="0" w:color="auto"/>
            </w:tcBorders>
            <w:shd w:val="clear" w:color="auto" w:fill="auto"/>
            <w:tcMar>
              <w:top w:w="110" w:type="dxa"/>
            </w:tcMar>
            <w:vAlign w:val="center"/>
          </w:tcPr>
          <w:p w:rsidR="00794E04" w:rsidRPr="00526311" w:rsidRDefault="00794E04" w:rsidP="0063039A">
            <w:pPr>
              <w:widowControl w:val="0"/>
              <w:ind w:right="-107"/>
              <w:jc w:val="center"/>
              <w:rPr>
                <w:b/>
                <w:bCs/>
                <w:sz w:val="16"/>
                <w:szCs w:val="16"/>
              </w:rPr>
            </w:pPr>
            <w:r w:rsidRPr="00526311">
              <w:rPr>
                <w:b/>
                <w:bCs/>
                <w:sz w:val="16"/>
                <w:szCs w:val="16"/>
              </w:rPr>
              <w:t>Clave de colores</w:t>
            </w:r>
          </w:p>
        </w:tc>
      </w:tr>
      <w:tr w:rsidR="00794E04" w:rsidRPr="00526311" w:rsidTr="0063039A">
        <w:trPr>
          <w:cantSplit/>
        </w:trPr>
        <w:tc>
          <w:tcPr>
            <w:tcW w:w="1091" w:type="pct"/>
            <w:shd w:val="clear" w:color="auto" w:fill="auto"/>
          </w:tcPr>
          <w:p w:rsidR="00794E04" w:rsidRPr="00526311" w:rsidRDefault="00794E04" w:rsidP="0063039A">
            <w:pPr>
              <w:widowControl w:val="0"/>
              <w:rPr>
                <w:sz w:val="16"/>
                <w:szCs w:val="16"/>
              </w:rPr>
            </w:pPr>
            <w:r w:rsidRPr="00526311">
              <w:rPr>
                <w:sz w:val="16"/>
                <w:szCs w:val="16"/>
              </w:rPr>
              <w:t>Número de acuerdos de acogida de científicos de países en desarrollo</w:t>
            </w:r>
          </w:p>
          <w:p w:rsidR="00794E04" w:rsidRPr="00526311" w:rsidRDefault="00794E04" w:rsidP="0063039A">
            <w:pPr>
              <w:widowControl w:val="0"/>
              <w:rPr>
                <w:sz w:val="16"/>
                <w:szCs w:val="16"/>
              </w:rPr>
            </w:pPr>
          </w:p>
        </w:tc>
        <w:tc>
          <w:tcPr>
            <w:tcW w:w="1281" w:type="pct"/>
            <w:shd w:val="clear" w:color="auto" w:fill="auto"/>
          </w:tcPr>
          <w:p w:rsidR="00794E04" w:rsidRPr="00526311" w:rsidRDefault="00794E04" w:rsidP="0063039A">
            <w:pPr>
              <w:widowControl w:val="0"/>
            </w:pPr>
            <w:r w:rsidRPr="00526311">
              <w:rPr>
                <w:i/>
                <w:iCs/>
                <w:sz w:val="16"/>
                <w:szCs w:val="16"/>
              </w:rPr>
              <w:t>Referencia original en el</w:t>
            </w:r>
            <w:r w:rsidRPr="00526311">
              <w:rPr>
                <w:i/>
                <w:iCs/>
                <w:sz w:val="16"/>
                <w:szCs w:val="16"/>
              </w:rPr>
              <w:br/>
              <w:t>presupuesto de 2014/15</w:t>
            </w:r>
            <w:r w:rsidRPr="00526311">
              <w:rPr>
                <w:i/>
                <w:sz w:val="16"/>
                <w:szCs w:val="16"/>
              </w:rPr>
              <w:t xml:space="preserve">: </w:t>
            </w:r>
            <w:r w:rsidRPr="00526311">
              <w:rPr>
                <w:sz w:val="16"/>
                <w:szCs w:val="16"/>
              </w:rPr>
              <w:t xml:space="preserve"> </w:t>
            </w:r>
            <w:r w:rsidRPr="00526311">
              <w:rPr>
                <w:i/>
                <w:sz w:val="16"/>
                <w:szCs w:val="16"/>
              </w:rPr>
              <w:t>5</w:t>
            </w:r>
          </w:p>
          <w:p w:rsidR="00794E04" w:rsidRPr="00526311" w:rsidRDefault="00794E04" w:rsidP="0063039A">
            <w:pPr>
              <w:widowControl w:val="0"/>
              <w:rPr>
                <w:sz w:val="16"/>
                <w:szCs w:val="16"/>
              </w:rPr>
            </w:pPr>
          </w:p>
        </w:tc>
        <w:tc>
          <w:tcPr>
            <w:tcW w:w="815" w:type="pct"/>
            <w:shd w:val="clear" w:color="auto" w:fill="auto"/>
            <w:tcMar>
              <w:top w:w="110" w:type="dxa"/>
            </w:tcMar>
          </w:tcPr>
          <w:p w:rsidR="00794E04" w:rsidRPr="00526311" w:rsidRDefault="00794E04" w:rsidP="0063039A">
            <w:pPr>
              <w:widowControl w:val="0"/>
              <w:autoSpaceDE w:val="0"/>
              <w:autoSpaceDN w:val="0"/>
              <w:adjustRightInd w:val="0"/>
              <w:rPr>
                <w:color w:val="808080"/>
                <w:sz w:val="16"/>
                <w:szCs w:val="16"/>
              </w:rPr>
            </w:pPr>
            <w:r w:rsidRPr="00526311">
              <w:rPr>
                <w:sz w:val="16"/>
                <w:szCs w:val="16"/>
              </w:rPr>
              <w:t>4</w:t>
            </w:r>
          </w:p>
        </w:tc>
        <w:tc>
          <w:tcPr>
            <w:tcW w:w="1260" w:type="pct"/>
            <w:shd w:val="clear" w:color="auto" w:fill="FFFFFF"/>
            <w:tcMar>
              <w:top w:w="110" w:type="dxa"/>
            </w:tcMar>
          </w:tcPr>
          <w:p w:rsidR="00794E04" w:rsidRPr="00526311" w:rsidRDefault="00794E04" w:rsidP="0063039A">
            <w:pPr>
              <w:widowControl w:val="0"/>
              <w:rPr>
                <w:sz w:val="16"/>
                <w:szCs w:val="16"/>
                <w:lang w:bidi="th-TH"/>
              </w:rPr>
            </w:pPr>
            <w:r w:rsidRPr="00526311">
              <w:rPr>
                <w:sz w:val="16"/>
                <w:szCs w:val="16"/>
                <w:lang w:bidi="th-TH"/>
              </w:rPr>
              <w:t>No se facilitaron nuevos acuerdos de acogida en 2014</w:t>
            </w:r>
          </w:p>
        </w:tc>
        <w:tc>
          <w:tcPr>
            <w:tcW w:w="553" w:type="pct"/>
            <w:shd w:val="clear" w:color="auto" w:fill="auto"/>
            <w:tcMar>
              <w:top w:w="110" w:type="dxa"/>
            </w:tcMar>
          </w:tcPr>
          <w:p w:rsidR="00794E04" w:rsidRPr="00526311" w:rsidRDefault="00794E04" w:rsidP="0063039A">
            <w:pPr>
              <w:widowControl w:val="0"/>
              <w:jc w:val="center"/>
              <w:rPr>
                <w:b/>
                <w:bCs/>
                <w:color w:val="808080"/>
                <w:sz w:val="16"/>
                <w:szCs w:val="16"/>
              </w:rPr>
            </w:pPr>
            <w:r w:rsidRPr="00526311">
              <w:rPr>
                <w:b/>
                <w:bCs/>
                <w:color w:val="FF0000"/>
                <w:sz w:val="16"/>
                <w:szCs w:val="16"/>
              </w:rPr>
              <w:t>No avanza</w:t>
            </w:r>
          </w:p>
        </w:tc>
      </w:tr>
      <w:tr w:rsidR="00794E04" w:rsidRPr="00526311" w:rsidTr="0063039A">
        <w:trPr>
          <w:cantSplit/>
          <w:trHeight w:val="492"/>
        </w:trPr>
        <w:tc>
          <w:tcPr>
            <w:tcW w:w="5000" w:type="pct"/>
            <w:gridSpan w:val="5"/>
            <w:tcBorders>
              <w:top w:val="single" w:sz="4" w:space="0" w:color="auto"/>
              <w:bottom w:val="single" w:sz="4" w:space="0" w:color="auto"/>
            </w:tcBorders>
            <w:shd w:val="clear" w:color="auto" w:fill="CCFFFF"/>
            <w:vAlign w:val="center"/>
          </w:tcPr>
          <w:p w:rsidR="00794E04" w:rsidRPr="00526311" w:rsidRDefault="00794E04" w:rsidP="0063039A">
            <w:pPr>
              <w:tabs>
                <w:tab w:val="left" w:pos="1735"/>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sz w:val="16"/>
                <w:szCs w:val="16"/>
              </w:rPr>
              <w:t>IV.2 Mejora del acceso y uso de información de P.I. por parte de instituciones de P.I. y el público para fomentar la innovación y la creatividad</w:t>
            </w:r>
          </w:p>
        </w:tc>
      </w:tr>
      <w:tr w:rsidR="00794E04" w:rsidRPr="00526311" w:rsidTr="0063039A">
        <w:trPr>
          <w:cantSplit/>
        </w:trPr>
        <w:tc>
          <w:tcPr>
            <w:tcW w:w="1091" w:type="pct"/>
            <w:tcBorders>
              <w:top w:val="single" w:sz="4" w:space="0" w:color="auto"/>
            </w:tcBorders>
            <w:shd w:val="clear" w:color="auto" w:fill="auto"/>
            <w:vAlign w:val="center"/>
          </w:tcPr>
          <w:p w:rsidR="00794E04" w:rsidRPr="00526311" w:rsidRDefault="00794E04" w:rsidP="0063039A">
            <w:pPr>
              <w:widowControl w:val="0"/>
              <w:rPr>
                <w:sz w:val="16"/>
                <w:szCs w:val="16"/>
              </w:rPr>
            </w:pPr>
            <w:r w:rsidRPr="00526311">
              <w:rPr>
                <w:b/>
                <w:sz w:val="16"/>
                <w:szCs w:val="16"/>
              </w:rPr>
              <w:t>Indicadores de rendimiento</w:t>
            </w:r>
          </w:p>
        </w:tc>
        <w:tc>
          <w:tcPr>
            <w:tcW w:w="1281" w:type="pct"/>
            <w:tcBorders>
              <w:top w:val="single" w:sz="4" w:space="0" w:color="auto"/>
            </w:tcBorders>
            <w:shd w:val="clear" w:color="auto" w:fill="auto"/>
            <w:vAlign w:val="center"/>
          </w:tcPr>
          <w:p w:rsidR="00794E04" w:rsidRPr="00526311" w:rsidRDefault="00794E04" w:rsidP="0063039A">
            <w:pPr>
              <w:widowControl w:val="0"/>
              <w:rPr>
                <w:b/>
                <w:bCs/>
                <w:sz w:val="16"/>
                <w:szCs w:val="16"/>
              </w:rPr>
            </w:pPr>
            <w:r w:rsidRPr="00526311">
              <w:rPr>
                <w:b/>
                <w:bCs/>
                <w:sz w:val="16"/>
                <w:szCs w:val="16"/>
              </w:rPr>
              <w:t>Referencia</w:t>
            </w:r>
          </w:p>
        </w:tc>
        <w:tc>
          <w:tcPr>
            <w:tcW w:w="815" w:type="pct"/>
            <w:tcBorders>
              <w:top w:val="single" w:sz="4" w:space="0" w:color="auto"/>
            </w:tcBorders>
            <w:shd w:val="clear" w:color="auto" w:fill="auto"/>
            <w:tcMar>
              <w:top w:w="110" w:type="dxa"/>
            </w:tcMar>
            <w:vAlign w:val="center"/>
          </w:tcPr>
          <w:p w:rsidR="00794E04" w:rsidRPr="00526311" w:rsidRDefault="00794E04" w:rsidP="0063039A">
            <w:pPr>
              <w:widowControl w:val="0"/>
              <w:rPr>
                <w:b/>
                <w:sz w:val="16"/>
                <w:szCs w:val="16"/>
              </w:rPr>
            </w:pPr>
            <w:r w:rsidRPr="00526311">
              <w:rPr>
                <w:b/>
                <w:sz w:val="16"/>
                <w:szCs w:val="16"/>
              </w:rPr>
              <w:t>Objetivos</w:t>
            </w:r>
          </w:p>
        </w:tc>
        <w:tc>
          <w:tcPr>
            <w:tcW w:w="1260" w:type="pct"/>
            <w:tcBorders>
              <w:top w:val="single" w:sz="4" w:space="0" w:color="auto"/>
            </w:tcBorders>
            <w:shd w:val="clear" w:color="auto" w:fill="FFFFFF"/>
            <w:tcMar>
              <w:top w:w="110" w:type="dxa"/>
            </w:tcMar>
            <w:vAlign w:val="center"/>
          </w:tcPr>
          <w:p w:rsidR="00794E04" w:rsidRPr="00526311" w:rsidRDefault="00794E04" w:rsidP="0063039A">
            <w:pPr>
              <w:widowControl w:val="0"/>
              <w:rPr>
                <w:sz w:val="16"/>
                <w:szCs w:val="16"/>
              </w:rPr>
            </w:pPr>
            <w:r w:rsidRPr="00526311">
              <w:rPr>
                <w:b/>
                <w:sz w:val="16"/>
                <w:szCs w:val="16"/>
              </w:rPr>
              <w:t>Datos sobre el rendimiento</w:t>
            </w:r>
          </w:p>
        </w:tc>
        <w:tc>
          <w:tcPr>
            <w:tcW w:w="553" w:type="pct"/>
            <w:tcBorders>
              <w:top w:val="single" w:sz="4" w:space="0" w:color="auto"/>
            </w:tcBorders>
            <w:shd w:val="clear" w:color="auto" w:fill="auto"/>
            <w:tcMar>
              <w:top w:w="110" w:type="dxa"/>
            </w:tcMar>
            <w:vAlign w:val="center"/>
          </w:tcPr>
          <w:p w:rsidR="00794E04" w:rsidRPr="00526311" w:rsidRDefault="00794E04" w:rsidP="0063039A">
            <w:pPr>
              <w:widowControl w:val="0"/>
              <w:ind w:right="-107"/>
              <w:jc w:val="center"/>
              <w:rPr>
                <w:b/>
                <w:bCs/>
                <w:sz w:val="16"/>
                <w:szCs w:val="16"/>
              </w:rPr>
            </w:pPr>
            <w:r w:rsidRPr="00526311">
              <w:rPr>
                <w:b/>
                <w:bCs/>
                <w:sz w:val="16"/>
                <w:szCs w:val="16"/>
              </w:rPr>
              <w:t>Clave de colores</w:t>
            </w:r>
          </w:p>
        </w:tc>
      </w:tr>
      <w:tr w:rsidR="00794E04" w:rsidRPr="00526311" w:rsidTr="0063039A">
        <w:trPr>
          <w:cantSplit/>
        </w:trPr>
        <w:tc>
          <w:tcPr>
            <w:tcW w:w="1091" w:type="pct"/>
            <w:tcBorders>
              <w:bottom w:val="single" w:sz="4" w:space="0" w:color="auto"/>
            </w:tcBorders>
            <w:shd w:val="clear" w:color="auto" w:fill="auto"/>
          </w:tcPr>
          <w:p w:rsidR="00794E04" w:rsidRPr="00526311" w:rsidRDefault="00794E04" w:rsidP="0063039A">
            <w:pPr>
              <w:widowControl w:val="0"/>
              <w:rPr>
                <w:sz w:val="16"/>
                <w:szCs w:val="16"/>
              </w:rPr>
            </w:pPr>
            <w:r w:rsidRPr="00526311">
              <w:rPr>
                <w:sz w:val="16"/>
                <w:szCs w:val="16"/>
              </w:rPr>
              <w:t xml:space="preserve">Número de países que han verificado los datos e incluido medicamentos esenciales nacionales en </w:t>
            </w:r>
            <w:r w:rsidRPr="00526311">
              <w:rPr>
                <w:i/>
                <w:sz w:val="16"/>
                <w:szCs w:val="16"/>
              </w:rPr>
              <w:t>WIPO Essential</w:t>
            </w:r>
            <w:r w:rsidRPr="00526311">
              <w:rPr>
                <w:sz w:val="16"/>
                <w:szCs w:val="16"/>
              </w:rPr>
              <w:t xml:space="preserve"> </w:t>
            </w:r>
          </w:p>
        </w:tc>
        <w:tc>
          <w:tcPr>
            <w:tcW w:w="1281" w:type="pct"/>
            <w:tcBorders>
              <w:bottom w:val="single" w:sz="4" w:space="0" w:color="auto"/>
            </w:tcBorders>
            <w:shd w:val="clear" w:color="auto" w:fill="auto"/>
          </w:tcPr>
          <w:p w:rsidR="00794E04" w:rsidRPr="00526311" w:rsidRDefault="00794E04" w:rsidP="0063039A">
            <w:pPr>
              <w:widowControl w:val="0"/>
            </w:pPr>
            <w:r w:rsidRPr="00526311">
              <w:rPr>
                <w:sz w:val="16"/>
                <w:szCs w:val="16"/>
              </w:rPr>
              <w:t xml:space="preserve">0 (cero). </w:t>
            </w:r>
          </w:p>
          <w:p w:rsidR="00794E04" w:rsidRPr="00526311" w:rsidRDefault="00794E04" w:rsidP="0063039A">
            <w:pPr>
              <w:widowControl w:val="0"/>
              <w:rPr>
                <w:sz w:val="16"/>
                <w:szCs w:val="16"/>
              </w:rPr>
            </w:pPr>
          </w:p>
        </w:tc>
        <w:tc>
          <w:tcPr>
            <w:tcW w:w="815" w:type="pct"/>
            <w:tcBorders>
              <w:bottom w:val="single" w:sz="4" w:space="0" w:color="auto"/>
            </w:tcBorders>
            <w:shd w:val="clear" w:color="auto" w:fill="auto"/>
            <w:tcMar>
              <w:top w:w="110" w:type="dxa"/>
            </w:tcMar>
          </w:tcPr>
          <w:p w:rsidR="00794E04" w:rsidRPr="00526311" w:rsidRDefault="00794E04" w:rsidP="0063039A">
            <w:pPr>
              <w:widowControl w:val="0"/>
              <w:rPr>
                <w:sz w:val="16"/>
                <w:szCs w:val="16"/>
              </w:rPr>
            </w:pPr>
            <w:r w:rsidRPr="00526311">
              <w:rPr>
                <w:sz w:val="16"/>
                <w:szCs w:val="16"/>
              </w:rPr>
              <w:t>1 país por región (África, Asia, América Latina y el Caribe).</w:t>
            </w:r>
          </w:p>
        </w:tc>
        <w:tc>
          <w:tcPr>
            <w:tcW w:w="1260" w:type="pct"/>
            <w:tcBorders>
              <w:bottom w:val="single" w:sz="4" w:space="0" w:color="auto"/>
            </w:tcBorders>
            <w:shd w:val="clear" w:color="auto" w:fill="FFFFFF"/>
            <w:tcMar>
              <w:top w:w="110" w:type="dxa"/>
            </w:tcMar>
          </w:tcPr>
          <w:p w:rsidR="00794E04" w:rsidRPr="00526311" w:rsidRDefault="00794E04" w:rsidP="0063039A">
            <w:pPr>
              <w:widowControl w:val="0"/>
              <w:rPr>
                <w:sz w:val="16"/>
                <w:szCs w:val="16"/>
              </w:rPr>
            </w:pPr>
            <w:r w:rsidRPr="00526311">
              <w:rPr>
                <w:sz w:val="16"/>
                <w:szCs w:val="16"/>
              </w:rPr>
              <w:t xml:space="preserve">En 2014 </w:t>
            </w:r>
            <w:r w:rsidRPr="00526311">
              <w:rPr>
                <w:i/>
                <w:sz w:val="16"/>
                <w:szCs w:val="16"/>
              </w:rPr>
              <w:t>WIPO Essential</w:t>
            </w:r>
            <w:r w:rsidRPr="00526311">
              <w:rPr>
                <w:sz w:val="16"/>
                <w:szCs w:val="16"/>
              </w:rPr>
              <w:t xml:space="preserve"> se redefinió como el estudio de la situación de las patentes de medicamentos que figuran en la</w:t>
            </w:r>
            <w:r w:rsidRPr="00526311">
              <w:t xml:space="preserve"> </w:t>
            </w:r>
            <w:r w:rsidRPr="00526311">
              <w:rPr>
                <w:sz w:val="16"/>
                <w:szCs w:val="16"/>
              </w:rPr>
              <w:t>Lista Modelo de Medicamentos Esenciales de la OMS.  Su publicación está prevista para finales de 2015</w:t>
            </w:r>
          </w:p>
        </w:tc>
        <w:tc>
          <w:tcPr>
            <w:tcW w:w="553" w:type="pct"/>
            <w:tcBorders>
              <w:bottom w:val="single" w:sz="4" w:space="0" w:color="auto"/>
            </w:tcBorders>
            <w:shd w:val="clear" w:color="auto" w:fill="auto"/>
            <w:tcMar>
              <w:top w:w="110" w:type="dxa"/>
            </w:tcMar>
          </w:tcPr>
          <w:p w:rsidR="00794E04" w:rsidRPr="00526311" w:rsidRDefault="00794E04" w:rsidP="0063039A">
            <w:pPr>
              <w:widowControl w:val="0"/>
              <w:jc w:val="center"/>
              <w:rPr>
                <w:b/>
                <w:bCs/>
                <w:sz w:val="16"/>
                <w:szCs w:val="16"/>
              </w:rPr>
            </w:pPr>
            <w:r w:rsidRPr="00526311">
              <w:rPr>
                <w:b/>
                <w:bCs/>
                <w:sz w:val="16"/>
                <w:szCs w:val="16"/>
              </w:rPr>
              <w:t>Disconti-nuado</w:t>
            </w:r>
          </w:p>
        </w:tc>
      </w:tr>
    </w:tbl>
    <w:p w:rsidR="00794E04" w:rsidRPr="00526311" w:rsidRDefault="00794E04" w:rsidP="0063039A">
      <w:pPr>
        <w:widowControl w:val="0"/>
      </w:pPr>
    </w:p>
    <w:p w:rsidR="00794E04" w:rsidRPr="00526311" w:rsidRDefault="00794E04" w:rsidP="0063039A">
      <w:pPr>
        <w:widowControl w:val="0"/>
      </w:pPr>
      <w:r w:rsidRPr="00526311">
        <w:br w:type="page"/>
      </w:r>
    </w:p>
    <w:p w:rsidR="00794E04" w:rsidRPr="00526311" w:rsidRDefault="00794E04" w:rsidP="0063039A">
      <w:pPr>
        <w:widowControl w:val="0"/>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4"/>
        <w:gridCol w:w="107"/>
        <w:gridCol w:w="2427"/>
        <w:gridCol w:w="15"/>
        <w:gridCol w:w="1166"/>
        <w:gridCol w:w="86"/>
        <w:gridCol w:w="2395"/>
        <w:gridCol w:w="13"/>
        <w:gridCol w:w="128"/>
        <w:gridCol w:w="1120"/>
      </w:tblGrid>
      <w:tr w:rsidR="00794E04" w:rsidRPr="00526311" w:rsidTr="0063039A">
        <w:trPr>
          <w:cantSplit/>
          <w:trHeight w:val="430"/>
        </w:trPr>
        <w:tc>
          <w:tcPr>
            <w:tcW w:w="5000" w:type="pct"/>
            <w:gridSpan w:val="10"/>
            <w:tcBorders>
              <w:top w:val="single" w:sz="4" w:space="0" w:color="auto"/>
              <w:bottom w:val="single" w:sz="4" w:space="0" w:color="auto"/>
            </w:tcBorders>
            <w:shd w:val="clear" w:color="auto" w:fill="CCFFFF"/>
            <w:vAlign w:val="center"/>
          </w:tcPr>
          <w:p w:rsidR="00794E04" w:rsidRPr="00526311" w:rsidRDefault="00794E04" w:rsidP="0063039A">
            <w:pPr>
              <w:tabs>
                <w:tab w:val="left" w:pos="1735"/>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sz w:val="16"/>
                <w:szCs w:val="16"/>
              </w:rPr>
              <w:t>VII.2 Plataformas y herramientas de P.I. utilizadas para la transferencia de conocimiento y la difusión y adaptación de tecnología de los países desarrollados en los países en desarrollo, en particular en los menos adelantados, con el fin de atender los desafíos mundiales</w:t>
            </w:r>
          </w:p>
        </w:tc>
      </w:tr>
      <w:tr w:rsidR="00794E04" w:rsidRPr="00526311" w:rsidTr="0063039A">
        <w:trPr>
          <w:cantSplit/>
        </w:trPr>
        <w:tc>
          <w:tcPr>
            <w:tcW w:w="1160" w:type="pct"/>
            <w:gridSpan w:val="2"/>
            <w:tcBorders>
              <w:top w:val="single" w:sz="4" w:space="0" w:color="auto"/>
            </w:tcBorders>
            <w:shd w:val="clear" w:color="auto" w:fill="auto"/>
            <w:vAlign w:val="center"/>
          </w:tcPr>
          <w:p w:rsidR="00794E04" w:rsidRPr="00526311" w:rsidRDefault="00794E04" w:rsidP="0063039A">
            <w:pPr>
              <w:widowControl w:val="0"/>
              <w:rPr>
                <w:sz w:val="16"/>
                <w:szCs w:val="16"/>
              </w:rPr>
            </w:pPr>
            <w:r w:rsidRPr="00526311">
              <w:rPr>
                <w:b/>
                <w:sz w:val="16"/>
                <w:szCs w:val="16"/>
              </w:rPr>
              <w:t>Indicadores de rendimiento</w:t>
            </w:r>
          </w:p>
        </w:tc>
        <w:tc>
          <w:tcPr>
            <w:tcW w:w="1276" w:type="pct"/>
            <w:gridSpan w:val="2"/>
            <w:tcBorders>
              <w:top w:val="single" w:sz="4" w:space="0" w:color="auto"/>
            </w:tcBorders>
            <w:shd w:val="clear" w:color="auto" w:fill="auto"/>
            <w:vAlign w:val="center"/>
          </w:tcPr>
          <w:p w:rsidR="00794E04" w:rsidRPr="00526311" w:rsidRDefault="00794E04" w:rsidP="0063039A">
            <w:pPr>
              <w:widowControl w:val="0"/>
              <w:rPr>
                <w:b/>
                <w:bCs/>
                <w:sz w:val="16"/>
                <w:szCs w:val="16"/>
              </w:rPr>
            </w:pPr>
            <w:r w:rsidRPr="00526311">
              <w:rPr>
                <w:b/>
                <w:bCs/>
                <w:sz w:val="16"/>
                <w:szCs w:val="16"/>
              </w:rPr>
              <w:t>Referencia</w:t>
            </w:r>
          </w:p>
        </w:tc>
        <w:tc>
          <w:tcPr>
            <w:tcW w:w="609" w:type="pct"/>
            <w:tcBorders>
              <w:top w:val="single" w:sz="4" w:space="0" w:color="auto"/>
            </w:tcBorders>
            <w:shd w:val="clear" w:color="auto" w:fill="auto"/>
            <w:tcMar>
              <w:top w:w="110" w:type="dxa"/>
            </w:tcMar>
            <w:vAlign w:val="center"/>
          </w:tcPr>
          <w:p w:rsidR="00794E04" w:rsidRPr="00526311" w:rsidRDefault="00794E04" w:rsidP="0063039A">
            <w:pPr>
              <w:widowControl w:val="0"/>
              <w:rPr>
                <w:b/>
                <w:sz w:val="16"/>
                <w:szCs w:val="16"/>
              </w:rPr>
            </w:pPr>
            <w:r w:rsidRPr="00526311">
              <w:rPr>
                <w:b/>
                <w:sz w:val="16"/>
                <w:szCs w:val="16"/>
              </w:rPr>
              <w:t>Objetivos</w:t>
            </w:r>
          </w:p>
        </w:tc>
        <w:tc>
          <w:tcPr>
            <w:tcW w:w="1303" w:type="pct"/>
            <w:gridSpan w:val="3"/>
            <w:tcBorders>
              <w:top w:val="single" w:sz="4" w:space="0" w:color="auto"/>
            </w:tcBorders>
            <w:shd w:val="clear" w:color="auto" w:fill="FFFFFF"/>
            <w:tcMar>
              <w:top w:w="110" w:type="dxa"/>
            </w:tcMar>
            <w:vAlign w:val="center"/>
          </w:tcPr>
          <w:p w:rsidR="00794E04" w:rsidRPr="00526311" w:rsidRDefault="00794E04" w:rsidP="0063039A">
            <w:pPr>
              <w:widowControl w:val="0"/>
              <w:rPr>
                <w:sz w:val="16"/>
                <w:szCs w:val="16"/>
              </w:rPr>
            </w:pPr>
            <w:r w:rsidRPr="00526311">
              <w:rPr>
                <w:b/>
                <w:sz w:val="16"/>
                <w:szCs w:val="16"/>
              </w:rPr>
              <w:t>Datos sobre el rendimiento</w:t>
            </w:r>
          </w:p>
        </w:tc>
        <w:tc>
          <w:tcPr>
            <w:tcW w:w="652" w:type="pct"/>
            <w:gridSpan w:val="2"/>
            <w:tcBorders>
              <w:top w:val="single" w:sz="4" w:space="0" w:color="auto"/>
            </w:tcBorders>
            <w:shd w:val="clear" w:color="auto" w:fill="auto"/>
            <w:tcMar>
              <w:top w:w="110" w:type="dxa"/>
            </w:tcMar>
            <w:vAlign w:val="center"/>
          </w:tcPr>
          <w:p w:rsidR="00794E04" w:rsidRPr="00526311" w:rsidRDefault="00794E04" w:rsidP="0063039A">
            <w:pPr>
              <w:widowControl w:val="0"/>
              <w:ind w:right="-107"/>
              <w:jc w:val="center"/>
              <w:rPr>
                <w:b/>
                <w:bCs/>
                <w:sz w:val="16"/>
                <w:szCs w:val="16"/>
              </w:rPr>
            </w:pPr>
            <w:r w:rsidRPr="00526311">
              <w:rPr>
                <w:b/>
                <w:bCs/>
                <w:sz w:val="16"/>
                <w:szCs w:val="16"/>
              </w:rPr>
              <w:t>Clave de colores</w:t>
            </w:r>
          </w:p>
        </w:tc>
      </w:tr>
      <w:tr w:rsidR="00794E04" w:rsidRPr="00526311" w:rsidTr="0063039A">
        <w:trPr>
          <w:cantSplit/>
        </w:trPr>
        <w:tc>
          <w:tcPr>
            <w:tcW w:w="1160" w:type="pct"/>
            <w:gridSpan w:val="2"/>
            <w:shd w:val="clear" w:color="auto" w:fill="auto"/>
          </w:tcPr>
          <w:p w:rsidR="00794E04" w:rsidRPr="00526311" w:rsidRDefault="00794E04" w:rsidP="0063039A">
            <w:pPr>
              <w:widowControl w:val="0"/>
              <w:rPr>
                <w:sz w:val="16"/>
                <w:szCs w:val="16"/>
              </w:rPr>
            </w:pPr>
            <w:r w:rsidRPr="00526311">
              <w:rPr>
                <w:sz w:val="16"/>
                <w:szCs w:val="16"/>
              </w:rPr>
              <w:t xml:space="preserve">Aumento del número de miembros de </w:t>
            </w:r>
            <w:r w:rsidR="00526311" w:rsidRPr="00526311">
              <w:rPr>
                <w:i/>
                <w:sz w:val="16"/>
                <w:szCs w:val="16"/>
              </w:rPr>
              <w:t>WIPO Re:Search</w:t>
            </w:r>
            <w:r w:rsidRPr="00526311">
              <w:rPr>
                <w:sz w:val="16"/>
                <w:szCs w:val="16"/>
              </w:rPr>
              <w:t>, incluidos los procedentes de países en desarrollo y PMA</w:t>
            </w:r>
          </w:p>
        </w:tc>
        <w:tc>
          <w:tcPr>
            <w:tcW w:w="1276" w:type="pct"/>
            <w:gridSpan w:val="2"/>
            <w:shd w:val="clear" w:color="auto" w:fill="auto"/>
          </w:tcPr>
          <w:p w:rsidR="00794E04" w:rsidRPr="00526311" w:rsidRDefault="00794E04" w:rsidP="0063039A">
            <w:pPr>
              <w:widowControl w:val="0"/>
              <w:rPr>
                <w:i/>
                <w:color w:val="002060"/>
                <w:sz w:val="16"/>
                <w:szCs w:val="16"/>
              </w:rPr>
            </w:pPr>
            <w:r w:rsidRPr="00526311">
              <w:rPr>
                <w:i/>
                <w:color w:val="002060"/>
                <w:sz w:val="16"/>
                <w:szCs w:val="16"/>
              </w:rPr>
              <w:t xml:space="preserve">Referencia actualizada a fines de 2013:  </w:t>
            </w:r>
            <w:r w:rsidRPr="00526311">
              <w:rPr>
                <w:color w:val="002060"/>
                <w:sz w:val="16"/>
                <w:szCs w:val="16"/>
              </w:rPr>
              <w:t xml:space="preserve">Durante el bienio, </w:t>
            </w:r>
            <w:r w:rsidR="00526311" w:rsidRPr="00526311">
              <w:rPr>
                <w:i/>
                <w:color w:val="002060"/>
                <w:sz w:val="16"/>
                <w:szCs w:val="16"/>
              </w:rPr>
              <w:t>WIPO Re:Search</w:t>
            </w:r>
            <w:r w:rsidRPr="00526311">
              <w:rPr>
                <w:color w:val="002060"/>
                <w:sz w:val="16"/>
                <w:szCs w:val="16"/>
              </w:rPr>
              <w:t xml:space="preserve"> incorporó 49 nuevos miembros (proveedores, usuarios y colaboradores) y 167 nuevos registros en la base de datos:</w:t>
            </w:r>
          </w:p>
          <w:p w:rsidR="00794E04" w:rsidRPr="00526311" w:rsidRDefault="00794E04" w:rsidP="00794E04">
            <w:pPr>
              <w:widowControl w:val="0"/>
              <w:numPr>
                <w:ilvl w:val="0"/>
                <w:numId w:val="69"/>
              </w:numPr>
              <w:ind w:left="278" w:hanging="278"/>
              <w:rPr>
                <w:color w:val="002060"/>
                <w:sz w:val="16"/>
                <w:szCs w:val="16"/>
              </w:rPr>
            </w:pPr>
            <w:r w:rsidRPr="00526311">
              <w:rPr>
                <w:color w:val="002060"/>
                <w:sz w:val="16"/>
                <w:szCs w:val="16"/>
              </w:rPr>
              <w:t xml:space="preserve">30 nuevos miembros y 90 nuevos registros en 2012;  y  </w:t>
            </w:r>
          </w:p>
          <w:p w:rsidR="00794E04" w:rsidRPr="00526311" w:rsidRDefault="00794E04" w:rsidP="00794E04">
            <w:pPr>
              <w:widowControl w:val="0"/>
              <w:numPr>
                <w:ilvl w:val="0"/>
                <w:numId w:val="69"/>
              </w:numPr>
              <w:ind w:left="278" w:hanging="278"/>
              <w:rPr>
                <w:color w:val="002060"/>
                <w:sz w:val="16"/>
                <w:szCs w:val="16"/>
              </w:rPr>
            </w:pPr>
            <w:r w:rsidRPr="00526311">
              <w:rPr>
                <w:color w:val="002060"/>
                <w:sz w:val="16"/>
                <w:szCs w:val="16"/>
              </w:rPr>
              <w:t>19 nuevos miembros y 77 nuevos registros en 2013,</w:t>
            </w:r>
          </w:p>
          <w:p w:rsidR="00794E04" w:rsidRPr="00526311" w:rsidRDefault="00794E04" w:rsidP="0063039A">
            <w:pPr>
              <w:widowControl w:val="0"/>
              <w:rPr>
                <w:color w:val="002060"/>
                <w:sz w:val="16"/>
                <w:szCs w:val="16"/>
              </w:rPr>
            </w:pPr>
            <w:r w:rsidRPr="00526311">
              <w:rPr>
                <w:color w:val="002060"/>
                <w:sz w:val="16"/>
                <w:szCs w:val="16"/>
              </w:rPr>
              <w:t>lo que suma un total de 80 miembros y 247 registros.</w:t>
            </w:r>
          </w:p>
          <w:p w:rsidR="00794E04" w:rsidRPr="00526311" w:rsidRDefault="00794E04" w:rsidP="0063039A">
            <w:pPr>
              <w:widowControl w:val="0"/>
              <w:rPr>
                <w:sz w:val="16"/>
                <w:szCs w:val="16"/>
              </w:rPr>
            </w:pPr>
            <w:r w:rsidRPr="00526311">
              <w:rPr>
                <w:color w:val="002060"/>
                <w:sz w:val="16"/>
                <w:szCs w:val="16"/>
              </w:rPr>
              <w:br/>
            </w:r>
            <w:r w:rsidRPr="00526311">
              <w:rPr>
                <w:i/>
                <w:iCs/>
                <w:color w:val="002060"/>
                <w:sz w:val="16"/>
                <w:szCs w:val="16"/>
              </w:rPr>
              <w:t>Referencia original en el</w:t>
            </w:r>
            <w:r w:rsidRPr="00526311">
              <w:rPr>
                <w:i/>
                <w:iCs/>
                <w:color w:val="002060"/>
                <w:sz w:val="16"/>
                <w:szCs w:val="16"/>
              </w:rPr>
              <w:br/>
              <w:t>presupuesto de 2014/15</w:t>
            </w:r>
            <w:r w:rsidRPr="00526311">
              <w:rPr>
                <w:i/>
                <w:color w:val="002060"/>
                <w:sz w:val="16"/>
                <w:szCs w:val="16"/>
              </w:rPr>
              <w:t>:</w:t>
            </w:r>
            <w:r w:rsidRPr="00526311">
              <w:rPr>
                <w:color w:val="002060"/>
                <w:sz w:val="16"/>
                <w:szCs w:val="16"/>
              </w:rPr>
              <w:t xml:space="preserve">  67 miembros; 16 de países en desarrollo</w:t>
            </w:r>
          </w:p>
        </w:tc>
        <w:tc>
          <w:tcPr>
            <w:tcW w:w="609" w:type="pct"/>
            <w:shd w:val="clear" w:color="auto" w:fill="auto"/>
            <w:tcMar>
              <w:top w:w="110" w:type="dxa"/>
            </w:tcMar>
          </w:tcPr>
          <w:p w:rsidR="00794E04" w:rsidRPr="00526311" w:rsidRDefault="00794E04" w:rsidP="0063039A">
            <w:pPr>
              <w:widowControl w:val="0"/>
              <w:rPr>
                <w:sz w:val="16"/>
                <w:szCs w:val="16"/>
              </w:rPr>
            </w:pPr>
            <w:r w:rsidRPr="00526311">
              <w:rPr>
                <w:sz w:val="16"/>
                <w:szCs w:val="16"/>
              </w:rPr>
              <w:t>15 (de los que al menos 5 proceden de países en desarrollo y PMA).</w:t>
            </w:r>
          </w:p>
        </w:tc>
        <w:tc>
          <w:tcPr>
            <w:tcW w:w="1303" w:type="pct"/>
            <w:gridSpan w:val="3"/>
            <w:shd w:val="clear" w:color="auto" w:fill="FFFFFF"/>
            <w:tcMar>
              <w:top w:w="110" w:type="dxa"/>
            </w:tcMar>
          </w:tcPr>
          <w:p w:rsidR="00794E04" w:rsidRPr="00526311" w:rsidRDefault="00794E04" w:rsidP="0063039A">
            <w:pPr>
              <w:widowControl w:val="0"/>
              <w:rPr>
                <w:sz w:val="16"/>
                <w:szCs w:val="16"/>
                <w:lang w:bidi="th-TH"/>
              </w:rPr>
            </w:pPr>
            <w:r w:rsidRPr="00526311">
              <w:rPr>
                <w:sz w:val="16"/>
                <w:szCs w:val="16"/>
                <w:lang w:bidi="th-TH"/>
              </w:rPr>
              <w:t>16 nuevos miembros (de los que 6 proceden de países en desarrollo y PMA)</w:t>
            </w:r>
          </w:p>
          <w:p w:rsidR="00794E04" w:rsidRPr="00526311" w:rsidRDefault="00794E04" w:rsidP="0063039A">
            <w:pPr>
              <w:widowControl w:val="0"/>
              <w:rPr>
                <w:sz w:val="16"/>
                <w:szCs w:val="16"/>
                <w:lang w:bidi="th-TH"/>
              </w:rPr>
            </w:pPr>
            <w:r w:rsidRPr="00526311">
              <w:rPr>
                <w:sz w:val="16"/>
                <w:szCs w:val="16"/>
                <w:lang w:bidi="th-TH"/>
              </w:rPr>
              <w:t>96 miembros en total (de los que 27 proceden de países en desarrollo)</w:t>
            </w:r>
          </w:p>
          <w:p w:rsidR="00794E04" w:rsidRPr="00526311" w:rsidRDefault="00794E04" w:rsidP="0063039A">
            <w:pPr>
              <w:widowControl w:val="0"/>
              <w:rPr>
                <w:sz w:val="16"/>
                <w:szCs w:val="16"/>
                <w:lang w:bidi="th-TH"/>
              </w:rPr>
            </w:pPr>
          </w:p>
          <w:p w:rsidR="00794E04" w:rsidRPr="00526311" w:rsidRDefault="00794E04" w:rsidP="0063039A">
            <w:pPr>
              <w:widowControl w:val="0"/>
              <w:rPr>
                <w:sz w:val="16"/>
                <w:szCs w:val="16"/>
                <w:lang w:bidi="th-TH"/>
              </w:rPr>
            </w:pPr>
          </w:p>
          <w:p w:rsidR="00794E04" w:rsidRPr="00526311" w:rsidRDefault="00794E04" w:rsidP="0063039A">
            <w:pPr>
              <w:widowControl w:val="0"/>
              <w:rPr>
                <w:sz w:val="16"/>
                <w:szCs w:val="16"/>
                <w:lang w:bidi="th-TH"/>
              </w:rPr>
            </w:pPr>
          </w:p>
          <w:p w:rsidR="00794E04" w:rsidRPr="00526311" w:rsidRDefault="00794E04" w:rsidP="0063039A">
            <w:pPr>
              <w:widowControl w:val="0"/>
              <w:rPr>
                <w:sz w:val="16"/>
                <w:szCs w:val="16"/>
                <w:lang w:bidi="th-TH"/>
              </w:rPr>
            </w:pPr>
          </w:p>
          <w:p w:rsidR="00794E04" w:rsidRPr="00526311" w:rsidRDefault="00794E04" w:rsidP="0063039A">
            <w:pPr>
              <w:widowControl w:val="0"/>
              <w:rPr>
                <w:sz w:val="16"/>
                <w:szCs w:val="16"/>
              </w:rPr>
            </w:pPr>
          </w:p>
        </w:tc>
        <w:tc>
          <w:tcPr>
            <w:tcW w:w="652" w:type="pct"/>
            <w:gridSpan w:val="2"/>
            <w:shd w:val="clear" w:color="auto" w:fill="auto"/>
            <w:tcMar>
              <w:top w:w="110" w:type="dxa"/>
            </w:tcMar>
          </w:tcPr>
          <w:p w:rsidR="00794E04" w:rsidRPr="00526311" w:rsidRDefault="005763A1" w:rsidP="0063039A">
            <w:pPr>
              <w:widowControl w:val="0"/>
              <w:jc w:val="center"/>
              <w:rPr>
                <w:b/>
                <w:bCs/>
                <w:color w:val="808080"/>
                <w:sz w:val="16"/>
                <w:szCs w:val="16"/>
              </w:rPr>
            </w:pPr>
            <w:r w:rsidRPr="00526311">
              <w:rPr>
                <w:b/>
                <w:bCs/>
                <w:color w:val="008000"/>
                <w:sz w:val="16"/>
                <w:szCs w:val="16"/>
              </w:rPr>
              <w:t>Avanza</w:t>
            </w:r>
          </w:p>
        </w:tc>
      </w:tr>
      <w:tr w:rsidR="00794E04" w:rsidRPr="00526311" w:rsidTr="0063039A">
        <w:trPr>
          <w:cantSplit/>
        </w:trPr>
        <w:tc>
          <w:tcPr>
            <w:tcW w:w="1160" w:type="pct"/>
            <w:gridSpan w:val="2"/>
            <w:tcBorders>
              <w:bottom w:val="nil"/>
            </w:tcBorders>
            <w:shd w:val="clear" w:color="auto" w:fill="auto"/>
          </w:tcPr>
          <w:p w:rsidR="00794E04" w:rsidRPr="00526311" w:rsidRDefault="00794E04" w:rsidP="0063039A">
            <w:pPr>
              <w:widowControl w:val="0"/>
              <w:rPr>
                <w:sz w:val="16"/>
                <w:szCs w:val="16"/>
              </w:rPr>
            </w:pPr>
            <w:r w:rsidRPr="00526311">
              <w:rPr>
                <w:sz w:val="16"/>
                <w:szCs w:val="16"/>
              </w:rPr>
              <w:t xml:space="preserve">Aumento de las contribuciones a la base de datos de </w:t>
            </w:r>
            <w:r w:rsidR="00526311" w:rsidRPr="00526311">
              <w:rPr>
                <w:i/>
                <w:sz w:val="16"/>
                <w:szCs w:val="16"/>
              </w:rPr>
              <w:t>WIPO Re:Search</w:t>
            </w:r>
          </w:p>
        </w:tc>
        <w:tc>
          <w:tcPr>
            <w:tcW w:w="1276" w:type="pct"/>
            <w:gridSpan w:val="2"/>
            <w:tcBorders>
              <w:bottom w:val="nil"/>
            </w:tcBorders>
            <w:shd w:val="clear" w:color="auto" w:fill="auto"/>
          </w:tcPr>
          <w:p w:rsidR="00794E04" w:rsidRPr="00526311" w:rsidRDefault="00794E04" w:rsidP="0063039A">
            <w:pPr>
              <w:widowControl w:val="0"/>
              <w:rPr>
                <w:color w:val="002060"/>
                <w:sz w:val="16"/>
                <w:szCs w:val="16"/>
              </w:rPr>
            </w:pPr>
            <w:r w:rsidRPr="00526311">
              <w:rPr>
                <w:i/>
                <w:color w:val="002060"/>
                <w:sz w:val="16"/>
                <w:szCs w:val="16"/>
              </w:rPr>
              <w:t>Referencia actualizada a fines de 2013:</w:t>
            </w:r>
            <w:r w:rsidRPr="00526311">
              <w:t xml:space="preserve"> </w:t>
            </w:r>
            <w:r w:rsidR="00526311" w:rsidRPr="00526311">
              <w:rPr>
                <w:i/>
                <w:color w:val="002060"/>
                <w:sz w:val="16"/>
                <w:szCs w:val="16"/>
              </w:rPr>
              <w:t>WIPO Re:Search</w:t>
            </w:r>
            <w:r w:rsidRPr="00526311">
              <w:rPr>
                <w:color w:val="002060"/>
                <w:sz w:val="16"/>
                <w:szCs w:val="16"/>
              </w:rPr>
              <w:t xml:space="preserve"> había facilitado 44 colaboraciones de investigación (11 en 2012 y 33 en 2013</w:t>
            </w:r>
            <w:r w:rsidRPr="00526311">
              <w:rPr>
                <w:i/>
                <w:color w:val="002060"/>
                <w:sz w:val="16"/>
                <w:szCs w:val="16"/>
              </w:rPr>
              <w:t xml:space="preserve">)  </w:t>
            </w:r>
            <w:r w:rsidRPr="00526311">
              <w:rPr>
                <w:color w:val="002060"/>
                <w:sz w:val="16"/>
                <w:szCs w:val="16"/>
              </w:rPr>
              <w:t xml:space="preserve"> </w:t>
            </w:r>
          </w:p>
          <w:p w:rsidR="00794E04" w:rsidRPr="00526311" w:rsidRDefault="00794E04" w:rsidP="0063039A">
            <w:pPr>
              <w:widowControl w:val="0"/>
              <w:rPr>
                <w:i/>
                <w:color w:val="002060"/>
                <w:sz w:val="8"/>
                <w:szCs w:val="8"/>
              </w:rPr>
            </w:pPr>
            <w:r w:rsidRPr="00526311">
              <w:rPr>
                <w:color w:val="993300"/>
                <w:sz w:val="16"/>
                <w:szCs w:val="16"/>
              </w:rPr>
              <w:br/>
            </w:r>
          </w:p>
          <w:p w:rsidR="00794E04" w:rsidRPr="00526311" w:rsidRDefault="00794E04" w:rsidP="0063039A">
            <w:pPr>
              <w:widowControl w:val="0"/>
              <w:rPr>
                <w:i/>
              </w:rPr>
            </w:pPr>
            <w:r w:rsidRPr="00526311">
              <w:rPr>
                <w:i/>
                <w:iCs/>
                <w:sz w:val="16"/>
                <w:szCs w:val="16"/>
              </w:rPr>
              <w:t>Referencia original en el</w:t>
            </w:r>
            <w:r w:rsidRPr="00526311">
              <w:rPr>
                <w:i/>
                <w:iCs/>
                <w:sz w:val="16"/>
                <w:szCs w:val="16"/>
              </w:rPr>
              <w:br/>
              <w:t>presupuesto de 2014/15</w:t>
            </w:r>
            <w:r w:rsidRPr="00526311">
              <w:rPr>
                <w:i/>
                <w:sz w:val="16"/>
                <w:szCs w:val="16"/>
              </w:rPr>
              <w:t>:</w:t>
            </w:r>
            <w:r w:rsidRPr="00526311">
              <w:rPr>
                <w:sz w:val="16"/>
                <w:szCs w:val="16"/>
              </w:rPr>
              <w:t xml:space="preserve">  200</w:t>
            </w:r>
          </w:p>
          <w:p w:rsidR="00794E04" w:rsidRPr="00526311" w:rsidRDefault="00794E04" w:rsidP="0063039A">
            <w:pPr>
              <w:widowControl w:val="0"/>
              <w:rPr>
                <w:sz w:val="16"/>
                <w:szCs w:val="16"/>
              </w:rPr>
            </w:pPr>
          </w:p>
        </w:tc>
        <w:tc>
          <w:tcPr>
            <w:tcW w:w="609" w:type="pct"/>
            <w:tcBorders>
              <w:bottom w:val="nil"/>
            </w:tcBorders>
            <w:shd w:val="clear" w:color="auto" w:fill="auto"/>
            <w:tcMar>
              <w:top w:w="110" w:type="dxa"/>
            </w:tcMar>
          </w:tcPr>
          <w:p w:rsidR="00794E04" w:rsidRPr="00526311" w:rsidRDefault="00794E04" w:rsidP="0063039A">
            <w:pPr>
              <w:widowControl w:val="0"/>
              <w:rPr>
                <w:sz w:val="16"/>
                <w:szCs w:val="16"/>
              </w:rPr>
            </w:pPr>
            <w:r w:rsidRPr="00526311">
              <w:rPr>
                <w:sz w:val="16"/>
                <w:szCs w:val="16"/>
              </w:rPr>
              <w:t>50%</w:t>
            </w:r>
          </w:p>
        </w:tc>
        <w:tc>
          <w:tcPr>
            <w:tcW w:w="1303" w:type="pct"/>
            <w:gridSpan w:val="3"/>
            <w:tcBorders>
              <w:bottom w:val="nil"/>
            </w:tcBorders>
            <w:shd w:val="clear" w:color="auto" w:fill="FFFFFF"/>
            <w:tcMar>
              <w:top w:w="110" w:type="dxa"/>
            </w:tcMar>
          </w:tcPr>
          <w:p w:rsidR="00794E04" w:rsidRPr="00526311" w:rsidRDefault="00794E04" w:rsidP="0063039A">
            <w:pPr>
              <w:widowControl w:val="0"/>
              <w:rPr>
                <w:sz w:val="16"/>
                <w:szCs w:val="16"/>
                <w:lang w:bidi="th-TH"/>
              </w:rPr>
            </w:pPr>
            <w:r w:rsidRPr="00526311">
              <w:rPr>
                <w:sz w:val="16"/>
                <w:szCs w:val="16"/>
                <w:lang w:bidi="th-TH"/>
              </w:rPr>
              <w:t>180 registros en la base de datos</w:t>
            </w:r>
          </w:p>
          <w:p w:rsidR="00794E04" w:rsidRPr="00526311" w:rsidRDefault="00794E04" w:rsidP="0063039A">
            <w:pPr>
              <w:widowControl w:val="0"/>
              <w:rPr>
                <w:sz w:val="16"/>
                <w:szCs w:val="16"/>
                <w:lang w:bidi="th-TH"/>
              </w:rPr>
            </w:pPr>
          </w:p>
          <w:p w:rsidR="00794E04" w:rsidRPr="00526311" w:rsidRDefault="00794E04" w:rsidP="0063039A">
            <w:pPr>
              <w:widowControl w:val="0"/>
              <w:rPr>
                <w:sz w:val="16"/>
                <w:szCs w:val="16"/>
                <w:lang w:bidi="th-TH"/>
              </w:rPr>
            </w:pPr>
            <w:r w:rsidRPr="00526311">
              <w:rPr>
                <w:sz w:val="16"/>
                <w:szCs w:val="16"/>
                <w:lang w:bidi="th-TH"/>
              </w:rPr>
              <w:t>La disminución del número de registros en 2014 se debió a la salida de dos miembros</w:t>
            </w:r>
          </w:p>
          <w:p w:rsidR="00794E04" w:rsidRPr="00526311" w:rsidRDefault="00794E04" w:rsidP="0063039A">
            <w:pPr>
              <w:widowControl w:val="0"/>
              <w:rPr>
                <w:sz w:val="16"/>
                <w:szCs w:val="16"/>
                <w:lang w:bidi="th-TH"/>
              </w:rPr>
            </w:pPr>
          </w:p>
          <w:p w:rsidR="00794E04" w:rsidRPr="00526311" w:rsidRDefault="00794E04" w:rsidP="0063039A">
            <w:pPr>
              <w:widowControl w:val="0"/>
              <w:rPr>
                <w:sz w:val="16"/>
                <w:szCs w:val="16"/>
              </w:rPr>
            </w:pPr>
          </w:p>
        </w:tc>
        <w:tc>
          <w:tcPr>
            <w:tcW w:w="652" w:type="pct"/>
            <w:gridSpan w:val="2"/>
            <w:tcBorders>
              <w:bottom w:val="nil"/>
            </w:tcBorders>
            <w:shd w:val="clear" w:color="auto" w:fill="auto"/>
            <w:tcMar>
              <w:top w:w="110" w:type="dxa"/>
            </w:tcMar>
          </w:tcPr>
          <w:p w:rsidR="00794E04" w:rsidRPr="00526311" w:rsidRDefault="00794E04" w:rsidP="0063039A">
            <w:pPr>
              <w:widowControl w:val="0"/>
              <w:jc w:val="center"/>
              <w:rPr>
                <w:b/>
                <w:bCs/>
                <w:color w:val="FF0000"/>
                <w:sz w:val="16"/>
                <w:szCs w:val="16"/>
              </w:rPr>
            </w:pPr>
            <w:r w:rsidRPr="00526311">
              <w:rPr>
                <w:b/>
                <w:bCs/>
                <w:color w:val="FF0000"/>
                <w:sz w:val="16"/>
                <w:szCs w:val="16"/>
              </w:rPr>
              <w:t>No avanza</w:t>
            </w:r>
          </w:p>
        </w:tc>
      </w:tr>
      <w:tr w:rsidR="00794E04" w:rsidRPr="00526311" w:rsidTr="0063039A">
        <w:trPr>
          <w:cantSplit/>
        </w:trPr>
        <w:tc>
          <w:tcPr>
            <w:tcW w:w="1160" w:type="pct"/>
            <w:gridSpan w:val="2"/>
            <w:tcBorders>
              <w:top w:val="nil"/>
              <w:bottom w:val="nil"/>
            </w:tcBorders>
            <w:shd w:val="clear" w:color="auto" w:fill="auto"/>
          </w:tcPr>
          <w:p w:rsidR="00794E04" w:rsidRPr="00526311" w:rsidRDefault="00794E04" w:rsidP="0063039A">
            <w:pPr>
              <w:widowControl w:val="0"/>
              <w:rPr>
                <w:sz w:val="16"/>
                <w:szCs w:val="16"/>
              </w:rPr>
            </w:pPr>
            <w:r w:rsidRPr="00526311">
              <w:rPr>
                <w:sz w:val="16"/>
                <w:szCs w:val="16"/>
              </w:rPr>
              <w:t xml:space="preserve">Aumento del número de acuerdos suscritos en el marco de </w:t>
            </w:r>
            <w:r w:rsidR="00526311" w:rsidRPr="00526311">
              <w:rPr>
                <w:i/>
                <w:sz w:val="16"/>
                <w:szCs w:val="16"/>
              </w:rPr>
              <w:t>WIPO Re:Search</w:t>
            </w:r>
            <w:r w:rsidRPr="00526311">
              <w:rPr>
                <w:sz w:val="16"/>
                <w:szCs w:val="16"/>
              </w:rPr>
              <w:t xml:space="preserve"> que conducen a nuevas actividades de I+D, o a un aceleramiento de las mismas, en enfermedades tropicales desatendidas, paludismo y tuberculosis</w:t>
            </w:r>
          </w:p>
        </w:tc>
        <w:tc>
          <w:tcPr>
            <w:tcW w:w="1276" w:type="pct"/>
            <w:gridSpan w:val="2"/>
            <w:tcBorders>
              <w:top w:val="nil"/>
              <w:bottom w:val="nil"/>
            </w:tcBorders>
            <w:shd w:val="clear" w:color="auto" w:fill="auto"/>
          </w:tcPr>
          <w:p w:rsidR="00794E04" w:rsidRPr="00526311" w:rsidRDefault="00794E04" w:rsidP="0063039A">
            <w:pPr>
              <w:widowControl w:val="0"/>
              <w:rPr>
                <w:i/>
                <w:color w:val="002060"/>
                <w:sz w:val="16"/>
                <w:szCs w:val="16"/>
              </w:rPr>
            </w:pPr>
            <w:r w:rsidRPr="00526311">
              <w:rPr>
                <w:i/>
                <w:color w:val="002060"/>
                <w:sz w:val="16"/>
                <w:szCs w:val="16"/>
              </w:rPr>
              <w:t xml:space="preserve">Referencia actualizada a fines de 2013: </w:t>
            </w:r>
            <w:r w:rsidRPr="00526311">
              <w:rPr>
                <w:color w:val="002060"/>
                <w:sz w:val="16"/>
                <w:szCs w:val="16"/>
              </w:rPr>
              <w:t>44</w:t>
            </w:r>
          </w:p>
          <w:p w:rsidR="00794E04" w:rsidRPr="00526311" w:rsidRDefault="00794E04" w:rsidP="0063039A">
            <w:pPr>
              <w:widowControl w:val="0"/>
              <w:rPr>
                <w:i/>
                <w:color w:val="002060"/>
                <w:sz w:val="8"/>
                <w:szCs w:val="8"/>
              </w:rPr>
            </w:pPr>
            <w:r w:rsidRPr="00526311">
              <w:rPr>
                <w:color w:val="993300"/>
                <w:sz w:val="16"/>
                <w:szCs w:val="16"/>
              </w:rPr>
              <w:br/>
            </w:r>
          </w:p>
          <w:p w:rsidR="00794E04" w:rsidRPr="00526311" w:rsidRDefault="00794E04" w:rsidP="0063039A">
            <w:pPr>
              <w:widowControl w:val="0"/>
              <w:rPr>
                <w:rFonts w:asciiTheme="minorHAnsi" w:eastAsiaTheme="minorHAnsi" w:hAnsiTheme="minorHAnsi" w:cstheme="minorBidi"/>
                <w:i/>
                <w:szCs w:val="22"/>
              </w:rPr>
            </w:pPr>
            <w:r w:rsidRPr="00526311">
              <w:rPr>
                <w:i/>
                <w:iCs/>
                <w:sz w:val="16"/>
                <w:szCs w:val="16"/>
              </w:rPr>
              <w:t>Referencia original en el</w:t>
            </w:r>
            <w:r w:rsidRPr="00526311">
              <w:rPr>
                <w:i/>
                <w:iCs/>
                <w:sz w:val="16"/>
                <w:szCs w:val="16"/>
              </w:rPr>
              <w:br/>
              <w:t>presupuesto de 2014/15</w:t>
            </w:r>
            <w:r w:rsidRPr="00526311">
              <w:rPr>
                <w:i/>
                <w:sz w:val="16"/>
                <w:szCs w:val="16"/>
              </w:rPr>
              <w:t>:</w:t>
            </w:r>
            <w:r w:rsidRPr="00526311">
              <w:rPr>
                <w:sz w:val="16"/>
                <w:szCs w:val="16"/>
              </w:rPr>
              <w:t xml:space="preserve">  16</w:t>
            </w:r>
          </w:p>
        </w:tc>
        <w:tc>
          <w:tcPr>
            <w:tcW w:w="609" w:type="pct"/>
            <w:tcBorders>
              <w:top w:val="nil"/>
              <w:bottom w:val="nil"/>
            </w:tcBorders>
            <w:shd w:val="clear" w:color="auto" w:fill="auto"/>
            <w:tcMar>
              <w:top w:w="110" w:type="dxa"/>
            </w:tcMar>
          </w:tcPr>
          <w:p w:rsidR="00794E04" w:rsidRPr="00526311" w:rsidRDefault="00794E04" w:rsidP="0063039A">
            <w:pPr>
              <w:widowControl w:val="0"/>
              <w:rPr>
                <w:sz w:val="16"/>
                <w:szCs w:val="16"/>
              </w:rPr>
            </w:pPr>
            <w:r w:rsidRPr="00526311">
              <w:rPr>
                <w:sz w:val="16"/>
                <w:szCs w:val="16"/>
              </w:rPr>
              <w:t>20</w:t>
            </w:r>
          </w:p>
        </w:tc>
        <w:tc>
          <w:tcPr>
            <w:tcW w:w="1303" w:type="pct"/>
            <w:gridSpan w:val="3"/>
            <w:tcBorders>
              <w:top w:val="nil"/>
              <w:bottom w:val="nil"/>
            </w:tcBorders>
            <w:shd w:val="clear" w:color="auto" w:fill="FFFFFF"/>
            <w:tcMar>
              <w:top w:w="110" w:type="dxa"/>
            </w:tcMar>
          </w:tcPr>
          <w:p w:rsidR="00794E04" w:rsidRPr="00526311" w:rsidRDefault="00794E04" w:rsidP="0063039A">
            <w:pPr>
              <w:widowControl w:val="0"/>
              <w:rPr>
                <w:sz w:val="16"/>
                <w:szCs w:val="16"/>
                <w:lang w:bidi="th-TH"/>
              </w:rPr>
            </w:pPr>
            <w:r w:rsidRPr="00526311">
              <w:rPr>
                <w:sz w:val="16"/>
                <w:szCs w:val="16"/>
                <w:lang w:bidi="th-TH"/>
              </w:rPr>
              <w:t>38 nuevos acuerdos en 2014 (82 en total)</w:t>
            </w:r>
          </w:p>
        </w:tc>
        <w:tc>
          <w:tcPr>
            <w:tcW w:w="652" w:type="pct"/>
            <w:gridSpan w:val="2"/>
            <w:tcBorders>
              <w:top w:val="nil"/>
              <w:bottom w:val="nil"/>
            </w:tcBorders>
            <w:shd w:val="clear" w:color="auto" w:fill="auto"/>
            <w:tcMar>
              <w:top w:w="110" w:type="dxa"/>
            </w:tcMar>
          </w:tcPr>
          <w:p w:rsidR="00794E04" w:rsidRPr="00526311" w:rsidRDefault="005763A1" w:rsidP="0063039A">
            <w:pPr>
              <w:widowControl w:val="0"/>
              <w:ind w:right="-107"/>
              <w:jc w:val="center"/>
              <w:rPr>
                <w:b/>
                <w:bCs/>
                <w:color w:val="008000"/>
                <w:sz w:val="16"/>
                <w:szCs w:val="16"/>
              </w:rPr>
            </w:pPr>
            <w:r w:rsidRPr="00526311">
              <w:rPr>
                <w:b/>
                <w:bCs/>
                <w:color w:val="008000"/>
                <w:sz w:val="16"/>
                <w:szCs w:val="16"/>
              </w:rPr>
              <w:t>Avanza</w:t>
            </w:r>
          </w:p>
        </w:tc>
      </w:tr>
      <w:tr w:rsidR="00794E04" w:rsidRPr="00526311" w:rsidTr="0063039A">
        <w:trPr>
          <w:cantSplit/>
          <w:trHeight w:val="421"/>
        </w:trPr>
        <w:tc>
          <w:tcPr>
            <w:tcW w:w="1160" w:type="pct"/>
            <w:gridSpan w:val="2"/>
            <w:tcBorders>
              <w:top w:val="nil"/>
              <w:bottom w:val="nil"/>
            </w:tcBorders>
            <w:shd w:val="clear" w:color="auto" w:fill="auto"/>
          </w:tcPr>
          <w:p w:rsidR="00794E04" w:rsidRPr="00526311" w:rsidRDefault="00794E04" w:rsidP="0063039A">
            <w:pPr>
              <w:widowControl w:val="0"/>
              <w:rPr>
                <w:sz w:val="16"/>
                <w:szCs w:val="16"/>
              </w:rPr>
            </w:pPr>
            <w:r w:rsidRPr="00526311">
              <w:rPr>
                <w:sz w:val="16"/>
                <w:szCs w:val="16"/>
              </w:rPr>
              <w:t xml:space="preserve">Número de miembros de </w:t>
            </w:r>
            <w:r w:rsidRPr="00526311">
              <w:rPr>
                <w:i/>
                <w:sz w:val="16"/>
                <w:szCs w:val="16"/>
              </w:rPr>
              <w:t>WIPO GREEN</w:t>
            </w:r>
          </w:p>
        </w:tc>
        <w:tc>
          <w:tcPr>
            <w:tcW w:w="1276" w:type="pct"/>
            <w:gridSpan w:val="2"/>
            <w:tcBorders>
              <w:top w:val="nil"/>
              <w:bottom w:val="nil"/>
            </w:tcBorders>
            <w:shd w:val="clear" w:color="auto" w:fill="auto"/>
          </w:tcPr>
          <w:p w:rsidR="00794E04" w:rsidRPr="00526311" w:rsidRDefault="00794E04" w:rsidP="0063039A">
            <w:pPr>
              <w:widowControl w:val="0"/>
              <w:rPr>
                <w:color w:val="002060"/>
                <w:sz w:val="16"/>
                <w:szCs w:val="16"/>
              </w:rPr>
            </w:pPr>
            <w:r w:rsidRPr="00526311">
              <w:rPr>
                <w:i/>
                <w:color w:val="002060"/>
                <w:sz w:val="16"/>
                <w:szCs w:val="16"/>
              </w:rPr>
              <w:t xml:space="preserve">Referencia actualizada a fines de 2013: </w:t>
            </w:r>
            <w:r w:rsidRPr="00526311">
              <w:rPr>
                <w:color w:val="002060"/>
                <w:sz w:val="16"/>
                <w:szCs w:val="16"/>
              </w:rPr>
              <w:t>36 asociados, 160 usuarios, 830 aportaciones</w:t>
            </w:r>
            <w:r w:rsidRPr="00526311">
              <w:rPr>
                <w:rStyle w:val="FootnoteReference"/>
                <w:color w:val="002060"/>
                <w:sz w:val="16"/>
                <w:szCs w:val="16"/>
              </w:rPr>
              <w:footnoteReference w:id="48"/>
            </w:r>
          </w:p>
          <w:p w:rsidR="00794E04" w:rsidRPr="00526311" w:rsidRDefault="00794E04" w:rsidP="0063039A">
            <w:pPr>
              <w:widowControl w:val="0"/>
              <w:rPr>
                <w:i/>
                <w:color w:val="002060"/>
                <w:sz w:val="8"/>
                <w:szCs w:val="8"/>
              </w:rPr>
            </w:pPr>
            <w:r w:rsidRPr="00526311">
              <w:rPr>
                <w:color w:val="993300"/>
                <w:sz w:val="16"/>
                <w:szCs w:val="16"/>
              </w:rPr>
              <w:br/>
            </w:r>
          </w:p>
          <w:p w:rsidR="00794E04" w:rsidRPr="00526311" w:rsidRDefault="00794E04" w:rsidP="0063039A">
            <w:pPr>
              <w:widowControl w:val="0"/>
            </w:pPr>
            <w:r w:rsidRPr="00526311">
              <w:rPr>
                <w:i/>
                <w:iCs/>
                <w:sz w:val="16"/>
                <w:szCs w:val="16"/>
              </w:rPr>
              <w:t>Referencia original en el</w:t>
            </w:r>
            <w:r w:rsidRPr="00526311">
              <w:rPr>
                <w:i/>
                <w:iCs/>
                <w:sz w:val="16"/>
                <w:szCs w:val="16"/>
              </w:rPr>
              <w:br/>
              <w:t>presupuesto de 2014/15</w:t>
            </w:r>
            <w:r w:rsidRPr="00526311">
              <w:rPr>
                <w:i/>
                <w:sz w:val="16"/>
                <w:szCs w:val="16"/>
              </w:rPr>
              <w:t xml:space="preserve">:  </w:t>
            </w:r>
            <w:r w:rsidRPr="00526311">
              <w:rPr>
                <w:sz w:val="16"/>
                <w:szCs w:val="16"/>
              </w:rPr>
              <w:t>1 asociado; 48 aportaciones</w:t>
            </w:r>
          </w:p>
          <w:p w:rsidR="00794E04" w:rsidRPr="00526311" w:rsidRDefault="00794E04" w:rsidP="0063039A">
            <w:pPr>
              <w:widowControl w:val="0"/>
              <w:rPr>
                <w:i/>
                <w:color w:val="002060"/>
                <w:sz w:val="16"/>
                <w:szCs w:val="16"/>
              </w:rPr>
            </w:pPr>
          </w:p>
        </w:tc>
        <w:tc>
          <w:tcPr>
            <w:tcW w:w="609" w:type="pct"/>
            <w:tcBorders>
              <w:top w:val="nil"/>
              <w:bottom w:val="nil"/>
            </w:tcBorders>
            <w:shd w:val="clear" w:color="auto" w:fill="auto"/>
            <w:tcMar>
              <w:top w:w="110" w:type="dxa"/>
            </w:tcMar>
          </w:tcPr>
          <w:p w:rsidR="00794E04" w:rsidRPr="00526311" w:rsidRDefault="00794E04" w:rsidP="0063039A">
            <w:pPr>
              <w:widowControl w:val="0"/>
              <w:rPr>
                <w:sz w:val="16"/>
                <w:szCs w:val="16"/>
              </w:rPr>
            </w:pPr>
            <w:r w:rsidRPr="00526311">
              <w:rPr>
                <w:sz w:val="16"/>
                <w:szCs w:val="16"/>
              </w:rPr>
              <w:t>10 nuevos asociados;  400 aportaciones</w:t>
            </w:r>
          </w:p>
        </w:tc>
        <w:tc>
          <w:tcPr>
            <w:tcW w:w="1303" w:type="pct"/>
            <w:gridSpan w:val="3"/>
            <w:tcBorders>
              <w:top w:val="nil"/>
              <w:bottom w:val="nil"/>
            </w:tcBorders>
            <w:shd w:val="clear" w:color="auto" w:fill="FFFFFF"/>
            <w:tcMar>
              <w:top w:w="110" w:type="dxa"/>
            </w:tcMar>
          </w:tcPr>
          <w:p w:rsidR="00794E04" w:rsidRPr="00526311" w:rsidRDefault="00794E04" w:rsidP="00794E04">
            <w:pPr>
              <w:pStyle w:val="ListParagraph"/>
              <w:widowControl w:val="0"/>
              <w:numPr>
                <w:ilvl w:val="0"/>
                <w:numId w:val="70"/>
              </w:numPr>
              <w:rPr>
                <w:rFonts w:cs="Arial"/>
                <w:sz w:val="16"/>
                <w:szCs w:val="16"/>
                <w:lang w:val="es-ES" w:bidi="th-TH"/>
              </w:rPr>
            </w:pPr>
            <w:r w:rsidRPr="00526311">
              <w:rPr>
                <w:rFonts w:cs="Arial"/>
                <w:sz w:val="16"/>
                <w:szCs w:val="16"/>
                <w:lang w:val="es-ES" w:bidi="th-TH"/>
              </w:rPr>
              <w:t>18 nuevos asociados (total: 54)</w:t>
            </w:r>
          </w:p>
          <w:p w:rsidR="00794E04" w:rsidRPr="00526311" w:rsidRDefault="00794E04" w:rsidP="00794E04">
            <w:pPr>
              <w:pStyle w:val="ListParagraph"/>
              <w:widowControl w:val="0"/>
              <w:numPr>
                <w:ilvl w:val="0"/>
                <w:numId w:val="70"/>
              </w:numPr>
              <w:rPr>
                <w:rFonts w:cs="Arial"/>
                <w:sz w:val="16"/>
                <w:szCs w:val="16"/>
                <w:lang w:val="es-ES" w:bidi="th-TH"/>
              </w:rPr>
            </w:pPr>
            <w:r w:rsidRPr="00526311">
              <w:rPr>
                <w:rFonts w:cs="Arial"/>
                <w:sz w:val="16"/>
                <w:szCs w:val="16"/>
                <w:lang w:val="es-ES" w:bidi="th-TH"/>
              </w:rPr>
              <w:t>140 nuevos usuarios (total: 300)</w:t>
            </w:r>
          </w:p>
          <w:p w:rsidR="00794E04" w:rsidRPr="00526311" w:rsidRDefault="00794E04" w:rsidP="00794E04">
            <w:pPr>
              <w:pStyle w:val="ListParagraph"/>
              <w:widowControl w:val="0"/>
              <w:numPr>
                <w:ilvl w:val="0"/>
                <w:numId w:val="70"/>
              </w:numPr>
              <w:rPr>
                <w:rFonts w:cs="Arial"/>
                <w:sz w:val="16"/>
                <w:szCs w:val="16"/>
                <w:lang w:val="es-ES" w:bidi="th-TH"/>
              </w:rPr>
            </w:pPr>
            <w:r w:rsidRPr="00526311">
              <w:rPr>
                <w:rFonts w:cs="Arial"/>
                <w:sz w:val="16"/>
                <w:szCs w:val="16"/>
                <w:lang w:val="es-ES" w:bidi="th-TH"/>
              </w:rPr>
              <w:t>943 nuevas aportaciones (total: 2.050)</w:t>
            </w:r>
          </w:p>
        </w:tc>
        <w:tc>
          <w:tcPr>
            <w:tcW w:w="652" w:type="pct"/>
            <w:gridSpan w:val="2"/>
            <w:tcBorders>
              <w:top w:val="nil"/>
              <w:bottom w:val="nil"/>
            </w:tcBorders>
            <w:shd w:val="clear" w:color="auto" w:fill="auto"/>
            <w:tcMar>
              <w:top w:w="110" w:type="dxa"/>
            </w:tcMar>
          </w:tcPr>
          <w:p w:rsidR="00794E04" w:rsidRPr="00526311" w:rsidRDefault="005763A1" w:rsidP="0063039A">
            <w:pPr>
              <w:widowControl w:val="0"/>
              <w:ind w:right="-107"/>
              <w:jc w:val="center"/>
              <w:rPr>
                <w:b/>
                <w:bCs/>
                <w:color w:val="008000"/>
                <w:sz w:val="16"/>
                <w:szCs w:val="16"/>
              </w:rPr>
            </w:pPr>
            <w:r w:rsidRPr="00526311">
              <w:rPr>
                <w:b/>
                <w:bCs/>
                <w:color w:val="008000"/>
                <w:sz w:val="16"/>
                <w:szCs w:val="16"/>
              </w:rPr>
              <w:t>Avanza</w:t>
            </w:r>
          </w:p>
        </w:tc>
      </w:tr>
      <w:tr w:rsidR="00794E04" w:rsidRPr="00526311" w:rsidTr="0063039A">
        <w:trPr>
          <w:cantSplit/>
        </w:trPr>
        <w:tc>
          <w:tcPr>
            <w:tcW w:w="1160" w:type="pct"/>
            <w:gridSpan w:val="2"/>
            <w:tcBorders>
              <w:top w:val="nil"/>
              <w:bottom w:val="single" w:sz="4" w:space="0" w:color="auto"/>
            </w:tcBorders>
            <w:shd w:val="clear" w:color="auto" w:fill="auto"/>
          </w:tcPr>
          <w:p w:rsidR="00794E04" w:rsidRPr="00526311" w:rsidRDefault="00794E04" w:rsidP="0063039A">
            <w:pPr>
              <w:widowControl w:val="0"/>
              <w:rPr>
                <w:sz w:val="16"/>
                <w:szCs w:val="16"/>
              </w:rPr>
            </w:pPr>
            <w:r w:rsidRPr="00526311">
              <w:rPr>
                <w:sz w:val="16"/>
                <w:szCs w:val="16"/>
              </w:rPr>
              <w:t>Nº de vínculos establecidos entre WIPO GREEN y los mecanismos pertinentes, como los centros y redes de tecnología del clima (CMNUCC) y los centros de innovación climática (infoDev)</w:t>
            </w:r>
          </w:p>
          <w:p w:rsidR="00794E04" w:rsidRPr="00526311" w:rsidRDefault="00794E04" w:rsidP="0063039A">
            <w:pPr>
              <w:widowControl w:val="0"/>
              <w:rPr>
                <w:sz w:val="16"/>
                <w:szCs w:val="16"/>
              </w:rPr>
            </w:pPr>
          </w:p>
        </w:tc>
        <w:tc>
          <w:tcPr>
            <w:tcW w:w="1276" w:type="pct"/>
            <w:gridSpan w:val="2"/>
            <w:tcBorders>
              <w:top w:val="nil"/>
              <w:bottom w:val="single" w:sz="4" w:space="0" w:color="auto"/>
            </w:tcBorders>
            <w:shd w:val="clear" w:color="auto" w:fill="auto"/>
          </w:tcPr>
          <w:p w:rsidR="00794E04" w:rsidRPr="00526311" w:rsidRDefault="00794E04" w:rsidP="0063039A">
            <w:pPr>
              <w:widowControl w:val="0"/>
              <w:rPr>
                <w:i/>
                <w:color w:val="002060"/>
                <w:sz w:val="16"/>
                <w:szCs w:val="16"/>
              </w:rPr>
            </w:pPr>
            <w:r w:rsidRPr="00526311">
              <w:rPr>
                <w:i/>
                <w:color w:val="002060"/>
                <w:sz w:val="16"/>
                <w:szCs w:val="16"/>
              </w:rPr>
              <w:t xml:space="preserve">Referencia actualizada a fines de 2013: </w:t>
            </w:r>
          </w:p>
          <w:p w:rsidR="00794E04" w:rsidRPr="00485CF4" w:rsidRDefault="00794E04" w:rsidP="0063039A">
            <w:pPr>
              <w:widowControl w:val="0"/>
              <w:rPr>
                <w:i/>
                <w:color w:val="002060"/>
                <w:sz w:val="16"/>
                <w:szCs w:val="16"/>
                <w:lang w:val="en-US"/>
              </w:rPr>
            </w:pPr>
            <w:r w:rsidRPr="00485CF4">
              <w:rPr>
                <w:color w:val="002060"/>
                <w:sz w:val="16"/>
                <w:szCs w:val="16"/>
                <w:lang w:val="en-US"/>
              </w:rPr>
              <w:t>1 (</w:t>
            </w:r>
            <w:r w:rsidRPr="00485CF4">
              <w:rPr>
                <w:i/>
                <w:color w:val="002060"/>
                <w:sz w:val="16"/>
                <w:szCs w:val="16"/>
                <w:lang w:val="en-US"/>
              </w:rPr>
              <w:t>East Africa Climate Innovation Network</w:t>
            </w:r>
            <w:r w:rsidRPr="00485CF4">
              <w:rPr>
                <w:color w:val="002060"/>
                <w:sz w:val="16"/>
                <w:szCs w:val="16"/>
                <w:lang w:val="en-US"/>
              </w:rPr>
              <w:t xml:space="preserve"> (EACIN))</w:t>
            </w:r>
          </w:p>
          <w:p w:rsidR="00794E04" w:rsidRPr="00485CF4" w:rsidRDefault="00794E04" w:rsidP="0063039A">
            <w:pPr>
              <w:widowControl w:val="0"/>
              <w:rPr>
                <w:i/>
                <w:color w:val="002060"/>
                <w:sz w:val="8"/>
                <w:szCs w:val="8"/>
                <w:lang w:val="en-US"/>
              </w:rPr>
            </w:pPr>
            <w:r w:rsidRPr="00485CF4">
              <w:rPr>
                <w:color w:val="993300"/>
                <w:sz w:val="16"/>
                <w:szCs w:val="16"/>
                <w:lang w:val="en-US"/>
              </w:rPr>
              <w:br/>
            </w:r>
          </w:p>
          <w:p w:rsidR="00794E04" w:rsidRPr="00526311" w:rsidRDefault="00794E04" w:rsidP="0063039A">
            <w:pPr>
              <w:widowControl w:val="0"/>
            </w:pPr>
            <w:r w:rsidRPr="00526311">
              <w:rPr>
                <w:i/>
                <w:iCs/>
                <w:sz w:val="16"/>
                <w:szCs w:val="16"/>
              </w:rPr>
              <w:t>Referencia original en el presupuesto de 2014/15</w:t>
            </w:r>
            <w:r w:rsidRPr="00526311">
              <w:rPr>
                <w:i/>
                <w:sz w:val="16"/>
                <w:szCs w:val="16"/>
              </w:rPr>
              <w:t>:</w:t>
            </w:r>
            <w:r w:rsidRPr="00526311">
              <w:t xml:space="preserve"> </w:t>
            </w:r>
            <w:r w:rsidRPr="00526311">
              <w:rPr>
                <w:sz w:val="16"/>
                <w:szCs w:val="16"/>
              </w:rPr>
              <w:t xml:space="preserve">0 (cero)  </w:t>
            </w:r>
          </w:p>
          <w:p w:rsidR="00794E04" w:rsidRPr="00526311" w:rsidRDefault="00794E04" w:rsidP="0063039A">
            <w:pPr>
              <w:widowControl w:val="0"/>
              <w:rPr>
                <w:i/>
                <w:color w:val="002060"/>
                <w:sz w:val="16"/>
                <w:szCs w:val="16"/>
              </w:rPr>
            </w:pPr>
          </w:p>
        </w:tc>
        <w:tc>
          <w:tcPr>
            <w:tcW w:w="609" w:type="pct"/>
            <w:tcBorders>
              <w:top w:val="nil"/>
              <w:bottom w:val="single" w:sz="4" w:space="0" w:color="auto"/>
            </w:tcBorders>
            <w:shd w:val="clear" w:color="auto" w:fill="auto"/>
            <w:tcMar>
              <w:top w:w="110" w:type="dxa"/>
            </w:tcMar>
          </w:tcPr>
          <w:p w:rsidR="00794E04" w:rsidRPr="00526311" w:rsidRDefault="00794E04" w:rsidP="0063039A">
            <w:pPr>
              <w:widowControl w:val="0"/>
              <w:rPr>
                <w:sz w:val="16"/>
                <w:szCs w:val="16"/>
              </w:rPr>
            </w:pPr>
            <w:r w:rsidRPr="00526311">
              <w:rPr>
                <w:sz w:val="16"/>
                <w:szCs w:val="16"/>
              </w:rPr>
              <w:t>3</w:t>
            </w:r>
          </w:p>
          <w:p w:rsidR="00794E04" w:rsidRPr="00526311" w:rsidRDefault="00794E04" w:rsidP="0063039A">
            <w:pPr>
              <w:widowControl w:val="0"/>
              <w:rPr>
                <w:sz w:val="16"/>
                <w:szCs w:val="16"/>
              </w:rPr>
            </w:pPr>
          </w:p>
        </w:tc>
        <w:tc>
          <w:tcPr>
            <w:tcW w:w="1303" w:type="pct"/>
            <w:gridSpan w:val="3"/>
            <w:tcBorders>
              <w:top w:val="nil"/>
              <w:bottom w:val="single" w:sz="4" w:space="0" w:color="auto"/>
            </w:tcBorders>
            <w:shd w:val="clear" w:color="auto" w:fill="FFFFFF"/>
            <w:tcMar>
              <w:top w:w="110" w:type="dxa"/>
            </w:tcMar>
          </w:tcPr>
          <w:p w:rsidR="00794E04" w:rsidRPr="00526311" w:rsidRDefault="00794E04" w:rsidP="0063039A">
            <w:pPr>
              <w:widowControl w:val="0"/>
              <w:rPr>
                <w:sz w:val="16"/>
                <w:szCs w:val="16"/>
                <w:lang w:bidi="th-TH"/>
              </w:rPr>
            </w:pPr>
            <w:r w:rsidRPr="00526311">
              <w:rPr>
                <w:sz w:val="16"/>
                <w:szCs w:val="16"/>
                <w:lang w:bidi="th-TH"/>
              </w:rPr>
              <w:t xml:space="preserve">3 (Centro y Red de Tecnología del Clima, </w:t>
            </w:r>
            <w:r w:rsidRPr="00526311">
              <w:rPr>
                <w:i/>
                <w:sz w:val="16"/>
                <w:szCs w:val="16"/>
                <w:lang w:bidi="th-TH"/>
              </w:rPr>
              <w:t>Waseda Environmental Institute</w:t>
            </w:r>
            <w:r w:rsidRPr="00526311">
              <w:rPr>
                <w:sz w:val="16"/>
                <w:szCs w:val="16"/>
                <w:lang w:bidi="th-TH"/>
              </w:rPr>
              <w:t xml:space="preserve"> y</w:t>
            </w:r>
            <w:r w:rsidRPr="00526311">
              <w:rPr>
                <w:i/>
                <w:sz w:val="16"/>
                <w:szCs w:val="16"/>
                <w:lang w:bidi="th-TH"/>
              </w:rPr>
              <w:t xml:space="preserve"> EcoPatent Commons</w:t>
            </w:r>
            <w:r w:rsidRPr="00526311">
              <w:rPr>
                <w:sz w:val="16"/>
                <w:szCs w:val="16"/>
                <w:lang w:bidi="th-TH"/>
              </w:rPr>
              <w:t>)</w:t>
            </w:r>
          </w:p>
        </w:tc>
        <w:tc>
          <w:tcPr>
            <w:tcW w:w="652" w:type="pct"/>
            <w:gridSpan w:val="2"/>
            <w:tcBorders>
              <w:top w:val="nil"/>
              <w:bottom w:val="single" w:sz="4" w:space="0" w:color="auto"/>
            </w:tcBorders>
            <w:shd w:val="clear" w:color="auto" w:fill="auto"/>
            <w:tcMar>
              <w:top w:w="110" w:type="dxa"/>
            </w:tcMar>
          </w:tcPr>
          <w:p w:rsidR="00794E04" w:rsidRPr="00526311" w:rsidRDefault="005763A1" w:rsidP="005763A1">
            <w:pPr>
              <w:widowControl w:val="0"/>
              <w:ind w:right="-107"/>
              <w:jc w:val="center"/>
              <w:rPr>
                <w:b/>
                <w:bCs/>
                <w:color w:val="008000"/>
                <w:sz w:val="16"/>
                <w:szCs w:val="16"/>
              </w:rPr>
            </w:pPr>
            <w:r w:rsidRPr="00526311">
              <w:rPr>
                <w:b/>
                <w:bCs/>
                <w:color w:val="008000"/>
                <w:sz w:val="16"/>
                <w:szCs w:val="16"/>
              </w:rPr>
              <w:t>Avanza</w:t>
            </w:r>
          </w:p>
        </w:tc>
      </w:tr>
      <w:tr w:rsidR="00794E04" w:rsidRPr="00526311" w:rsidTr="0063039A">
        <w:trPr>
          <w:cantSplit/>
        </w:trPr>
        <w:tc>
          <w:tcPr>
            <w:tcW w:w="1104" w:type="pct"/>
            <w:tcBorders>
              <w:top w:val="single" w:sz="4" w:space="0" w:color="auto"/>
              <w:left w:val="single" w:sz="4" w:space="0" w:color="auto"/>
              <w:bottom w:val="nil"/>
            </w:tcBorders>
            <w:shd w:val="clear" w:color="auto" w:fill="auto"/>
            <w:vAlign w:val="center"/>
          </w:tcPr>
          <w:p w:rsidR="00794E04" w:rsidRPr="00526311" w:rsidRDefault="00794E04" w:rsidP="0063039A">
            <w:pPr>
              <w:keepNext/>
              <w:keepLines/>
              <w:widowControl w:val="0"/>
              <w:rPr>
                <w:sz w:val="16"/>
                <w:szCs w:val="16"/>
              </w:rPr>
            </w:pPr>
            <w:r w:rsidRPr="00526311">
              <w:rPr>
                <w:b/>
                <w:sz w:val="16"/>
                <w:szCs w:val="16"/>
              </w:rPr>
              <w:lastRenderedPageBreak/>
              <w:t>Indicadores de rendimiento</w:t>
            </w:r>
          </w:p>
        </w:tc>
        <w:tc>
          <w:tcPr>
            <w:tcW w:w="1324" w:type="pct"/>
            <w:gridSpan w:val="2"/>
            <w:tcBorders>
              <w:top w:val="single" w:sz="4" w:space="0" w:color="auto"/>
              <w:bottom w:val="nil"/>
            </w:tcBorders>
            <w:shd w:val="clear" w:color="auto" w:fill="auto"/>
            <w:vAlign w:val="center"/>
          </w:tcPr>
          <w:p w:rsidR="00794E04" w:rsidRPr="00526311" w:rsidRDefault="00794E04" w:rsidP="0063039A">
            <w:pPr>
              <w:keepNext/>
              <w:keepLines/>
              <w:widowControl w:val="0"/>
              <w:rPr>
                <w:b/>
                <w:bCs/>
                <w:sz w:val="16"/>
                <w:szCs w:val="16"/>
              </w:rPr>
            </w:pPr>
            <w:r w:rsidRPr="00526311">
              <w:rPr>
                <w:b/>
                <w:bCs/>
                <w:sz w:val="16"/>
                <w:szCs w:val="16"/>
              </w:rPr>
              <w:t>Referencia</w:t>
            </w:r>
          </w:p>
        </w:tc>
        <w:tc>
          <w:tcPr>
            <w:tcW w:w="662" w:type="pct"/>
            <w:gridSpan w:val="3"/>
            <w:tcBorders>
              <w:top w:val="single" w:sz="4" w:space="0" w:color="auto"/>
              <w:bottom w:val="nil"/>
            </w:tcBorders>
            <w:shd w:val="clear" w:color="auto" w:fill="auto"/>
            <w:tcMar>
              <w:top w:w="110" w:type="dxa"/>
            </w:tcMar>
            <w:vAlign w:val="center"/>
          </w:tcPr>
          <w:p w:rsidR="00794E04" w:rsidRPr="00526311" w:rsidRDefault="00794E04" w:rsidP="0063039A">
            <w:pPr>
              <w:keepNext/>
              <w:keepLines/>
              <w:widowControl w:val="0"/>
              <w:rPr>
                <w:b/>
                <w:sz w:val="16"/>
                <w:szCs w:val="16"/>
              </w:rPr>
            </w:pPr>
            <w:r w:rsidRPr="00526311">
              <w:rPr>
                <w:b/>
                <w:sz w:val="16"/>
                <w:szCs w:val="16"/>
              </w:rPr>
              <w:t>Objetivos</w:t>
            </w:r>
          </w:p>
        </w:tc>
        <w:tc>
          <w:tcPr>
            <w:tcW w:w="1251" w:type="pct"/>
            <w:tcBorders>
              <w:top w:val="single" w:sz="4" w:space="0" w:color="auto"/>
              <w:bottom w:val="nil"/>
            </w:tcBorders>
            <w:shd w:val="clear" w:color="auto" w:fill="FFFFFF"/>
            <w:tcMar>
              <w:top w:w="110" w:type="dxa"/>
            </w:tcMar>
            <w:vAlign w:val="center"/>
          </w:tcPr>
          <w:p w:rsidR="00794E04" w:rsidRPr="00526311" w:rsidRDefault="00794E04" w:rsidP="0063039A">
            <w:pPr>
              <w:keepNext/>
              <w:keepLines/>
              <w:widowControl w:val="0"/>
              <w:rPr>
                <w:sz w:val="16"/>
                <w:szCs w:val="16"/>
              </w:rPr>
            </w:pPr>
            <w:r w:rsidRPr="00526311">
              <w:rPr>
                <w:b/>
                <w:sz w:val="16"/>
                <w:szCs w:val="16"/>
              </w:rPr>
              <w:t>Datos sobre el rendimiento</w:t>
            </w:r>
          </w:p>
        </w:tc>
        <w:tc>
          <w:tcPr>
            <w:tcW w:w="659" w:type="pct"/>
            <w:gridSpan w:val="3"/>
            <w:tcBorders>
              <w:top w:val="single" w:sz="4" w:space="0" w:color="auto"/>
              <w:bottom w:val="nil"/>
              <w:right w:val="single" w:sz="4" w:space="0" w:color="auto"/>
            </w:tcBorders>
            <w:shd w:val="clear" w:color="auto" w:fill="auto"/>
            <w:tcMar>
              <w:top w:w="110" w:type="dxa"/>
            </w:tcMar>
            <w:vAlign w:val="center"/>
          </w:tcPr>
          <w:p w:rsidR="00794E04" w:rsidRPr="00526311" w:rsidRDefault="00794E04" w:rsidP="0063039A">
            <w:pPr>
              <w:keepNext/>
              <w:keepLines/>
              <w:widowControl w:val="0"/>
              <w:jc w:val="center"/>
              <w:rPr>
                <w:b/>
                <w:bCs/>
                <w:sz w:val="16"/>
                <w:szCs w:val="16"/>
              </w:rPr>
            </w:pPr>
            <w:r w:rsidRPr="00526311">
              <w:rPr>
                <w:b/>
                <w:bCs/>
                <w:sz w:val="16"/>
                <w:szCs w:val="16"/>
              </w:rPr>
              <w:t>Clave de colores</w:t>
            </w:r>
          </w:p>
        </w:tc>
      </w:tr>
      <w:tr w:rsidR="00794E04" w:rsidRPr="00526311" w:rsidTr="0063039A">
        <w:trPr>
          <w:cantSplit/>
        </w:trPr>
        <w:tc>
          <w:tcPr>
            <w:tcW w:w="1160" w:type="pct"/>
            <w:gridSpan w:val="2"/>
            <w:tcBorders>
              <w:top w:val="nil"/>
              <w:bottom w:val="nil"/>
            </w:tcBorders>
            <w:shd w:val="clear" w:color="auto" w:fill="auto"/>
          </w:tcPr>
          <w:p w:rsidR="00794E04" w:rsidRPr="00526311" w:rsidRDefault="00794E04" w:rsidP="0063039A">
            <w:pPr>
              <w:keepNext/>
              <w:keepLines/>
              <w:widowControl w:val="0"/>
              <w:rPr>
                <w:sz w:val="16"/>
                <w:szCs w:val="16"/>
              </w:rPr>
            </w:pPr>
            <w:r w:rsidRPr="00526311">
              <w:rPr>
                <w:sz w:val="16"/>
                <w:szCs w:val="16"/>
              </w:rPr>
              <w:t xml:space="preserve">Nº de acuerdos catalizados por medio de </w:t>
            </w:r>
            <w:r w:rsidRPr="00526311">
              <w:rPr>
                <w:i/>
                <w:sz w:val="16"/>
                <w:szCs w:val="16"/>
              </w:rPr>
              <w:t>WIPO GREEN</w:t>
            </w:r>
            <w:r w:rsidRPr="00526311">
              <w:rPr>
                <w:sz w:val="16"/>
                <w:szCs w:val="16"/>
              </w:rPr>
              <w:t xml:space="preserve"> que facilitan la transferencia de conocimiento así como la adaptación, transferencia o difusión de tecnología</w:t>
            </w:r>
          </w:p>
        </w:tc>
        <w:tc>
          <w:tcPr>
            <w:tcW w:w="1276" w:type="pct"/>
            <w:gridSpan w:val="2"/>
            <w:tcBorders>
              <w:top w:val="nil"/>
              <w:bottom w:val="nil"/>
            </w:tcBorders>
            <w:shd w:val="clear" w:color="auto" w:fill="auto"/>
          </w:tcPr>
          <w:p w:rsidR="00794E04" w:rsidRPr="00526311" w:rsidRDefault="00794E04" w:rsidP="0063039A">
            <w:pPr>
              <w:keepNext/>
              <w:keepLines/>
              <w:widowControl w:val="0"/>
              <w:rPr>
                <w:color w:val="002060"/>
                <w:sz w:val="16"/>
                <w:szCs w:val="16"/>
              </w:rPr>
            </w:pPr>
            <w:r w:rsidRPr="00526311">
              <w:rPr>
                <w:i/>
                <w:color w:val="002060"/>
                <w:sz w:val="16"/>
                <w:szCs w:val="16"/>
              </w:rPr>
              <w:t xml:space="preserve">Referencia actualizada a fines de 2013: </w:t>
            </w:r>
            <w:r w:rsidRPr="00526311">
              <w:rPr>
                <w:color w:val="002060"/>
                <w:sz w:val="16"/>
                <w:szCs w:val="16"/>
              </w:rPr>
              <w:t xml:space="preserve">En 2012 y 2013 </w:t>
            </w:r>
            <w:r w:rsidRPr="00526311">
              <w:rPr>
                <w:i/>
                <w:color w:val="002060"/>
                <w:sz w:val="16"/>
                <w:szCs w:val="16"/>
              </w:rPr>
              <w:t>WIPO GREEN</w:t>
            </w:r>
            <w:r w:rsidRPr="00526311">
              <w:rPr>
                <w:color w:val="002060"/>
                <w:sz w:val="16"/>
                <w:szCs w:val="16"/>
              </w:rPr>
              <w:t xml:space="preserve"> concluyó : </w:t>
            </w:r>
          </w:p>
          <w:p w:rsidR="00794E04" w:rsidRPr="00526311" w:rsidRDefault="00794E04" w:rsidP="0063039A">
            <w:pPr>
              <w:keepNext/>
              <w:keepLines/>
              <w:widowControl w:val="0"/>
              <w:rPr>
                <w:color w:val="002060"/>
                <w:sz w:val="16"/>
                <w:szCs w:val="16"/>
              </w:rPr>
            </w:pPr>
            <w:r w:rsidRPr="00526311">
              <w:rPr>
                <w:color w:val="002060"/>
                <w:sz w:val="16"/>
                <w:szCs w:val="16"/>
              </w:rPr>
              <w:t>Dos acuerdos con colaboradores externos para la integración de datos</w:t>
            </w:r>
          </w:p>
          <w:p w:rsidR="00794E04" w:rsidRPr="00485CF4" w:rsidRDefault="00794E04" w:rsidP="0063039A">
            <w:pPr>
              <w:keepNext/>
              <w:keepLines/>
              <w:widowControl w:val="0"/>
              <w:rPr>
                <w:i/>
                <w:color w:val="002060"/>
                <w:sz w:val="8"/>
                <w:szCs w:val="8"/>
                <w:lang w:val="en-US"/>
              </w:rPr>
            </w:pPr>
            <w:r w:rsidRPr="00485CF4">
              <w:rPr>
                <w:color w:val="002060"/>
                <w:sz w:val="16"/>
                <w:szCs w:val="16"/>
                <w:lang w:val="en-US"/>
              </w:rPr>
              <w:t>(</w:t>
            </w:r>
            <w:r w:rsidRPr="00485CF4">
              <w:rPr>
                <w:i/>
                <w:color w:val="002060"/>
                <w:sz w:val="16"/>
                <w:szCs w:val="16"/>
                <w:lang w:val="en-US"/>
              </w:rPr>
              <w:t>Association of University Technology Managers</w:t>
            </w:r>
            <w:r w:rsidRPr="00485CF4">
              <w:rPr>
                <w:color w:val="002060"/>
                <w:sz w:val="16"/>
                <w:szCs w:val="16"/>
                <w:lang w:val="en-US"/>
              </w:rPr>
              <w:t xml:space="preserve"> (AUTM) y la </w:t>
            </w:r>
            <w:r w:rsidRPr="00485CF4">
              <w:rPr>
                <w:i/>
                <w:color w:val="002060"/>
                <w:sz w:val="16"/>
                <w:szCs w:val="16"/>
                <w:lang w:val="en-US"/>
              </w:rPr>
              <w:t>East Africa Climate Innovation Network</w:t>
            </w:r>
            <w:r w:rsidRPr="00485CF4">
              <w:rPr>
                <w:color w:val="002060"/>
                <w:sz w:val="16"/>
                <w:szCs w:val="16"/>
                <w:lang w:val="en-US"/>
              </w:rPr>
              <w:t xml:space="preserve"> (EACIN))</w:t>
            </w:r>
            <w:r w:rsidRPr="00485CF4">
              <w:rPr>
                <w:color w:val="993300"/>
                <w:sz w:val="16"/>
                <w:szCs w:val="16"/>
                <w:lang w:val="en-US"/>
              </w:rPr>
              <w:br/>
            </w:r>
          </w:p>
          <w:p w:rsidR="00794E04" w:rsidRPr="00526311" w:rsidRDefault="00794E04" w:rsidP="0063039A">
            <w:pPr>
              <w:keepNext/>
              <w:keepLines/>
              <w:widowControl w:val="0"/>
            </w:pPr>
            <w:r w:rsidRPr="00526311">
              <w:rPr>
                <w:i/>
                <w:iCs/>
                <w:sz w:val="16"/>
                <w:szCs w:val="16"/>
              </w:rPr>
              <w:t>Referencia original en el presupuesto de 2014/15</w:t>
            </w:r>
            <w:r w:rsidRPr="00526311">
              <w:rPr>
                <w:i/>
                <w:sz w:val="16"/>
                <w:szCs w:val="16"/>
              </w:rPr>
              <w:t>:</w:t>
            </w:r>
            <w:r w:rsidRPr="00526311">
              <w:rPr>
                <w:sz w:val="16"/>
                <w:szCs w:val="16"/>
              </w:rPr>
              <w:t xml:space="preserve">  0 (cero)</w:t>
            </w:r>
          </w:p>
          <w:p w:rsidR="00794E04" w:rsidRPr="00526311" w:rsidRDefault="00794E04" w:rsidP="0063039A">
            <w:pPr>
              <w:keepNext/>
              <w:keepLines/>
              <w:widowControl w:val="0"/>
              <w:rPr>
                <w:i/>
                <w:color w:val="002060"/>
                <w:sz w:val="16"/>
                <w:szCs w:val="16"/>
              </w:rPr>
            </w:pPr>
          </w:p>
        </w:tc>
        <w:tc>
          <w:tcPr>
            <w:tcW w:w="609" w:type="pct"/>
            <w:tcBorders>
              <w:top w:val="nil"/>
              <w:bottom w:val="nil"/>
            </w:tcBorders>
            <w:shd w:val="clear" w:color="auto" w:fill="auto"/>
            <w:tcMar>
              <w:top w:w="110" w:type="dxa"/>
            </w:tcMar>
          </w:tcPr>
          <w:p w:rsidR="00794E04" w:rsidRPr="00526311" w:rsidRDefault="00794E04" w:rsidP="0063039A">
            <w:pPr>
              <w:keepNext/>
              <w:keepLines/>
              <w:widowControl w:val="0"/>
              <w:rPr>
                <w:color w:val="808080"/>
                <w:sz w:val="16"/>
                <w:szCs w:val="16"/>
              </w:rPr>
            </w:pPr>
            <w:r w:rsidRPr="00526311">
              <w:rPr>
                <w:sz w:val="16"/>
                <w:szCs w:val="16"/>
              </w:rPr>
              <w:t>250</w:t>
            </w:r>
          </w:p>
        </w:tc>
        <w:tc>
          <w:tcPr>
            <w:tcW w:w="1303" w:type="pct"/>
            <w:gridSpan w:val="3"/>
            <w:tcBorders>
              <w:top w:val="nil"/>
              <w:bottom w:val="nil"/>
            </w:tcBorders>
            <w:shd w:val="clear" w:color="auto" w:fill="FFFFFF"/>
            <w:tcMar>
              <w:top w:w="110" w:type="dxa"/>
            </w:tcMar>
          </w:tcPr>
          <w:p w:rsidR="00794E04" w:rsidRPr="00526311" w:rsidRDefault="00794E04" w:rsidP="0063039A">
            <w:pPr>
              <w:keepNext/>
              <w:keepLines/>
              <w:widowControl w:val="0"/>
              <w:rPr>
                <w:sz w:val="16"/>
                <w:szCs w:val="16"/>
                <w:lang w:bidi="th-TH"/>
              </w:rPr>
            </w:pPr>
            <w:r w:rsidRPr="00526311">
              <w:rPr>
                <w:sz w:val="16"/>
                <w:szCs w:val="16"/>
                <w:lang w:bidi="th-TH"/>
              </w:rPr>
              <w:t xml:space="preserve">3 nuevos acuerdos: Oficina Danesa de Patentes y Marcas (DKPTO), </w:t>
            </w:r>
            <w:r w:rsidRPr="00526311">
              <w:rPr>
                <w:i/>
                <w:sz w:val="16"/>
                <w:szCs w:val="16"/>
                <w:lang w:bidi="th-TH"/>
              </w:rPr>
              <w:t>Technologie Allianz</w:t>
            </w:r>
            <w:r w:rsidRPr="00526311">
              <w:rPr>
                <w:sz w:val="16"/>
                <w:szCs w:val="16"/>
                <w:lang w:bidi="th-TH"/>
              </w:rPr>
              <w:t>; Oficina de las Naciones Unidas para la Cooperación Sur-Sur (UNOSSC)</w:t>
            </w:r>
          </w:p>
          <w:p w:rsidR="00794E04" w:rsidRPr="00526311" w:rsidRDefault="00794E04" w:rsidP="0063039A">
            <w:pPr>
              <w:keepNext/>
              <w:keepLines/>
              <w:widowControl w:val="0"/>
              <w:rPr>
                <w:sz w:val="16"/>
                <w:szCs w:val="16"/>
                <w:lang w:bidi="th-TH"/>
              </w:rPr>
            </w:pPr>
          </w:p>
        </w:tc>
        <w:tc>
          <w:tcPr>
            <w:tcW w:w="652" w:type="pct"/>
            <w:gridSpan w:val="2"/>
            <w:tcBorders>
              <w:top w:val="nil"/>
              <w:bottom w:val="nil"/>
            </w:tcBorders>
            <w:shd w:val="clear" w:color="auto" w:fill="auto"/>
            <w:tcMar>
              <w:top w:w="110" w:type="dxa"/>
            </w:tcMar>
          </w:tcPr>
          <w:p w:rsidR="00794E04" w:rsidRPr="00526311" w:rsidRDefault="00794E04" w:rsidP="0063039A">
            <w:pPr>
              <w:keepNext/>
              <w:keepLines/>
              <w:widowControl w:val="0"/>
              <w:jc w:val="center"/>
              <w:rPr>
                <w:b/>
                <w:bCs/>
                <w:color w:val="FF0000"/>
                <w:sz w:val="16"/>
                <w:szCs w:val="16"/>
              </w:rPr>
            </w:pPr>
            <w:r w:rsidRPr="00526311">
              <w:rPr>
                <w:b/>
                <w:bCs/>
                <w:color w:val="FF0000"/>
                <w:sz w:val="16"/>
                <w:szCs w:val="16"/>
              </w:rPr>
              <w:t>No avanza</w:t>
            </w:r>
          </w:p>
        </w:tc>
      </w:tr>
      <w:tr w:rsidR="00794E04" w:rsidRPr="00526311" w:rsidTr="0063039A">
        <w:trPr>
          <w:cantSplit/>
        </w:trPr>
        <w:tc>
          <w:tcPr>
            <w:tcW w:w="1104" w:type="pct"/>
            <w:tcBorders>
              <w:top w:val="nil"/>
              <w:left w:val="single" w:sz="4" w:space="0" w:color="auto"/>
              <w:bottom w:val="single" w:sz="4" w:space="0" w:color="auto"/>
            </w:tcBorders>
            <w:shd w:val="clear" w:color="auto" w:fill="auto"/>
          </w:tcPr>
          <w:p w:rsidR="00794E04" w:rsidRPr="00526311" w:rsidRDefault="00794E04" w:rsidP="0063039A">
            <w:pPr>
              <w:widowControl w:val="0"/>
              <w:rPr>
                <w:sz w:val="16"/>
                <w:szCs w:val="16"/>
              </w:rPr>
            </w:pPr>
            <w:r w:rsidRPr="00526311">
              <w:rPr>
                <w:sz w:val="16"/>
                <w:szCs w:val="16"/>
              </w:rPr>
              <w:t>Nº de visitas a las páginas sobre desafíos mundiales del sitio web</w:t>
            </w:r>
          </w:p>
          <w:p w:rsidR="00794E04" w:rsidRPr="00526311" w:rsidRDefault="00794E04" w:rsidP="0063039A">
            <w:pPr>
              <w:widowControl w:val="0"/>
              <w:rPr>
                <w:sz w:val="16"/>
                <w:szCs w:val="16"/>
              </w:rPr>
            </w:pPr>
          </w:p>
        </w:tc>
        <w:tc>
          <w:tcPr>
            <w:tcW w:w="1324" w:type="pct"/>
            <w:gridSpan w:val="2"/>
            <w:tcBorders>
              <w:top w:val="nil"/>
              <w:bottom w:val="single" w:sz="4" w:space="0" w:color="auto"/>
            </w:tcBorders>
            <w:shd w:val="clear" w:color="auto" w:fill="auto"/>
          </w:tcPr>
          <w:p w:rsidR="00794E04" w:rsidRPr="00526311" w:rsidRDefault="00794E04" w:rsidP="0063039A">
            <w:pPr>
              <w:keepNext/>
              <w:keepLines/>
              <w:widowControl w:val="0"/>
              <w:rPr>
                <w:i/>
                <w:color w:val="002060"/>
                <w:sz w:val="16"/>
                <w:szCs w:val="16"/>
              </w:rPr>
            </w:pPr>
            <w:r w:rsidRPr="00526311">
              <w:rPr>
                <w:i/>
                <w:color w:val="002060"/>
                <w:sz w:val="16"/>
                <w:szCs w:val="16"/>
              </w:rPr>
              <w:t xml:space="preserve">Referencia actualizada a fines de 2013: </w:t>
            </w:r>
          </w:p>
          <w:p w:rsidR="00794E04" w:rsidRPr="00526311" w:rsidRDefault="00794E04" w:rsidP="0063039A">
            <w:pPr>
              <w:keepNext/>
              <w:keepLines/>
              <w:widowControl w:val="0"/>
              <w:rPr>
                <w:color w:val="002060"/>
                <w:sz w:val="16"/>
                <w:szCs w:val="16"/>
              </w:rPr>
            </w:pPr>
            <w:r w:rsidRPr="00526311">
              <w:rPr>
                <w:color w:val="002060"/>
                <w:sz w:val="16"/>
                <w:szCs w:val="16"/>
              </w:rPr>
              <w:t>6.476 páginas vistas (GCD).</w:t>
            </w:r>
          </w:p>
          <w:p w:rsidR="00794E04" w:rsidRPr="00526311" w:rsidRDefault="00794E04" w:rsidP="0063039A">
            <w:pPr>
              <w:keepNext/>
              <w:keepLines/>
              <w:widowControl w:val="0"/>
              <w:rPr>
                <w:color w:val="002060"/>
                <w:sz w:val="16"/>
                <w:szCs w:val="16"/>
              </w:rPr>
            </w:pPr>
            <w:r w:rsidRPr="00526311">
              <w:rPr>
                <w:color w:val="002060"/>
                <w:sz w:val="16"/>
                <w:szCs w:val="16"/>
              </w:rPr>
              <w:t>3.773 descargas de archivos en formato pdf.</w:t>
            </w:r>
          </w:p>
          <w:p w:rsidR="00794E04" w:rsidRPr="00526311" w:rsidRDefault="00794E04" w:rsidP="0063039A">
            <w:pPr>
              <w:keepNext/>
              <w:keepLines/>
              <w:widowControl w:val="0"/>
              <w:rPr>
                <w:color w:val="002060"/>
                <w:sz w:val="16"/>
                <w:szCs w:val="16"/>
              </w:rPr>
            </w:pPr>
            <w:r w:rsidRPr="00526311">
              <w:rPr>
                <w:color w:val="002060"/>
                <w:sz w:val="16"/>
                <w:szCs w:val="16"/>
              </w:rPr>
              <w:t xml:space="preserve">73.648 páginas vistas de </w:t>
            </w:r>
            <w:r w:rsidRPr="00526311">
              <w:rPr>
                <w:i/>
                <w:color w:val="002060"/>
                <w:sz w:val="16"/>
                <w:szCs w:val="16"/>
              </w:rPr>
              <w:t>WIPO GREEN</w:t>
            </w:r>
          </w:p>
          <w:p w:rsidR="00794E04" w:rsidRPr="00526311" w:rsidRDefault="00794E04" w:rsidP="0063039A">
            <w:pPr>
              <w:keepNext/>
              <w:keepLines/>
              <w:widowControl w:val="0"/>
              <w:rPr>
                <w:color w:val="002060"/>
                <w:sz w:val="16"/>
                <w:szCs w:val="16"/>
              </w:rPr>
            </w:pPr>
            <w:r w:rsidRPr="00526311">
              <w:rPr>
                <w:color w:val="002060"/>
                <w:sz w:val="16"/>
                <w:szCs w:val="16"/>
              </w:rPr>
              <w:t xml:space="preserve">60.712 páginas vistas de </w:t>
            </w:r>
            <w:r w:rsidR="00526311" w:rsidRPr="00526311">
              <w:rPr>
                <w:i/>
                <w:color w:val="002060"/>
                <w:sz w:val="16"/>
                <w:szCs w:val="16"/>
              </w:rPr>
              <w:t>WIPO Re:Search</w:t>
            </w:r>
          </w:p>
          <w:p w:rsidR="00794E04" w:rsidRPr="00526311" w:rsidRDefault="00794E04" w:rsidP="0063039A">
            <w:pPr>
              <w:widowControl w:val="0"/>
              <w:rPr>
                <w:i/>
                <w:color w:val="002060"/>
                <w:sz w:val="16"/>
                <w:szCs w:val="16"/>
              </w:rPr>
            </w:pPr>
          </w:p>
          <w:p w:rsidR="00794E04" w:rsidRPr="00526311" w:rsidRDefault="00794E04" w:rsidP="0063039A">
            <w:pPr>
              <w:widowControl w:val="0"/>
              <w:rPr>
                <w:i/>
                <w:color w:val="002060"/>
                <w:sz w:val="16"/>
                <w:szCs w:val="16"/>
              </w:rPr>
            </w:pPr>
            <w:r w:rsidRPr="00526311">
              <w:rPr>
                <w:i/>
                <w:iCs/>
                <w:sz w:val="16"/>
                <w:szCs w:val="16"/>
              </w:rPr>
              <w:t>Referencia original en el presupuesto de 2014/15</w:t>
            </w:r>
            <w:r w:rsidRPr="00526311">
              <w:rPr>
                <w:i/>
                <w:sz w:val="16"/>
                <w:szCs w:val="16"/>
              </w:rPr>
              <w:t>:</w:t>
            </w:r>
            <w:r w:rsidRPr="00526311">
              <w:rPr>
                <w:sz w:val="16"/>
                <w:szCs w:val="16"/>
              </w:rPr>
              <w:t xml:space="preserve">  n.d.</w:t>
            </w:r>
            <w:r w:rsidRPr="00526311">
              <w:rPr>
                <w:sz w:val="16"/>
                <w:szCs w:val="16"/>
              </w:rPr>
              <w:br/>
            </w:r>
          </w:p>
        </w:tc>
        <w:tc>
          <w:tcPr>
            <w:tcW w:w="662" w:type="pct"/>
            <w:gridSpan w:val="3"/>
            <w:tcBorders>
              <w:top w:val="nil"/>
              <w:bottom w:val="single" w:sz="4" w:space="0" w:color="auto"/>
            </w:tcBorders>
            <w:shd w:val="clear" w:color="auto" w:fill="auto"/>
            <w:tcMar>
              <w:top w:w="110" w:type="dxa"/>
            </w:tcMar>
          </w:tcPr>
          <w:p w:rsidR="00794E04" w:rsidRPr="00526311" w:rsidRDefault="00794E04" w:rsidP="0063039A">
            <w:pPr>
              <w:widowControl w:val="0"/>
              <w:rPr>
                <w:sz w:val="16"/>
                <w:szCs w:val="16"/>
              </w:rPr>
            </w:pPr>
            <w:r w:rsidRPr="00526311">
              <w:rPr>
                <w:sz w:val="16"/>
                <w:szCs w:val="16"/>
              </w:rPr>
              <w:t>Aumento del 50%.</w:t>
            </w:r>
          </w:p>
        </w:tc>
        <w:tc>
          <w:tcPr>
            <w:tcW w:w="1251" w:type="pct"/>
            <w:tcBorders>
              <w:top w:val="nil"/>
              <w:bottom w:val="single" w:sz="4" w:space="0" w:color="auto"/>
            </w:tcBorders>
            <w:shd w:val="clear" w:color="auto" w:fill="FFFFFF"/>
            <w:tcMar>
              <w:top w:w="110" w:type="dxa"/>
            </w:tcMar>
          </w:tcPr>
          <w:p w:rsidR="00794E04" w:rsidRPr="00526311" w:rsidRDefault="00794E04" w:rsidP="0063039A">
            <w:pPr>
              <w:widowControl w:val="0"/>
              <w:rPr>
                <w:sz w:val="16"/>
                <w:szCs w:val="16"/>
                <w:lang w:bidi="th-TH"/>
              </w:rPr>
            </w:pPr>
            <w:r w:rsidRPr="00526311">
              <w:rPr>
                <w:sz w:val="16"/>
                <w:szCs w:val="16"/>
                <w:lang w:bidi="th-TH"/>
              </w:rPr>
              <w:t xml:space="preserve">Número de páginas vistas: </w:t>
            </w:r>
          </w:p>
          <w:p w:rsidR="00794E04" w:rsidRPr="00526311" w:rsidRDefault="00794E04" w:rsidP="0063039A">
            <w:pPr>
              <w:widowControl w:val="0"/>
              <w:spacing w:after="120"/>
              <w:rPr>
                <w:sz w:val="16"/>
                <w:szCs w:val="16"/>
                <w:lang w:bidi="th-TH"/>
              </w:rPr>
            </w:pPr>
            <w:r w:rsidRPr="00526311">
              <w:rPr>
                <w:sz w:val="16"/>
                <w:szCs w:val="16"/>
                <w:lang w:bidi="th-TH"/>
              </w:rPr>
              <w:t xml:space="preserve">-  GCD (División de Desafíos Mundiales): 1.353 </w:t>
            </w:r>
          </w:p>
          <w:p w:rsidR="00794E04" w:rsidRPr="00526311" w:rsidRDefault="00794E04" w:rsidP="0063039A">
            <w:pPr>
              <w:widowControl w:val="0"/>
              <w:spacing w:after="120"/>
              <w:rPr>
                <w:sz w:val="16"/>
                <w:szCs w:val="16"/>
                <w:lang w:bidi="th-TH"/>
              </w:rPr>
            </w:pPr>
            <w:r w:rsidRPr="00526311">
              <w:rPr>
                <w:sz w:val="16"/>
                <w:szCs w:val="16"/>
                <w:lang w:bidi="th-TH"/>
              </w:rPr>
              <w:t>-  La salud mundial y la P.I.: 4.778</w:t>
            </w:r>
          </w:p>
          <w:p w:rsidR="00794E04" w:rsidRPr="00526311" w:rsidRDefault="00794E04" w:rsidP="0063039A">
            <w:pPr>
              <w:widowControl w:val="0"/>
              <w:spacing w:after="120"/>
              <w:rPr>
                <w:sz w:val="16"/>
                <w:szCs w:val="16"/>
                <w:lang w:bidi="th-TH"/>
              </w:rPr>
            </w:pPr>
            <w:r w:rsidRPr="00526311">
              <w:rPr>
                <w:sz w:val="16"/>
                <w:szCs w:val="16"/>
                <w:lang w:bidi="th-TH"/>
              </w:rPr>
              <w:t xml:space="preserve">-  El cambio climático y la P.I.: 2.462 </w:t>
            </w:r>
          </w:p>
          <w:p w:rsidR="00794E04" w:rsidRPr="00485CF4" w:rsidRDefault="00794E04" w:rsidP="0063039A">
            <w:pPr>
              <w:widowControl w:val="0"/>
              <w:spacing w:after="120"/>
              <w:rPr>
                <w:sz w:val="16"/>
                <w:szCs w:val="16"/>
                <w:lang w:val="en-US" w:bidi="th-TH"/>
              </w:rPr>
            </w:pPr>
            <w:r w:rsidRPr="00485CF4">
              <w:rPr>
                <w:sz w:val="16"/>
                <w:szCs w:val="16"/>
                <w:lang w:val="en-US" w:bidi="th-TH"/>
              </w:rPr>
              <w:t xml:space="preserve">-  </w:t>
            </w:r>
            <w:r w:rsidR="00526311" w:rsidRPr="00485CF4">
              <w:rPr>
                <w:i/>
                <w:sz w:val="16"/>
                <w:szCs w:val="16"/>
                <w:lang w:val="en-US" w:bidi="th-TH"/>
              </w:rPr>
              <w:t>WIPO Re:Search</w:t>
            </w:r>
            <w:r w:rsidRPr="00485CF4">
              <w:rPr>
                <w:sz w:val="16"/>
                <w:szCs w:val="16"/>
                <w:lang w:val="en-US" w:bidi="th-TH"/>
              </w:rPr>
              <w:t>: 38.852</w:t>
            </w:r>
          </w:p>
          <w:p w:rsidR="00794E04" w:rsidRPr="00485CF4" w:rsidRDefault="00794E04" w:rsidP="0063039A">
            <w:pPr>
              <w:widowControl w:val="0"/>
              <w:rPr>
                <w:sz w:val="16"/>
                <w:szCs w:val="16"/>
                <w:lang w:val="en-US" w:bidi="th-TH"/>
              </w:rPr>
            </w:pPr>
            <w:r w:rsidRPr="00485CF4">
              <w:rPr>
                <w:sz w:val="16"/>
                <w:szCs w:val="16"/>
                <w:lang w:val="en-US" w:bidi="th-TH"/>
              </w:rPr>
              <w:t>-  WIPO GREEN:  77.752</w:t>
            </w:r>
          </w:p>
        </w:tc>
        <w:tc>
          <w:tcPr>
            <w:tcW w:w="659" w:type="pct"/>
            <w:gridSpan w:val="3"/>
            <w:tcBorders>
              <w:top w:val="nil"/>
              <w:bottom w:val="single" w:sz="4" w:space="0" w:color="auto"/>
              <w:right w:val="single" w:sz="4" w:space="0" w:color="auto"/>
            </w:tcBorders>
            <w:shd w:val="clear" w:color="auto" w:fill="auto"/>
            <w:tcMar>
              <w:top w:w="110" w:type="dxa"/>
            </w:tcMar>
          </w:tcPr>
          <w:p w:rsidR="00794E04" w:rsidRPr="00526311" w:rsidRDefault="00794E04" w:rsidP="0063039A">
            <w:pPr>
              <w:widowControl w:val="0"/>
              <w:jc w:val="center"/>
              <w:rPr>
                <w:b/>
                <w:bCs/>
                <w:color w:val="FF0000"/>
                <w:sz w:val="16"/>
                <w:szCs w:val="16"/>
              </w:rPr>
            </w:pPr>
            <w:r w:rsidRPr="00526311">
              <w:rPr>
                <w:b/>
                <w:bCs/>
                <w:color w:val="FF0000"/>
                <w:sz w:val="16"/>
                <w:szCs w:val="16"/>
              </w:rPr>
              <w:t>No avanza</w:t>
            </w:r>
          </w:p>
          <w:p w:rsidR="00794E04" w:rsidRPr="00526311" w:rsidRDefault="00794E04" w:rsidP="0063039A">
            <w:pPr>
              <w:widowControl w:val="0"/>
              <w:jc w:val="center"/>
              <w:rPr>
                <w:b/>
                <w:bCs/>
                <w:color w:val="FF0000"/>
                <w:sz w:val="16"/>
                <w:szCs w:val="16"/>
              </w:rPr>
            </w:pPr>
          </w:p>
          <w:p w:rsidR="00794E04" w:rsidRPr="00526311" w:rsidRDefault="00794E04" w:rsidP="0063039A">
            <w:pPr>
              <w:widowControl w:val="0"/>
              <w:jc w:val="center"/>
              <w:rPr>
                <w:b/>
                <w:bCs/>
                <w:color w:val="FF0000"/>
                <w:sz w:val="15"/>
                <w:szCs w:val="15"/>
              </w:rPr>
            </w:pPr>
          </w:p>
          <w:p w:rsidR="00794E04" w:rsidRPr="00526311" w:rsidRDefault="00794E04" w:rsidP="0063039A">
            <w:pPr>
              <w:widowControl w:val="0"/>
              <w:spacing w:after="60"/>
              <w:jc w:val="center"/>
              <w:rPr>
                <w:b/>
                <w:bCs/>
                <w:color w:val="A6A6A6" w:themeColor="background1" w:themeShade="A6"/>
                <w:sz w:val="16"/>
                <w:szCs w:val="16"/>
              </w:rPr>
            </w:pPr>
            <w:r w:rsidRPr="00526311">
              <w:rPr>
                <w:b/>
                <w:bCs/>
                <w:color w:val="A6A6A6" w:themeColor="background1" w:themeShade="A6"/>
                <w:sz w:val="16"/>
                <w:szCs w:val="16"/>
              </w:rPr>
              <w:t>No mensurable</w:t>
            </w:r>
          </w:p>
          <w:p w:rsidR="00794E04" w:rsidRPr="00526311" w:rsidRDefault="00794E04" w:rsidP="0063039A">
            <w:pPr>
              <w:widowControl w:val="0"/>
              <w:spacing w:after="60"/>
              <w:jc w:val="center"/>
              <w:rPr>
                <w:b/>
                <w:bCs/>
                <w:color w:val="A6A6A6" w:themeColor="background1" w:themeShade="A6"/>
                <w:sz w:val="16"/>
                <w:szCs w:val="16"/>
              </w:rPr>
            </w:pPr>
            <w:r w:rsidRPr="00526311">
              <w:rPr>
                <w:b/>
                <w:bCs/>
                <w:color w:val="A6A6A6" w:themeColor="background1" w:themeShade="A6"/>
                <w:sz w:val="16"/>
                <w:szCs w:val="16"/>
              </w:rPr>
              <w:t>No mensurable</w:t>
            </w:r>
          </w:p>
          <w:p w:rsidR="00794E04" w:rsidRPr="00526311" w:rsidRDefault="00794E04" w:rsidP="0063039A">
            <w:pPr>
              <w:widowControl w:val="0"/>
              <w:jc w:val="center"/>
              <w:rPr>
                <w:b/>
                <w:bCs/>
              </w:rPr>
            </w:pPr>
          </w:p>
          <w:p w:rsidR="00794E04" w:rsidRPr="00526311" w:rsidRDefault="00794E04" w:rsidP="0063039A">
            <w:pPr>
              <w:widowControl w:val="0"/>
              <w:spacing w:after="60"/>
              <w:jc w:val="center"/>
              <w:rPr>
                <w:b/>
                <w:bCs/>
                <w:color w:val="FF0000"/>
                <w:sz w:val="16"/>
                <w:szCs w:val="16"/>
              </w:rPr>
            </w:pPr>
            <w:r w:rsidRPr="00526311">
              <w:rPr>
                <w:b/>
                <w:bCs/>
                <w:color w:val="FF0000"/>
                <w:sz w:val="16"/>
                <w:szCs w:val="16"/>
              </w:rPr>
              <w:t>No avanza</w:t>
            </w:r>
          </w:p>
          <w:p w:rsidR="00794E04" w:rsidRPr="00526311" w:rsidRDefault="00794E04" w:rsidP="0063039A">
            <w:pPr>
              <w:widowControl w:val="0"/>
              <w:jc w:val="center"/>
              <w:rPr>
                <w:bCs/>
                <w:color w:val="808080"/>
                <w:sz w:val="16"/>
                <w:szCs w:val="16"/>
              </w:rPr>
            </w:pPr>
            <w:r w:rsidRPr="00526311">
              <w:rPr>
                <w:b/>
                <w:bCs/>
                <w:color w:val="008000"/>
                <w:sz w:val="16"/>
                <w:szCs w:val="16"/>
              </w:rPr>
              <w:t>Avanza</w:t>
            </w:r>
          </w:p>
        </w:tc>
      </w:tr>
      <w:tr w:rsidR="00794E04" w:rsidRPr="00526311" w:rsidTr="0063039A">
        <w:trPr>
          <w:cantSplit/>
          <w:trHeight w:val="521"/>
        </w:trPr>
        <w:tc>
          <w:tcPr>
            <w:tcW w:w="5000" w:type="pct"/>
            <w:gridSpan w:val="10"/>
            <w:tcBorders>
              <w:top w:val="single" w:sz="4" w:space="0" w:color="auto"/>
              <w:bottom w:val="single" w:sz="4" w:space="0" w:color="auto"/>
            </w:tcBorders>
            <w:shd w:val="clear" w:color="auto" w:fill="CCFFFF"/>
            <w:vAlign w:val="center"/>
          </w:tcPr>
          <w:p w:rsidR="00794E04" w:rsidRPr="00526311" w:rsidRDefault="00794E04" w:rsidP="0063039A">
            <w:pPr>
              <w:tabs>
                <w:tab w:val="left" w:pos="1735"/>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sz w:val="16"/>
                <w:szCs w:val="16"/>
              </w:rPr>
              <w:t>VII.3 Mayor credibilidad de la OMPI en tanto que foro para el análisis de cuestiones en el ámbito de la P.I. y la política de competencia</w:t>
            </w:r>
          </w:p>
        </w:tc>
      </w:tr>
      <w:tr w:rsidR="00794E04" w:rsidRPr="00526311" w:rsidTr="0063039A">
        <w:trPr>
          <w:cantSplit/>
        </w:trPr>
        <w:tc>
          <w:tcPr>
            <w:tcW w:w="1104" w:type="pct"/>
            <w:tcBorders>
              <w:top w:val="single" w:sz="4" w:space="0" w:color="auto"/>
            </w:tcBorders>
            <w:shd w:val="clear" w:color="auto" w:fill="auto"/>
            <w:vAlign w:val="center"/>
          </w:tcPr>
          <w:p w:rsidR="00794E04" w:rsidRPr="00526311" w:rsidRDefault="00794E04" w:rsidP="0063039A">
            <w:pPr>
              <w:widowControl w:val="0"/>
              <w:rPr>
                <w:sz w:val="16"/>
                <w:szCs w:val="16"/>
              </w:rPr>
            </w:pPr>
            <w:r w:rsidRPr="00526311">
              <w:rPr>
                <w:b/>
                <w:sz w:val="16"/>
                <w:szCs w:val="16"/>
              </w:rPr>
              <w:t>Indicadores de rendimiento</w:t>
            </w:r>
          </w:p>
        </w:tc>
        <w:tc>
          <w:tcPr>
            <w:tcW w:w="1324" w:type="pct"/>
            <w:gridSpan w:val="2"/>
            <w:tcBorders>
              <w:top w:val="single" w:sz="4" w:space="0" w:color="auto"/>
            </w:tcBorders>
            <w:shd w:val="clear" w:color="auto" w:fill="auto"/>
            <w:vAlign w:val="center"/>
          </w:tcPr>
          <w:p w:rsidR="00794E04" w:rsidRPr="00526311" w:rsidRDefault="00794E04" w:rsidP="0063039A">
            <w:pPr>
              <w:widowControl w:val="0"/>
              <w:rPr>
                <w:b/>
                <w:bCs/>
                <w:sz w:val="16"/>
                <w:szCs w:val="16"/>
              </w:rPr>
            </w:pPr>
            <w:r w:rsidRPr="00526311">
              <w:rPr>
                <w:b/>
                <w:bCs/>
                <w:sz w:val="16"/>
                <w:szCs w:val="16"/>
              </w:rPr>
              <w:t>Referencia</w:t>
            </w:r>
          </w:p>
        </w:tc>
        <w:tc>
          <w:tcPr>
            <w:tcW w:w="662" w:type="pct"/>
            <w:gridSpan w:val="3"/>
            <w:tcBorders>
              <w:top w:val="single" w:sz="4" w:space="0" w:color="auto"/>
            </w:tcBorders>
            <w:shd w:val="clear" w:color="auto" w:fill="auto"/>
            <w:tcMar>
              <w:top w:w="110" w:type="dxa"/>
            </w:tcMar>
            <w:vAlign w:val="center"/>
          </w:tcPr>
          <w:p w:rsidR="00794E04" w:rsidRPr="00526311" w:rsidRDefault="00794E04" w:rsidP="0063039A">
            <w:pPr>
              <w:widowControl w:val="0"/>
              <w:rPr>
                <w:b/>
                <w:sz w:val="16"/>
                <w:szCs w:val="16"/>
              </w:rPr>
            </w:pPr>
            <w:r w:rsidRPr="00526311">
              <w:rPr>
                <w:b/>
                <w:sz w:val="16"/>
                <w:szCs w:val="16"/>
              </w:rPr>
              <w:t>Objetivos</w:t>
            </w:r>
          </w:p>
        </w:tc>
        <w:tc>
          <w:tcPr>
            <w:tcW w:w="1325" w:type="pct"/>
            <w:gridSpan w:val="3"/>
            <w:tcBorders>
              <w:top w:val="single" w:sz="4" w:space="0" w:color="auto"/>
            </w:tcBorders>
            <w:shd w:val="clear" w:color="auto" w:fill="FFFFFF"/>
            <w:tcMar>
              <w:top w:w="110" w:type="dxa"/>
            </w:tcMar>
            <w:vAlign w:val="center"/>
          </w:tcPr>
          <w:p w:rsidR="00794E04" w:rsidRPr="00526311" w:rsidRDefault="00794E04" w:rsidP="0063039A">
            <w:pPr>
              <w:widowControl w:val="0"/>
              <w:rPr>
                <w:sz w:val="16"/>
                <w:szCs w:val="16"/>
              </w:rPr>
            </w:pPr>
            <w:r w:rsidRPr="00526311">
              <w:rPr>
                <w:b/>
                <w:sz w:val="16"/>
                <w:szCs w:val="16"/>
              </w:rPr>
              <w:t>Datos sobre el rendimiento</w:t>
            </w:r>
          </w:p>
        </w:tc>
        <w:tc>
          <w:tcPr>
            <w:tcW w:w="585" w:type="pct"/>
            <w:tcBorders>
              <w:top w:val="single" w:sz="4" w:space="0" w:color="auto"/>
            </w:tcBorders>
            <w:shd w:val="clear" w:color="auto" w:fill="auto"/>
            <w:tcMar>
              <w:top w:w="110" w:type="dxa"/>
            </w:tcMar>
            <w:vAlign w:val="center"/>
          </w:tcPr>
          <w:p w:rsidR="00794E04" w:rsidRPr="00526311" w:rsidRDefault="00794E04" w:rsidP="0063039A">
            <w:pPr>
              <w:widowControl w:val="0"/>
              <w:ind w:right="-107"/>
              <w:jc w:val="center"/>
              <w:rPr>
                <w:b/>
                <w:bCs/>
                <w:sz w:val="16"/>
                <w:szCs w:val="16"/>
              </w:rPr>
            </w:pPr>
            <w:r w:rsidRPr="00526311">
              <w:rPr>
                <w:b/>
                <w:bCs/>
                <w:sz w:val="16"/>
                <w:szCs w:val="16"/>
              </w:rPr>
              <w:t>Clave de colores</w:t>
            </w:r>
          </w:p>
        </w:tc>
      </w:tr>
      <w:tr w:rsidR="00794E04" w:rsidRPr="00526311" w:rsidTr="0063039A">
        <w:trPr>
          <w:cantSplit/>
        </w:trPr>
        <w:tc>
          <w:tcPr>
            <w:tcW w:w="1104" w:type="pct"/>
            <w:shd w:val="clear" w:color="auto" w:fill="auto"/>
          </w:tcPr>
          <w:p w:rsidR="00794E04" w:rsidRPr="00526311" w:rsidRDefault="00794E04" w:rsidP="0063039A">
            <w:pPr>
              <w:widowControl w:val="0"/>
              <w:rPr>
                <w:sz w:val="16"/>
                <w:szCs w:val="16"/>
              </w:rPr>
            </w:pPr>
            <w:r w:rsidRPr="00526311">
              <w:rPr>
                <w:sz w:val="16"/>
                <w:szCs w:val="16"/>
              </w:rPr>
              <w:t>Nº de países que solicitan la aportación específica de la OMPI en materia de P.I. en relación con la política de competencia</w:t>
            </w:r>
          </w:p>
        </w:tc>
        <w:tc>
          <w:tcPr>
            <w:tcW w:w="1324" w:type="pct"/>
            <w:gridSpan w:val="2"/>
            <w:shd w:val="clear" w:color="auto" w:fill="auto"/>
          </w:tcPr>
          <w:p w:rsidR="00794E04" w:rsidRPr="00526311" w:rsidRDefault="00794E04" w:rsidP="0063039A">
            <w:pPr>
              <w:widowControl w:val="0"/>
              <w:rPr>
                <w:i/>
                <w:color w:val="002060"/>
                <w:sz w:val="16"/>
                <w:szCs w:val="16"/>
              </w:rPr>
            </w:pPr>
            <w:r w:rsidRPr="00526311">
              <w:rPr>
                <w:i/>
                <w:color w:val="002060"/>
                <w:sz w:val="16"/>
                <w:szCs w:val="16"/>
              </w:rPr>
              <w:t xml:space="preserve">Referencia actualizada a fines de 2013: </w:t>
            </w:r>
          </w:p>
          <w:p w:rsidR="00794E04" w:rsidRPr="00526311" w:rsidRDefault="00794E04" w:rsidP="0063039A">
            <w:pPr>
              <w:widowControl w:val="0"/>
              <w:rPr>
                <w:i/>
                <w:color w:val="002060"/>
                <w:sz w:val="16"/>
                <w:szCs w:val="16"/>
              </w:rPr>
            </w:pPr>
            <w:r w:rsidRPr="00526311">
              <w:rPr>
                <w:color w:val="002060"/>
                <w:sz w:val="16"/>
                <w:szCs w:val="16"/>
              </w:rPr>
              <w:t>Seis solicitudes de debates bilaterales (Chile, Brasil, Ecuador, India, República Dominicana, República de Moldova) y una solicitud de asistencia legislativa (Bhután).</w:t>
            </w:r>
            <w:r w:rsidRPr="00526311">
              <w:rPr>
                <w:i/>
                <w:color w:val="002060"/>
                <w:sz w:val="16"/>
                <w:szCs w:val="16"/>
                <w:highlight w:val="red"/>
              </w:rPr>
              <w:t xml:space="preserve"> </w:t>
            </w:r>
          </w:p>
          <w:p w:rsidR="00794E04" w:rsidRPr="00526311" w:rsidRDefault="00794E04" w:rsidP="0063039A">
            <w:pPr>
              <w:widowControl w:val="0"/>
              <w:rPr>
                <w:sz w:val="16"/>
                <w:szCs w:val="16"/>
              </w:rPr>
            </w:pPr>
            <w:r w:rsidRPr="00526311">
              <w:rPr>
                <w:color w:val="993300"/>
                <w:sz w:val="16"/>
                <w:szCs w:val="16"/>
              </w:rPr>
              <w:br/>
            </w:r>
            <w:r w:rsidRPr="00526311">
              <w:rPr>
                <w:i/>
                <w:iCs/>
                <w:sz w:val="16"/>
                <w:szCs w:val="16"/>
              </w:rPr>
              <w:t>Referencia original en el presupuesto de 2014/15</w:t>
            </w:r>
            <w:r w:rsidRPr="00526311">
              <w:rPr>
                <w:i/>
                <w:sz w:val="16"/>
                <w:szCs w:val="16"/>
              </w:rPr>
              <w:t>:</w:t>
            </w:r>
            <w:r w:rsidRPr="00526311">
              <w:rPr>
                <w:sz w:val="16"/>
                <w:szCs w:val="16"/>
              </w:rPr>
              <w:t xml:space="preserve">  12</w:t>
            </w:r>
          </w:p>
          <w:p w:rsidR="00794E04" w:rsidRPr="00526311" w:rsidRDefault="00794E04" w:rsidP="0063039A">
            <w:pPr>
              <w:widowControl w:val="0"/>
              <w:rPr>
                <w:sz w:val="16"/>
                <w:szCs w:val="16"/>
              </w:rPr>
            </w:pPr>
          </w:p>
        </w:tc>
        <w:tc>
          <w:tcPr>
            <w:tcW w:w="662" w:type="pct"/>
            <w:gridSpan w:val="3"/>
            <w:shd w:val="clear" w:color="auto" w:fill="auto"/>
            <w:tcMar>
              <w:top w:w="110" w:type="dxa"/>
            </w:tcMar>
          </w:tcPr>
          <w:p w:rsidR="00794E04" w:rsidRPr="00526311" w:rsidRDefault="00794E04" w:rsidP="0063039A">
            <w:pPr>
              <w:widowControl w:val="0"/>
              <w:rPr>
                <w:sz w:val="16"/>
                <w:szCs w:val="16"/>
              </w:rPr>
            </w:pPr>
            <w:r w:rsidRPr="00526311">
              <w:rPr>
                <w:sz w:val="16"/>
                <w:szCs w:val="16"/>
              </w:rPr>
              <w:t>15</w:t>
            </w:r>
          </w:p>
        </w:tc>
        <w:tc>
          <w:tcPr>
            <w:tcW w:w="1325" w:type="pct"/>
            <w:gridSpan w:val="3"/>
            <w:shd w:val="clear" w:color="auto" w:fill="FFFFFF"/>
            <w:tcMar>
              <w:top w:w="110" w:type="dxa"/>
            </w:tcMar>
          </w:tcPr>
          <w:p w:rsidR="00794E04" w:rsidRPr="00526311" w:rsidRDefault="00794E04" w:rsidP="0063039A">
            <w:pPr>
              <w:widowControl w:val="0"/>
              <w:rPr>
                <w:sz w:val="16"/>
                <w:szCs w:val="16"/>
                <w:lang w:bidi="th-TH"/>
              </w:rPr>
            </w:pPr>
            <w:r w:rsidRPr="00526311">
              <w:rPr>
                <w:sz w:val="16"/>
                <w:szCs w:val="16"/>
                <w:lang w:bidi="th-TH"/>
              </w:rPr>
              <w:t>12 solicitudes recibidas (Brasil,</w:t>
            </w:r>
          </w:p>
          <w:p w:rsidR="00794E04" w:rsidRPr="00526311" w:rsidRDefault="00794E04" w:rsidP="0063039A">
            <w:pPr>
              <w:widowControl w:val="0"/>
              <w:rPr>
                <w:sz w:val="16"/>
                <w:szCs w:val="16"/>
                <w:lang w:bidi="th-TH"/>
              </w:rPr>
            </w:pPr>
            <w:r w:rsidRPr="00526311">
              <w:rPr>
                <w:sz w:val="16"/>
                <w:szCs w:val="16"/>
                <w:lang w:bidi="th-TH"/>
              </w:rPr>
              <w:t>Colombia, Cuba, República Dominicana, Ecuador, India, Italia, Perú, Filipinas, Singapur, Sudáfrica, Viet Nam)</w:t>
            </w:r>
          </w:p>
        </w:tc>
        <w:tc>
          <w:tcPr>
            <w:tcW w:w="585" w:type="pct"/>
            <w:shd w:val="clear" w:color="auto" w:fill="auto"/>
            <w:tcMar>
              <w:top w:w="110" w:type="dxa"/>
            </w:tcMar>
          </w:tcPr>
          <w:p w:rsidR="00794E04" w:rsidRPr="00526311" w:rsidRDefault="00794E04" w:rsidP="0063039A">
            <w:pPr>
              <w:widowControl w:val="0"/>
              <w:jc w:val="center"/>
              <w:rPr>
                <w:b/>
                <w:bCs/>
                <w:color w:val="008000"/>
                <w:sz w:val="15"/>
                <w:szCs w:val="15"/>
              </w:rPr>
            </w:pPr>
            <w:r w:rsidRPr="00526311">
              <w:rPr>
                <w:b/>
                <w:bCs/>
                <w:color w:val="008000"/>
                <w:sz w:val="16"/>
                <w:szCs w:val="16"/>
              </w:rPr>
              <w:t>Avanza</w:t>
            </w:r>
          </w:p>
        </w:tc>
      </w:tr>
      <w:tr w:rsidR="00794E04" w:rsidRPr="00526311" w:rsidTr="0063039A">
        <w:trPr>
          <w:cantSplit/>
        </w:trPr>
        <w:tc>
          <w:tcPr>
            <w:tcW w:w="1104" w:type="pct"/>
            <w:shd w:val="clear" w:color="auto" w:fill="auto"/>
          </w:tcPr>
          <w:p w:rsidR="00794E04" w:rsidRPr="00526311" w:rsidRDefault="00794E04" w:rsidP="0063039A">
            <w:pPr>
              <w:widowControl w:val="0"/>
              <w:rPr>
                <w:sz w:val="16"/>
                <w:szCs w:val="16"/>
              </w:rPr>
            </w:pPr>
            <w:r w:rsidRPr="00526311">
              <w:rPr>
                <w:sz w:val="16"/>
                <w:szCs w:val="16"/>
              </w:rPr>
              <w:t xml:space="preserve">Nº y diversidad de sectores interesados (oficinas de P.I., </w:t>
            </w:r>
            <w:r w:rsidRPr="00526311">
              <w:rPr>
                <w:bCs/>
                <w:sz w:val="16"/>
                <w:szCs w:val="16"/>
              </w:rPr>
              <w:t>administraciones</w:t>
            </w:r>
            <w:r w:rsidRPr="00526311">
              <w:rPr>
                <w:sz w:val="16"/>
                <w:szCs w:val="16"/>
              </w:rPr>
              <w:t xml:space="preserve"> encargadas de cuestiones de competencia, OIG y ONG) que entablan diálogo con la OMPI</w:t>
            </w:r>
          </w:p>
        </w:tc>
        <w:tc>
          <w:tcPr>
            <w:tcW w:w="1324" w:type="pct"/>
            <w:gridSpan w:val="2"/>
            <w:shd w:val="clear" w:color="auto" w:fill="auto"/>
          </w:tcPr>
          <w:p w:rsidR="00794E04" w:rsidRPr="00526311" w:rsidRDefault="00794E04" w:rsidP="0063039A">
            <w:pPr>
              <w:keepNext/>
              <w:keepLines/>
              <w:widowControl w:val="0"/>
              <w:rPr>
                <w:color w:val="002060"/>
                <w:sz w:val="16"/>
                <w:szCs w:val="16"/>
              </w:rPr>
            </w:pPr>
            <w:r w:rsidRPr="00526311">
              <w:rPr>
                <w:i/>
                <w:color w:val="002060"/>
                <w:sz w:val="16"/>
                <w:szCs w:val="16"/>
              </w:rPr>
              <w:t>Referencia actualizada a fines de 2013:</w:t>
            </w:r>
            <w:r w:rsidRPr="00526311">
              <w:rPr>
                <w:color w:val="002060"/>
                <w:sz w:val="16"/>
                <w:szCs w:val="16"/>
              </w:rPr>
              <w:t xml:space="preserve">  Se organizaron 19 talleres y reuniones en los que participaron 38 autoridades encargadas de cuestiones de competencia y cinco OIG.  Establecimiento de coordinación informal con UNCTAD, la OMC y la OCDE.  Participación activa en la Red Internacional de Competencia.  Cooperación con el COMESA. </w:t>
            </w:r>
          </w:p>
          <w:p w:rsidR="00794E04" w:rsidRPr="00526311" w:rsidRDefault="00794E04" w:rsidP="0063039A">
            <w:pPr>
              <w:keepNext/>
              <w:keepLines/>
              <w:widowControl w:val="0"/>
              <w:rPr>
                <w:i/>
                <w:color w:val="002060"/>
                <w:sz w:val="16"/>
                <w:szCs w:val="16"/>
              </w:rPr>
            </w:pPr>
          </w:p>
          <w:p w:rsidR="00794E04" w:rsidRPr="00526311" w:rsidRDefault="00794E04" w:rsidP="0063039A">
            <w:pPr>
              <w:keepNext/>
              <w:keepLines/>
              <w:widowControl w:val="0"/>
              <w:rPr>
                <w:sz w:val="16"/>
                <w:szCs w:val="16"/>
              </w:rPr>
            </w:pPr>
            <w:r w:rsidRPr="00526311">
              <w:rPr>
                <w:i/>
                <w:iCs/>
                <w:sz w:val="16"/>
                <w:szCs w:val="16"/>
              </w:rPr>
              <w:t>Referencia original en el presupuesto de 2014/15</w:t>
            </w:r>
            <w:r w:rsidRPr="00526311">
              <w:rPr>
                <w:i/>
                <w:sz w:val="16"/>
                <w:szCs w:val="16"/>
              </w:rPr>
              <w:t>:</w:t>
            </w:r>
            <w:r w:rsidRPr="00526311">
              <w:rPr>
                <w:sz w:val="16"/>
                <w:szCs w:val="16"/>
              </w:rPr>
              <w:t xml:space="preserve"> La OMPI ha colaborado con 25 </w:t>
            </w:r>
            <w:r w:rsidRPr="00526311">
              <w:rPr>
                <w:bCs/>
                <w:sz w:val="16"/>
                <w:szCs w:val="16"/>
              </w:rPr>
              <w:t>administraciones</w:t>
            </w:r>
            <w:r w:rsidRPr="00526311">
              <w:rPr>
                <w:sz w:val="16"/>
                <w:szCs w:val="16"/>
              </w:rPr>
              <w:t xml:space="preserve"> nacionales encargadas de cuestiones de competencia y con 3 OIG</w:t>
            </w:r>
            <w:r w:rsidR="008E4DE1" w:rsidRPr="00526311">
              <w:rPr>
                <w:sz w:val="16"/>
                <w:szCs w:val="16"/>
              </w:rPr>
              <w:t>.</w:t>
            </w:r>
            <w:r w:rsidRPr="00526311">
              <w:rPr>
                <w:sz w:val="16"/>
                <w:szCs w:val="16"/>
              </w:rPr>
              <w:t xml:space="preserve"> </w:t>
            </w:r>
          </w:p>
          <w:p w:rsidR="00794E04" w:rsidRPr="00526311" w:rsidRDefault="00794E04" w:rsidP="0063039A">
            <w:pPr>
              <w:keepNext/>
              <w:keepLines/>
              <w:widowControl w:val="0"/>
              <w:rPr>
                <w:sz w:val="16"/>
                <w:szCs w:val="16"/>
              </w:rPr>
            </w:pPr>
          </w:p>
        </w:tc>
        <w:tc>
          <w:tcPr>
            <w:tcW w:w="662" w:type="pct"/>
            <w:gridSpan w:val="3"/>
            <w:shd w:val="clear" w:color="auto" w:fill="auto"/>
            <w:tcMar>
              <w:top w:w="110" w:type="dxa"/>
            </w:tcMar>
          </w:tcPr>
          <w:p w:rsidR="00794E04" w:rsidRPr="00526311" w:rsidRDefault="00794E04" w:rsidP="0063039A">
            <w:pPr>
              <w:widowControl w:val="0"/>
              <w:autoSpaceDE w:val="0"/>
              <w:autoSpaceDN w:val="0"/>
              <w:adjustRightInd w:val="0"/>
              <w:ind w:left="-78" w:right="-147"/>
              <w:rPr>
                <w:sz w:val="16"/>
                <w:szCs w:val="16"/>
              </w:rPr>
            </w:pPr>
            <w:r w:rsidRPr="00526311">
              <w:rPr>
                <w:sz w:val="16"/>
                <w:szCs w:val="16"/>
              </w:rPr>
              <w:t xml:space="preserve">Mayor número </w:t>
            </w:r>
            <w:r w:rsidRPr="00526311">
              <w:rPr>
                <w:sz w:val="16"/>
                <w:szCs w:val="16"/>
              </w:rPr>
              <w:br/>
              <w:t xml:space="preserve">de partes interesadas que participan en actividades de la OMPI:  35 </w:t>
            </w:r>
            <w:r w:rsidRPr="00526311">
              <w:rPr>
                <w:bCs/>
                <w:sz w:val="16"/>
                <w:szCs w:val="16"/>
              </w:rPr>
              <w:t>administraciones</w:t>
            </w:r>
            <w:r w:rsidRPr="00526311">
              <w:rPr>
                <w:sz w:val="16"/>
                <w:szCs w:val="16"/>
              </w:rPr>
              <w:t xml:space="preserve"> nacionales y cinco OIG/ONG</w:t>
            </w:r>
          </w:p>
        </w:tc>
        <w:tc>
          <w:tcPr>
            <w:tcW w:w="1325" w:type="pct"/>
            <w:gridSpan w:val="3"/>
            <w:shd w:val="clear" w:color="auto" w:fill="FFFFFF"/>
            <w:tcMar>
              <w:top w:w="110" w:type="dxa"/>
            </w:tcMar>
          </w:tcPr>
          <w:p w:rsidR="00794E04" w:rsidRPr="00526311" w:rsidRDefault="00794E04" w:rsidP="0063039A">
            <w:pPr>
              <w:widowControl w:val="0"/>
              <w:rPr>
                <w:sz w:val="16"/>
                <w:szCs w:val="16"/>
              </w:rPr>
            </w:pPr>
            <w:r w:rsidRPr="00526311">
              <w:rPr>
                <w:sz w:val="16"/>
                <w:szCs w:val="16"/>
                <w:lang w:bidi="th-TH"/>
              </w:rPr>
              <w:t xml:space="preserve">Participación de 26 nuevas </w:t>
            </w:r>
            <w:r w:rsidRPr="00526311">
              <w:rPr>
                <w:bCs/>
                <w:sz w:val="16"/>
                <w:szCs w:val="16"/>
                <w:lang w:bidi="th-TH"/>
              </w:rPr>
              <w:t>administraciones</w:t>
            </w:r>
            <w:r w:rsidRPr="00526311">
              <w:rPr>
                <w:sz w:val="16"/>
                <w:szCs w:val="16"/>
                <w:lang w:bidi="th-TH"/>
              </w:rPr>
              <w:t xml:space="preserve"> nacionales encargadas de cuestiones de competencia y continuación de la colaboración con cinco OIG/ONG (OCDE, UNCTAD, la OMC, Red Internacional de Competencia, COMESA)</w:t>
            </w:r>
          </w:p>
        </w:tc>
        <w:tc>
          <w:tcPr>
            <w:tcW w:w="585" w:type="pct"/>
            <w:shd w:val="clear" w:color="auto" w:fill="auto"/>
            <w:tcMar>
              <w:top w:w="110" w:type="dxa"/>
            </w:tcMar>
          </w:tcPr>
          <w:p w:rsidR="00794E04" w:rsidRPr="00526311" w:rsidRDefault="00794E04" w:rsidP="0063039A">
            <w:pPr>
              <w:widowControl w:val="0"/>
              <w:jc w:val="center"/>
              <w:rPr>
                <w:b/>
                <w:bCs/>
                <w:color w:val="008000"/>
                <w:sz w:val="15"/>
                <w:szCs w:val="15"/>
              </w:rPr>
            </w:pPr>
            <w:r w:rsidRPr="00526311">
              <w:rPr>
                <w:b/>
                <w:bCs/>
                <w:color w:val="008000"/>
                <w:sz w:val="16"/>
                <w:szCs w:val="16"/>
              </w:rPr>
              <w:t>Avanza</w:t>
            </w:r>
          </w:p>
        </w:tc>
      </w:tr>
    </w:tbl>
    <w:p w:rsidR="00794E04" w:rsidRPr="00526311" w:rsidRDefault="00794E04" w:rsidP="0063039A">
      <w:pPr>
        <w:widowControl w:val="0"/>
        <w:rPr>
          <w:color w:val="000000"/>
          <w:szCs w:val="22"/>
        </w:rPr>
      </w:pPr>
    </w:p>
    <w:p w:rsidR="00794E04" w:rsidRPr="00526311" w:rsidRDefault="00794E04" w:rsidP="0063039A">
      <w:pPr>
        <w:keepNext/>
        <w:keepLines/>
        <w:widowControl w:val="0"/>
        <w:rPr>
          <w:b/>
          <w:sz w:val="18"/>
          <w:szCs w:val="18"/>
        </w:rPr>
      </w:pPr>
      <w:r w:rsidRPr="00526311">
        <w:rPr>
          <w:szCs w:val="22"/>
        </w:rPr>
        <w:lastRenderedPageBreak/>
        <w:t>UTILIZACIÓN DE LOS RECURSOS</w:t>
      </w:r>
    </w:p>
    <w:p w:rsidR="00794E04" w:rsidRPr="00526311" w:rsidRDefault="00794E04" w:rsidP="0063039A">
      <w:pPr>
        <w:keepNext/>
        <w:keepLines/>
        <w:widowControl w:val="0"/>
        <w:rPr>
          <w:sz w:val="16"/>
          <w:szCs w:val="16"/>
        </w:rPr>
      </w:pPr>
    </w:p>
    <w:p w:rsidR="00794E04" w:rsidRPr="00526311" w:rsidRDefault="00794E04" w:rsidP="0063039A">
      <w:pPr>
        <w:pStyle w:val="NormalWeb"/>
        <w:keepNext/>
        <w:keepLines/>
        <w:widowControl w:val="0"/>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794E04" w:rsidRPr="00526311" w:rsidRDefault="00794E04" w:rsidP="0063039A">
      <w:pPr>
        <w:pStyle w:val="NormalWeb"/>
        <w:keepNext/>
        <w:keepLines/>
        <w:widowControl w:val="0"/>
        <w:spacing w:before="0" w:beforeAutospacing="0" w:after="0" w:afterAutospacing="0"/>
        <w:jc w:val="center"/>
        <w:rPr>
          <w:i/>
          <w:iCs/>
          <w:sz w:val="20"/>
          <w:szCs w:val="20"/>
          <w:lang w:val="es-ES"/>
        </w:rPr>
      </w:pPr>
      <w:r w:rsidRPr="00526311">
        <w:rPr>
          <w:i/>
          <w:iCs/>
          <w:sz w:val="20"/>
          <w:szCs w:val="20"/>
          <w:lang w:val="es-ES"/>
        </w:rPr>
        <w:t>(en miles de francos suizos)</w:t>
      </w:r>
    </w:p>
    <w:p w:rsidR="00794E04" w:rsidRPr="00526311" w:rsidRDefault="00794E04" w:rsidP="0063039A">
      <w:pPr>
        <w:pStyle w:val="NormalWeb"/>
        <w:keepNext/>
        <w:keepLines/>
        <w:widowControl w:val="0"/>
        <w:spacing w:before="0" w:beforeAutospacing="0" w:after="0" w:afterAutospacing="0"/>
        <w:jc w:val="center"/>
        <w:rPr>
          <w:sz w:val="20"/>
          <w:szCs w:val="20"/>
          <w:lang w:val="es-ES"/>
        </w:rPr>
      </w:pPr>
    </w:p>
    <w:p w:rsidR="00794E04" w:rsidRPr="00526311" w:rsidRDefault="00DD7B62" w:rsidP="0063039A">
      <w:pPr>
        <w:widowControl w:val="0"/>
        <w:jc w:val="center"/>
      </w:pPr>
      <w:r w:rsidRPr="00526311">
        <w:rPr>
          <w:noProof/>
          <w:lang w:val="en-US" w:eastAsia="en-US"/>
        </w:rPr>
        <w:drawing>
          <wp:inline distT="0" distB="0" distL="0" distR="0" wp14:anchorId="27726D0C" wp14:editId="6BCE201A">
            <wp:extent cx="5631427" cy="5314950"/>
            <wp:effectExtent l="0" t="0" r="762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31427" cy="5314950"/>
                    </a:xfrm>
                    <a:prstGeom prst="rect">
                      <a:avLst/>
                    </a:prstGeom>
                    <a:noFill/>
                    <a:ln>
                      <a:noFill/>
                    </a:ln>
                  </pic:spPr>
                </pic:pic>
              </a:graphicData>
            </a:graphic>
          </wp:inline>
        </w:drawing>
      </w:r>
    </w:p>
    <w:p w:rsidR="00794E04" w:rsidRPr="00526311" w:rsidRDefault="00794E04" w:rsidP="0063039A">
      <w:pPr>
        <w:widowControl w:val="0"/>
        <w:rPr>
          <w:sz w:val="20"/>
        </w:rPr>
      </w:pPr>
    </w:p>
    <w:p w:rsidR="00794E04" w:rsidRPr="00526311" w:rsidRDefault="00794E04" w:rsidP="0063039A">
      <w:pPr>
        <w:widowControl w:val="0"/>
        <w:rPr>
          <w:sz w:val="20"/>
        </w:rPr>
      </w:pPr>
    </w:p>
    <w:p w:rsidR="00794E04" w:rsidRPr="00526311" w:rsidRDefault="00794E04" w:rsidP="0063039A">
      <w:pPr>
        <w:pStyle w:val="NormalWeb"/>
        <w:widowControl w:val="0"/>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794E04" w:rsidRPr="00526311" w:rsidRDefault="00794E04" w:rsidP="0063039A">
      <w:pPr>
        <w:pStyle w:val="NormalWeb"/>
        <w:widowControl w:val="0"/>
        <w:spacing w:before="0" w:beforeAutospacing="0" w:after="0" w:afterAutospacing="0"/>
        <w:jc w:val="center"/>
        <w:rPr>
          <w:i/>
          <w:iCs/>
          <w:sz w:val="20"/>
          <w:szCs w:val="20"/>
          <w:lang w:val="es-ES"/>
        </w:rPr>
      </w:pPr>
      <w:r w:rsidRPr="00526311">
        <w:rPr>
          <w:i/>
          <w:iCs/>
          <w:sz w:val="20"/>
          <w:szCs w:val="20"/>
          <w:lang w:val="es-ES"/>
        </w:rPr>
        <w:t>(en miles de francos suizos)</w:t>
      </w:r>
    </w:p>
    <w:p w:rsidR="00794E04" w:rsidRPr="00526311" w:rsidRDefault="00794E04" w:rsidP="0063039A">
      <w:pPr>
        <w:pStyle w:val="NormalWeb"/>
        <w:widowControl w:val="0"/>
        <w:spacing w:before="0" w:beforeAutospacing="0" w:after="0" w:afterAutospacing="0"/>
        <w:jc w:val="center"/>
        <w:rPr>
          <w:lang w:val="es-ES"/>
        </w:rPr>
      </w:pPr>
    </w:p>
    <w:p w:rsidR="00794E04" w:rsidRPr="00526311" w:rsidRDefault="00FF6E74" w:rsidP="0063039A">
      <w:pPr>
        <w:widowControl w:val="0"/>
        <w:jc w:val="center"/>
      </w:pPr>
      <w:bookmarkStart w:id="69" w:name="Punto18"/>
      <w:r w:rsidRPr="00526311">
        <w:rPr>
          <w:noProof/>
          <w:lang w:val="en-US" w:eastAsia="en-US"/>
        </w:rPr>
        <w:drawing>
          <wp:inline distT="0" distB="0" distL="0" distR="0" wp14:anchorId="5DB26EDE" wp14:editId="21542A5E">
            <wp:extent cx="5940425" cy="1231877"/>
            <wp:effectExtent l="0" t="0" r="3175" b="698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0425" cy="1231877"/>
                    </a:xfrm>
                    <a:prstGeom prst="rect">
                      <a:avLst/>
                    </a:prstGeom>
                    <a:noFill/>
                    <a:ln>
                      <a:noFill/>
                    </a:ln>
                  </pic:spPr>
                </pic:pic>
              </a:graphicData>
            </a:graphic>
          </wp:inline>
        </w:drawing>
      </w:r>
      <w:bookmarkEnd w:id="69"/>
    </w:p>
    <w:p w:rsidR="00794E04" w:rsidRPr="00526311" w:rsidRDefault="00794E04" w:rsidP="0063039A">
      <w:pPr>
        <w:widowControl w:val="0"/>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794E04" w:rsidRPr="00526311" w:rsidRDefault="00794E04" w:rsidP="0063039A">
      <w:pPr>
        <w:widowControl w:val="0"/>
        <w:autoSpaceDE w:val="0"/>
        <w:autoSpaceDN w:val="0"/>
        <w:adjustRightInd w:val="0"/>
        <w:rPr>
          <w:sz w:val="20"/>
        </w:rPr>
      </w:pPr>
    </w:p>
    <w:p w:rsidR="00794E04" w:rsidRPr="00526311" w:rsidRDefault="00794E04" w:rsidP="0063039A">
      <w:pPr>
        <w:widowControl w:val="0"/>
        <w:rPr>
          <w:sz w:val="20"/>
          <w:u w:val="single"/>
        </w:rPr>
      </w:pPr>
      <w:r w:rsidRPr="00526311">
        <w:rPr>
          <w:sz w:val="20"/>
        </w:rPr>
        <w:t>A.</w:t>
      </w:r>
      <w:r w:rsidRPr="00526311">
        <w:rPr>
          <w:sz w:val="20"/>
        </w:rPr>
        <w:tab/>
      </w:r>
      <w:r w:rsidRPr="00526311">
        <w:rPr>
          <w:sz w:val="20"/>
          <w:u w:val="single"/>
        </w:rPr>
        <w:t>Presupuesto de 2014/15 tras las transferencias</w:t>
      </w:r>
    </w:p>
    <w:p w:rsidR="00794E04" w:rsidRPr="00526311" w:rsidRDefault="00794E04" w:rsidP="0063039A">
      <w:pPr>
        <w:widowControl w:val="0"/>
        <w:rPr>
          <w:sz w:val="20"/>
          <w:lang w:eastAsia="ko-KR"/>
        </w:rPr>
      </w:pPr>
    </w:p>
    <w:p w:rsidR="00794E04" w:rsidRPr="00526311" w:rsidRDefault="00794E04" w:rsidP="00794E04">
      <w:pPr>
        <w:pStyle w:val="Default"/>
        <w:widowControl w:val="0"/>
        <w:numPr>
          <w:ilvl w:val="0"/>
          <w:numId w:val="71"/>
        </w:numPr>
        <w:tabs>
          <w:tab w:val="left" w:pos="709"/>
        </w:tabs>
        <w:ind w:left="0" w:firstLine="0"/>
        <w:jc w:val="both"/>
        <w:rPr>
          <w:sz w:val="20"/>
          <w:szCs w:val="20"/>
          <w:lang w:val="es-ES" w:eastAsia="ko-KR"/>
        </w:rPr>
      </w:pPr>
      <w:r w:rsidRPr="00526311">
        <w:rPr>
          <w:sz w:val="20"/>
          <w:szCs w:val="20"/>
          <w:lang w:val="es-ES" w:eastAsia="ko-KR"/>
        </w:rPr>
        <w:t>La disminución neta de los recursos de personal se debe a la transferencia temporal de un miembro del personal al programa 6 con objeto de apoyar la labor relativa a las nuevas adhesiones al Sistema de Madrid.</w:t>
      </w:r>
    </w:p>
    <w:p w:rsidR="00794E04" w:rsidRPr="00526311" w:rsidRDefault="00794E04" w:rsidP="0063039A">
      <w:pPr>
        <w:widowControl w:val="0"/>
        <w:autoSpaceDE w:val="0"/>
        <w:autoSpaceDN w:val="0"/>
        <w:jc w:val="both"/>
        <w:rPr>
          <w:sz w:val="20"/>
          <w:lang w:eastAsia="ko-KR"/>
        </w:rPr>
      </w:pPr>
    </w:p>
    <w:p w:rsidR="00794E04" w:rsidRPr="00526311" w:rsidRDefault="00794E04" w:rsidP="00794E04">
      <w:pPr>
        <w:pStyle w:val="Default"/>
        <w:widowControl w:val="0"/>
        <w:numPr>
          <w:ilvl w:val="0"/>
          <w:numId w:val="71"/>
        </w:numPr>
        <w:tabs>
          <w:tab w:val="left" w:pos="709"/>
        </w:tabs>
        <w:ind w:left="0" w:firstLine="0"/>
        <w:jc w:val="both"/>
        <w:rPr>
          <w:sz w:val="20"/>
          <w:szCs w:val="20"/>
          <w:lang w:val="es-ES" w:eastAsia="ko-KR"/>
        </w:rPr>
      </w:pPr>
      <w:r w:rsidRPr="00526311">
        <w:rPr>
          <w:sz w:val="20"/>
          <w:szCs w:val="20"/>
          <w:lang w:val="es-ES" w:eastAsia="ko-KR"/>
        </w:rPr>
        <w:t xml:space="preserve">El aumento neto de recursos no relativos a personal se debe a la transferencia de fondos procedentes del programa 6 en relación con los servicios de consultores necesarios para compensar la transferencia temporal antes mencionada, con miras a asegurar la continuidad de la labor relativa a las plataformas y aplicaciones de TI de la OMPI en el Sector de Cuestiones Mundiales.  </w:t>
      </w:r>
    </w:p>
    <w:p w:rsidR="00794E04" w:rsidRPr="00526311" w:rsidRDefault="00794E04" w:rsidP="0063039A">
      <w:pPr>
        <w:pStyle w:val="Default"/>
        <w:widowControl w:val="0"/>
        <w:tabs>
          <w:tab w:val="left" w:pos="709"/>
        </w:tabs>
        <w:jc w:val="both"/>
        <w:rPr>
          <w:sz w:val="20"/>
          <w:szCs w:val="20"/>
          <w:lang w:val="es-ES" w:eastAsia="ko-KR"/>
        </w:rPr>
      </w:pPr>
    </w:p>
    <w:p w:rsidR="00794E04" w:rsidRPr="00526311" w:rsidRDefault="00794E04" w:rsidP="00794E04">
      <w:pPr>
        <w:pStyle w:val="Default"/>
        <w:widowControl w:val="0"/>
        <w:numPr>
          <w:ilvl w:val="0"/>
          <w:numId w:val="71"/>
        </w:numPr>
        <w:tabs>
          <w:tab w:val="left" w:pos="709"/>
        </w:tabs>
        <w:ind w:left="0" w:firstLine="0"/>
        <w:jc w:val="both"/>
        <w:rPr>
          <w:sz w:val="20"/>
          <w:szCs w:val="20"/>
          <w:lang w:val="es-ES" w:eastAsia="ko-KR"/>
        </w:rPr>
      </w:pPr>
      <w:r w:rsidRPr="00526311">
        <w:rPr>
          <w:sz w:val="20"/>
          <w:szCs w:val="20"/>
          <w:lang w:val="es-ES" w:eastAsia="ko-KR"/>
        </w:rPr>
        <w:t>En general, los ajustes efectuados en todos los resultados previstos en el</w:t>
      </w:r>
      <w:r w:rsidRPr="00526311">
        <w:rPr>
          <w:sz w:val="20"/>
          <w:szCs w:val="20"/>
          <w:lang w:val="es-ES"/>
        </w:rPr>
        <w:t xml:space="preserve"> </w:t>
      </w:r>
      <w:r w:rsidRPr="00526311">
        <w:rPr>
          <w:sz w:val="20"/>
          <w:szCs w:val="20"/>
          <w:lang w:val="es-ES" w:eastAsia="ko-KR"/>
        </w:rPr>
        <w:t xml:space="preserve">presupuesto de 2014/15 tras las transferencias reflejan la aplicación de la nueva metodología para la asignación de recursos de personal, que es más precisa, y resulta de las mejoras aportadas al sistema de planificación de la gestión del rendimiento institucional para la planificación anual del trabajo en 2014. </w:t>
      </w:r>
    </w:p>
    <w:p w:rsidR="00794E04" w:rsidRPr="00526311" w:rsidRDefault="00794E04" w:rsidP="0063039A">
      <w:pPr>
        <w:widowControl w:val="0"/>
        <w:autoSpaceDE w:val="0"/>
        <w:autoSpaceDN w:val="0"/>
        <w:jc w:val="both"/>
        <w:rPr>
          <w:sz w:val="20"/>
          <w:lang w:eastAsia="ko-KR"/>
        </w:rPr>
      </w:pPr>
    </w:p>
    <w:p w:rsidR="00794E04" w:rsidRPr="00526311" w:rsidRDefault="00794E04" w:rsidP="00794E04">
      <w:pPr>
        <w:pStyle w:val="ListParagraph"/>
        <w:widowControl w:val="0"/>
        <w:numPr>
          <w:ilvl w:val="0"/>
          <w:numId w:val="71"/>
        </w:numPr>
        <w:tabs>
          <w:tab w:val="left" w:pos="709"/>
        </w:tabs>
        <w:ind w:left="0" w:firstLine="0"/>
        <w:jc w:val="both"/>
        <w:rPr>
          <w:rFonts w:cs="Arial"/>
          <w:bCs/>
          <w:lang w:val="es-ES"/>
        </w:rPr>
      </w:pPr>
      <w:r w:rsidRPr="00526311">
        <w:rPr>
          <w:rFonts w:cs="Arial"/>
          <w:lang w:val="es-ES"/>
        </w:rPr>
        <w:t>Los recursos asignados a los resultados previstos I.1, VI.1, VI.2 y VIII.5 en el marco del presente programa reflejan los esfuerzos que ha dedicado la Oficina del Subdirector General del Sector de Cuestiones Mundiales a las actividades de los programas 4, 17 y 20, respectivamente.</w:t>
      </w:r>
    </w:p>
    <w:p w:rsidR="00794E04" w:rsidRPr="00526311" w:rsidRDefault="00794E04" w:rsidP="0063039A">
      <w:pPr>
        <w:widowControl w:val="0"/>
        <w:autoSpaceDE w:val="0"/>
        <w:autoSpaceDN w:val="0"/>
        <w:jc w:val="both"/>
        <w:rPr>
          <w:sz w:val="20"/>
          <w:lang w:eastAsia="ko-KR"/>
        </w:rPr>
      </w:pPr>
    </w:p>
    <w:p w:rsidR="00794E04" w:rsidRPr="00526311" w:rsidRDefault="00794E04" w:rsidP="0063039A">
      <w:pPr>
        <w:widowControl w:val="0"/>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794E04" w:rsidRPr="00526311" w:rsidRDefault="00794E04" w:rsidP="0063039A">
      <w:pPr>
        <w:widowControl w:val="0"/>
        <w:tabs>
          <w:tab w:val="left" w:pos="709"/>
        </w:tabs>
        <w:jc w:val="both"/>
        <w:rPr>
          <w:sz w:val="20"/>
          <w:u w:val="single"/>
          <w:lang w:eastAsia="ko-KR"/>
        </w:rPr>
      </w:pPr>
    </w:p>
    <w:p w:rsidR="00794E04" w:rsidRPr="00526311" w:rsidRDefault="00794E04" w:rsidP="00794E04">
      <w:pPr>
        <w:pStyle w:val="ListParagraph"/>
        <w:widowControl w:val="0"/>
        <w:numPr>
          <w:ilvl w:val="0"/>
          <w:numId w:val="71"/>
        </w:numPr>
        <w:tabs>
          <w:tab w:val="left" w:pos="709"/>
        </w:tabs>
        <w:ind w:left="0" w:firstLine="0"/>
        <w:jc w:val="both"/>
        <w:rPr>
          <w:rFonts w:ascii="Calibri" w:hAnsi="Calibri"/>
          <w:lang w:val="es-ES"/>
        </w:rPr>
      </w:pPr>
      <w:r w:rsidRPr="00526311">
        <w:rPr>
          <w:rFonts w:cs="Arial"/>
          <w:lang w:val="es-ES" w:eastAsia="ko-KR"/>
        </w:rPr>
        <w:t>La ligera infrautilización de los recursos no relativos a personal refleja ahorros de costos, en particular en relación con los viajes y la organización de reuniones.</w:t>
      </w:r>
    </w:p>
    <w:p w:rsidR="00794E04" w:rsidRPr="00526311" w:rsidRDefault="00794E04" w:rsidP="0063039A">
      <w:pPr>
        <w:widowControl w:val="0"/>
        <w:autoSpaceDE w:val="0"/>
        <w:autoSpaceDN w:val="0"/>
        <w:jc w:val="both"/>
        <w:rPr>
          <w:sz w:val="20"/>
        </w:rPr>
      </w:pPr>
    </w:p>
    <w:p w:rsidR="00794E04" w:rsidRPr="00526311" w:rsidRDefault="00794E04" w:rsidP="0063039A">
      <w:pPr>
        <w:widowControl w:val="0"/>
        <w:autoSpaceDE w:val="0"/>
        <w:autoSpaceDN w:val="0"/>
        <w:jc w:val="both"/>
        <w:rPr>
          <w:sz w:val="20"/>
        </w:rPr>
      </w:pPr>
    </w:p>
    <w:p w:rsidR="00794E04" w:rsidRPr="00526311" w:rsidRDefault="00794E04">
      <w:pPr>
        <w:rPr>
          <w:rFonts w:eastAsia="Times New Roman"/>
          <w:b/>
          <w:bCs/>
          <w:iCs/>
          <w:caps/>
          <w:color w:val="000000"/>
          <w:sz w:val="20"/>
          <w:lang w:eastAsia="da-DK"/>
        </w:rPr>
      </w:pPr>
      <w:bookmarkStart w:id="70" w:name="_Toc367350598"/>
      <w:r w:rsidRPr="00526311">
        <w:rPr>
          <w:color w:val="000000"/>
          <w:sz w:val="20"/>
        </w:rPr>
        <w:br w:type="page"/>
      </w:r>
    </w:p>
    <w:p w:rsidR="00794E04" w:rsidRPr="00526311" w:rsidRDefault="00794E04" w:rsidP="0063039A">
      <w:pPr>
        <w:pStyle w:val="StyleHeading214ptAuto"/>
        <w:rPr>
          <w:rFonts w:ascii="Arial" w:hAnsi="Arial" w:cs="Arial"/>
          <w:sz w:val="20"/>
          <w:szCs w:val="20"/>
          <w:lang w:val="es-ES"/>
        </w:rPr>
      </w:pPr>
      <w:bookmarkStart w:id="71" w:name="_Toc422927431"/>
      <w:r w:rsidRPr="00526311">
        <w:rPr>
          <w:rFonts w:ascii="Arial" w:hAnsi="Arial" w:cs="Arial"/>
          <w:color w:val="000000"/>
          <w:sz w:val="20"/>
          <w:szCs w:val="20"/>
          <w:lang w:val="es-ES"/>
        </w:rPr>
        <w:lastRenderedPageBreak/>
        <w:t>META ESTRATÉGICA VIII</w:t>
      </w:r>
      <w:bookmarkEnd w:id="71"/>
    </w:p>
    <w:p w:rsidR="00794E04" w:rsidRPr="00526311" w:rsidRDefault="00794E04" w:rsidP="0063039A">
      <w:pPr>
        <w:rPr>
          <w:sz w:val="20"/>
        </w:rPr>
      </w:pPr>
    </w:p>
    <w:bookmarkEnd w:id="70"/>
    <w:p w:rsidR="00794E04" w:rsidRPr="00526311" w:rsidRDefault="00794E04" w:rsidP="0063039A">
      <w:pPr>
        <w:jc w:val="center"/>
        <w:rPr>
          <w:b/>
          <w:color w:val="000000"/>
          <w:sz w:val="20"/>
        </w:rPr>
      </w:pPr>
      <w:r w:rsidRPr="00526311">
        <w:rPr>
          <w:b/>
          <w:color w:val="000000"/>
          <w:sz w:val="20"/>
        </w:rPr>
        <w:t xml:space="preserve">COMUNICACIÓN EFICAZ ENTRE LA OMPI, SUS ESTADOS MIEMBROS Y </w:t>
      </w:r>
    </w:p>
    <w:p w:rsidR="00794E04" w:rsidRPr="00526311" w:rsidRDefault="00794E04" w:rsidP="0063039A">
      <w:pPr>
        <w:jc w:val="center"/>
        <w:rPr>
          <w:b/>
          <w:sz w:val="20"/>
        </w:rPr>
      </w:pPr>
      <w:r w:rsidRPr="00526311">
        <w:rPr>
          <w:b/>
          <w:color w:val="000000"/>
          <w:sz w:val="20"/>
        </w:rPr>
        <w:t>TODAS LAS PARTES INTERESADAS</w:t>
      </w:r>
    </w:p>
    <w:p w:rsidR="00794E04" w:rsidRPr="00526311" w:rsidRDefault="00794E04" w:rsidP="0063039A">
      <w:pPr>
        <w:jc w:val="center"/>
        <w:rPr>
          <w:b/>
          <w:sz w:val="20"/>
        </w:rPr>
      </w:pPr>
    </w:p>
    <w:p w:rsidR="00794E04" w:rsidRPr="00526311" w:rsidRDefault="00794E04" w:rsidP="0063039A">
      <w:pPr>
        <w:jc w:val="center"/>
        <w:rPr>
          <w:b/>
          <w:sz w:val="20"/>
          <w:szCs w:val="24"/>
        </w:rPr>
      </w:pPr>
      <w:r w:rsidRPr="00526311">
        <w:rPr>
          <w:b/>
          <w:sz w:val="20"/>
        </w:rPr>
        <w:t>Tablero de control del rendimiento a mediano plazo (2014)</w:t>
      </w:r>
    </w:p>
    <w:p w:rsidR="00794E04" w:rsidRPr="00526311" w:rsidRDefault="00794E04" w:rsidP="0063039A">
      <w:pPr>
        <w:rPr>
          <w:sz w:val="20"/>
        </w:rPr>
      </w:pPr>
    </w:p>
    <w:p w:rsidR="00794E04" w:rsidRPr="00526311" w:rsidRDefault="00794E04" w:rsidP="008E4DE1">
      <w:pPr>
        <w:jc w:val="both"/>
        <w:rPr>
          <w:sz w:val="20"/>
        </w:rPr>
      </w:pPr>
      <w:r w:rsidRPr="00526311">
        <w:rPr>
          <w:sz w:val="20"/>
        </w:rPr>
        <w:t>En el siguiente tablero de control se reseñan los avances realizados hacia la consecución de los resultados en 2014, medidos con arreglo a los indicadores del programa o programas que contribuyen al logro de esta meta estratégica.</w:t>
      </w:r>
    </w:p>
    <w:p w:rsidR="00794E04" w:rsidRPr="00526311" w:rsidRDefault="008E4DE1" w:rsidP="0063039A">
      <w:pPr>
        <w:rPr>
          <w:sz w:val="20"/>
        </w:rPr>
      </w:pPr>
      <w:r w:rsidRPr="00526311">
        <w:rPr>
          <w:noProof/>
          <w:lang w:val="en-US" w:eastAsia="en-US"/>
        </w:rPr>
        <w:drawing>
          <wp:inline distT="0" distB="0" distL="0" distR="0" wp14:anchorId="34EA2B52" wp14:editId="168CB418">
            <wp:extent cx="5337331" cy="273600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337331" cy="2736000"/>
                    </a:xfrm>
                    <a:prstGeom prst="rect">
                      <a:avLst/>
                    </a:prstGeom>
                    <a:noFill/>
                    <a:ln>
                      <a:noFill/>
                    </a:ln>
                  </pic:spPr>
                </pic:pic>
              </a:graphicData>
            </a:graphic>
          </wp:inline>
        </w:drawing>
      </w:r>
    </w:p>
    <w:p w:rsidR="00794E04" w:rsidRPr="00526311" w:rsidRDefault="00794E04" w:rsidP="0063039A">
      <w:pPr>
        <w:rPr>
          <w:sz w:val="12"/>
          <w:szCs w:val="12"/>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02"/>
        <w:gridCol w:w="4072"/>
        <w:gridCol w:w="1506"/>
        <w:gridCol w:w="980"/>
      </w:tblGrid>
      <w:tr w:rsidR="00794E04" w:rsidRPr="00526311" w:rsidTr="0063039A">
        <w:trPr>
          <w:cantSplit/>
          <w:trHeight w:val="383"/>
          <w:tblHeader/>
        </w:trPr>
        <w:tc>
          <w:tcPr>
            <w:tcW w:w="1534" w:type="pct"/>
            <w:tcBorders>
              <w:top w:val="single" w:sz="4" w:space="0" w:color="auto"/>
              <w:bottom w:val="single" w:sz="4" w:space="0" w:color="auto"/>
            </w:tcBorders>
            <w:shd w:val="clear" w:color="auto" w:fill="CCFFFF"/>
            <w:tcMar>
              <w:top w:w="113" w:type="dxa"/>
              <w:bottom w:w="85" w:type="dxa"/>
            </w:tcMar>
            <w:vAlign w:val="center"/>
          </w:tcPr>
          <w:p w:rsidR="00794E04" w:rsidRPr="00526311" w:rsidRDefault="00794E04" w:rsidP="0063039A">
            <w:pPr>
              <w:spacing w:after="120"/>
              <w:jc w:val="center"/>
              <w:rPr>
                <w:b/>
                <w:bCs/>
                <w:sz w:val="18"/>
                <w:szCs w:val="18"/>
              </w:rPr>
            </w:pPr>
            <w:r w:rsidRPr="00526311">
              <w:rPr>
                <w:b/>
                <w:bCs/>
                <w:sz w:val="18"/>
                <w:szCs w:val="18"/>
              </w:rPr>
              <w:t>Resultados previstos</w:t>
            </w:r>
          </w:p>
        </w:tc>
        <w:tc>
          <w:tcPr>
            <w:tcW w:w="2152" w:type="pct"/>
            <w:tcBorders>
              <w:top w:val="single" w:sz="4" w:space="0" w:color="auto"/>
              <w:bottom w:val="single" w:sz="4" w:space="0" w:color="auto"/>
            </w:tcBorders>
            <w:shd w:val="clear" w:color="auto" w:fill="CCFFFF"/>
            <w:tcMar>
              <w:top w:w="113" w:type="dxa"/>
              <w:bottom w:w="85" w:type="dxa"/>
            </w:tcMar>
            <w:vAlign w:val="center"/>
          </w:tcPr>
          <w:p w:rsidR="00794E04" w:rsidRPr="00526311" w:rsidRDefault="00794E04" w:rsidP="0063039A">
            <w:pPr>
              <w:spacing w:after="120"/>
              <w:jc w:val="center"/>
              <w:rPr>
                <w:b/>
                <w:sz w:val="18"/>
                <w:szCs w:val="18"/>
              </w:rPr>
            </w:pPr>
            <w:r w:rsidRPr="00526311">
              <w:rPr>
                <w:b/>
                <w:sz w:val="18"/>
                <w:szCs w:val="18"/>
              </w:rPr>
              <w:t>Indicadores de rendimiento</w:t>
            </w:r>
          </w:p>
        </w:tc>
        <w:tc>
          <w:tcPr>
            <w:tcW w:w="796" w:type="pct"/>
            <w:tcBorders>
              <w:top w:val="single" w:sz="4" w:space="0" w:color="auto"/>
              <w:bottom w:val="single" w:sz="4" w:space="0" w:color="auto"/>
            </w:tcBorders>
            <w:shd w:val="clear" w:color="auto" w:fill="CCFFFF"/>
            <w:tcMar>
              <w:top w:w="113" w:type="dxa"/>
              <w:bottom w:w="85" w:type="dxa"/>
            </w:tcMar>
            <w:vAlign w:val="center"/>
          </w:tcPr>
          <w:p w:rsidR="00794E04" w:rsidRPr="00526311" w:rsidRDefault="00794E04" w:rsidP="0063039A">
            <w:pPr>
              <w:spacing w:after="120"/>
              <w:ind w:left="85" w:right="42"/>
              <w:jc w:val="center"/>
              <w:rPr>
                <w:sz w:val="18"/>
                <w:szCs w:val="18"/>
              </w:rPr>
            </w:pPr>
            <w:r w:rsidRPr="00526311">
              <w:rPr>
                <w:b/>
                <w:sz w:val="18"/>
                <w:szCs w:val="18"/>
              </w:rPr>
              <w:t>Programas responsables</w:t>
            </w:r>
          </w:p>
        </w:tc>
        <w:tc>
          <w:tcPr>
            <w:tcW w:w="518" w:type="pct"/>
            <w:tcBorders>
              <w:top w:val="single" w:sz="4" w:space="0" w:color="auto"/>
              <w:bottom w:val="single" w:sz="4" w:space="0" w:color="auto"/>
            </w:tcBorders>
            <w:shd w:val="clear" w:color="auto" w:fill="CCFFFF"/>
          </w:tcPr>
          <w:p w:rsidR="00794E04" w:rsidRPr="00526311" w:rsidRDefault="00794E04" w:rsidP="0063039A">
            <w:pPr>
              <w:spacing w:after="120"/>
              <w:ind w:left="-125"/>
              <w:jc w:val="center"/>
              <w:rPr>
                <w:b/>
                <w:bCs/>
                <w:sz w:val="18"/>
                <w:szCs w:val="18"/>
              </w:rPr>
            </w:pPr>
            <w:r w:rsidRPr="00526311">
              <w:rPr>
                <w:b/>
                <w:bCs/>
                <w:color w:val="000000"/>
                <w:sz w:val="18"/>
                <w:szCs w:val="18"/>
              </w:rPr>
              <w:t>Clave de colores</w:t>
            </w:r>
          </w:p>
        </w:tc>
      </w:tr>
      <w:tr w:rsidR="00794E04" w:rsidRPr="00526311" w:rsidTr="0063039A">
        <w:trPr>
          <w:cantSplit/>
          <w:trHeight w:val="501"/>
        </w:trPr>
        <w:tc>
          <w:tcPr>
            <w:tcW w:w="1534" w:type="pct"/>
            <w:tcBorders>
              <w:top w:val="single" w:sz="4" w:space="0" w:color="auto"/>
            </w:tcBorders>
            <w:shd w:val="clear" w:color="auto" w:fill="auto"/>
            <w:tcMar>
              <w:top w:w="113" w:type="dxa"/>
              <w:bottom w:w="85" w:type="dxa"/>
            </w:tcMar>
          </w:tcPr>
          <w:p w:rsidR="00794E04" w:rsidRPr="00526311" w:rsidRDefault="00794E04" w:rsidP="0063039A">
            <w:pPr>
              <w:rPr>
                <w:sz w:val="16"/>
                <w:szCs w:val="16"/>
              </w:rPr>
            </w:pPr>
            <w:r w:rsidRPr="00526311">
              <w:rPr>
                <w:sz w:val="16"/>
                <w:szCs w:val="16"/>
              </w:rPr>
              <w:t>VIII.1 Comunicación más eficaz con el público en general acerca de la P.I. y la función de la OMPI</w:t>
            </w:r>
          </w:p>
        </w:tc>
        <w:tc>
          <w:tcPr>
            <w:tcW w:w="2152" w:type="pct"/>
            <w:tcBorders>
              <w:top w:val="single" w:sz="4" w:space="0" w:color="auto"/>
            </w:tcBorders>
            <w:shd w:val="clear" w:color="auto" w:fill="auto"/>
            <w:tcMar>
              <w:top w:w="113" w:type="dxa"/>
              <w:bottom w:w="85" w:type="dxa"/>
            </w:tcMar>
          </w:tcPr>
          <w:p w:rsidR="00794E04" w:rsidRPr="00526311" w:rsidRDefault="00794E04" w:rsidP="0063039A">
            <w:pPr>
              <w:rPr>
                <w:sz w:val="16"/>
                <w:szCs w:val="16"/>
              </w:rPr>
            </w:pPr>
            <w:r w:rsidRPr="00526311">
              <w:rPr>
                <w:sz w:val="16"/>
                <w:szCs w:val="16"/>
              </w:rPr>
              <w:t>Grado de interés público generado por importantes actividades/logros de la OMPI</w:t>
            </w:r>
          </w:p>
        </w:tc>
        <w:tc>
          <w:tcPr>
            <w:tcW w:w="796" w:type="pct"/>
            <w:tcBorders>
              <w:top w:val="single" w:sz="4" w:space="0" w:color="auto"/>
            </w:tcBorders>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19</w:t>
            </w:r>
          </w:p>
        </w:tc>
        <w:tc>
          <w:tcPr>
            <w:tcW w:w="518" w:type="pct"/>
            <w:tcBorders>
              <w:top w:val="single" w:sz="4" w:space="0" w:color="auto"/>
            </w:tcBorders>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232"/>
        </w:trPr>
        <w:tc>
          <w:tcPr>
            <w:tcW w:w="1534" w:type="pct"/>
            <w:vMerge w:val="restart"/>
            <w:shd w:val="clear" w:color="auto" w:fill="auto"/>
            <w:tcMar>
              <w:top w:w="113" w:type="dxa"/>
              <w:bottom w:w="85" w:type="dxa"/>
            </w:tcMar>
          </w:tcPr>
          <w:p w:rsidR="00794E04" w:rsidRPr="00526311" w:rsidRDefault="00794E04" w:rsidP="0063039A">
            <w:pPr>
              <w:rPr>
                <w:sz w:val="16"/>
                <w:szCs w:val="16"/>
              </w:rPr>
            </w:pPr>
          </w:p>
        </w:tc>
        <w:tc>
          <w:tcPr>
            <w:tcW w:w="2152" w:type="pct"/>
            <w:vMerge w:val="restar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opiniones favorables de las partes interesadas sobre la misión, las actividades y la imagen institucional de la OMPI</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19</w:t>
            </w:r>
          </w:p>
        </w:tc>
        <w:tc>
          <w:tcPr>
            <w:tcW w:w="51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231"/>
        </w:trPr>
        <w:tc>
          <w:tcPr>
            <w:tcW w:w="1534" w:type="pct"/>
            <w:vMerge/>
            <w:shd w:val="clear" w:color="auto" w:fill="auto"/>
            <w:tcMar>
              <w:top w:w="113" w:type="dxa"/>
              <w:bottom w:w="85" w:type="dxa"/>
            </w:tcMar>
          </w:tcPr>
          <w:p w:rsidR="00794E04" w:rsidRPr="00526311" w:rsidRDefault="00794E04" w:rsidP="0063039A">
            <w:pPr>
              <w:rPr>
                <w:sz w:val="16"/>
                <w:szCs w:val="16"/>
              </w:rPr>
            </w:pPr>
          </w:p>
        </w:tc>
        <w:tc>
          <w:tcPr>
            <w:tcW w:w="2152" w:type="pct"/>
            <w:vMerge/>
            <w:shd w:val="clear" w:color="auto" w:fill="auto"/>
            <w:tcMar>
              <w:top w:w="113" w:type="dxa"/>
              <w:bottom w:w="85" w:type="dxa"/>
            </w:tcMar>
          </w:tcPr>
          <w:p w:rsidR="00794E04" w:rsidRPr="00526311" w:rsidRDefault="00794E04" w:rsidP="0063039A">
            <w:pPr>
              <w:rPr>
                <w:sz w:val="16"/>
                <w:szCs w:val="16"/>
              </w:rPr>
            </w:pP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20</w:t>
            </w:r>
          </w:p>
        </w:tc>
        <w:tc>
          <w:tcPr>
            <w:tcW w:w="518" w:type="pct"/>
            <w:shd w:val="clear" w:color="auto" w:fill="FFFFFF"/>
          </w:tcPr>
          <w:p w:rsidR="00794E04" w:rsidRPr="00526311" w:rsidRDefault="00794E04" w:rsidP="0063039A">
            <w:pPr>
              <w:jc w:val="center"/>
              <w:rPr>
                <w:color w:val="A6A6A6" w:themeColor="background1" w:themeShade="A6"/>
                <w:szCs w:val="22"/>
              </w:rPr>
            </w:pPr>
            <w:r w:rsidRPr="00526311">
              <w:rPr>
                <w:color w:val="0070C0"/>
                <w:szCs w:val="22"/>
              </w:rPr>
              <w:sym w:font="Wingdings" w:char="F06C"/>
            </w:r>
            <w:r w:rsidRPr="00526311">
              <w:rPr>
                <w:color w:val="008000"/>
                <w:szCs w:val="22"/>
              </w:rPr>
              <w:sym w:font="Wingdings" w:char="F06C"/>
            </w:r>
            <w:r w:rsidRPr="00526311">
              <w:rPr>
                <w:color w:val="008000"/>
                <w:szCs w:val="22"/>
              </w:rPr>
              <w:sym w:font="Wingdings" w:char="F06C"/>
            </w:r>
          </w:p>
        </w:tc>
      </w:tr>
      <w:tr w:rsidR="00794E04" w:rsidRPr="00526311" w:rsidTr="0063039A">
        <w:trPr>
          <w:cantSplit/>
          <w:trHeight w:val="472"/>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aumento del material de prensa, vídeos y fotografías de la OMPI vistos por el público</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19</w:t>
            </w:r>
          </w:p>
        </w:tc>
        <w:tc>
          <w:tcPr>
            <w:tcW w:w="518" w:type="pct"/>
            <w:shd w:val="clear" w:color="auto" w:fill="FFFFFF"/>
          </w:tcPr>
          <w:p w:rsidR="00794E04" w:rsidRPr="00526311" w:rsidRDefault="00794E04" w:rsidP="0063039A">
            <w:pPr>
              <w:jc w:val="center"/>
            </w:pPr>
            <w:r w:rsidRPr="00526311">
              <w:rPr>
                <w:color w:val="FF0000"/>
                <w:szCs w:val="22"/>
              </w:rPr>
              <w:sym w:font="Wingdings" w:char="F06C"/>
            </w:r>
            <w:r w:rsidRPr="00526311">
              <w:rPr>
                <w:color w:val="FF0000"/>
                <w:szCs w:val="22"/>
              </w:rPr>
              <w:sym w:font="Wingdings" w:char="F06C"/>
            </w:r>
            <w:r w:rsidRPr="00526311">
              <w:rPr>
                <w:color w:val="008000"/>
                <w:szCs w:val="22"/>
              </w:rPr>
              <w:sym w:font="Wingdings" w:char="F06C"/>
            </w:r>
          </w:p>
        </w:tc>
      </w:tr>
      <w:tr w:rsidR="00794E04" w:rsidRPr="00526311" w:rsidTr="0063039A">
        <w:trPr>
          <w:cantSplit/>
          <w:trHeight w:val="429"/>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aumento de la participación global en el Día Mundial de la P.I. por medio de la página de Facebook (alcance global de la campaña)</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19</w:t>
            </w:r>
          </w:p>
        </w:tc>
        <w:tc>
          <w:tcPr>
            <w:tcW w:w="51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53"/>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aumento del número de consultas de las publicaciones de Internet</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19</w:t>
            </w:r>
          </w:p>
        </w:tc>
        <w:tc>
          <w:tcPr>
            <w:tcW w:w="518" w:type="pct"/>
            <w:shd w:val="clear" w:color="auto" w:fill="FFFFFF"/>
          </w:tcPr>
          <w:p w:rsidR="00794E04" w:rsidRPr="00526311" w:rsidRDefault="00794E04" w:rsidP="0063039A">
            <w:pPr>
              <w:jc w:val="center"/>
              <w:rPr>
                <w:color w:val="0070C0"/>
                <w:szCs w:val="22"/>
              </w:rPr>
            </w:pPr>
            <w:r w:rsidRPr="00526311">
              <w:rPr>
                <w:color w:val="0070C0"/>
                <w:szCs w:val="22"/>
              </w:rPr>
              <w:sym w:font="Wingdings" w:char="F06C"/>
            </w:r>
            <w:r w:rsidRPr="00526311">
              <w:rPr>
                <w:color w:val="0070C0"/>
                <w:szCs w:val="22"/>
              </w:rPr>
              <w:sym w:font="Wingdings" w:char="F06C"/>
            </w:r>
          </w:p>
        </w:tc>
      </w:tr>
      <w:tr w:rsidR="00794E04" w:rsidRPr="00526311" w:rsidTr="0063039A">
        <w:trPr>
          <w:cantSplit/>
          <w:trHeight w:val="330"/>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usuarios satisfechos con el sitio web de la OMPI</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19</w:t>
            </w:r>
          </w:p>
        </w:tc>
        <w:tc>
          <w:tcPr>
            <w:tcW w:w="518" w:type="pct"/>
            <w:shd w:val="clear" w:color="auto" w:fill="FFFFFF"/>
          </w:tcPr>
          <w:p w:rsidR="00794E04" w:rsidRPr="00526311" w:rsidRDefault="00794E04" w:rsidP="0063039A">
            <w:pPr>
              <w:jc w:val="center"/>
            </w:pPr>
            <w:r w:rsidRPr="00526311">
              <w:rPr>
                <w:color w:val="0070C0"/>
                <w:szCs w:val="22"/>
              </w:rPr>
              <w:sym w:font="Wingdings" w:char="F06C"/>
            </w:r>
          </w:p>
        </w:tc>
      </w:tr>
      <w:tr w:rsidR="00794E04" w:rsidRPr="00526311" w:rsidTr="0063039A">
        <w:trPr>
          <w:cantSplit/>
          <w:trHeight w:val="336"/>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Aumento de la influencia y la participación de la OMPI en los medios sociales</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19</w:t>
            </w:r>
          </w:p>
        </w:tc>
        <w:tc>
          <w:tcPr>
            <w:tcW w:w="518" w:type="pct"/>
            <w:shd w:val="clear" w:color="auto" w:fill="FFFFFF"/>
          </w:tcPr>
          <w:p w:rsidR="00794E04" w:rsidRPr="00526311" w:rsidRDefault="00794E04" w:rsidP="0063039A">
            <w:pPr>
              <w:jc w:val="center"/>
            </w:pPr>
            <w:r w:rsidRPr="00526311">
              <w:rPr>
                <w:color w:val="FF0000"/>
                <w:szCs w:val="22"/>
              </w:rPr>
              <w:sym w:font="Wingdings" w:char="F06C"/>
            </w:r>
            <w:r w:rsidRPr="00526311">
              <w:rPr>
                <w:color w:val="008000"/>
                <w:szCs w:val="22"/>
              </w:rPr>
              <w:sym w:font="Wingdings" w:char="F06C"/>
            </w:r>
          </w:p>
        </w:tc>
      </w:tr>
      <w:tr w:rsidR="00794E04" w:rsidRPr="00526311" w:rsidTr="0063039A">
        <w:trPr>
          <w:cantSplit/>
          <w:trHeight w:val="335"/>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Aumento del tráfico en el sitio web de las Oficinas de la OMPI en el exterior</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20</w:t>
            </w:r>
          </w:p>
        </w:tc>
        <w:tc>
          <w:tcPr>
            <w:tcW w:w="518" w:type="pct"/>
            <w:shd w:val="clear" w:color="auto" w:fill="FFFFFF"/>
          </w:tcPr>
          <w:p w:rsidR="00794E04" w:rsidRPr="00526311" w:rsidRDefault="00794E04" w:rsidP="0063039A">
            <w:pPr>
              <w:jc w:val="center"/>
              <w:rPr>
                <w:color w:val="A6A6A6" w:themeColor="background1" w:themeShade="A6"/>
                <w:szCs w:val="22"/>
              </w:rPr>
            </w:pPr>
            <w:r w:rsidRPr="00526311">
              <w:rPr>
                <w:color w:val="0070C0"/>
                <w:szCs w:val="22"/>
              </w:rPr>
              <w:sym w:font="Wingdings" w:char="F06C"/>
            </w:r>
            <w:r w:rsidRPr="00526311">
              <w:rPr>
                <w:color w:val="008000"/>
                <w:szCs w:val="22"/>
              </w:rPr>
              <w:sym w:font="Wingdings" w:char="F06C"/>
            </w:r>
            <w:r w:rsidRPr="00526311">
              <w:rPr>
                <w:color w:val="FF0000"/>
                <w:szCs w:val="22"/>
              </w:rPr>
              <w:sym w:font="Wingdings" w:char="F06C"/>
            </w:r>
          </w:p>
        </w:tc>
      </w:tr>
      <w:tr w:rsidR="00794E04" w:rsidRPr="00526311" w:rsidTr="0063039A">
        <w:trPr>
          <w:cantSplit/>
          <w:trHeight w:val="385"/>
        </w:trPr>
        <w:tc>
          <w:tcPr>
            <w:tcW w:w="1534"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VIII.2 Mejora en la prestación de servicios y la atención de consultas</w:t>
            </w: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usuarios satisfechos con los servicios de la Biblioteca</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19</w:t>
            </w:r>
          </w:p>
        </w:tc>
        <w:tc>
          <w:tcPr>
            <w:tcW w:w="51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232"/>
        </w:trPr>
        <w:tc>
          <w:tcPr>
            <w:tcW w:w="1534" w:type="pct"/>
            <w:vMerge w:val="restart"/>
            <w:shd w:val="clear" w:color="auto" w:fill="auto"/>
            <w:tcMar>
              <w:top w:w="113" w:type="dxa"/>
              <w:bottom w:w="85" w:type="dxa"/>
            </w:tcMar>
          </w:tcPr>
          <w:p w:rsidR="00794E04" w:rsidRPr="00526311" w:rsidRDefault="00794E04" w:rsidP="0063039A">
            <w:pPr>
              <w:rPr>
                <w:sz w:val="16"/>
                <w:szCs w:val="16"/>
              </w:rPr>
            </w:pPr>
          </w:p>
        </w:tc>
        <w:tc>
          <w:tcPr>
            <w:tcW w:w="2152" w:type="pct"/>
            <w:vMerge w:val="restart"/>
            <w:shd w:val="clear" w:color="auto" w:fill="auto"/>
            <w:tcMar>
              <w:top w:w="113" w:type="dxa"/>
              <w:bottom w:w="85" w:type="dxa"/>
            </w:tcMar>
          </w:tcPr>
          <w:p w:rsidR="00794E04" w:rsidRPr="00526311" w:rsidRDefault="00794E04" w:rsidP="0063039A">
            <w:pPr>
              <w:rPr>
                <w:sz w:val="16"/>
                <w:szCs w:val="16"/>
              </w:rPr>
            </w:pPr>
            <w:r w:rsidRPr="00526311">
              <w:rPr>
                <w:sz w:val="16"/>
                <w:szCs w:val="16"/>
              </w:rPr>
              <w:t>Índice de satisfacción de los clientes y partes interesadas</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19</w:t>
            </w:r>
          </w:p>
        </w:tc>
        <w:tc>
          <w:tcPr>
            <w:tcW w:w="51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r w:rsidRPr="00526311">
              <w:rPr>
                <w:color w:val="0070C0"/>
                <w:szCs w:val="22"/>
              </w:rPr>
              <w:sym w:font="Wingdings" w:char="F06C"/>
            </w:r>
          </w:p>
        </w:tc>
      </w:tr>
      <w:tr w:rsidR="00794E04" w:rsidRPr="00526311" w:rsidTr="0063039A">
        <w:trPr>
          <w:cantSplit/>
          <w:trHeight w:val="231"/>
        </w:trPr>
        <w:tc>
          <w:tcPr>
            <w:tcW w:w="1534" w:type="pct"/>
            <w:vMerge/>
            <w:shd w:val="clear" w:color="auto" w:fill="auto"/>
            <w:tcMar>
              <w:top w:w="113" w:type="dxa"/>
              <w:bottom w:w="85" w:type="dxa"/>
            </w:tcMar>
          </w:tcPr>
          <w:p w:rsidR="00794E04" w:rsidRPr="00526311" w:rsidRDefault="00794E04" w:rsidP="0063039A">
            <w:pPr>
              <w:rPr>
                <w:sz w:val="16"/>
                <w:szCs w:val="16"/>
              </w:rPr>
            </w:pPr>
          </w:p>
        </w:tc>
        <w:tc>
          <w:tcPr>
            <w:tcW w:w="2152" w:type="pct"/>
            <w:vMerge/>
            <w:shd w:val="clear" w:color="auto" w:fill="auto"/>
            <w:tcMar>
              <w:top w:w="113" w:type="dxa"/>
              <w:bottom w:w="85" w:type="dxa"/>
            </w:tcMar>
          </w:tcPr>
          <w:p w:rsidR="00794E04" w:rsidRPr="00526311" w:rsidRDefault="00794E04" w:rsidP="0063039A">
            <w:pPr>
              <w:rPr>
                <w:sz w:val="16"/>
                <w:szCs w:val="16"/>
              </w:rPr>
            </w:pP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20</w:t>
            </w:r>
          </w:p>
        </w:tc>
        <w:tc>
          <w:tcPr>
            <w:tcW w:w="518" w:type="pct"/>
            <w:shd w:val="clear" w:color="auto" w:fill="FFFFFF"/>
          </w:tcPr>
          <w:p w:rsidR="00794E04" w:rsidRPr="00526311" w:rsidRDefault="00794E04" w:rsidP="0063039A">
            <w:pPr>
              <w:jc w:val="center"/>
              <w:rPr>
                <w:color w:val="A6A6A6" w:themeColor="background1" w:themeShade="A6"/>
                <w:szCs w:val="22"/>
              </w:rPr>
            </w:pPr>
            <w:r w:rsidRPr="00526311">
              <w:rPr>
                <w:color w:val="0070C0"/>
                <w:szCs w:val="22"/>
              </w:rPr>
              <w:sym w:font="Wingdings" w:char="F06C"/>
            </w:r>
          </w:p>
        </w:tc>
      </w:tr>
      <w:tr w:rsidR="00794E04" w:rsidRPr="00526311" w:rsidTr="0063039A">
        <w:trPr>
          <w:cantSplit/>
          <w:trHeight w:val="317"/>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Se cumplen los objetivos definidos en el sitio web de la OMPI para la calidad del servicio</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19</w:t>
            </w:r>
          </w:p>
        </w:tc>
        <w:tc>
          <w:tcPr>
            <w:tcW w:w="51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r w:rsidRPr="00526311">
              <w:rPr>
                <w:color w:val="008000"/>
                <w:szCs w:val="22"/>
              </w:rPr>
              <w:sym w:font="Wingdings" w:char="F06C"/>
            </w:r>
          </w:p>
        </w:tc>
      </w:tr>
      <w:tr w:rsidR="00794E04" w:rsidRPr="00526311" w:rsidTr="0063039A">
        <w:trPr>
          <w:cantSplit/>
          <w:trHeight w:val="297"/>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Duración de la tramitación de las peticiones de información</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20</w:t>
            </w:r>
          </w:p>
        </w:tc>
        <w:tc>
          <w:tcPr>
            <w:tcW w:w="518" w:type="pct"/>
            <w:shd w:val="clear" w:color="auto" w:fill="FFFFFF"/>
          </w:tcPr>
          <w:p w:rsidR="00794E04" w:rsidRPr="00526311" w:rsidRDefault="00794E04" w:rsidP="0063039A">
            <w:pPr>
              <w:jc w:val="center"/>
            </w:pPr>
            <w:r w:rsidRPr="00526311">
              <w:rPr>
                <w:color w:val="A6A6A6" w:themeColor="background1" w:themeShade="A6"/>
                <w:szCs w:val="22"/>
              </w:rPr>
              <w:sym w:font="Wingdings" w:char="F06C"/>
            </w:r>
            <w:r w:rsidRPr="00526311">
              <w:rPr>
                <w:color w:val="A6A6A6" w:themeColor="background1" w:themeShade="A6"/>
                <w:szCs w:val="22"/>
              </w:rPr>
              <w:sym w:font="Wingdings" w:char="F06C"/>
            </w:r>
            <w:r w:rsidRPr="00526311">
              <w:rPr>
                <w:color w:val="008000"/>
                <w:szCs w:val="22"/>
              </w:rPr>
              <w:sym w:font="Wingdings" w:char="F06C"/>
            </w:r>
          </w:p>
        </w:tc>
      </w:tr>
      <w:tr w:rsidR="00794E04" w:rsidRPr="00526311" w:rsidTr="0063039A">
        <w:trPr>
          <w:cantSplit/>
          <w:trHeight w:val="622"/>
        </w:trPr>
        <w:tc>
          <w:tcPr>
            <w:tcW w:w="1534"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VIII.3 Atención eficaz a los Estados miembros</w:t>
            </w: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sesiones de Comité precedidas de reuniones informativas para los Estados miembros</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21</w:t>
            </w:r>
          </w:p>
        </w:tc>
        <w:tc>
          <w:tcPr>
            <w:tcW w:w="51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84"/>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cartas dirigidas al Director General por los Estados miembros que han obtenido respuesta en el plazo de dos semanas</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21</w:t>
            </w:r>
          </w:p>
        </w:tc>
        <w:tc>
          <w:tcPr>
            <w:tcW w:w="51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714"/>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notificaciones de adhesión y otras medidas relacionadas con los tratados tramitadas de manera puntual</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21</w:t>
            </w:r>
          </w:p>
        </w:tc>
        <w:tc>
          <w:tcPr>
            <w:tcW w:w="51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24"/>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Índice de satisfacción de los Estados miembros respecto de la preparación y funcionamiento de las Asambleas</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21</w:t>
            </w:r>
          </w:p>
        </w:tc>
        <w:tc>
          <w:tcPr>
            <w:tcW w:w="51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03"/>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Publicación puntual de los documentos de las Asambleas</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21</w:t>
            </w:r>
          </w:p>
        </w:tc>
        <w:tc>
          <w:tcPr>
            <w:tcW w:w="51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522"/>
        </w:trPr>
        <w:tc>
          <w:tcPr>
            <w:tcW w:w="1534"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VIII.4 Intercambios abiertos, transparentes y dinámicos con las partes interesadas no gubernamentales</w:t>
            </w: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Participación eficaz y en mayor grado de las partes interesadas no gubernamentales en las actividades de la OMPI y viceversa</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20</w:t>
            </w:r>
          </w:p>
        </w:tc>
        <w:tc>
          <w:tcPr>
            <w:tcW w:w="51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37"/>
        </w:trPr>
        <w:tc>
          <w:tcPr>
            <w:tcW w:w="1534"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VIII.5 La OMPI participa y colabora eficazmente en los procesos y negociaciones de las NN.UU. y otras OIG</w:t>
            </w: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Utilización de las aportaciones de la OMPI en informes, resoluciones y documentos de procesos de las partes interesadas</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20</w:t>
            </w:r>
          </w:p>
        </w:tc>
        <w:tc>
          <w:tcPr>
            <w:tcW w:w="51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14"/>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respuestas cursadas puntualmente atendiendo a peticiones externas de aportación por parte de las NN.UU., OIG, etc.</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20</w:t>
            </w:r>
          </w:p>
        </w:tc>
        <w:tc>
          <w:tcPr>
            <w:tcW w:w="51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478"/>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Número de programas de P.I. ejecutados conjuntamente con otros organismos de NN.UU. y otras OIG</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20</w:t>
            </w:r>
          </w:p>
        </w:tc>
        <w:tc>
          <w:tcPr>
            <w:tcW w:w="51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56"/>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Nuevas iniciativas conjuntas con otros organismos de las NN.UU.</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21</w:t>
            </w:r>
          </w:p>
        </w:tc>
        <w:tc>
          <w:tcPr>
            <w:tcW w:w="51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83"/>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bCs/>
                <w:sz w:val="16"/>
                <w:szCs w:val="16"/>
              </w:rPr>
            </w:pPr>
            <w:r w:rsidRPr="00526311">
              <w:rPr>
                <w:bCs/>
                <w:sz w:val="16"/>
                <w:szCs w:val="16"/>
              </w:rPr>
              <w:t>Recomendaciones del Comité de Alto Nivel sobre Gestión y de las redes subsidiarias que se han dado por aplicadas</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518" w:type="pct"/>
            <w:shd w:val="clear" w:color="auto" w:fill="FFFFFF"/>
          </w:tcPr>
          <w:p w:rsidR="00794E04" w:rsidRPr="00526311" w:rsidRDefault="00794E04" w:rsidP="0063039A">
            <w:pPr>
              <w:jc w:val="center"/>
            </w:pPr>
            <w:r w:rsidRPr="00526311">
              <w:rPr>
                <w:color w:val="A6A6A6" w:themeColor="background1" w:themeShade="A6"/>
                <w:szCs w:val="22"/>
              </w:rPr>
              <w:sym w:font="Wingdings" w:char="F06C"/>
            </w:r>
          </w:p>
        </w:tc>
      </w:tr>
      <w:tr w:rsidR="00794E04" w:rsidRPr="00526311" w:rsidTr="0063039A">
        <w:trPr>
          <w:cantSplit/>
          <w:trHeight w:val="515"/>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productos y servicios contratados y adquiridos a nivel local en comparación con el importe total de los adquiridos para actividades de desarrollo</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518" w:type="pct"/>
            <w:shd w:val="clear" w:color="auto" w:fill="FFFFFF"/>
          </w:tcPr>
          <w:p w:rsidR="00794E04" w:rsidRPr="00526311" w:rsidRDefault="00794E04" w:rsidP="0063039A">
            <w:pPr>
              <w:jc w:val="center"/>
            </w:pPr>
            <w:r w:rsidRPr="00526311">
              <w:rPr>
                <w:color w:val="FF0000"/>
                <w:szCs w:val="22"/>
              </w:rPr>
              <w:sym w:font="Wingdings" w:char="F06C"/>
            </w:r>
          </w:p>
        </w:tc>
      </w:tr>
      <w:tr w:rsidR="00794E04" w:rsidRPr="00526311" w:rsidTr="0063039A">
        <w:trPr>
          <w:cantSplit/>
          <w:trHeight w:val="518"/>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gastos efectuados con arreglo a las prácticas vigentes en NN.UU. (licitaciones comunes o aprovechamiento de los contratos)</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51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bl>
    <w:p w:rsidR="00794E04" w:rsidRPr="00526311" w:rsidRDefault="00794E04" w:rsidP="0063039A">
      <w:pPr>
        <w:rPr>
          <w:sz w:val="20"/>
        </w:rPr>
      </w:pPr>
    </w:p>
    <w:p w:rsidR="00794E04" w:rsidRPr="00526311" w:rsidRDefault="00794E04" w:rsidP="0063039A">
      <w:pPr>
        <w:rPr>
          <w:sz w:val="20"/>
        </w:rPr>
      </w:pPr>
    </w:p>
    <w:p w:rsidR="00794E04" w:rsidRPr="00526311" w:rsidRDefault="00794E04">
      <w:pPr>
        <w:rPr>
          <w:bCs/>
          <w:iCs/>
          <w:caps/>
          <w:szCs w:val="28"/>
        </w:rPr>
      </w:pPr>
      <w:r w:rsidRPr="00526311">
        <w:br w:type="page"/>
      </w:r>
    </w:p>
    <w:p w:rsidR="00794E04" w:rsidRPr="00526311" w:rsidRDefault="00794E04" w:rsidP="0063039A">
      <w:pPr>
        <w:pStyle w:val="Heading2"/>
        <w:tabs>
          <w:tab w:val="left" w:pos="2410"/>
        </w:tabs>
        <w:ind w:left="2410" w:hanging="2410"/>
        <w:jc w:val="both"/>
        <w:rPr>
          <w:b/>
        </w:rPr>
      </w:pPr>
      <w:bookmarkStart w:id="72" w:name="_Toc422927432"/>
      <w:r w:rsidRPr="00526311">
        <w:rPr>
          <w:b/>
        </w:rPr>
        <w:lastRenderedPageBreak/>
        <w:t>PROGRAMA 19</w:t>
      </w:r>
      <w:r w:rsidRPr="00526311">
        <w:rPr>
          <w:b/>
        </w:rPr>
        <w:tab/>
        <w:t>COMUNICACIONES</w:t>
      </w:r>
      <w:bookmarkEnd w:id="72"/>
    </w:p>
    <w:p w:rsidR="00794E04" w:rsidRPr="00526311" w:rsidRDefault="00794E04" w:rsidP="0063039A">
      <w:pPr>
        <w:tabs>
          <w:tab w:val="left" w:pos="1985"/>
        </w:tabs>
        <w:jc w:val="both"/>
        <w:rPr>
          <w:sz w:val="20"/>
        </w:rPr>
      </w:pPr>
    </w:p>
    <w:p w:rsidR="00794E04" w:rsidRPr="00526311" w:rsidRDefault="00794E04" w:rsidP="0063039A">
      <w:pPr>
        <w:tabs>
          <w:tab w:val="left" w:pos="2410"/>
        </w:tabs>
        <w:ind w:left="2410" w:hanging="2410"/>
        <w:jc w:val="both"/>
        <w:rPr>
          <w:b/>
          <w:sz w:val="20"/>
        </w:rPr>
      </w:pPr>
      <w:r w:rsidRPr="00526311">
        <w:rPr>
          <w:b/>
          <w:sz w:val="20"/>
        </w:rPr>
        <w:t>Directora de programa</w:t>
      </w:r>
      <w:r w:rsidRPr="00526311">
        <w:rPr>
          <w:b/>
          <w:sz w:val="20"/>
        </w:rPr>
        <w:tab/>
        <w:t>Sra. A. Leer</w:t>
      </w:r>
    </w:p>
    <w:p w:rsidR="00794E04" w:rsidRPr="00526311" w:rsidRDefault="00794E04" w:rsidP="0063039A">
      <w:pPr>
        <w:jc w:val="both"/>
        <w:rPr>
          <w:sz w:val="20"/>
        </w:rPr>
      </w:pPr>
    </w:p>
    <w:p w:rsidR="00794E04" w:rsidRPr="00526311" w:rsidRDefault="00794E04" w:rsidP="0063039A">
      <w:pPr>
        <w:jc w:val="both"/>
        <w:rPr>
          <w:sz w:val="20"/>
        </w:rPr>
      </w:pPr>
    </w:p>
    <w:p w:rsidR="00794E04" w:rsidRPr="00526311" w:rsidRDefault="00794E04" w:rsidP="0063039A">
      <w:pPr>
        <w:jc w:val="both"/>
        <w:rPr>
          <w:bCs/>
          <w:szCs w:val="22"/>
        </w:rPr>
      </w:pPr>
      <w:r w:rsidRPr="00526311">
        <w:rPr>
          <w:bCs/>
          <w:szCs w:val="22"/>
        </w:rPr>
        <w:t>RESEÑA DE LOS AVANCES LOGRADOS EN 2014</w:t>
      </w:r>
    </w:p>
    <w:p w:rsidR="00794E04" w:rsidRPr="00526311" w:rsidRDefault="00794E04" w:rsidP="0063039A">
      <w:pPr>
        <w:jc w:val="both"/>
      </w:pPr>
    </w:p>
    <w:p w:rsidR="00794E04" w:rsidRPr="00526311" w:rsidRDefault="00794E04" w:rsidP="00794E04">
      <w:pPr>
        <w:pStyle w:val="ListParagraph"/>
        <w:numPr>
          <w:ilvl w:val="0"/>
          <w:numId w:val="72"/>
        </w:numPr>
        <w:tabs>
          <w:tab w:val="left" w:pos="709"/>
        </w:tabs>
        <w:ind w:left="0" w:firstLine="0"/>
        <w:jc w:val="both"/>
        <w:rPr>
          <w:rFonts w:cs="Arial"/>
          <w:lang w:val="es-ES"/>
        </w:rPr>
      </w:pPr>
      <w:r w:rsidRPr="00526311">
        <w:rPr>
          <w:rFonts w:cs="Arial"/>
          <w:lang w:val="es-ES"/>
        </w:rPr>
        <w:t>En 2014, el programa 19 se centró en consolidar los resultados de una serie de importantes proyectos estratégicos que incumbían a toda la Organización, finalizados en 2013, sobre comunicaciones por Internet, desarrollo de marcas, comunicaciones internas y servicios de atención al cliente; y en continuar aplicando estrategias centrales destinadas a mejorar la distribución y la calidad de los contenidos producidos por la OMPI, aumentar la visibilidad de la Organización y el entendimiento del público hacia sus actividades, y fortalecer su cultura de servicio.  El programa también sentó las bases para adoptar más iniciativas destinadas a mejorar la eficacia de las actividades de comunicación.</w:t>
      </w:r>
    </w:p>
    <w:p w:rsidR="00794E04" w:rsidRPr="00526311" w:rsidRDefault="00794E04" w:rsidP="0063039A">
      <w:pPr>
        <w:tabs>
          <w:tab w:val="left" w:pos="709"/>
        </w:tabs>
        <w:jc w:val="both"/>
      </w:pPr>
    </w:p>
    <w:p w:rsidR="00794E04" w:rsidRPr="00526311" w:rsidRDefault="00794E04" w:rsidP="00794E04">
      <w:pPr>
        <w:pStyle w:val="ListParagraph"/>
        <w:numPr>
          <w:ilvl w:val="0"/>
          <w:numId w:val="72"/>
        </w:numPr>
        <w:tabs>
          <w:tab w:val="left" w:pos="709"/>
        </w:tabs>
        <w:ind w:left="0" w:firstLine="0"/>
        <w:jc w:val="both"/>
        <w:rPr>
          <w:rFonts w:cs="Arial"/>
          <w:lang w:val="es-ES"/>
        </w:rPr>
      </w:pPr>
      <w:r w:rsidRPr="00526311">
        <w:rPr>
          <w:rFonts w:cs="Arial"/>
          <w:lang w:val="es-ES"/>
        </w:rPr>
        <w:t xml:space="preserve">La visibilidad de eventos, ofertas y resultados clave de la OMPI, desde el Consorcio de Libros Accesibles (ABC), hasta las nuevas herramientas como el portal terminológico </w:t>
      </w:r>
      <w:r w:rsidRPr="00526311">
        <w:rPr>
          <w:rFonts w:cs="Arial"/>
          <w:i/>
          <w:lang w:val="es-ES"/>
        </w:rPr>
        <w:t>WIPO Pearl</w:t>
      </w:r>
      <w:r w:rsidRPr="00526311">
        <w:rPr>
          <w:rFonts w:cs="Arial"/>
          <w:lang w:val="es-ES"/>
        </w:rPr>
        <w:t>, aumentó gracias a la adopción de un enfoque plenamente integrado entre la prensa, las redes sociales, los vídeos, las comunicaciones impresas y en línea, que se suministra a través de distintas plataformas. Se concedió alta prioridad a la promoción de los emblemáticos informes económicos y estadísticos de la Organización a fin de reforzar la imagen de la OMPI como referencia mundial de información fidedigna en materia de P.I.  Gracias a esfuerzos concertados de promoción se obtuvo un aumento del 16%, respecto de 2013, en las visitas a páginas web sobre la publicación del Índice Mundial de Innovación de 2014, y un incremento exponencial (1.300%) en los vídeos visionados sobre el tema.  Los indicadores mundiales de propiedad intelectual de 2014 recibieron una amplia cobertura mediática a través de influyentes medios de comunicación de todo el mundo, y se logró un aumento del 18% en las consultas del correspondiente comunicado de prensa.  Los mensajes en Twitter sobre indicadores mundiales de propiedad intelectual contaron con 83.700 seguidores y fueron retuiteados ampliamente por esa red, en muchos casos por funcionarios gubernamentales.  Las infografías originales, creadas para mejorar la comunicación, fueron la forma de contenido más compartida.</w:t>
      </w:r>
    </w:p>
    <w:p w:rsidR="00794E04" w:rsidRPr="00526311" w:rsidRDefault="00794E04" w:rsidP="0063039A">
      <w:pPr>
        <w:tabs>
          <w:tab w:val="left" w:pos="709"/>
        </w:tabs>
        <w:jc w:val="both"/>
      </w:pPr>
    </w:p>
    <w:p w:rsidR="00794E04" w:rsidRPr="00526311" w:rsidRDefault="00794E04" w:rsidP="00794E04">
      <w:pPr>
        <w:pStyle w:val="ListParagraph"/>
        <w:numPr>
          <w:ilvl w:val="0"/>
          <w:numId w:val="72"/>
        </w:numPr>
        <w:tabs>
          <w:tab w:val="left" w:pos="709"/>
        </w:tabs>
        <w:ind w:left="0" w:firstLine="0"/>
        <w:jc w:val="both"/>
        <w:rPr>
          <w:rFonts w:cs="Arial"/>
          <w:lang w:val="es-ES"/>
        </w:rPr>
      </w:pPr>
      <w:r w:rsidRPr="00526311">
        <w:rPr>
          <w:rFonts w:cs="Arial"/>
          <w:lang w:val="es-ES"/>
        </w:rPr>
        <w:t>La participación de los Estados miembros y el público en la campaña del Día Mundial de la P.I. alcanzó un nivel sin precedentes.  El tema: el cine, una pasión universal, fue el centro de más de 350 eventos en 110 países (en comparación con 236 eventos en 93</w:t>
      </w:r>
      <w:r w:rsidRPr="00526311">
        <w:rPr>
          <w:rStyle w:val="FootnoteReference"/>
          <w:rFonts w:cs="Arial"/>
          <w:lang w:val="es-ES"/>
        </w:rPr>
        <w:footnoteReference w:id="49"/>
      </w:r>
      <w:r w:rsidRPr="00526311">
        <w:rPr>
          <w:rFonts w:cs="Arial"/>
          <w:lang w:val="es-ES"/>
        </w:rPr>
        <w:t xml:space="preserve"> países, en 2013). Los tuits sobre el Día Mundial de la P.I. obtuvieron 1,67 millones de impresiones potenciales, en comparación con 1,55 en 2013, y se descargó  el material promocional creado para la campaña desde el sitio web más de 9.000 veces.  Por primera vez, la versión en chino de la página web del Día Mundial de la P.I. recibió más visitas que la versión en inglés, y el mayor número de "me gusta" en Facebook procedió del Brasil, Egipto, la India, México y los Estados Unidos de América.  El mini festival de cine celebrado en Ginebra del 24 al 28 de abril de 2014 contó con una buena participación del público local, sobre todo, el estreno en Suiza de la coproducción nigeriana </w:t>
      </w:r>
      <w:r w:rsidRPr="00526311">
        <w:rPr>
          <w:rFonts w:cs="Arial"/>
          <w:i/>
          <w:lang w:val="es-ES"/>
        </w:rPr>
        <w:t>Half of a Yellow Sun</w:t>
      </w:r>
      <w:r w:rsidRPr="00526311">
        <w:rPr>
          <w:rFonts w:cs="Arial"/>
          <w:lang w:val="es-ES"/>
        </w:rPr>
        <w:t xml:space="preserve"> (Medio sol amarillo), que llenó la sala.</w:t>
      </w:r>
    </w:p>
    <w:p w:rsidR="00794E04" w:rsidRPr="00526311" w:rsidRDefault="00794E04" w:rsidP="0063039A">
      <w:pPr>
        <w:tabs>
          <w:tab w:val="left" w:pos="709"/>
        </w:tabs>
        <w:jc w:val="both"/>
      </w:pPr>
    </w:p>
    <w:p w:rsidR="00794E04" w:rsidRPr="00526311" w:rsidRDefault="00794E04" w:rsidP="00794E04">
      <w:pPr>
        <w:pStyle w:val="ListParagraph"/>
        <w:numPr>
          <w:ilvl w:val="0"/>
          <w:numId w:val="72"/>
        </w:numPr>
        <w:tabs>
          <w:tab w:val="left" w:pos="709"/>
        </w:tabs>
        <w:ind w:left="0" w:firstLine="0"/>
        <w:jc w:val="both"/>
        <w:rPr>
          <w:rFonts w:cs="Arial"/>
          <w:lang w:val="es-ES"/>
        </w:rPr>
      </w:pPr>
      <w:r w:rsidRPr="00526311">
        <w:rPr>
          <w:rFonts w:cs="Arial"/>
          <w:lang w:val="es-ES"/>
        </w:rPr>
        <w:t>Se mantuvo el objetivo de publicar contenidos de calidad destinados tanto al público especializado como al público en general, para estar a la altura de las expectativas de los usuarios.  La revista bimestral de la OMPI continuó recibiendo comentarios positivos, un 93% de los encuestados calificó la revista de buena o muy buena.  Acorde con las tendencias externas y en respuesta al papel cada vez menor que ocupan los comunicados de prensa formales como principal fuente de comunicación pública, se utilizó la nueva página web del Centro de Medios de Comunicación de la OMPI, junto con Twitter y YouTube, para promover una mejor comprensión de la P.I. y de las actividades de la OMPI en un estilo más informal, con artículos más cortos, vídeos y breves reseñas más accesibles.  Si bien disminuyeron las consultas a los  comunicados de prensa (reflejo, en gran medida de la disminución de actividades resonantes realizadas en 2014, en comparación con 2013), aumentaron las visitas en general al Centro de Medios de Comunicación.</w:t>
      </w:r>
    </w:p>
    <w:p w:rsidR="00794E04" w:rsidRPr="00526311" w:rsidRDefault="00794E04" w:rsidP="0063039A">
      <w:pPr>
        <w:tabs>
          <w:tab w:val="left" w:pos="709"/>
        </w:tabs>
        <w:jc w:val="both"/>
      </w:pPr>
    </w:p>
    <w:p w:rsidR="00794E04" w:rsidRPr="00526311" w:rsidRDefault="00794E04" w:rsidP="00794E04">
      <w:pPr>
        <w:pStyle w:val="ListParagraph"/>
        <w:numPr>
          <w:ilvl w:val="0"/>
          <w:numId w:val="72"/>
        </w:numPr>
        <w:tabs>
          <w:tab w:val="left" w:pos="709"/>
        </w:tabs>
        <w:ind w:left="0" w:firstLine="0"/>
        <w:jc w:val="both"/>
        <w:rPr>
          <w:rFonts w:cs="Arial"/>
          <w:lang w:val="es-ES"/>
        </w:rPr>
      </w:pPr>
      <w:r w:rsidRPr="00526311">
        <w:rPr>
          <w:rFonts w:cs="Arial"/>
          <w:lang w:val="es-ES"/>
        </w:rPr>
        <w:t xml:space="preserve">Se siguió trabajando para facilitar el acceso a todas las publicaciones de la OMPI y  mejorar su presentación.  Ya casi se encuentra terminada la nueva e importante plataforma de publicaciones en el sitio web.  La Biblioteca de la OMPI distribuyó más de 110.000 productos impresos, y el número total de </w:t>
      </w:r>
      <w:r w:rsidRPr="00526311">
        <w:rPr>
          <w:rFonts w:cs="Arial"/>
          <w:lang w:val="es-ES"/>
        </w:rPr>
        <w:lastRenderedPageBreak/>
        <w:t>bibliotecas depositarias de publicaciones de la OMPI en Estados miembros ascendió a 99, un aumento del 11% en relación con 2013.</w:t>
      </w:r>
    </w:p>
    <w:p w:rsidR="00794E04" w:rsidRPr="00526311" w:rsidRDefault="00794E04" w:rsidP="0063039A">
      <w:pPr>
        <w:tabs>
          <w:tab w:val="left" w:pos="709"/>
        </w:tabs>
        <w:jc w:val="both"/>
      </w:pPr>
    </w:p>
    <w:p w:rsidR="00794E04" w:rsidRPr="00526311" w:rsidRDefault="00794E04" w:rsidP="00794E04">
      <w:pPr>
        <w:pStyle w:val="ListParagraph"/>
        <w:numPr>
          <w:ilvl w:val="0"/>
          <w:numId w:val="72"/>
        </w:numPr>
        <w:tabs>
          <w:tab w:val="left" w:pos="709"/>
        </w:tabs>
        <w:ind w:left="0" w:firstLine="0"/>
        <w:jc w:val="both"/>
        <w:rPr>
          <w:rFonts w:cs="Arial"/>
          <w:lang w:val="es-ES"/>
        </w:rPr>
      </w:pPr>
      <w:r w:rsidRPr="00526311">
        <w:rPr>
          <w:rFonts w:cs="Arial"/>
          <w:lang w:val="es-ES"/>
        </w:rPr>
        <w:t>Gracias a un diseño visual de gran calidad se mejoró la accesibilidad y la presentación de un cuantioso material publicitario e informativo.  Las galerías de fotos en Flickr que contienen imágenes de las actividades de la OMPI, entre otras, la inauguración de la nueva sala de conferencias y las reuniones de Comités, recibieron más de un millón de visualizaciones adicionales en 2014, en comparación con las 900.000 recibidas en 2013.  Se intensificó aún más la producción de vídeos, con 155 nuevas creaciones sobre noticias, historias y guías didácticas relativas a la P.I.  El éxito colosal que disfrutó el dibujo animado Póroro en 2012/13 disminuyó, provocando un descenso en la visualización total de vídeos.  Sin embargo, el número de visitantes para los demás vídeos (no animados) continuó su tendencia al alza. El total de vídeos visionados en el canal de YouTube de la OMPI desde sus comienzos en abril de 2013 superó los 7,13 millones.</w:t>
      </w:r>
    </w:p>
    <w:p w:rsidR="00794E04" w:rsidRPr="00526311" w:rsidRDefault="00794E04" w:rsidP="0063039A">
      <w:pPr>
        <w:tabs>
          <w:tab w:val="left" w:pos="709"/>
        </w:tabs>
        <w:jc w:val="both"/>
      </w:pPr>
    </w:p>
    <w:p w:rsidR="00794E04" w:rsidRPr="00526311" w:rsidRDefault="00794E04" w:rsidP="00794E04">
      <w:pPr>
        <w:pStyle w:val="ListParagraph"/>
        <w:numPr>
          <w:ilvl w:val="0"/>
          <w:numId w:val="72"/>
        </w:numPr>
        <w:tabs>
          <w:tab w:val="left" w:pos="709"/>
        </w:tabs>
        <w:ind w:left="0" w:firstLine="0"/>
        <w:jc w:val="both"/>
        <w:rPr>
          <w:rFonts w:cs="Arial"/>
          <w:lang w:val="es-ES"/>
        </w:rPr>
      </w:pPr>
      <w:r w:rsidRPr="00526311">
        <w:rPr>
          <w:rFonts w:cs="Arial"/>
          <w:lang w:val="es-ES"/>
        </w:rPr>
        <w:t>A fin de mejorar la prestación de los canales de distribución digital, se puso en marcha un proyecto importante destinado a transformar la eficacia y la facilidad de uso de la plataforma de correo y boletines electrónicos de la OMPI.  Los resultados serán puestos en práctica en 2015. A través de ese proyecto, la OMPI busca proporcionar a los usuarios información relevante por conducto de los canales y formatos que mejor se adapten a sus necesidades.  Al servicio de ese objetivo, se puso en marcha un segundo proyecto para desarrollar una base de datos de contacto a fin de facilitar la transmisión de comunicaciones en materia de promoción y protocolo.  También se obtuvieron avances positivos en la segunda etapa de la revisión del sitio web de la OMPI. Se logró limpiar, mejorar y rediseñar las páginas secundarias, y se mejoró considerablemente la herramienta de búsqueda dentro del sitio.  En cuanto a las redes sociales, la base de seguidores de la OMPI en Twitter aumentó más del 60%, además del incremento del 76,8% en el número de mensajes retuiteados. Se comenzaron a estudiar las necesidades de la Organización en la esfera del análisis de su sitio web a fin de obtener indicadores más sofisticados para medir su impacto y rendimiento.</w:t>
      </w:r>
    </w:p>
    <w:p w:rsidR="00794E04" w:rsidRPr="00526311" w:rsidRDefault="00794E04" w:rsidP="0063039A">
      <w:pPr>
        <w:jc w:val="both"/>
      </w:pPr>
    </w:p>
    <w:p w:rsidR="00794E04" w:rsidRPr="00526311" w:rsidRDefault="00794E04" w:rsidP="00794E04">
      <w:pPr>
        <w:pStyle w:val="ListParagraph"/>
        <w:numPr>
          <w:ilvl w:val="0"/>
          <w:numId w:val="72"/>
        </w:numPr>
        <w:tabs>
          <w:tab w:val="left" w:pos="709"/>
        </w:tabs>
        <w:ind w:left="0" w:firstLine="0"/>
        <w:jc w:val="both"/>
        <w:rPr>
          <w:rFonts w:cs="Arial"/>
          <w:lang w:val="es-ES"/>
        </w:rPr>
      </w:pPr>
      <w:r w:rsidRPr="00526311">
        <w:rPr>
          <w:rFonts w:cs="Arial"/>
          <w:lang w:val="es-ES"/>
        </w:rPr>
        <w:t>En 2014, se integró al resto de la Organización el trabajo sobre desarrollo de imagen pública llevado a cabo en el bienio anterior para ayudar a mejorar la identidad de la OMPI, prestando especial atención a construir una expresión más clara y coherente, tanto en lo visual como en lo verbal, de la imagen, función, misión y valores de la OMPI de cara a todas sus comunicaciones.  A raíz de una encuesta realizada en 2014 sobre la impresión que tienen las partes interesadas acerca de la OMPI, se identificaron los principales atributos que guiaron a dichas partes a evaluar la Organización, y se desarrolló una herramienta para evaluar el funcionamiento de la OMPI en relación con esos factores clave. La encuesta se envió a 24.000 usuarios en 2014, entre otros, Oficinas de P.I., Misiones, ONG, usuarios de servicios y académicos, y se analizaron los resultados para identificar las áreas que requieren atención.</w:t>
      </w:r>
    </w:p>
    <w:p w:rsidR="00794E04" w:rsidRPr="00526311" w:rsidRDefault="00794E04" w:rsidP="0063039A">
      <w:pPr>
        <w:jc w:val="both"/>
      </w:pPr>
    </w:p>
    <w:p w:rsidR="00794E04" w:rsidRPr="00526311" w:rsidRDefault="00794E04" w:rsidP="00794E04">
      <w:pPr>
        <w:pStyle w:val="ListParagraph"/>
        <w:numPr>
          <w:ilvl w:val="0"/>
          <w:numId w:val="72"/>
        </w:numPr>
        <w:tabs>
          <w:tab w:val="left" w:pos="709"/>
        </w:tabs>
        <w:ind w:left="0" w:firstLine="0"/>
        <w:jc w:val="both"/>
        <w:rPr>
          <w:lang w:val="es-ES"/>
        </w:rPr>
      </w:pPr>
      <w:r w:rsidRPr="00526311">
        <w:rPr>
          <w:lang w:val="es-ES"/>
        </w:rPr>
        <w:t>En 2014, se continuó obrando por mejorar los servicios de atención al cliente de la OMPI.  La labor del programa 19 relativa a las operaciones del Sistema de Madrid, cuyo objetivo es evaluar la estructura y las actividades del servicio de atención al cliente, incluyó, entre otras cosas, la introducción de un sistema de identificación y seguimiento destinado a mejorar e integrar la tramitación de las consultas formuladas por los clientes de ese Sistema.  Se continuó supervisando el nivel de satisfacción de los clientes mediante una encuesta a los usuarios del Sistema de Madrid que reveló que un 81% de ellos se encuentra satisfecho o muy satisfecho, y se siguió preparando una encuesta en nueve idiomas para los usuarios del PCT prevista para 2015.  A nivel interno, se continuó sensibilizando al personal acerca de la prestación óptima de servicios y las mejores prácticas mediante actividades como la segunda semana de la "netiqueta".  El Centro de Atención al Cliente de la OMPI tramitó el 92% de las 4.693 consultas recibidas por correo electrónico en menos de un día de trabajo y el 100% de las 127 quejas recibidas en menos de ocho horas de trabajo, de las cuales el 86% fueron tramitadas en menos de cuatros horas.</w:t>
      </w:r>
    </w:p>
    <w:p w:rsidR="00794E04" w:rsidRPr="00526311" w:rsidRDefault="00794E04" w:rsidP="0063039A">
      <w:pPr>
        <w:jc w:val="both"/>
      </w:pPr>
    </w:p>
    <w:p w:rsidR="00794E04" w:rsidRPr="00526311" w:rsidRDefault="00794E04" w:rsidP="00794E04">
      <w:pPr>
        <w:pStyle w:val="ListParagraph"/>
        <w:numPr>
          <w:ilvl w:val="0"/>
          <w:numId w:val="72"/>
        </w:numPr>
        <w:tabs>
          <w:tab w:val="left" w:pos="709"/>
        </w:tabs>
        <w:ind w:left="0" w:firstLine="0"/>
        <w:jc w:val="both"/>
        <w:rPr>
          <w:rFonts w:eastAsia="SimSun"/>
          <w:lang w:val="es-ES" w:eastAsia="zh-CN"/>
        </w:rPr>
      </w:pPr>
      <w:r w:rsidRPr="00526311">
        <w:rPr>
          <w:rFonts w:eastAsia="SimSun" w:cs="Arial"/>
          <w:lang w:val="es-ES" w:eastAsia="zh-CN"/>
        </w:rPr>
        <w:t xml:space="preserve">El diseño, la planificación y la ejecución de las actividades del programa 19 se basaron en las recomendaciones pertinentes de la Agenda para el Desarrollo.  En el marco del programa 19 se siguió ampliando la base de datos de casos prácticos </w:t>
      </w:r>
      <w:r w:rsidRPr="00526311">
        <w:rPr>
          <w:rFonts w:eastAsia="SimSun" w:cs="Arial"/>
          <w:i/>
          <w:lang w:val="es-ES" w:eastAsia="zh-CN"/>
        </w:rPr>
        <w:t>IP Advantage</w:t>
      </w:r>
      <w:r w:rsidRPr="00526311">
        <w:rPr>
          <w:rFonts w:eastAsia="SimSun" w:cs="Arial"/>
          <w:lang w:val="es-ES" w:eastAsia="zh-CN"/>
        </w:rPr>
        <w:t xml:space="preserve"> (una iniciativa de la Agenda para el Desarrollo respaldada por el CDIP), que atrajo más de 199.671 visitas en 2014 (en comparación con 193.004 en 2013) y que facilitó apoyo a las comunicaciones (editoriales, diseño, vídeo, internet y otras) relacionadas con numerosos productos derivados de la Agenda para el Desarrollo y con los resultados obtenidos gracias a otros programas de la Organización.</w:t>
      </w:r>
    </w:p>
    <w:p w:rsidR="00794E04" w:rsidRPr="00526311" w:rsidRDefault="00794E04" w:rsidP="0063039A">
      <w:pPr>
        <w:jc w:val="both"/>
        <w:rPr>
          <w:sz w:val="20"/>
        </w:rPr>
      </w:pPr>
    </w:p>
    <w:p w:rsidR="00794E04" w:rsidRPr="00526311" w:rsidRDefault="00794E04">
      <w:pPr>
        <w:rPr>
          <w:sz w:val="20"/>
        </w:rPr>
      </w:pPr>
      <w:r w:rsidRPr="00526311">
        <w:rPr>
          <w:sz w:val="20"/>
        </w:rPr>
        <w:br w:type="page"/>
      </w:r>
    </w:p>
    <w:p w:rsidR="00794E04" w:rsidRPr="00526311" w:rsidRDefault="00794E04" w:rsidP="0063039A">
      <w:pPr>
        <w:jc w:val="both"/>
        <w:rPr>
          <w:szCs w:val="22"/>
        </w:rPr>
      </w:pPr>
      <w:r w:rsidRPr="00526311">
        <w:rPr>
          <w:szCs w:val="22"/>
        </w:rPr>
        <w:lastRenderedPageBreak/>
        <w:t>DATOS SOBRE EL RENDIMIENTO</w:t>
      </w:r>
    </w:p>
    <w:p w:rsidR="00794E04" w:rsidRPr="00526311" w:rsidRDefault="00794E04" w:rsidP="0063039A">
      <w:pPr>
        <w:jc w:val="both"/>
        <w:rPr>
          <w:b/>
          <w:sz w:val="16"/>
          <w:szCs w:val="16"/>
        </w:rPr>
      </w:pPr>
    </w:p>
    <w:tbl>
      <w:tblPr>
        <w:tblW w:w="4944"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7"/>
        <w:gridCol w:w="2553"/>
        <w:gridCol w:w="1420"/>
        <w:gridCol w:w="2128"/>
        <w:gridCol w:w="1276"/>
      </w:tblGrid>
      <w:tr w:rsidR="00794E04" w:rsidRPr="00526311" w:rsidTr="0063039A">
        <w:trPr>
          <w:trHeight w:val="435"/>
        </w:trPr>
        <w:tc>
          <w:tcPr>
            <w:tcW w:w="5000" w:type="pct"/>
            <w:gridSpan w:val="5"/>
            <w:tcBorders>
              <w:top w:val="single" w:sz="4" w:space="0" w:color="auto"/>
              <w:bottom w:val="single" w:sz="4" w:space="0" w:color="auto"/>
            </w:tcBorders>
            <w:shd w:val="clear" w:color="auto" w:fill="CCFFFF"/>
            <w:vAlign w:val="center"/>
          </w:tcPr>
          <w:p w:rsidR="00794E04" w:rsidRPr="00526311" w:rsidRDefault="00794E04" w:rsidP="0063039A">
            <w:pPr>
              <w:keepNext/>
              <w:keepLines/>
              <w:tabs>
                <w:tab w:val="left" w:pos="1452"/>
              </w:tabs>
              <w:spacing w:before="120" w:after="120"/>
              <w:ind w:left="1452" w:hanging="1452"/>
              <w:rPr>
                <w:b/>
                <w:bCs/>
                <w:sz w:val="16"/>
                <w:szCs w:val="16"/>
              </w:rPr>
            </w:pPr>
            <w:r w:rsidRPr="00526311">
              <w:rPr>
                <w:b/>
                <w:bCs/>
                <w:sz w:val="16"/>
                <w:szCs w:val="16"/>
              </w:rPr>
              <w:t>Resultado previsto</w:t>
            </w:r>
            <w:r w:rsidRPr="00526311">
              <w:rPr>
                <w:bCs/>
                <w:sz w:val="16"/>
                <w:szCs w:val="16"/>
              </w:rPr>
              <w:t>:</w:t>
            </w:r>
            <w:r w:rsidRPr="00526311">
              <w:rPr>
                <w:b/>
                <w:bCs/>
                <w:sz w:val="16"/>
                <w:szCs w:val="16"/>
              </w:rPr>
              <w:tab/>
            </w:r>
            <w:r w:rsidRPr="00526311">
              <w:rPr>
                <w:bCs/>
                <w:sz w:val="16"/>
                <w:szCs w:val="16"/>
              </w:rPr>
              <w:t>VIII.1 Comunicación más eficaz con el público en general acerca de la P.I. y la función de la OMPI</w:t>
            </w:r>
          </w:p>
        </w:tc>
      </w:tr>
      <w:tr w:rsidR="00794E04" w:rsidRPr="00526311" w:rsidTr="0063039A">
        <w:tc>
          <w:tcPr>
            <w:tcW w:w="1103" w:type="pct"/>
            <w:tcBorders>
              <w:top w:val="single" w:sz="4" w:space="0" w:color="auto"/>
            </w:tcBorders>
            <w:vAlign w:val="center"/>
          </w:tcPr>
          <w:p w:rsidR="00794E04" w:rsidRPr="00526311" w:rsidRDefault="00794E04" w:rsidP="0063039A">
            <w:pPr>
              <w:rPr>
                <w:sz w:val="16"/>
                <w:szCs w:val="16"/>
              </w:rPr>
            </w:pPr>
            <w:r w:rsidRPr="00526311">
              <w:rPr>
                <w:b/>
                <w:sz w:val="16"/>
                <w:szCs w:val="16"/>
              </w:rPr>
              <w:t>Indicadores de rendimiento</w:t>
            </w:r>
          </w:p>
        </w:tc>
        <w:tc>
          <w:tcPr>
            <w:tcW w:w="1349" w:type="pct"/>
            <w:tcBorders>
              <w:top w:val="single" w:sz="4" w:space="0" w:color="auto"/>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750" w:type="pct"/>
            <w:tcBorders>
              <w:top w:val="single" w:sz="4" w:space="0" w:color="auto"/>
            </w:tcBorders>
            <w:tcMar>
              <w:top w:w="110" w:type="dxa"/>
            </w:tcMar>
            <w:vAlign w:val="center"/>
          </w:tcPr>
          <w:p w:rsidR="00794E04" w:rsidRPr="00526311" w:rsidRDefault="00794E04" w:rsidP="0063039A">
            <w:pPr>
              <w:rPr>
                <w:b/>
                <w:bCs/>
                <w:sz w:val="16"/>
                <w:szCs w:val="16"/>
              </w:rPr>
            </w:pPr>
            <w:r w:rsidRPr="00526311">
              <w:rPr>
                <w:b/>
                <w:bCs/>
                <w:sz w:val="16"/>
                <w:szCs w:val="16"/>
              </w:rPr>
              <w:t>Objetivos</w:t>
            </w:r>
          </w:p>
        </w:tc>
        <w:tc>
          <w:tcPr>
            <w:tcW w:w="1124" w:type="pct"/>
            <w:tcBorders>
              <w:top w:val="single" w:sz="4" w:space="0" w:color="auto"/>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74" w:type="pct"/>
            <w:tcBorders>
              <w:top w:val="single" w:sz="4" w:space="0" w:color="auto"/>
            </w:tcBorders>
            <w:tcMar>
              <w:top w:w="110" w:type="dxa"/>
            </w:tcMar>
            <w:vAlign w:val="center"/>
          </w:tcPr>
          <w:p w:rsidR="00794E04" w:rsidRPr="00526311" w:rsidRDefault="00794E04" w:rsidP="0063039A">
            <w:pPr>
              <w:keepNext/>
              <w:keepLines/>
              <w:rPr>
                <w:b/>
                <w:bCs/>
                <w:sz w:val="16"/>
                <w:szCs w:val="16"/>
              </w:rPr>
            </w:pPr>
            <w:r w:rsidRPr="00526311">
              <w:rPr>
                <w:b/>
                <w:bCs/>
                <w:sz w:val="16"/>
                <w:szCs w:val="16"/>
              </w:rPr>
              <w:t>Clave de colores</w:t>
            </w:r>
          </w:p>
        </w:tc>
      </w:tr>
      <w:tr w:rsidR="00794E04" w:rsidRPr="00526311" w:rsidTr="0063039A">
        <w:tc>
          <w:tcPr>
            <w:tcW w:w="1103" w:type="pct"/>
          </w:tcPr>
          <w:p w:rsidR="00794E04" w:rsidRPr="00526311" w:rsidRDefault="00794E04" w:rsidP="0063039A">
            <w:pPr>
              <w:ind w:right="170"/>
              <w:rPr>
                <w:sz w:val="16"/>
                <w:szCs w:val="16"/>
              </w:rPr>
            </w:pPr>
            <w:r w:rsidRPr="00526311">
              <w:rPr>
                <w:sz w:val="16"/>
                <w:szCs w:val="16"/>
              </w:rPr>
              <w:t>Grado de interés público generado por importantes actividades/logros de la OMPI</w:t>
            </w:r>
          </w:p>
        </w:tc>
        <w:tc>
          <w:tcPr>
            <w:tcW w:w="1349" w:type="pct"/>
            <w:shd w:val="clear" w:color="auto" w:fill="auto"/>
          </w:tcPr>
          <w:p w:rsidR="00794E04" w:rsidRPr="00526311" w:rsidRDefault="00794E04" w:rsidP="0063039A">
            <w:pPr>
              <w:ind w:left="-102"/>
              <w:rPr>
                <w:color w:val="002060"/>
                <w:sz w:val="16"/>
                <w:szCs w:val="16"/>
              </w:rPr>
            </w:pPr>
            <w:r w:rsidRPr="00526311">
              <w:rPr>
                <w:i/>
                <w:color w:val="002060"/>
                <w:sz w:val="16"/>
                <w:szCs w:val="16"/>
              </w:rPr>
              <w:t xml:space="preserve">Referencia actualizada fin 2013: </w:t>
            </w:r>
            <w:r w:rsidRPr="00526311">
              <w:rPr>
                <w:color w:val="002060"/>
                <w:sz w:val="16"/>
                <w:szCs w:val="16"/>
              </w:rPr>
              <w:t>Actividad de muestra: publicación del Índice Mundial de Innovación.</w:t>
            </w:r>
            <w:r w:rsidRPr="00526311">
              <w:rPr>
                <w:i/>
                <w:color w:val="002060"/>
                <w:sz w:val="16"/>
                <w:szCs w:val="16"/>
              </w:rPr>
              <w:t xml:space="preserve">  </w:t>
            </w:r>
            <w:r w:rsidRPr="00526311">
              <w:rPr>
                <w:color w:val="002060"/>
                <w:sz w:val="16"/>
                <w:szCs w:val="16"/>
              </w:rPr>
              <w:t xml:space="preserve">45.564 visitantes + 685 vídeos visionados (en las 11 semanas tras la publicación de 2013) de todo el contenido web (páginas web, comunicados de prensa, infografías) </w:t>
            </w:r>
          </w:p>
          <w:p w:rsidR="00794E04" w:rsidRPr="00526311" w:rsidRDefault="00794E04" w:rsidP="0063039A">
            <w:pPr>
              <w:keepNext/>
              <w:rPr>
                <w:i/>
                <w:sz w:val="8"/>
                <w:szCs w:val="8"/>
              </w:rPr>
            </w:pPr>
          </w:p>
          <w:p w:rsidR="00794E04" w:rsidRPr="00526311" w:rsidRDefault="00794E04" w:rsidP="0063039A">
            <w:pPr>
              <w:keepNext/>
              <w:ind w:left="-102"/>
              <w:rPr>
                <w:sz w:val="16"/>
                <w:szCs w:val="16"/>
              </w:rPr>
            </w:pPr>
            <w:r w:rsidRPr="00526311">
              <w:rPr>
                <w:i/>
                <w:sz w:val="16"/>
                <w:szCs w:val="16"/>
              </w:rPr>
              <w:t>Referencia original en el presupuesto de 2014/15</w:t>
            </w:r>
            <w:r w:rsidRPr="00526311">
              <w:rPr>
                <w:sz w:val="16"/>
                <w:szCs w:val="16"/>
              </w:rPr>
              <w:t>: (Actividad de muestra) 12.111 visitantes al comunicado de prensa sobre el Índice Mundial de Innovación de 2012 en el período de un mes.</w:t>
            </w:r>
          </w:p>
        </w:tc>
        <w:tc>
          <w:tcPr>
            <w:tcW w:w="750" w:type="pct"/>
            <w:tcMar>
              <w:top w:w="110" w:type="dxa"/>
            </w:tcMar>
          </w:tcPr>
          <w:p w:rsidR="00794E04" w:rsidRPr="00526311" w:rsidRDefault="00794E04" w:rsidP="00353744">
            <w:pPr>
              <w:autoSpaceDE w:val="0"/>
              <w:autoSpaceDN w:val="0"/>
              <w:adjustRightInd w:val="0"/>
              <w:ind w:left="-50" w:right="-96"/>
              <w:rPr>
                <w:sz w:val="16"/>
                <w:szCs w:val="16"/>
              </w:rPr>
            </w:pPr>
            <w:r w:rsidRPr="00526311">
              <w:rPr>
                <w:sz w:val="16"/>
                <w:szCs w:val="16"/>
              </w:rPr>
              <w:t>Aumento del 10% en las visitas de las páginas pertinentes</w:t>
            </w:r>
          </w:p>
        </w:tc>
        <w:tc>
          <w:tcPr>
            <w:tcW w:w="1124" w:type="pct"/>
            <w:shd w:val="clear" w:color="auto" w:fill="FFFFFF"/>
            <w:tcMar>
              <w:top w:w="110" w:type="dxa"/>
            </w:tcMar>
          </w:tcPr>
          <w:p w:rsidR="00794E04" w:rsidRPr="00526311" w:rsidRDefault="00794E04" w:rsidP="0063039A">
            <w:pPr>
              <w:keepNext/>
              <w:keepLines/>
              <w:rPr>
                <w:sz w:val="16"/>
                <w:szCs w:val="16"/>
              </w:rPr>
            </w:pPr>
            <w:r w:rsidRPr="00526311">
              <w:rPr>
                <w:sz w:val="16"/>
                <w:szCs w:val="16"/>
              </w:rPr>
              <w:t>Publicación del Índice Mundial de Innovación: 53.062 visitantes + 9.563 vídeos visionados (en un período de 11 semanas tras la publicación) de todo el contenido web (páginas web, comunicados de prensa, infografías)  Aumento del 16,5% y 1296% (vídeo)</w:t>
            </w:r>
          </w:p>
        </w:tc>
        <w:tc>
          <w:tcPr>
            <w:tcW w:w="674" w:type="pct"/>
            <w:tcMar>
              <w:top w:w="110" w:type="dxa"/>
            </w:tcMar>
          </w:tcPr>
          <w:p w:rsidR="00794E04" w:rsidRPr="00526311" w:rsidRDefault="00794E04" w:rsidP="0063039A">
            <w:pPr>
              <w:keepNext/>
              <w:keepLines/>
              <w:ind w:left="-108"/>
              <w:jc w:val="center"/>
              <w:rPr>
                <w:b/>
                <w:color w:val="00B050"/>
                <w:sz w:val="16"/>
                <w:szCs w:val="16"/>
              </w:rPr>
            </w:pPr>
            <w:r w:rsidRPr="00526311">
              <w:rPr>
                <w:b/>
                <w:color w:val="00B050"/>
                <w:sz w:val="16"/>
                <w:szCs w:val="16"/>
              </w:rPr>
              <w:t>Avanza</w:t>
            </w:r>
          </w:p>
        </w:tc>
      </w:tr>
      <w:tr w:rsidR="00794E04" w:rsidRPr="00526311" w:rsidTr="0063039A">
        <w:trPr>
          <w:trHeight w:val="232"/>
        </w:trPr>
        <w:tc>
          <w:tcPr>
            <w:tcW w:w="1103" w:type="pct"/>
          </w:tcPr>
          <w:p w:rsidR="00794E04" w:rsidRPr="00526311" w:rsidRDefault="00794E04" w:rsidP="0063039A">
            <w:pPr>
              <w:ind w:right="170"/>
              <w:rPr>
                <w:sz w:val="16"/>
                <w:szCs w:val="16"/>
              </w:rPr>
            </w:pPr>
            <w:r w:rsidRPr="00526311">
              <w:rPr>
                <w:sz w:val="16"/>
                <w:szCs w:val="16"/>
              </w:rPr>
              <w:t>Porcentaje de opiniones favorables de las partes interesadas sobre la misión, las actividades y la imagen institucional de la OMPI</w:t>
            </w:r>
          </w:p>
        </w:tc>
        <w:tc>
          <w:tcPr>
            <w:tcW w:w="1349" w:type="pct"/>
            <w:shd w:val="clear" w:color="auto" w:fill="auto"/>
          </w:tcPr>
          <w:p w:rsidR="00794E04" w:rsidRPr="00526311" w:rsidRDefault="00794E04" w:rsidP="0063039A">
            <w:pPr>
              <w:ind w:left="-102"/>
              <w:rPr>
                <w:color w:val="002060"/>
                <w:sz w:val="16"/>
                <w:szCs w:val="16"/>
              </w:rPr>
            </w:pPr>
            <w:r w:rsidRPr="00526311">
              <w:rPr>
                <w:i/>
                <w:color w:val="002060"/>
                <w:sz w:val="16"/>
                <w:szCs w:val="16"/>
              </w:rPr>
              <w:t>Referencia actualizada fin 2013</w:t>
            </w:r>
            <w:r w:rsidRPr="00526311">
              <w:rPr>
                <w:color w:val="002060"/>
                <w:sz w:val="16"/>
                <w:szCs w:val="16"/>
              </w:rPr>
              <w:t>: El 87% de los encuestados opinan que la imagen de la OMPI es buena, muy buena o excelente.  El 81% de quienes respondieron a la encuesta creen que la OMPI es el foro internacional adecuado para la promoción de la P.I. (Resultados de la encuesta de prestación óptima de servicios de la OMPI, agosto de 2013)</w:t>
            </w:r>
            <w:r w:rsidRPr="00526311">
              <w:rPr>
                <w:rStyle w:val="FootnoteReference"/>
                <w:color w:val="002060"/>
                <w:sz w:val="16"/>
                <w:szCs w:val="16"/>
              </w:rPr>
              <w:footnoteReference w:id="50"/>
            </w:r>
            <w:r w:rsidRPr="00526311">
              <w:rPr>
                <w:color w:val="002060"/>
                <w:sz w:val="16"/>
                <w:szCs w:val="16"/>
              </w:rPr>
              <w:t xml:space="preserve"> </w:t>
            </w:r>
          </w:p>
          <w:p w:rsidR="00794E04" w:rsidRPr="00526311" w:rsidRDefault="00794E04" w:rsidP="0063039A">
            <w:pPr>
              <w:keepNext/>
              <w:rPr>
                <w:i/>
                <w:color w:val="002060"/>
                <w:sz w:val="8"/>
                <w:szCs w:val="8"/>
              </w:rPr>
            </w:pPr>
          </w:p>
          <w:p w:rsidR="00794E04" w:rsidRPr="00526311" w:rsidRDefault="00794E04" w:rsidP="0063039A">
            <w:pPr>
              <w:keepNext/>
              <w:ind w:left="-102"/>
              <w:rPr>
                <w:sz w:val="16"/>
                <w:szCs w:val="16"/>
              </w:rPr>
            </w:pPr>
            <w:r w:rsidRPr="00526311">
              <w:rPr>
                <w:i/>
                <w:sz w:val="16"/>
                <w:szCs w:val="16"/>
              </w:rPr>
              <w:t>Referencia original en el presupuesto de 2014/15:</w:t>
            </w:r>
            <w:r w:rsidRPr="00526311">
              <w:rPr>
                <w:i/>
                <w:iCs/>
                <w:sz w:val="16"/>
                <w:szCs w:val="16"/>
              </w:rPr>
              <w:t xml:space="preserve">  </w:t>
            </w:r>
          </w:p>
          <w:p w:rsidR="00794E04" w:rsidRPr="00526311" w:rsidRDefault="00794E04" w:rsidP="0063039A">
            <w:pPr>
              <w:ind w:left="-102"/>
              <w:rPr>
                <w:sz w:val="16"/>
                <w:szCs w:val="16"/>
              </w:rPr>
            </w:pPr>
            <w:r w:rsidRPr="00526311">
              <w:rPr>
                <w:color w:val="000000"/>
                <w:sz w:val="16"/>
                <w:szCs w:val="16"/>
              </w:rPr>
              <w:t>El 65% de los encuestados consideran que la OMPI es el líder mundial de la protección y promoción de la P.I. (Encuesta sobre la impresión que tienen las partes interesadas acerca de la OMPI, enero de 2012)</w:t>
            </w:r>
          </w:p>
        </w:tc>
        <w:tc>
          <w:tcPr>
            <w:tcW w:w="750" w:type="pct"/>
            <w:tcMar>
              <w:top w:w="110" w:type="dxa"/>
            </w:tcMar>
          </w:tcPr>
          <w:p w:rsidR="00794E04" w:rsidRPr="00526311" w:rsidRDefault="00794E04" w:rsidP="00353744">
            <w:pPr>
              <w:autoSpaceDE w:val="0"/>
              <w:autoSpaceDN w:val="0"/>
              <w:adjustRightInd w:val="0"/>
              <w:ind w:left="-50" w:right="-96"/>
              <w:rPr>
                <w:sz w:val="16"/>
                <w:szCs w:val="16"/>
              </w:rPr>
            </w:pPr>
            <w:r w:rsidRPr="00526311">
              <w:rPr>
                <w:sz w:val="16"/>
                <w:szCs w:val="16"/>
              </w:rPr>
              <w:t>75%</w:t>
            </w:r>
          </w:p>
        </w:tc>
        <w:tc>
          <w:tcPr>
            <w:tcW w:w="1124" w:type="pct"/>
            <w:shd w:val="clear" w:color="auto" w:fill="FFFFFF"/>
            <w:tcMar>
              <w:top w:w="110" w:type="dxa"/>
            </w:tcMar>
          </w:tcPr>
          <w:p w:rsidR="00794E04" w:rsidRPr="00526311" w:rsidRDefault="00794E04" w:rsidP="0063039A">
            <w:pPr>
              <w:rPr>
                <w:sz w:val="16"/>
                <w:szCs w:val="16"/>
              </w:rPr>
            </w:pPr>
            <w:r w:rsidRPr="00526311">
              <w:rPr>
                <w:sz w:val="16"/>
                <w:szCs w:val="16"/>
              </w:rPr>
              <w:t>El 70% de los encuestados consideran que la OMPI es el foro mundial en materia de promoción, servicios, política, información y cooperación en torno a la P.I.</w:t>
            </w:r>
            <w:r w:rsidRPr="00526311">
              <w:rPr>
                <w:rStyle w:val="FootnoteReference"/>
                <w:sz w:val="16"/>
                <w:szCs w:val="16"/>
              </w:rPr>
              <w:footnoteReference w:id="51"/>
            </w:r>
            <w:r w:rsidRPr="00526311">
              <w:rPr>
                <w:sz w:val="16"/>
                <w:szCs w:val="16"/>
              </w:rPr>
              <w:t xml:space="preserve"> ; el 85% de los encuestados está de acuerdo o completamente de acuerdo en que la OMPI tiene buena reputación en general.  </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 xml:space="preserve">(Fuente: Encuesta sobre la impresión que tienen las partes interesadas acerca de la OMPI, junio de 2014) </w:t>
            </w:r>
          </w:p>
        </w:tc>
        <w:tc>
          <w:tcPr>
            <w:tcW w:w="674" w:type="pct"/>
            <w:tcMar>
              <w:top w:w="110" w:type="dxa"/>
            </w:tcMar>
          </w:tcPr>
          <w:p w:rsidR="00794E04" w:rsidRPr="00526311" w:rsidRDefault="00794E04" w:rsidP="0063039A">
            <w:pPr>
              <w:keepNext/>
              <w:keepLines/>
              <w:ind w:left="-108"/>
              <w:jc w:val="center"/>
              <w:rPr>
                <w:b/>
                <w:bCs/>
                <w:color w:val="00B050"/>
                <w:sz w:val="16"/>
                <w:szCs w:val="16"/>
              </w:rPr>
            </w:pPr>
            <w:r w:rsidRPr="00526311">
              <w:rPr>
                <w:b/>
                <w:color w:val="00B050"/>
                <w:sz w:val="16"/>
                <w:szCs w:val="16"/>
              </w:rPr>
              <w:t>Avanza</w:t>
            </w:r>
          </w:p>
        </w:tc>
      </w:tr>
      <w:tr w:rsidR="00794E04" w:rsidRPr="00526311" w:rsidTr="0063039A">
        <w:trPr>
          <w:trHeight w:val="1422"/>
        </w:trPr>
        <w:tc>
          <w:tcPr>
            <w:tcW w:w="1103" w:type="pct"/>
          </w:tcPr>
          <w:p w:rsidR="00794E04" w:rsidRPr="00526311" w:rsidRDefault="00794E04" w:rsidP="0063039A">
            <w:pPr>
              <w:ind w:right="170"/>
              <w:rPr>
                <w:sz w:val="16"/>
                <w:szCs w:val="16"/>
              </w:rPr>
            </w:pPr>
            <w:r w:rsidRPr="00526311">
              <w:rPr>
                <w:sz w:val="16"/>
                <w:szCs w:val="16"/>
              </w:rPr>
              <w:t>Porcentaje de aumento del material de prensa, vídeos y fotografías de la OMPI vistos por el público</w:t>
            </w:r>
          </w:p>
        </w:tc>
        <w:tc>
          <w:tcPr>
            <w:tcW w:w="1349" w:type="pct"/>
            <w:shd w:val="clear" w:color="auto" w:fill="auto"/>
          </w:tcPr>
          <w:p w:rsidR="00794E04" w:rsidRPr="00526311" w:rsidRDefault="00794E04" w:rsidP="0063039A">
            <w:pPr>
              <w:ind w:left="-102"/>
              <w:rPr>
                <w:color w:val="002060"/>
                <w:sz w:val="16"/>
                <w:szCs w:val="16"/>
              </w:rPr>
            </w:pPr>
            <w:r w:rsidRPr="00526311">
              <w:rPr>
                <w:i/>
                <w:color w:val="002060"/>
                <w:sz w:val="16"/>
                <w:szCs w:val="16"/>
              </w:rPr>
              <w:t xml:space="preserve">Referencia actualizada fin 2013:  </w:t>
            </w:r>
            <w:r w:rsidRPr="00526311">
              <w:rPr>
                <w:color w:val="002060"/>
                <w:sz w:val="16"/>
                <w:szCs w:val="16"/>
              </w:rPr>
              <w:t xml:space="preserve">i) El promedio de visitantes únicos absolutos por comunicado de prensa era de 5.506 (143.169 visitas para 26 artículos publicados en 2013 en todos los idiomas);  </w:t>
            </w:r>
          </w:p>
          <w:p w:rsidR="00794E04" w:rsidRPr="00526311" w:rsidRDefault="00794E04" w:rsidP="0063039A">
            <w:pPr>
              <w:ind w:left="-102"/>
              <w:rPr>
                <w:color w:val="002060"/>
                <w:sz w:val="16"/>
                <w:szCs w:val="16"/>
              </w:rPr>
            </w:pPr>
            <w:r w:rsidRPr="00526311">
              <w:rPr>
                <w:color w:val="002060"/>
                <w:sz w:val="16"/>
                <w:szCs w:val="16"/>
              </w:rPr>
              <w:t>ii) El promedio de visualizaciones por vídeo era de 16.612 (3.787.601 visitas para 228</w:t>
            </w:r>
            <w:r w:rsidRPr="00526311">
              <w:rPr>
                <w:rStyle w:val="FootnoteReference"/>
                <w:color w:val="002060"/>
                <w:sz w:val="16"/>
                <w:szCs w:val="16"/>
              </w:rPr>
              <w:footnoteReference w:id="52"/>
            </w:r>
            <w:r w:rsidRPr="00526311">
              <w:rPr>
                <w:color w:val="002060"/>
                <w:sz w:val="16"/>
                <w:szCs w:val="16"/>
              </w:rPr>
              <w:t xml:space="preserve"> vídeos)</w:t>
            </w:r>
          </w:p>
          <w:p w:rsidR="00794E04" w:rsidRPr="00526311" w:rsidRDefault="00794E04" w:rsidP="0063039A">
            <w:pPr>
              <w:ind w:left="-102"/>
              <w:rPr>
                <w:color w:val="002060"/>
                <w:sz w:val="16"/>
                <w:szCs w:val="16"/>
              </w:rPr>
            </w:pPr>
            <w:r w:rsidRPr="00526311">
              <w:rPr>
                <w:color w:val="002060"/>
                <w:sz w:val="16"/>
                <w:szCs w:val="16"/>
              </w:rPr>
              <w:t>iii) 900.000 visualizaciones de</w:t>
            </w:r>
            <w:r w:rsidRPr="00526311">
              <w:rPr>
                <w:color w:val="000000"/>
                <w:sz w:val="16"/>
                <w:szCs w:val="16"/>
              </w:rPr>
              <w:t xml:space="preserve"> </w:t>
            </w:r>
            <w:r w:rsidRPr="00526311">
              <w:rPr>
                <w:color w:val="002060"/>
                <w:sz w:val="16"/>
                <w:szCs w:val="16"/>
              </w:rPr>
              <w:t xml:space="preserve">fotos en Flickr </w:t>
            </w:r>
          </w:p>
          <w:p w:rsidR="00794E04" w:rsidRPr="00526311" w:rsidRDefault="00794E04" w:rsidP="0063039A">
            <w:pPr>
              <w:rPr>
                <w:i/>
                <w:color w:val="002060"/>
                <w:sz w:val="8"/>
                <w:szCs w:val="8"/>
              </w:rPr>
            </w:pPr>
          </w:p>
          <w:p w:rsidR="00794E04" w:rsidRPr="00526311" w:rsidRDefault="00794E04" w:rsidP="0063039A">
            <w:pPr>
              <w:keepNext/>
              <w:ind w:left="-102"/>
              <w:rPr>
                <w:sz w:val="16"/>
                <w:szCs w:val="16"/>
              </w:rPr>
            </w:pPr>
            <w:r w:rsidRPr="00526311">
              <w:rPr>
                <w:i/>
                <w:sz w:val="16"/>
                <w:szCs w:val="16"/>
              </w:rPr>
              <w:t>Referencia original en el presupuesto de 2014/15:</w:t>
            </w:r>
            <w:r w:rsidRPr="00526311">
              <w:rPr>
                <w:sz w:val="16"/>
                <w:szCs w:val="16"/>
              </w:rPr>
              <w:t xml:space="preserve">  </w:t>
            </w:r>
          </w:p>
          <w:p w:rsidR="00794E04" w:rsidRPr="00526311" w:rsidRDefault="00794E04" w:rsidP="00F52B24">
            <w:pPr>
              <w:ind w:left="-102"/>
              <w:rPr>
                <w:sz w:val="16"/>
                <w:szCs w:val="16"/>
              </w:rPr>
            </w:pPr>
            <w:r w:rsidRPr="00526311">
              <w:rPr>
                <w:sz w:val="16"/>
                <w:szCs w:val="16"/>
              </w:rPr>
              <w:t>i) En 2012, el promedio de visitantes únicos absolutos por comunicado de prensa era de 3.575. (92.958 para 26 artículos publicados en 2012)</w:t>
            </w:r>
          </w:p>
        </w:tc>
        <w:tc>
          <w:tcPr>
            <w:tcW w:w="750" w:type="pct"/>
            <w:tcMar>
              <w:top w:w="110" w:type="dxa"/>
            </w:tcMar>
          </w:tcPr>
          <w:p w:rsidR="00794E04" w:rsidRPr="00526311" w:rsidRDefault="00794E04" w:rsidP="00353744">
            <w:pPr>
              <w:autoSpaceDE w:val="0"/>
              <w:autoSpaceDN w:val="0"/>
              <w:adjustRightInd w:val="0"/>
              <w:ind w:left="-50" w:right="-96"/>
              <w:rPr>
                <w:sz w:val="16"/>
                <w:szCs w:val="16"/>
              </w:rPr>
            </w:pPr>
            <w:r w:rsidRPr="00526311">
              <w:rPr>
                <w:sz w:val="16"/>
                <w:szCs w:val="16"/>
              </w:rPr>
              <w:t xml:space="preserve">i) Aumento del 10 % en el promedio de </w:t>
            </w:r>
            <w:r w:rsidRPr="00526311">
              <w:rPr>
                <w:color w:val="000000"/>
                <w:sz w:val="16"/>
                <w:szCs w:val="16"/>
              </w:rPr>
              <w:t>visitantes</w:t>
            </w:r>
            <w:r w:rsidRPr="00526311">
              <w:rPr>
                <w:sz w:val="16"/>
                <w:szCs w:val="16"/>
              </w:rPr>
              <w:t xml:space="preserve"> por comunicado de prensa</w:t>
            </w:r>
          </w:p>
          <w:p w:rsidR="00794E04" w:rsidRPr="00526311" w:rsidRDefault="00794E04" w:rsidP="0063039A">
            <w:pPr>
              <w:rPr>
                <w:sz w:val="16"/>
                <w:szCs w:val="16"/>
              </w:rPr>
            </w:pPr>
          </w:p>
          <w:p w:rsidR="00794E04" w:rsidRPr="00526311" w:rsidRDefault="00794E04" w:rsidP="00353744">
            <w:pPr>
              <w:autoSpaceDE w:val="0"/>
              <w:autoSpaceDN w:val="0"/>
              <w:adjustRightInd w:val="0"/>
              <w:ind w:left="-50" w:right="-96"/>
              <w:rPr>
                <w:sz w:val="16"/>
                <w:szCs w:val="16"/>
              </w:rPr>
            </w:pPr>
            <w:r w:rsidRPr="00526311">
              <w:rPr>
                <w:sz w:val="16"/>
                <w:szCs w:val="16"/>
              </w:rPr>
              <w:t xml:space="preserve">ii) Aumento del 10% en el promedio de </w:t>
            </w:r>
            <w:r w:rsidRPr="00526311">
              <w:rPr>
                <w:color w:val="000000"/>
                <w:sz w:val="16"/>
                <w:szCs w:val="16"/>
              </w:rPr>
              <w:t>visualizaciones</w:t>
            </w:r>
            <w:r w:rsidRPr="00526311">
              <w:rPr>
                <w:sz w:val="16"/>
                <w:szCs w:val="16"/>
              </w:rPr>
              <w:t xml:space="preserve"> por vídeo del canal de la OMPI en YouTube</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iii) Objetivo:</w:t>
            </w:r>
          </w:p>
          <w:p w:rsidR="00794E04" w:rsidRPr="00526311" w:rsidRDefault="00794E04" w:rsidP="00353744">
            <w:pPr>
              <w:autoSpaceDE w:val="0"/>
              <w:autoSpaceDN w:val="0"/>
              <w:adjustRightInd w:val="0"/>
              <w:ind w:left="-50" w:right="-96"/>
              <w:rPr>
                <w:sz w:val="16"/>
                <w:szCs w:val="16"/>
              </w:rPr>
            </w:pPr>
            <w:r w:rsidRPr="00526311">
              <w:rPr>
                <w:sz w:val="16"/>
                <w:szCs w:val="16"/>
              </w:rPr>
              <w:t xml:space="preserve">Otras 300.000 </w:t>
            </w:r>
            <w:r w:rsidRPr="00526311">
              <w:rPr>
                <w:color w:val="000000"/>
                <w:sz w:val="16"/>
                <w:szCs w:val="16"/>
              </w:rPr>
              <w:t>visualizaciones</w:t>
            </w:r>
            <w:r w:rsidRPr="00526311">
              <w:rPr>
                <w:sz w:val="16"/>
                <w:szCs w:val="16"/>
              </w:rPr>
              <w:t xml:space="preserve"> en Flickr</w:t>
            </w:r>
          </w:p>
        </w:tc>
        <w:tc>
          <w:tcPr>
            <w:tcW w:w="1124" w:type="pct"/>
            <w:shd w:val="clear" w:color="auto" w:fill="FFFFFF"/>
            <w:tcMar>
              <w:top w:w="110" w:type="dxa"/>
            </w:tcMar>
          </w:tcPr>
          <w:p w:rsidR="00794E04" w:rsidRPr="00526311" w:rsidRDefault="00794E04" w:rsidP="0063039A">
            <w:pPr>
              <w:rPr>
                <w:sz w:val="16"/>
                <w:szCs w:val="16"/>
              </w:rPr>
            </w:pPr>
            <w:r w:rsidRPr="00526311">
              <w:rPr>
                <w:sz w:val="16"/>
                <w:szCs w:val="16"/>
              </w:rPr>
              <w:t>i) El promedio de visitantes únicos absolutos por comunicado de prensa era de 4.176 (75.173 visitas para 18 artículos publicados) (-24.15%)</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 xml:space="preserve">ii) El promedio de visualizaciones por vídeo era 8.864 (2.730.260 visitas para 308 vídeos) (-46%) </w:t>
            </w:r>
          </w:p>
          <w:p w:rsidR="00794E04" w:rsidRPr="00526311" w:rsidRDefault="00794E04" w:rsidP="0063039A">
            <w:pPr>
              <w:rPr>
                <w:sz w:val="16"/>
                <w:szCs w:val="16"/>
              </w:rPr>
            </w:pP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 xml:space="preserve">iii)  Otras 1.449.204 visualizaciones en Flickr  (+61%) </w:t>
            </w:r>
          </w:p>
        </w:tc>
        <w:tc>
          <w:tcPr>
            <w:tcW w:w="674" w:type="pct"/>
            <w:tcMar>
              <w:top w:w="110" w:type="dxa"/>
            </w:tcMar>
          </w:tcPr>
          <w:p w:rsidR="00794E04" w:rsidRPr="00526311" w:rsidRDefault="00794E04" w:rsidP="0063039A">
            <w:pPr>
              <w:keepNext/>
              <w:keepLines/>
              <w:ind w:left="-108"/>
              <w:jc w:val="center"/>
              <w:rPr>
                <w:b/>
                <w:bCs/>
                <w:color w:val="FF0000"/>
                <w:sz w:val="16"/>
                <w:szCs w:val="16"/>
              </w:rPr>
            </w:pPr>
            <w:r w:rsidRPr="00526311">
              <w:rPr>
                <w:b/>
                <w:bCs/>
                <w:color w:val="FF0000"/>
                <w:sz w:val="16"/>
                <w:szCs w:val="16"/>
              </w:rPr>
              <w:t>No avanza</w:t>
            </w:r>
          </w:p>
          <w:p w:rsidR="00794E04" w:rsidRPr="00526311" w:rsidRDefault="00794E04" w:rsidP="0063039A">
            <w:pPr>
              <w:keepNext/>
              <w:keepLines/>
              <w:jc w:val="center"/>
              <w:rPr>
                <w:b/>
                <w:bCs/>
                <w:color w:val="FF0000"/>
                <w:sz w:val="16"/>
                <w:szCs w:val="16"/>
              </w:rPr>
            </w:pPr>
          </w:p>
          <w:p w:rsidR="00794E04" w:rsidRPr="00526311" w:rsidRDefault="00794E04" w:rsidP="0063039A">
            <w:pPr>
              <w:keepNext/>
              <w:keepLines/>
              <w:jc w:val="center"/>
              <w:rPr>
                <w:b/>
                <w:bCs/>
                <w:color w:val="FF0000"/>
                <w:sz w:val="16"/>
                <w:szCs w:val="16"/>
              </w:rPr>
            </w:pPr>
          </w:p>
          <w:p w:rsidR="00794E04" w:rsidRPr="00526311" w:rsidRDefault="00794E04" w:rsidP="0063039A">
            <w:pPr>
              <w:keepNext/>
              <w:keepLines/>
              <w:jc w:val="center"/>
              <w:rPr>
                <w:b/>
                <w:bCs/>
                <w:color w:val="FF0000"/>
                <w:sz w:val="16"/>
                <w:szCs w:val="16"/>
              </w:rPr>
            </w:pPr>
          </w:p>
          <w:p w:rsidR="00794E04" w:rsidRPr="00526311" w:rsidRDefault="00794E04" w:rsidP="0063039A">
            <w:pPr>
              <w:keepNext/>
              <w:keepLines/>
              <w:jc w:val="center"/>
              <w:rPr>
                <w:b/>
                <w:bCs/>
                <w:color w:val="FF0000"/>
                <w:sz w:val="16"/>
                <w:szCs w:val="16"/>
              </w:rPr>
            </w:pPr>
          </w:p>
          <w:p w:rsidR="00794E04" w:rsidRPr="00526311" w:rsidRDefault="00794E04" w:rsidP="0063039A">
            <w:pPr>
              <w:keepNext/>
              <w:keepLines/>
              <w:jc w:val="center"/>
              <w:rPr>
                <w:b/>
                <w:bCs/>
                <w:color w:val="FF0000"/>
                <w:sz w:val="16"/>
                <w:szCs w:val="16"/>
              </w:rPr>
            </w:pPr>
          </w:p>
          <w:p w:rsidR="00794E04" w:rsidRPr="00526311" w:rsidRDefault="00794E04" w:rsidP="0063039A">
            <w:pPr>
              <w:keepNext/>
              <w:keepLines/>
              <w:jc w:val="center"/>
              <w:rPr>
                <w:b/>
                <w:bCs/>
                <w:color w:val="FF0000"/>
                <w:sz w:val="16"/>
                <w:szCs w:val="16"/>
              </w:rPr>
            </w:pPr>
          </w:p>
          <w:p w:rsidR="00794E04" w:rsidRPr="00526311" w:rsidRDefault="00794E04" w:rsidP="0063039A">
            <w:pPr>
              <w:keepNext/>
              <w:keepLines/>
              <w:ind w:left="-108"/>
              <w:jc w:val="center"/>
              <w:rPr>
                <w:b/>
                <w:bCs/>
                <w:color w:val="FF0000"/>
                <w:sz w:val="16"/>
                <w:szCs w:val="16"/>
              </w:rPr>
            </w:pPr>
            <w:r w:rsidRPr="00526311">
              <w:rPr>
                <w:b/>
                <w:bCs/>
                <w:color w:val="FF0000"/>
                <w:sz w:val="16"/>
                <w:szCs w:val="16"/>
              </w:rPr>
              <w:t xml:space="preserve">No avanza </w:t>
            </w: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ind w:left="-108"/>
              <w:jc w:val="center"/>
              <w:rPr>
                <w:b/>
                <w:sz w:val="16"/>
                <w:szCs w:val="16"/>
              </w:rPr>
            </w:pPr>
            <w:r w:rsidRPr="00526311">
              <w:rPr>
                <w:b/>
                <w:color w:val="00B050"/>
                <w:sz w:val="16"/>
                <w:szCs w:val="16"/>
              </w:rPr>
              <w:t>Avanza</w:t>
            </w:r>
          </w:p>
        </w:tc>
      </w:tr>
      <w:tr w:rsidR="00794E04" w:rsidRPr="00526311" w:rsidTr="0063039A">
        <w:tc>
          <w:tcPr>
            <w:tcW w:w="1103" w:type="pct"/>
            <w:tcBorders>
              <w:top w:val="single" w:sz="4" w:space="0" w:color="auto"/>
            </w:tcBorders>
            <w:vAlign w:val="center"/>
          </w:tcPr>
          <w:p w:rsidR="00794E04" w:rsidRPr="00526311" w:rsidRDefault="00794E04" w:rsidP="0063039A">
            <w:pPr>
              <w:rPr>
                <w:sz w:val="16"/>
                <w:szCs w:val="16"/>
              </w:rPr>
            </w:pPr>
            <w:r w:rsidRPr="00526311">
              <w:rPr>
                <w:b/>
                <w:sz w:val="16"/>
                <w:szCs w:val="16"/>
              </w:rPr>
              <w:lastRenderedPageBreak/>
              <w:t>Indicadores de rendimiento</w:t>
            </w:r>
          </w:p>
        </w:tc>
        <w:tc>
          <w:tcPr>
            <w:tcW w:w="1349" w:type="pct"/>
            <w:tcBorders>
              <w:top w:val="single" w:sz="4" w:space="0" w:color="auto"/>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750" w:type="pct"/>
            <w:tcBorders>
              <w:top w:val="single" w:sz="4" w:space="0" w:color="auto"/>
            </w:tcBorders>
            <w:tcMar>
              <w:top w:w="110" w:type="dxa"/>
            </w:tcMar>
            <w:vAlign w:val="center"/>
          </w:tcPr>
          <w:p w:rsidR="00794E04" w:rsidRPr="00526311" w:rsidRDefault="00794E04" w:rsidP="0063039A">
            <w:pPr>
              <w:rPr>
                <w:b/>
                <w:bCs/>
                <w:sz w:val="16"/>
                <w:szCs w:val="16"/>
              </w:rPr>
            </w:pPr>
            <w:r w:rsidRPr="00526311">
              <w:rPr>
                <w:b/>
                <w:bCs/>
                <w:sz w:val="16"/>
                <w:szCs w:val="16"/>
              </w:rPr>
              <w:t>Objetivos</w:t>
            </w:r>
          </w:p>
        </w:tc>
        <w:tc>
          <w:tcPr>
            <w:tcW w:w="1124" w:type="pct"/>
            <w:tcBorders>
              <w:top w:val="single" w:sz="4" w:space="0" w:color="auto"/>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74" w:type="pct"/>
            <w:tcBorders>
              <w:top w:val="single" w:sz="4" w:space="0" w:color="auto"/>
            </w:tcBorders>
            <w:tcMar>
              <w:top w:w="110" w:type="dxa"/>
            </w:tcMar>
            <w:vAlign w:val="center"/>
          </w:tcPr>
          <w:p w:rsidR="00794E04" w:rsidRPr="00526311" w:rsidRDefault="00794E04" w:rsidP="0063039A">
            <w:pPr>
              <w:keepNext/>
              <w:keepLines/>
              <w:rPr>
                <w:b/>
                <w:bCs/>
                <w:sz w:val="16"/>
                <w:szCs w:val="16"/>
              </w:rPr>
            </w:pPr>
            <w:r w:rsidRPr="00526311">
              <w:rPr>
                <w:b/>
                <w:bCs/>
                <w:sz w:val="16"/>
                <w:szCs w:val="16"/>
              </w:rPr>
              <w:t>Clave de colores</w:t>
            </w:r>
          </w:p>
        </w:tc>
      </w:tr>
      <w:tr w:rsidR="00794E04" w:rsidRPr="00526311" w:rsidTr="0063039A">
        <w:trPr>
          <w:trHeight w:val="1422"/>
        </w:trPr>
        <w:tc>
          <w:tcPr>
            <w:tcW w:w="1103" w:type="pct"/>
          </w:tcPr>
          <w:p w:rsidR="00794E04" w:rsidRPr="00526311" w:rsidRDefault="00794E04" w:rsidP="0063039A">
            <w:pPr>
              <w:rPr>
                <w:sz w:val="16"/>
                <w:szCs w:val="16"/>
              </w:rPr>
            </w:pPr>
          </w:p>
        </w:tc>
        <w:tc>
          <w:tcPr>
            <w:tcW w:w="1349" w:type="pct"/>
            <w:shd w:val="clear" w:color="auto" w:fill="auto"/>
          </w:tcPr>
          <w:p w:rsidR="00794E04" w:rsidRPr="00526311" w:rsidRDefault="00794E04" w:rsidP="0063039A">
            <w:pPr>
              <w:rPr>
                <w:sz w:val="16"/>
                <w:szCs w:val="16"/>
              </w:rPr>
            </w:pPr>
            <w:r w:rsidRPr="00526311">
              <w:rPr>
                <w:color w:val="000000"/>
                <w:sz w:val="16"/>
                <w:szCs w:val="16"/>
              </w:rPr>
              <w:t>ii) En 2012, el promedio de visualizaciones por vídeo era de 3.280 (478.888 visitas para un total de 146 vídeos)</w:t>
            </w:r>
          </w:p>
          <w:p w:rsidR="00794E04" w:rsidRPr="00526311" w:rsidRDefault="00794E04" w:rsidP="0063039A">
            <w:pPr>
              <w:rPr>
                <w:sz w:val="16"/>
                <w:szCs w:val="16"/>
              </w:rPr>
            </w:pPr>
          </w:p>
          <w:p w:rsidR="00794E04" w:rsidRPr="00526311" w:rsidRDefault="00794E04" w:rsidP="0063039A">
            <w:pPr>
              <w:rPr>
                <w:i/>
                <w:color w:val="002060"/>
                <w:sz w:val="16"/>
                <w:szCs w:val="16"/>
              </w:rPr>
            </w:pPr>
            <w:r w:rsidRPr="00526311">
              <w:rPr>
                <w:sz w:val="16"/>
                <w:szCs w:val="16"/>
              </w:rPr>
              <w:t>iii) 155.000 visualizaciones de fotos en Flickr a fines de 2012</w:t>
            </w:r>
          </w:p>
        </w:tc>
        <w:tc>
          <w:tcPr>
            <w:tcW w:w="750" w:type="pct"/>
            <w:tcMar>
              <w:top w:w="110" w:type="dxa"/>
            </w:tcMar>
          </w:tcPr>
          <w:p w:rsidR="00794E04" w:rsidRPr="00526311" w:rsidRDefault="00794E04" w:rsidP="0063039A">
            <w:pPr>
              <w:rPr>
                <w:color w:val="000000"/>
                <w:sz w:val="16"/>
                <w:szCs w:val="16"/>
              </w:rPr>
            </w:pPr>
          </w:p>
        </w:tc>
        <w:tc>
          <w:tcPr>
            <w:tcW w:w="1124" w:type="pct"/>
            <w:shd w:val="clear" w:color="auto" w:fill="FFFFFF"/>
            <w:tcMar>
              <w:top w:w="110" w:type="dxa"/>
            </w:tcMar>
          </w:tcPr>
          <w:p w:rsidR="00794E04" w:rsidRPr="00526311" w:rsidRDefault="00794E04" w:rsidP="0063039A">
            <w:pPr>
              <w:rPr>
                <w:bCs/>
                <w:sz w:val="16"/>
                <w:szCs w:val="16"/>
              </w:rPr>
            </w:pPr>
          </w:p>
        </w:tc>
        <w:tc>
          <w:tcPr>
            <w:tcW w:w="674" w:type="pct"/>
            <w:tcMar>
              <w:top w:w="110" w:type="dxa"/>
            </w:tcMar>
          </w:tcPr>
          <w:p w:rsidR="00794E04" w:rsidRPr="00526311" w:rsidRDefault="00794E04" w:rsidP="0063039A">
            <w:pPr>
              <w:keepNext/>
              <w:keepLines/>
              <w:ind w:left="-108"/>
              <w:jc w:val="center"/>
              <w:rPr>
                <w:b/>
                <w:color w:val="00B050"/>
                <w:sz w:val="16"/>
                <w:szCs w:val="16"/>
              </w:rPr>
            </w:pPr>
          </w:p>
        </w:tc>
      </w:tr>
      <w:tr w:rsidR="00794E04" w:rsidRPr="00526311" w:rsidTr="0063039A">
        <w:trPr>
          <w:trHeight w:val="1874"/>
        </w:trPr>
        <w:tc>
          <w:tcPr>
            <w:tcW w:w="1103" w:type="pct"/>
          </w:tcPr>
          <w:p w:rsidR="00794E04" w:rsidRPr="00526311" w:rsidRDefault="00794E04" w:rsidP="0063039A">
            <w:pPr>
              <w:rPr>
                <w:sz w:val="16"/>
                <w:szCs w:val="16"/>
              </w:rPr>
            </w:pPr>
            <w:r w:rsidRPr="00526311">
              <w:rPr>
                <w:sz w:val="16"/>
                <w:szCs w:val="16"/>
              </w:rPr>
              <w:t>Porcentaje de aumento de la participación global en el Día Mundial de la P.I. por medio de la página de Facebook (alcance global de la campaña)</w:t>
            </w:r>
          </w:p>
        </w:tc>
        <w:tc>
          <w:tcPr>
            <w:tcW w:w="1349" w:type="pct"/>
            <w:shd w:val="clear" w:color="auto" w:fill="auto"/>
          </w:tcPr>
          <w:p w:rsidR="00794E04" w:rsidRPr="00526311" w:rsidRDefault="00794E04"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 xml:space="preserve">414.121 personas accedieron a contenido sobre el Día Mundial de la P.I. mediante la campaña llevada a cabo en Facebook en 2013 (alcance total [constante]) </w:t>
            </w:r>
          </w:p>
          <w:p w:rsidR="00794E04" w:rsidRPr="00526311" w:rsidRDefault="00794E04" w:rsidP="0063039A">
            <w:pPr>
              <w:rPr>
                <w:i/>
                <w:color w:val="002060"/>
                <w:sz w:val="8"/>
                <w:szCs w:val="8"/>
              </w:rPr>
            </w:pPr>
          </w:p>
          <w:p w:rsidR="00794E04" w:rsidRPr="00526311" w:rsidRDefault="00794E04" w:rsidP="0063039A">
            <w:pPr>
              <w:rPr>
                <w:sz w:val="16"/>
                <w:szCs w:val="16"/>
              </w:rPr>
            </w:pPr>
            <w:r w:rsidRPr="00526311">
              <w:rPr>
                <w:i/>
                <w:color w:val="000000"/>
                <w:sz w:val="16"/>
                <w:szCs w:val="16"/>
              </w:rPr>
              <w:t>Referencia original en el presupuesto de 2014/15:</w:t>
            </w:r>
            <w:r w:rsidRPr="00526311">
              <w:rPr>
                <w:color w:val="000000"/>
                <w:sz w:val="16"/>
                <w:szCs w:val="16"/>
              </w:rPr>
              <w:t xml:space="preserve"> 379.600 personas accedieron a contenido sobre el Día Mundial de la P.I. mediante la campaña llevada a cabo en Facebook en 2012</w:t>
            </w:r>
          </w:p>
        </w:tc>
        <w:tc>
          <w:tcPr>
            <w:tcW w:w="750" w:type="pct"/>
            <w:tcMar>
              <w:top w:w="110" w:type="dxa"/>
            </w:tcMar>
          </w:tcPr>
          <w:p w:rsidR="00794E04" w:rsidRPr="00526311" w:rsidRDefault="00794E04" w:rsidP="00353744">
            <w:pPr>
              <w:autoSpaceDE w:val="0"/>
              <w:autoSpaceDN w:val="0"/>
              <w:adjustRightInd w:val="0"/>
              <w:ind w:left="-50" w:right="-96"/>
              <w:rPr>
                <w:sz w:val="16"/>
                <w:szCs w:val="16"/>
              </w:rPr>
            </w:pPr>
            <w:r w:rsidRPr="00526311">
              <w:rPr>
                <w:color w:val="000000"/>
                <w:sz w:val="16"/>
                <w:szCs w:val="16"/>
              </w:rPr>
              <w:t>Aumento del 30% en el número de personas que acceden a contenido sobre el Día Mundial de la P.I. por medio de Facebook (alcance total)</w:t>
            </w:r>
          </w:p>
        </w:tc>
        <w:tc>
          <w:tcPr>
            <w:tcW w:w="1124" w:type="pct"/>
            <w:shd w:val="clear" w:color="auto" w:fill="FFFFFF"/>
            <w:tcMar>
              <w:top w:w="110" w:type="dxa"/>
            </w:tcMar>
          </w:tcPr>
          <w:p w:rsidR="00794E04" w:rsidRPr="00526311" w:rsidRDefault="00794E04" w:rsidP="0063039A">
            <w:pPr>
              <w:rPr>
                <w:bCs/>
                <w:sz w:val="16"/>
                <w:szCs w:val="16"/>
              </w:rPr>
            </w:pPr>
            <w:r w:rsidRPr="00526311">
              <w:rPr>
                <w:bCs/>
                <w:sz w:val="16"/>
                <w:szCs w:val="16"/>
              </w:rPr>
              <w:t>563.816 (+36%) personas accedieron a contenido sobre el Día Mundial de la P.I. mediante la campaña llevada a cabo en Facebook en 2014</w:t>
            </w:r>
          </w:p>
        </w:tc>
        <w:tc>
          <w:tcPr>
            <w:tcW w:w="674" w:type="pct"/>
            <w:tcMar>
              <w:top w:w="110" w:type="dxa"/>
            </w:tcMar>
          </w:tcPr>
          <w:p w:rsidR="00794E04" w:rsidRPr="00526311" w:rsidRDefault="00794E04" w:rsidP="0063039A">
            <w:pPr>
              <w:keepNext/>
              <w:keepLines/>
              <w:ind w:left="-108"/>
              <w:jc w:val="center"/>
              <w:rPr>
                <w:b/>
                <w:color w:val="00B050"/>
                <w:sz w:val="16"/>
                <w:szCs w:val="16"/>
              </w:rPr>
            </w:pPr>
            <w:r w:rsidRPr="00526311">
              <w:rPr>
                <w:b/>
                <w:color w:val="00B050"/>
                <w:sz w:val="16"/>
                <w:szCs w:val="16"/>
              </w:rPr>
              <w:t>Avanza</w:t>
            </w:r>
          </w:p>
        </w:tc>
      </w:tr>
      <w:tr w:rsidR="00794E04" w:rsidRPr="00526311" w:rsidTr="0063039A">
        <w:tc>
          <w:tcPr>
            <w:tcW w:w="1103" w:type="pct"/>
          </w:tcPr>
          <w:p w:rsidR="00794E04" w:rsidRPr="00526311" w:rsidRDefault="00794E04" w:rsidP="0063039A">
            <w:pPr>
              <w:rPr>
                <w:sz w:val="16"/>
                <w:szCs w:val="16"/>
              </w:rPr>
            </w:pPr>
            <w:r w:rsidRPr="00526311">
              <w:rPr>
                <w:sz w:val="16"/>
                <w:szCs w:val="16"/>
              </w:rPr>
              <w:t>Porcentaje de aumento del número de consultas de las publicaciones de Internet</w:t>
            </w:r>
          </w:p>
        </w:tc>
        <w:tc>
          <w:tcPr>
            <w:tcW w:w="1349" w:type="pct"/>
            <w:shd w:val="clear" w:color="auto" w:fill="auto"/>
          </w:tcPr>
          <w:p w:rsidR="00794E04" w:rsidRPr="00526311" w:rsidRDefault="00794E04"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 xml:space="preserve">i) 3.940.490 descargas de publicaciones gratuitas en 2013 </w:t>
            </w:r>
            <w:r w:rsidR="008E4DE1" w:rsidRPr="00526311">
              <w:rPr>
                <w:color w:val="002060"/>
                <w:sz w:val="16"/>
                <w:szCs w:val="16"/>
              </w:rPr>
              <w:t>(</w:t>
            </w:r>
            <w:r w:rsidRPr="00526311">
              <w:rPr>
                <w:color w:val="002060"/>
                <w:sz w:val="16"/>
                <w:szCs w:val="16"/>
              </w:rPr>
              <w:t>en todos los idiomas</w:t>
            </w:r>
            <w:r w:rsidR="008E4DE1" w:rsidRPr="00526311">
              <w:rPr>
                <w:color w:val="002060"/>
                <w:sz w:val="16"/>
                <w:szCs w:val="16"/>
              </w:rPr>
              <w:t>)</w:t>
            </w:r>
            <w:r w:rsidRPr="00526311">
              <w:rPr>
                <w:color w:val="002060"/>
                <w:sz w:val="16"/>
                <w:szCs w:val="16"/>
              </w:rPr>
              <w:t xml:space="preserve"> </w:t>
            </w:r>
          </w:p>
          <w:p w:rsidR="00794E04" w:rsidRPr="00526311" w:rsidRDefault="00794E04" w:rsidP="0063039A">
            <w:pPr>
              <w:rPr>
                <w:color w:val="002060"/>
                <w:sz w:val="16"/>
                <w:szCs w:val="16"/>
              </w:rPr>
            </w:pPr>
            <w:r w:rsidRPr="00526311">
              <w:rPr>
                <w:color w:val="002060"/>
                <w:sz w:val="16"/>
                <w:szCs w:val="16"/>
              </w:rPr>
              <w:t>ii) 450.499 visitantes únicos de la sección del sitio web dedicada a la Revista de la OMPI en 2013</w:t>
            </w:r>
            <w:r w:rsidR="008E4DE1" w:rsidRPr="00526311">
              <w:rPr>
                <w:color w:val="002060"/>
                <w:sz w:val="16"/>
                <w:szCs w:val="16"/>
              </w:rPr>
              <w:t xml:space="preserve"> (</w:t>
            </w:r>
            <w:r w:rsidRPr="00526311">
              <w:rPr>
                <w:color w:val="002060"/>
                <w:sz w:val="16"/>
                <w:szCs w:val="16"/>
              </w:rPr>
              <w:t>en todos los idiomas</w:t>
            </w:r>
            <w:r w:rsidR="008E4DE1" w:rsidRPr="00526311">
              <w:rPr>
                <w:color w:val="002060"/>
                <w:sz w:val="16"/>
                <w:szCs w:val="16"/>
              </w:rPr>
              <w:t>)</w:t>
            </w:r>
            <w:r w:rsidRPr="00526311">
              <w:rPr>
                <w:color w:val="002060"/>
                <w:sz w:val="16"/>
                <w:szCs w:val="16"/>
              </w:rPr>
              <w:t xml:space="preserve"> </w:t>
            </w:r>
          </w:p>
          <w:p w:rsidR="00794E04" w:rsidRPr="00526311" w:rsidRDefault="00794E04" w:rsidP="0063039A">
            <w:pPr>
              <w:rPr>
                <w:i/>
                <w:sz w:val="8"/>
                <w:szCs w:val="8"/>
              </w:rPr>
            </w:pPr>
          </w:p>
          <w:p w:rsidR="00794E04" w:rsidRPr="00526311" w:rsidRDefault="00794E04" w:rsidP="0063039A">
            <w:pPr>
              <w:rPr>
                <w:iCs/>
                <w:sz w:val="16"/>
                <w:szCs w:val="16"/>
              </w:rPr>
            </w:pPr>
            <w:r w:rsidRPr="00526311">
              <w:rPr>
                <w:i/>
                <w:iCs/>
                <w:sz w:val="16"/>
                <w:szCs w:val="16"/>
              </w:rPr>
              <w:t xml:space="preserve">Referencia original en el presupuesto de 2014/15: </w:t>
            </w:r>
            <w:r w:rsidRPr="00526311">
              <w:rPr>
                <w:iCs/>
                <w:sz w:val="16"/>
                <w:szCs w:val="16"/>
              </w:rPr>
              <w:t>i) por determinar (no se dispone de estadísticas comparables para 2012)</w:t>
            </w:r>
          </w:p>
          <w:p w:rsidR="00794E04" w:rsidRPr="00526311" w:rsidRDefault="00794E04" w:rsidP="0063039A">
            <w:pPr>
              <w:rPr>
                <w:iCs/>
                <w:sz w:val="16"/>
                <w:szCs w:val="16"/>
              </w:rPr>
            </w:pPr>
          </w:p>
          <w:p w:rsidR="00794E04" w:rsidRPr="00526311" w:rsidRDefault="00794E04" w:rsidP="008E4DE1">
            <w:pPr>
              <w:rPr>
                <w:sz w:val="16"/>
                <w:szCs w:val="16"/>
              </w:rPr>
            </w:pPr>
            <w:r w:rsidRPr="00526311">
              <w:rPr>
                <w:sz w:val="16"/>
                <w:szCs w:val="16"/>
              </w:rPr>
              <w:t>ii) 409.265 visitantes únicos de la sección del sitio web dedicada a la Revista de la OMPI en 2012</w:t>
            </w:r>
          </w:p>
        </w:tc>
        <w:tc>
          <w:tcPr>
            <w:tcW w:w="750" w:type="pct"/>
            <w:tcMar>
              <w:top w:w="110" w:type="dxa"/>
            </w:tcMar>
          </w:tcPr>
          <w:p w:rsidR="00794E04" w:rsidRPr="00526311" w:rsidRDefault="00794E04" w:rsidP="00353744">
            <w:pPr>
              <w:autoSpaceDE w:val="0"/>
              <w:autoSpaceDN w:val="0"/>
              <w:adjustRightInd w:val="0"/>
              <w:ind w:left="-50" w:right="-96"/>
              <w:rPr>
                <w:sz w:val="16"/>
                <w:szCs w:val="16"/>
              </w:rPr>
            </w:pPr>
            <w:r w:rsidRPr="00526311">
              <w:rPr>
                <w:sz w:val="16"/>
                <w:szCs w:val="16"/>
              </w:rPr>
              <w:t xml:space="preserve">i) Aumento del 10% en el número total de consultas de las publicaciones de Internet </w:t>
            </w:r>
          </w:p>
          <w:p w:rsidR="00794E04" w:rsidRPr="00526311" w:rsidRDefault="00794E04" w:rsidP="0063039A">
            <w:pPr>
              <w:rPr>
                <w:sz w:val="16"/>
                <w:szCs w:val="16"/>
              </w:rPr>
            </w:pPr>
          </w:p>
          <w:p w:rsidR="00794E04" w:rsidRPr="00526311" w:rsidRDefault="00794E04" w:rsidP="00353744">
            <w:pPr>
              <w:autoSpaceDE w:val="0"/>
              <w:autoSpaceDN w:val="0"/>
              <w:adjustRightInd w:val="0"/>
              <w:ind w:left="-50" w:right="-96"/>
              <w:rPr>
                <w:sz w:val="16"/>
                <w:szCs w:val="16"/>
              </w:rPr>
            </w:pPr>
            <w:r w:rsidRPr="00526311">
              <w:rPr>
                <w:sz w:val="16"/>
                <w:szCs w:val="16"/>
              </w:rPr>
              <w:t>ii) Aumento del 10% en el número de visitantes de la sección del sitio web dedicada a la Revista de la OMPI</w:t>
            </w:r>
          </w:p>
        </w:tc>
        <w:tc>
          <w:tcPr>
            <w:tcW w:w="1124" w:type="pct"/>
            <w:shd w:val="clear" w:color="auto" w:fill="FFFFFF"/>
            <w:tcMar>
              <w:top w:w="110" w:type="dxa"/>
            </w:tcMar>
          </w:tcPr>
          <w:p w:rsidR="00794E04" w:rsidRPr="00526311" w:rsidRDefault="00794E04" w:rsidP="0063039A">
            <w:pPr>
              <w:rPr>
                <w:sz w:val="16"/>
                <w:szCs w:val="16"/>
                <w:lang w:bidi="th-TH"/>
              </w:rPr>
            </w:pPr>
            <w:r w:rsidRPr="00526311">
              <w:rPr>
                <w:sz w:val="16"/>
                <w:szCs w:val="16"/>
                <w:lang w:bidi="th-TH"/>
              </w:rPr>
              <w:t>Se están creando y evaluando nuevas herramientas y metodologías estadísticas por Internet.  Los datos estarán disponibles a fines de 2015.</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lang w:bidi="th-TH"/>
              </w:rPr>
              <w:t>Se están creando y evaluando nuevas herramientas y metodologías estadísticas por Internet.  Los datos estarán disponibles a fines de 2015.</w:t>
            </w:r>
          </w:p>
        </w:tc>
        <w:tc>
          <w:tcPr>
            <w:tcW w:w="674" w:type="pct"/>
            <w:tcMar>
              <w:top w:w="110" w:type="dxa"/>
            </w:tcMar>
          </w:tcPr>
          <w:p w:rsidR="00794E04" w:rsidRPr="00526311" w:rsidRDefault="008E4DE1" w:rsidP="0063039A">
            <w:pPr>
              <w:keepNext/>
              <w:keepLines/>
              <w:ind w:left="-108"/>
              <w:jc w:val="center"/>
              <w:rPr>
                <w:b/>
                <w:bCs/>
                <w:color w:val="0070C0"/>
                <w:sz w:val="16"/>
                <w:szCs w:val="16"/>
              </w:rPr>
            </w:pPr>
            <w:r w:rsidRPr="00526311">
              <w:rPr>
                <w:b/>
                <w:color w:val="0070C0"/>
                <w:sz w:val="16"/>
                <w:szCs w:val="16"/>
              </w:rPr>
              <w:t xml:space="preserve">N.d. para </w:t>
            </w:r>
            <w:r w:rsidRPr="00526311">
              <w:rPr>
                <w:b/>
                <w:color w:val="0070C0"/>
                <w:sz w:val="16"/>
                <w:szCs w:val="16"/>
              </w:rPr>
              <w:br/>
              <w:t>2014</w:t>
            </w:r>
          </w:p>
          <w:p w:rsidR="00794E04" w:rsidRPr="00526311" w:rsidRDefault="00794E04" w:rsidP="0063039A">
            <w:pPr>
              <w:keepNext/>
              <w:keepLines/>
              <w:jc w:val="center"/>
              <w:rPr>
                <w:b/>
                <w:bCs/>
                <w:color w:val="0070C0"/>
                <w:sz w:val="16"/>
                <w:szCs w:val="16"/>
              </w:rPr>
            </w:pPr>
          </w:p>
          <w:p w:rsidR="00794E04" w:rsidRPr="00526311" w:rsidRDefault="00794E04" w:rsidP="0063039A">
            <w:pPr>
              <w:keepNext/>
              <w:keepLines/>
              <w:jc w:val="center"/>
              <w:rPr>
                <w:b/>
                <w:bCs/>
                <w:color w:val="0070C0"/>
                <w:sz w:val="16"/>
                <w:szCs w:val="16"/>
              </w:rPr>
            </w:pPr>
          </w:p>
          <w:p w:rsidR="00794E04" w:rsidRPr="00526311" w:rsidRDefault="00794E04" w:rsidP="0063039A">
            <w:pPr>
              <w:keepNext/>
              <w:keepLines/>
              <w:jc w:val="center"/>
              <w:rPr>
                <w:b/>
                <w:bCs/>
                <w:color w:val="0070C0"/>
                <w:sz w:val="16"/>
                <w:szCs w:val="16"/>
              </w:rPr>
            </w:pPr>
          </w:p>
          <w:p w:rsidR="00794E04" w:rsidRPr="00526311" w:rsidRDefault="00794E04" w:rsidP="0063039A">
            <w:pPr>
              <w:keepNext/>
              <w:keepLines/>
              <w:jc w:val="center"/>
              <w:rPr>
                <w:b/>
                <w:bCs/>
                <w:color w:val="0070C0"/>
                <w:sz w:val="16"/>
                <w:szCs w:val="16"/>
              </w:rPr>
            </w:pPr>
          </w:p>
          <w:p w:rsidR="00794E04" w:rsidRPr="00526311" w:rsidRDefault="00794E04" w:rsidP="0063039A">
            <w:pPr>
              <w:keepNext/>
              <w:keepLines/>
              <w:jc w:val="center"/>
              <w:rPr>
                <w:b/>
                <w:bCs/>
                <w:color w:val="0070C0"/>
                <w:sz w:val="16"/>
                <w:szCs w:val="16"/>
              </w:rPr>
            </w:pPr>
          </w:p>
          <w:p w:rsidR="00794E04" w:rsidRPr="00526311" w:rsidRDefault="00794E04" w:rsidP="0063039A">
            <w:pPr>
              <w:keepNext/>
              <w:keepLines/>
              <w:jc w:val="center"/>
              <w:rPr>
                <w:b/>
                <w:bCs/>
                <w:color w:val="0070C0"/>
                <w:sz w:val="16"/>
                <w:szCs w:val="16"/>
              </w:rPr>
            </w:pPr>
          </w:p>
          <w:p w:rsidR="00794E04" w:rsidRPr="00526311" w:rsidRDefault="00794E04" w:rsidP="008E4DE1">
            <w:pPr>
              <w:keepNext/>
              <w:keepLines/>
              <w:ind w:left="-108"/>
              <w:jc w:val="center"/>
              <w:rPr>
                <w:b/>
                <w:color w:val="0070C0"/>
                <w:sz w:val="16"/>
                <w:szCs w:val="16"/>
              </w:rPr>
            </w:pPr>
            <w:r w:rsidRPr="00526311">
              <w:rPr>
                <w:b/>
                <w:color w:val="0070C0"/>
                <w:sz w:val="16"/>
                <w:szCs w:val="16"/>
              </w:rPr>
              <w:t>N</w:t>
            </w:r>
            <w:r w:rsidR="008E4DE1" w:rsidRPr="00526311">
              <w:rPr>
                <w:b/>
                <w:color w:val="0070C0"/>
                <w:sz w:val="16"/>
                <w:szCs w:val="16"/>
              </w:rPr>
              <w:t>.d.</w:t>
            </w:r>
            <w:r w:rsidRPr="00526311">
              <w:rPr>
                <w:b/>
                <w:color w:val="0070C0"/>
                <w:sz w:val="16"/>
                <w:szCs w:val="16"/>
              </w:rPr>
              <w:t xml:space="preserve"> para </w:t>
            </w:r>
            <w:r w:rsidR="008E4DE1" w:rsidRPr="00526311">
              <w:rPr>
                <w:b/>
                <w:color w:val="0070C0"/>
                <w:sz w:val="16"/>
                <w:szCs w:val="16"/>
              </w:rPr>
              <w:br/>
            </w:r>
            <w:r w:rsidRPr="00526311">
              <w:rPr>
                <w:b/>
                <w:color w:val="0070C0"/>
                <w:sz w:val="16"/>
                <w:szCs w:val="16"/>
              </w:rPr>
              <w:t>2014</w:t>
            </w:r>
          </w:p>
        </w:tc>
      </w:tr>
      <w:tr w:rsidR="00794E04" w:rsidRPr="00526311" w:rsidTr="0063039A">
        <w:tc>
          <w:tcPr>
            <w:tcW w:w="1103" w:type="pct"/>
          </w:tcPr>
          <w:p w:rsidR="00794E04" w:rsidRPr="00526311" w:rsidRDefault="00794E04" w:rsidP="0063039A">
            <w:pPr>
              <w:rPr>
                <w:sz w:val="16"/>
                <w:szCs w:val="16"/>
              </w:rPr>
            </w:pPr>
            <w:r w:rsidRPr="00526311">
              <w:rPr>
                <w:sz w:val="16"/>
                <w:szCs w:val="16"/>
              </w:rPr>
              <w:t>Porcentaje de usuarios satisfechos con el sitio web de la OMPI</w:t>
            </w:r>
          </w:p>
        </w:tc>
        <w:tc>
          <w:tcPr>
            <w:tcW w:w="1349" w:type="pct"/>
            <w:shd w:val="clear" w:color="auto" w:fill="auto"/>
          </w:tcPr>
          <w:p w:rsidR="00794E04" w:rsidRPr="00526311" w:rsidRDefault="00794E04" w:rsidP="0063039A">
            <w:pPr>
              <w:rPr>
                <w:sz w:val="16"/>
                <w:szCs w:val="16"/>
              </w:rPr>
            </w:pPr>
            <w:r w:rsidRPr="00526311">
              <w:rPr>
                <w:sz w:val="16"/>
                <w:szCs w:val="16"/>
              </w:rPr>
              <w:t>Por determinar</w:t>
            </w:r>
          </w:p>
        </w:tc>
        <w:tc>
          <w:tcPr>
            <w:tcW w:w="750" w:type="pct"/>
            <w:tcMar>
              <w:top w:w="110" w:type="dxa"/>
            </w:tcMar>
          </w:tcPr>
          <w:p w:rsidR="00794E04" w:rsidRPr="00526311" w:rsidRDefault="00794E04" w:rsidP="00353744">
            <w:pPr>
              <w:autoSpaceDE w:val="0"/>
              <w:autoSpaceDN w:val="0"/>
              <w:adjustRightInd w:val="0"/>
              <w:ind w:left="-50" w:right="-96"/>
              <w:rPr>
                <w:sz w:val="16"/>
                <w:szCs w:val="16"/>
              </w:rPr>
            </w:pPr>
            <w:r w:rsidRPr="00526311">
              <w:rPr>
                <w:sz w:val="16"/>
                <w:szCs w:val="16"/>
              </w:rPr>
              <w:t>≥ 60% están satisfechos</w:t>
            </w:r>
          </w:p>
        </w:tc>
        <w:tc>
          <w:tcPr>
            <w:tcW w:w="1124" w:type="pct"/>
            <w:shd w:val="clear" w:color="auto" w:fill="FFFFFF"/>
            <w:tcMar>
              <w:top w:w="110" w:type="dxa"/>
            </w:tcMar>
          </w:tcPr>
          <w:p w:rsidR="00794E04" w:rsidRPr="00526311" w:rsidRDefault="00794E04" w:rsidP="0063039A">
            <w:pPr>
              <w:rPr>
                <w:sz w:val="16"/>
                <w:szCs w:val="16"/>
              </w:rPr>
            </w:pPr>
            <w:r w:rsidRPr="00526311">
              <w:rPr>
                <w:sz w:val="16"/>
                <w:szCs w:val="16"/>
                <w:lang w:bidi="th-TH"/>
              </w:rPr>
              <w:t>Se están creando y evaluando nuevas herramientas y metodologías estadísticas por Internet.  Los datos estarán disponibles a fines de 2015.</w:t>
            </w:r>
          </w:p>
        </w:tc>
        <w:tc>
          <w:tcPr>
            <w:tcW w:w="674" w:type="pct"/>
            <w:tcMar>
              <w:top w:w="110" w:type="dxa"/>
            </w:tcMar>
          </w:tcPr>
          <w:p w:rsidR="00794E04" w:rsidRPr="00526311" w:rsidRDefault="008E4DE1" w:rsidP="0063039A">
            <w:pPr>
              <w:keepNext/>
              <w:keepLines/>
              <w:ind w:left="-108"/>
              <w:jc w:val="center"/>
              <w:rPr>
                <w:b/>
                <w:color w:val="0070C0"/>
                <w:sz w:val="16"/>
                <w:szCs w:val="16"/>
              </w:rPr>
            </w:pPr>
            <w:r w:rsidRPr="00526311">
              <w:rPr>
                <w:b/>
                <w:color w:val="0070C0"/>
                <w:sz w:val="16"/>
                <w:szCs w:val="16"/>
              </w:rPr>
              <w:t xml:space="preserve">N.d. para </w:t>
            </w:r>
            <w:r w:rsidRPr="00526311">
              <w:rPr>
                <w:b/>
                <w:color w:val="0070C0"/>
                <w:sz w:val="16"/>
                <w:szCs w:val="16"/>
              </w:rPr>
              <w:br/>
              <w:t>2014</w:t>
            </w:r>
          </w:p>
        </w:tc>
      </w:tr>
      <w:tr w:rsidR="00794E04" w:rsidRPr="00526311" w:rsidTr="0063039A">
        <w:tc>
          <w:tcPr>
            <w:tcW w:w="1103" w:type="pct"/>
            <w:tcBorders>
              <w:bottom w:val="single" w:sz="4" w:space="0" w:color="auto"/>
            </w:tcBorders>
          </w:tcPr>
          <w:p w:rsidR="00794E04" w:rsidRPr="00526311" w:rsidRDefault="00794E04" w:rsidP="0063039A">
            <w:pPr>
              <w:rPr>
                <w:sz w:val="16"/>
                <w:szCs w:val="16"/>
              </w:rPr>
            </w:pPr>
            <w:r w:rsidRPr="00526311">
              <w:rPr>
                <w:sz w:val="16"/>
                <w:szCs w:val="16"/>
              </w:rPr>
              <w:t>Aumento de la influencia y la participación de la OMPI en los medios sociales</w:t>
            </w:r>
          </w:p>
        </w:tc>
        <w:tc>
          <w:tcPr>
            <w:tcW w:w="1349" w:type="pct"/>
            <w:tcBorders>
              <w:bottom w:val="single" w:sz="4" w:space="0" w:color="auto"/>
            </w:tcBorders>
            <w:shd w:val="clear" w:color="auto" w:fill="auto"/>
          </w:tcPr>
          <w:p w:rsidR="00794E04" w:rsidRPr="00526311" w:rsidRDefault="00794E04" w:rsidP="0063039A">
            <w:pPr>
              <w:rPr>
                <w:i/>
                <w:color w:val="002060"/>
                <w:sz w:val="16"/>
                <w:szCs w:val="16"/>
              </w:rPr>
            </w:pPr>
            <w:r w:rsidRPr="00526311">
              <w:rPr>
                <w:i/>
                <w:color w:val="002060"/>
                <w:sz w:val="16"/>
                <w:szCs w:val="16"/>
              </w:rPr>
              <w:t xml:space="preserve">Referencia actualizada a fines de 2013:  </w:t>
            </w:r>
          </w:p>
          <w:p w:rsidR="00794E04" w:rsidRPr="00526311" w:rsidRDefault="00794E04" w:rsidP="0063039A">
            <w:pPr>
              <w:rPr>
                <w:color w:val="002060"/>
                <w:sz w:val="16"/>
                <w:szCs w:val="16"/>
              </w:rPr>
            </w:pPr>
            <w:r w:rsidRPr="00526311">
              <w:rPr>
                <w:color w:val="002060"/>
                <w:sz w:val="16"/>
                <w:szCs w:val="16"/>
              </w:rPr>
              <w:t>i) Índice de influencia “Klout”  de 64 (sobre 100) a fines de 2013</w:t>
            </w:r>
          </w:p>
          <w:p w:rsidR="00794E04" w:rsidRPr="00526311" w:rsidRDefault="00794E04" w:rsidP="0063039A">
            <w:pPr>
              <w:rPr>
                <w:color w:val="002060"/>
                <w:sz w:val="16"/>
                <w:szCs w:val="16"/>
              </w:rPr>
            </w:pPr>
            <w:r w:rsidRPr="00526311">
              <w:rPr>
                <w:color w:val="002060"/>
                <w:sz w:val="16"/>
                <w:szCs w:val="16"/>
              </w:rPr>
              <w:t>ii) 6.744 retuiteos en total en 2013</w:t>
            </w:r>
          </w:p>
          <w:p w:rsidR="00794E04" w:rsidRPr="00526311" w:rsidRDefault="00794E04" w:rsidP="0063039A">
            <w:pPr>
              <w:rPr>
                <w:sz w:val="8"/>
                <w:szCs w:val="8"/>
              </w:rPr>
            </w:pPr>
          </w:p>
          <w:p w:rsidR="00794E04" w:rsidRPr="00526311" w:rsidRDefault="00794E04" w:rsidP="0063039A">
            <w:pPr>
              <w:rPr>
                <w:iCs/>
                <w:sz w:val="16"/>
                <w:szCs w:val="16"/>
              </w:rPr>
            </w:pPr>
            <w:r w:rsidRPr="00526311">
              <w:rPr>
                <w:i/>
                <w:sz w:val="16"/>
                <w:szCs w:val="16"/>
              </w:rPr>
              <w:t>Referencia original en el presupuesto de 2014/15:</w:t>
            </w:r>
            <w:r w:rsidRPr="00526311">
              <w:rPr>
                <w:i/>
                <w:iCs/>
                <w:sz w:val="16"/>
                <w:szCs w:val="16"/>
              </w:rPr>
              <w:t xml:space="preserve">  </w:t>
            </w:r>
          </w:p>
          <w:p w:rsidR="00794E04" w:rsidRPr="00526311" w:rsidRDefault="00794E04" w:rsidP="0063039A">
            <w:pPr>
              <w:rPr>
                <w:sz w:val="16"/>
                <w:szCs w:val="16"/>
              </w:rPr>
            </w:pPr>
            <w:r w:rsidRPr="00526311">
              <w:rPr>
                <w:sz w:val="16"/>
                <w:szCs w:val="16"/>
              </w:rPr>
              <w:t>i) Índice de influencia “Klout”  de 62 al 1 de enero de 2013.</w:t>
            </w:r>
          </w:p>
          <w:p w:rsidR="00794E04" w:rsidRPr="00526311" w:rsidRDefault="00794E04" w:rsidP="0063039A">
            <w:pPr>
              <w:rPr>
                <w:sz w:val="16"/>
                <w:szCs w:val="16"/>
              </w:rPr>
            </w:pPr>
            <w:r w:rsidRPr="00526311">
              <w:rPr>
                <w:sz w:val="16"/>
                <w:szCs w:val="16"/>
              </w:rPr>
              <w:t>ii) 3.112 retuiteos en total en 2012</w:t>
            </w:r>
          </w:p>
          <w:p w:rsidR="00794E04" w:rsidRPr="00526311" w:rsidRDefault="00794E04" w:rsidP="0063039A">
            <w:pPr>
              <w:rPr>
                <w:sz w:val="16"/>
                <w:szCs w:val="16"/>
              </w:rPr>
            </w:pPr>
          </w:p>
        </w:tc>
        <w:tc>
          <w:tcPr>
            <w:tcW w:w="750" w:type="pct"/>
            <w:tcBorders>
              <w:bottom w:val="single" w:sz="4" w:space="0" w:color="auto"/>
            </w:tcBorders>
            <w:tcMar>
              <w:top w:w="110" w:type="dxa"/>
            </w:tcMar>
          </w:tcPr>
          <w:p w:rsidR="00794E04" w:rsidRPr="00526311" w:rsidRDefault="00794E04" w:rsidP="00353744">
            <w:pPr>
              <w:autoSpaceDE w:val="0"/>
              <w:autoSpaceDN w:val="0"/>
              <w:adjustRightInd w:val="0"/>
              <w:ind w:left="-50" w:right="-96"/>
              <w:rPr>
                <w:sz w:val="16"/>
                <w:szCs w:val="16"/>
              </w:rPr>
            </w:pPr>
            <w:r w:rsidRPr="00526311">
              <w:rPr>
                <w:sz w:val="16"/>
                <w:szCs w:val="16"/>
              </w:rPr>
              <w:t>i) Índice de influencia “Klout”  de 73</w:t>
            </w:r>
            <w:r w:rsidR="008E4DE1" w:rsidRPr="00526311">
              <w:rPr>
                <w:sz w:val="16"/>
                <w:szCs w:val="16"/>
              </w:rPr>
              <w:br/>
            </w:r>
          </w:p>
          <w:p w:rsidR="00794E04" w:rsidRPr="00526311" w:rsidRDefault="00794E04" w:rsidP="00353744">
            <w:pPr>
              <w:autoSpaceDE w:val="0"/>
              <w:autoSpaceDN w:val="0"/>
              <w:adjustRightInd w:val="0"/>
              <w:ind w:left="-50" w:right="-96"/>
              <w:rPr>
                <w:sz w:val="16"/>
                <w:szCs w:val="16"/>
              </w:rPr>
            </w:pPr>
            <w:r w:rsidRPr="00526311">
              <w:rPr>
                <w:sz w:val="16"/>
                <w:szCs w:val="16"/>
              </w:rPr>
              <w:t>ii) Aumento del 30% en el número total de retuiteos anuales</w:t>
            </w:r>
          </w:p>
        </w:tc>
        <w:tc>
          <w:tcPr>
            <w:tcW w:w="1124" w:type="pct"/>
            <w:tcBorders>
              <w:bottom w:val="single" w:sz="4" w:space="0" w:color="auto"/>
            </w:tcBorders>
            <w:shd w:val="clear" w:color="auto" w:fill="FFFFFF"/>
            <w:tcMar>
              <w:top w:w="110" w:type="dxa"/>
            </w:tcMar>
          </w:tcPr>
          <w:p w:rsidR="00794E04" w:rsidRPr="00526311" w:rsidRDefault="00794E04" w:rsidP="0063039A">
            <w:pPr>
              <w:rPr>
                <w:sz w:val="16"/>
                <w:szCs w:val="16"/>
              </w:rPr>
            </w:pPr>
            <w:r w:rsidRPr="00526311">
              <w:rPr>
                <w:sz w:val="16"/>
                <w:szCs w:val="16"/>
              </w:rPr>
              <w:t>(i) Índ</w:t>
            </w:r>
            <w:r w:rsidR="008E4DE1" w:rsidRPr="00526311">
              <w:rPr>
                <w:sz w:val="16"/>
                <w:szCs w:val="16"/>
              </w:rPr>
              <w:t>ice de influencia “Klout” de 63,</w:t>
            </w:r>
            <w:r w:rsidRPr="00526311">
              <w:rPr>
                <w:sz w:val="16"/>
                <w:szCs w:val="16"/>
              </w:rPr>
              <w:t>65 (sobre 100) al 31 de diciembre de 2014</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 xml:space="preserve">(ii) 11.922 retuiteos en 2014 (Aumento del 76.8%  en el número total de retuiteos anuales) </w:t>
            </w:r>
          </w:p>
        </w:tc>
        <w:tc>
          <w:tcPr>
            <w:tcW w:w="674" w:type="pct"/>
            <w:tcBorders>
              <w:bottom w:val="single" w:sz="4" w:space="0" w:color="auto"/>
            </w:tcBorders>
            <w:tcMar>
              <w:top w:w="110" w:type="dxa"/>
            </w:tcMar>
          </w:tcPr>
          <w:p w:rsidR="00794E04" w:rsidRPr="00526311" w:rsidRDefault="00794E04" w:rsidP="0063039A">
            <w:pPr>
              <w:keepNext/>
              <w:keepLines/>
              <w:ind w:left="-108"/>
              <w:jc w:val="center"/>
              <w:rPr>
                <w:b/>
                <w:bCs/>
                <w:color w:val="FF0000"/>
                <w:sz w:val="16"/>
                <w:szCs w:val="16"/>
              </w:rPr>
            </w:pPr>
            <w:r w:rsidRPr="00526311">
              <w:rPr>
                <w:b/>
                <w:bCs/>
                <w:color w:val="FF0000"/>
                <w:sz w:val="16"/>
                <w:szCs w:val="16"/>
              </w:rPr>
              <w:t>No avanza</w:t>
            </w: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ind w:left="-108"/>
              <w:jc w:val="center"/>
              <w:rPr>
                <w:sz w:val="16"/>
                <w:szCs w:val="16"/>
              </w:rPr>
            </w:pPr>
            <w:r w:rsidRPr="00526311">
              <w:rPr>
                <w:b/>
                <w:color w:val="00B050"/>
                <w:sz w:val="16"/>
                <w:szCs w:val="16"/>
              </w:rPr>
              <w:t>Avanza</w:t>
            </w:r>
          </w:p>
        </w:tc>
      </w:tr>
      <w:tr w:rsidR="00794E04" w:rsidRPr="00526311" w:rsidTr="0063039A">
        <w:tc>
          <w:tcPr>
            <w:tcW w:w="5000" w:type="pct"/>
            <w:gridSpan w:val="5"/>
            <w:tcBorders>
              <w:top w:val="single" w:sz="4" w:space="0" w:color="auto"/>
              <w:bottom w:val="single" w:sz="4" w:space="0" w:color="auto"/>
            </w:tcBorders>
            <w:shd w:val="clear" w:color="auto" w:fill="CCFFFF"/>
            <w:vAlign w:val="center"/>
          </w:tcPr>
          <w:p w:rsidR="00794E04" w:rsidRPr="00526311" w:rsidRDefault="00794E04" w:rsidP="0063039A">
            <w:pPr>
              <w:keepNext/>
              <w:keepLines/>
              <w:tabs>
                <w:tab w:val="left" w:pos="1452"/>
              </w:tabs>
              <w:spacing w:before="120" w:after="120"/>
              <w:ind w:left="1452" w:hanging="1452"/>
              <w:rPr>
                <w:b/>
                <w:bCs/>
                <w:sz w:val="16"/>
                <w:szCs w:val="16"/>
              </w:rPr>
            </w:pPr>
            <w:r w:rsidRPr="00526311">
              <w:rPr>
                <w:b/>
                <w:bCs/>
                <w:sz w:val="16"/>
                <w:szCs w:val="16"/>
              </w:rPr>
              <w:lastRenderedPageBreak/>
              <w:t>Resultado previsto:</w:t>
            </w:r>
            <w:r w:rsidRPr="00526311">
              <w:rPr>
                <w:b/>
                <w:bCs/>
                <w:sz w:val="16"/>
                <w:szCs w:val="16"/>
              </w:rPr>
              <w:tab/>
            </w:r>
            <w:r w:rsidRPr="00526311">
              <w:rPr>
                <w:bCs/>
                <w:sz w:val="16"/>
                <w:szCs w:val="16"/>
              </w:rPr>
              <w:t>VIII.2 Mejora en la prestación de servicios y la atención de consultas</w:t>
            </w:r>
          </w:p>
        </w:tc>
      </w:tr>
      <w:tr w:rsidR="00794E04" w:rsidRPr="00526311" w:rsidTr="0063039A">
        <w:tc>
          <w:tcPr>
            <w:tcW w:w="1103" w:type="pct"/>
            <w:tcBorders>
              <w:top w:val="single" w:sz="4" w:space="0" w:color="auto"/>
            </w:tcBorders>
            <w:vAlign w:val="center"/>
          </w:tcPr>
          <w:p w:rsidR="00794E04" w:rsidRPr="00526311" w:rsidRDefault="00794E04" w:rsidP="0063039A">
            <w:pPr>
              <w:keepNext/>
              <w:keepLines/>
              <w:rPr>
                <w:sz w:val="16"/>
                <w:szCs w:val="16"/>
              </w:rPr>
            </w:pPr>
            <w:r w:rsidRPr="00526311">
              <w:rPr>
                <w:b/>
                <w:sz w:val="16"/>
                <w:szCs w:val="16"/>
              </w:rPr>
              <w:t>Indicadores de rendimiento</w:t>
            </w:r>
          </w:p>
        </w:tc>
        <w:tc>
          <w:tcPr>
            <w:tcW w:w="1349" w:type="pct"/>
            <w:tcBorders>
              <w:top w:val="single" w:sz="4" w:space="0" w:color="auto"/>
            </w:tcBorders>
            <w:shd w:val="clear" w:color="auto" w:fill="auto"/>
            <w:vAlign w:val="center"/>
          </w:tcPr>
          <w:p w:rsidR="00794E04" w:rsidRPr="00526311" w:rsidRDefault="00794E04" w:rsidP="0063039A">
            <w:pPr>
              <w:keepNext/>
              <w:keepLines/>
              <w:rPr>
                <w:b/>
                <w:bCs/>
                <w:sz w:val="16"/>
                <w:szCs w:val="16"/>
              </w:rPr>
            </w:pPr>
            <w:r w:rsidRPr="00526311">
              <w:rPr>
                <w:b/>
                <w:bCs/>
                <w:sz w:val="16"/>
                <w:szCs w:val="16"/>
              </w:rPr>
              <w:t>Referencia</w:t>
            </w:r>
          </w:p>
        </w:tc>
        <w:tc>
          <w:tcPr>
            <w:tcW w:w="750" w:type="pct"/>
            <w:tcBorders>
              <w:top w:val="single" w:sz="4" w:space="0" w:color="auto"/>
            </w:tcBorders>
            <w:tcMar>
              <w:top w:w="110" w:type="dxa"/>
            </w:tcMar>
            <w:vAlign w:val="center"/>
          </w:tcPr>
          <w:p w:rsidR="00794E04" w:rsidRPr="00526311" w:rsidRDefault="00794E04" w:rsidP="0063039A">
            <w:pPr>
              <w:rPr>
                <w:b/>
                <w:bCs/>
                <w:sz w:val="16"/>
                <w:szCs w:val="16"/>
              </w:rPr>
            </w:pPr>
            <w:r w:rsidRPr="00526311">
              <w:rPr>
                <w:b/>
                <w:bCs/>
                <w:sz w:val="16"/>
                <w:szCs w:val="16"/>
              </w:rPr>
              <w:t>Objetivos</w:t>
            </w:r>
          </w:p>
        </w:tc>
        <w:tc>
          <w:tcPr>
            <w:tcW w:w="1124" w:type="pct"/>
            <w:tcBorders>
              <w:top w:val="single" w:sz="4" w:space="0" w:color="auto"/>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74" w:type="pct"/>
            <w:tcBorders>
              <w:top w:val="single" w:sz="4" w:space="0" w:color="auto"/>
            </w:tcBorders>
            <w:tcMar>
              <w:top w:w="110" w:type="dxa"/>
            </w:tcMar>
            <w:vAlign w:val="center"/>
          </w:tcPr>
          <w:p w:rsidR="00794E04" w:rsidRPr="00526311" w:rsidRDefault="00794E04" w:rsidP="0063039A">
            <w:pPr>
              <w:keepNext/>
              <w:keepLines/>
              <w:rPr>
                <w:b/>
                <w:bCs/>
                <w:sz w:val="16"/>
                <w:szCs w:val="16"/>
              </w:rPr>
            </w:pPr>
            <w:r w:rsidRPr="00526311">
              <w:rPr>
                <w:b/>
                <w:bCs/>
                <w:sz w:val="16"/>
                <w:szCs w:val="16"/>
              </w:rPr>
              <w:t>Clave de colores</w:t>
            </w:r>
          </w:p>
        </w:tc>
      </w:tr>
      <w:tr w:rsidR="00794E04" w:rsidRPr="00526311" w:rsidTr="0063039A">
        <w:tc>
          <w:tcPr>
            <w:tcW w:w="1103" w:type="pct"/>
          </w:tcPr>
          <w:p w:rsidR="00794E04" w:rsidRPr="00526311" w:rsidRDefault="00794E04" w:rsidP="0063039A">
            <w:pPr>
              <w:keepNext/>
              <w:keepLines/>
              <w:rPr>
                <w:sz w:val="16"/>
                <w:szCs w:val="16"/>
              </w:rPr>
            </w:pPr>
            <w:r w:rsidRPr="00526311">
              <w:rPr>
                <w:sz w:val="16"/>
                <w:szCs w:val="16"/>
              </w:rPr>
              <w:t>Porcentaje de usuarios satisfechos con los servicios de la Biblioteca</w:t>
            </w:r>
          </w:p>
        </w:tc>
        <w:tc>
          <w:tcPr>
            <w:tcW w:w="1349" w:type="pct"/>
            <w:shd w:val="clear" w:color="auto" w:fill="auto"/>
          </w:tcPr>
          <w:p w:rsidR="00794E04" w:rsidRPr="00526311" w:rsidRDefault="00794E04" w:rsidP="0063039A">
            <w:pPr>
              <w:keepNext/>
              <w:keepLines/>
              <w:rPr>
                <w:color w:val="002060"/>
                <w:sz w:val="16"/>
                <w:szCs w:val="16"/>
              </w:rPr>
            </w:pPr>
            <w:r w:rsidRPr="00526311">
              <w:rPr>
                <w:i/>
                <w:color w:val="002060"/>
                <w:sz w:val="16"/>
                <w:szCs w:val="16"/>
              </w:rPr>
              <w:t>Referencia actualizada a fines de 2013</w:t>
            </w:r>
            <w:r w:rsidRPr="00526311">
              <w:rPr>
                <w:color w:val="002060"/>
                <w:sz w:val="16"/>
                <w:szCs w:val="16"/>
              </w:rPr>
              <w:t>: El 94% de encuestados que respondieron al cuestionario dirigido a los visitantes externos registrados (usuarios de los servicios de biblioteca) que habían utilizado dichos servicios en 2013 estaban satisfechos o muy satisfechos</w:t>
            </w:r>
          </w:p>
          <w:p w:rsidR="00794E04" w:rsidRPr="00526311" w:rsidRDefault="00794E04" w:rsidP="0063039A">
            <w:pPr>
              <w:keepNext/>
              <w:keepLines/>
              <w:rPr>
                <w:sz w:val="16"/>
                <w:szCs w:val="16"/>
              </w:rPr>
            </w:pPr>
          </w:p>
          <w:p w:rsidR="00794E04" w:rsidRPr="00526311" w:rsidRDefault="00794E04" w:rsidP="0063039A">
            <w:pPr>
              <w:keepNext/>
              <w:keepLines/>
              <w:rPr>
                <w:sz w:val="16"/>
                <w:szCs w:val="16"/>
              </w:rPr>
            </w:pPr>
            <w:r w:rsidRPr="00526311">
              <w:rPr>
                <w:i/>
                <w:sz w:val="16"/>
                <w:szCs w:val="16"/>
              </w:rPr>
              <w:t>Referencia original en el presupuesto de 2014/15:</w:t>
            </w:r>
            <w:r w:rsidRPr="00526311">
              <w:t xml:space="preserve">  </w:t>
            </w:r>
            <w:r w:rsidRPr="00526311">
              <w:rPr>
                <w:sz w:val="16"/>
                <w:szCs w:val="16"/>
              </w:rPr>
              <w:t xml:space="preserve">Por determinar </w:t>
            </w:r>
          </w:p>
          <w:p w:rsidR="00794E04" w:rsidRPr="00526311" w:rsidRDefault="00794E04" w:rsidP="0063039A">
            <w:pPr>
              <w:keepNext/>
              <w:keepLines/>
              <w:rPr>
                <w:sz w:val="16"/>
                <w:szCs w:val="16"/>
              </w:rPr>
            </w:pPr>
          </w:p>
        </w:tc>
        <w:tc>
          <w:tcPr>
            <w:tcW w:w="750" w:type="pct"/>
            <w:tcMar>
              <w:top w:w="110" w:type="dxa"/>
            </w:tcMar>
          </w:tcPr>
          <w:p w:rsidR="00794E04" w:rsidRPr="00526311" w:rsidRDefault="00794E04" w:rsidP="00353744">
            <w:pPr>
              <w:autoSpaceDE w:val="0"/>
              <w:autoSpaceDN w:val="0"/>
              <w:adjustRightInd w:val="0"/>
              <w:ind w:left="-50" w:right="-96"/>
              <w:rPr>
                <w:sz w:val="16"/>
                <w:szCs w:val="16"/>
              </w:rPr>
            </w:pPr>
            <w:r w:rsidRPr="00526311">
              <w:rPr>
                <w:sz w:val="16"/>
                <w:szCs w:val="16"/>
              </w:rPr>
              <w:t>≥ 70 % visitantes y clientes de Internet satisfechos.</w:t>
            </w:r>
          </w:p>
        </w:tc>
        <w:tc>
          <w:tcPr>
            <w:tcW w:w="1124" w:type="pct"/>
            <w:shd w:val="clear" w:color="auto" w:fill="FFFFFF"/>
            <w:tcMar>
              <w:top w:w="110" w:type="dxa"/>
            </w:tcMar>
          </w:tcPr>
          <w:p w:rsidR="00794E04" w:rsidRPr="00526311" w:rsidRDefault="00794E04" w:rsidP="0063039A">
            <w:pPr>
              <w:rPr>
                <w:sz w:val="16"/>
                <w:szCs w:val="16"/>
              </w:rPr>
            </w:pPr>
            <w:r w:rsidRPr="00526311">
              <w:rPr>
                <w:color w:val="000000"/>
                <w:sz w:val="16"/>
                <w:szCs w:val="16"/>
              </w:rPr>
              <w:t xml:space="preserve">El 100% de encuestados que respondieron al cuestionario dirigido a los usuarios de los servicios de biblioteca estaban satisfechos, de los cuales el 72% estaba muy satisfecho </w:t>
            </w:r>
          </w:p>
          <w:p w:rsidR="00794E04" w:rsidRPr="00526311" w:rsidRDefault="00794E04" w:rsidP="0063039A">
            <w:pPr>
              <w:rPr>
                <w:rFonts w:ascii="Calibri" w:hAnsi="Calibri" w:cs="Calibri"/>
                <w:sz w:val="16"/>
                <w:szCs w:val="16"/>
              </w:rPr>
            </w:pPr>
          </w:p>
        </w:tc>
        <w:tc>
          <w:tcPr>
            <w:tcW w:w="674" w:type="pct"/>
            <w:tcMar>
              <w:top w:w="110" w:type="dxa"/>
            </w:tcMar>
          </w:tcPr>
          <w:p w:rsidR="00794E04" w:rsidRPr="00526311" w:rsidRDefault="00794E04" w:rsidP="0063039A">
            <w:pPr>
              <w:keepNext/>
              <w:keepLines/>
              <w:ind w:left="-108"/>
              <w:jc w:val="center"/>
              <w:rPr>
                <w:color w:val="808080"/>
                <w:sz w:val="16"/>
                <w:szCs w:val="16"/>
              </w:rPr>
            </w:pPr>
            <w:r w:rsidRPr="00526311">
              <w:rPr>
                <w:b/>
                <w:color w:val="00B050"/>
                <w:sz w:val="16"/>
                <w:szCs w:val="16"/>
              </w:rPr>
              <w:t>Avanza</w:t>
            </w:r>
          </w:p>
        </w:tc>
      </w:tr>
      <w:tr w:rsidR="00794E04" w:rsidRPr="00526311" w:rsidTr="0063039A">
        <w:tc>
          <w:tcPr>
            <w:tcW w:w="1103" w:type="pct"/>
          </w:tcPr>
          <w:p w:rsidR="00794E04" w:rsidRPr="00526311" w:rsidRDefault="00794E04" w:rsidP="0063039A">
            <w:pPr>
              <w:rPr>
                <w:sz w:val="16"/>
                <w:szCs w:val="16"/>
              </w:rPr>
            </w:pPr>
            <w:r w:rsidRPr="00526311">
              <w:rPr>
                <w:sz w:val="16"/>
                <w:szCs w:val="16"/>
              </w:rPr>
              <w:t>Índice de satisfacción de los clientes/partes interesadas</w:t>
            </w:r>
          </w:p>
        </w:tc>
        <w:tc>
          <w:tcPr>
            <w:tcW w:w="1349" w:type="pct"/>
            <w:shd w:val="clear" w:color="auto" w:fill="auto"/>
          </w:tcPr>
          <w:p w:rsidR="00794E04" w:rsidRPr="00526311" w:rsidRDefault="00794E04" w:rsidP="0063039A">
            <w:pPr>
              <w:autoSpaceDE w:val="0"/>
              <w:autoSpaceDN w:val="0"/>
              <w:adjustRightInd w:val="0"/>
              <w:rPr>
                <w:color w:val="002060"/>
                <w:sz w:val="16"/>
                <w:szCs w:val="16"/>
              </w:rPr>
            </w:pPr>
            <w:r w:rsidRPr="00526311">
              <w:rPr>
                <w:i/>
                <w:color w:val="002060"/>
                <w:sz w:val="16"/>
                <w:szCs w:val="16"/>
              </w:rPr>
              <w:t xml:space="preserve">Referencia actualizada a fines de 2013: </w:t>
            </w:r>
            <w:r w:rsidRPr="00526311">
              <w:rPr>
                <w:color w:val="002060"/>
                <w:sz w:val="16"/>
                <w:szCs w:val="16"/>
              </w:rPr>
              <w:t>El 84% de los</w:t>
            </w:r>
          </w:p>
          <w:p w:rsidR="00794E04" w:rsidRPr="00526311" w:rsidRDefault="00794E04" w:rsidP="0063039A">
            <w:pPr>
              <w:autoSpaceDE w:val="0"/>
              <w:autoSpaceDN w:val="0"/>
              <w:adjustRightInd w:val="0"/>
              <w:rPr>
                <w:color w:val="002060"/>
                <w:sz w:val="16"/>
                <w:szCs w:val="16"/>
              </w:rPr>
            </w:pPr>
            <w:r w:rsidRPr="00526311">
              <w:rPr>
                <w:color w:val="002060"/>
                <w:sz w:val="16"/>
                <w:szCs w:val="16"/>
              </w:rPr>
              <w:t>usuarios de los Sistemas</w:t>
            </w:r>
          </w:p>
          <w:p w:rsidR="00794E04" w:rsidRPr="00526311" w:rsidRDefault="00794E04" w:rsidP="0063039A">
            <w:pPr>
              <w:autoSpaceDE w:val="0"/>
              <w:autoSpaceDN w:val="0"/>
              <w:adjustRightInd w:val="0"/>
              <w:rPr>
                <w:color w:val="002060"/>
                <w:sz w:val="16"/>
                <w:szCs w:val="16"/>
              </w:rPr>
            </w:pPr>
            <w:r w:rsidRPr="00526311">
              <w:rPr>
                <w:color w:val="002060"/>
                <w:sz w:val="16"/>
                <w:szCs w:val="16"/>
              </w:rPr>
              <w:t>de Madrid y de La Haya</w:t>
            </w:r>
          </w:p>
          <w:p w:rsidR="00794E04" w:rsidRPr="00526311" w:rsidRDefault="00794E04" w:rsidP="0063039A">
            <w:pPr>
              <w:autoSpaceDE w:val="0"/>
              <w:autoSpaceDN w:val="0"/>
              <w:adjustRightInd w:val="0"/>
              <w:rPr>
                <w:color w:val="002060"/>
                <w:sz w:val="16"/>
                <w:szCs w:val="16"/>
              </w:rPr>
            </w:pPr>
            <w:r w:rsidRPr="00526311">
              <w:rPr>
                <w:color w:val="002060"/>
                <w:sz w:val="16"/>
                <w:szCs w:val="16"/>
              </w:rPr>
              <w:t>estaban satisfechos o muy</w:t>
            </w:r>
          </w:p>
          <w:p w:rsidR="00794E04" w:rsidRPr="00526311" w:rsidRDefault="00794E04" w:rsidP="0063039A">
            <w:pPr>
              <w:rPr>
                <w:i/>
                <w:color w:val="002060"/>
                <w:sz w:val="16"/>
                <w:szCs w:val="16"/>
              </w:rPr>
            </w:pPr>
            <w:r w:rsidRPr="00526311">
              <w:rPr>
                <w:color w:val="002060"/>
                <w:sz w:val="16"/>
                <w:szCs w:val="16"/>
              </w:rPr>
              <w:t>satisfechos</w:t>
            </w:r>
          </w:p>
          <w:p w:rsidR="00794E04" w:rsidRPr="00526311" w:rsidRDefault="00794E04" w:rsidP="0063039A">
            <w:pPr>
              <w:rPr>
                <w:color w:val="002060"/>
                <w:sz w:val="16"/>
                <w:szCs w:val="16"/>
              </w:rPr>
            </w:pPr>
            <w:r w:rsidRPr="00526311">
              <w:rPr>
                <w:color w:val="002060"/>
                <w:sz w:val="16"/>
                <w:szCs w:val="16"/>
              </w:rPr>
              <w:t>Madrid= 80%</w:t>
            </w:r>
          </w:p>
          <w:p w:rsidR="00794E04" w:rsidRPr="00526311" w:rsidRDefault="00794E04" w:rsidP="0063039A">
            <w:pPr>
              <w:rPr>
                <w:color w:val="002060"/>
                <w:sz w:val="16"/>
                <w:szCs w:val="16"/>
              </w:rPr>
            </w:pPr>
            <w:r w:rsidRPr="00526311">
              <w:rPr>
                <w:color w:val="002060"/>
                <w:sz w:val="16"/>
                <w:szCs w:val="16"/>
              </w:rPr>
              <w:t>La Haya= 88%</w:t>
            </w:r>
          </w:p>
          <w:p w:rsidR="00794E04" w:rsidRPr="00526311" w:rsidRDefault="00794E04" w:rsidP="0063039A">
            <w:pPr>
              <w:rPr>
                <w:i/>
                <w:sz w:val="8"/>
                <w:szCs w:val="8"/>
              </w:rPr>
            </w:pPr>
          </w:p>
          <w:p w:rsidR="00794E04" w:rsidRPr="00526311" w:rsidRDefault="00794E04" w:rsidP="0063039A">
            <w:pPr>
              <w:rPr>
                <w:sz w:val="16"/>
                <w:szCs w:val="16"/>
              </w:rPr>
            </w:pPr>
            <w:r w:rsidRPr="00526311">
              <w:rPr>
                <w:i/>
                <w:sz w:val="16"/>
                <w:szCs w:val="16"/>
              </w:rPr>
              <w:t>Referencia original en el presupuesto por programas de 2014/15:</w:t>
            </w:r>
            <w:r w:rsidRPr="00526311">
              <w:t xml:space="preserve"> </w:t>
            </w:r>
            <w:r w:rsidRPr="00526311">
              <w:rPr>
                <w:sz w:val="16"/>
                <w:szCs w:val="16"/>
              </w:rPr>
              <w:t>Resultados de la encuesta de 2012: el 86% de los usuarios de los Sistemas de Madrid y de La Haya estaban satisfechos o muy satisfechos</w:t>
            </w:r>
          </w:p>
        </w:tc>
        <w:tc>
          <w:tcPr>
            <w:tcW w:w="750" w:type="pct"/>
            <w:tcMar>
              <w:top w:w="110" w:type="dxa"/>
            </w:tcMar>
          </w:tcPr>
          <w:p w:rsidR="00794E04" w:rsidRPr="00526311" w:rsidRDefault="00794E04" w:rsidP="00353744">
            <w:pPr>
              <w:autoSpaceDE w:val="0"/>
              <w:autoSpaceDN w:val="0"/>
              <w:adjustRightInd w:val="0"/>
              <w:ind w:left="-50" w:right="-96"/>
              <w:rPr>
                <w:sz w:val="16"/>
                <w:szCs w:val="16"/>
              </w:rPr>
            </w:pPr>
            <w:r w:rsidRPr="00526311">
              <w:rPr>
                <w:sz w:val="16"/>
                <w:szCs w:val="16"/>
              </w:rPr>
              <w:t>≥ 86% satisfechos o muy satisfechos</w:t>
            </w:r>
          </w:p>
        </w:tc>
        <w:tc>
          <w:tcPr>
            <w:tcW w:w="1124" w:type="pct"/>
            <w:shd w:val="clear" w:color="auto" w:fill="FFFFFF"/>
            <w:tcMar>
              <w:top w:w="110" w:type="dxa"/>
            </w:tcMar>
          </w:tcPr>
          <w:p w:rsidR="00794E04" w:rsidRPr="00526311" w:rsidRDefault="00794E04" w:rsidP="0063039A">
            <w:pPr>
              <w:autoSpaceDE w:val="0"/>
              <w:autoSpaceDN w:val="0"/>
              <w:adjustRightInd w:val="0"/>
              <w:rPr>
                <w:sz w:val="16"/>
                <w:szCs w:val="16"/>
              </w:rPr>
            </w:pPr>
            <w:r w:rsidRPr="00526311">
              <w:rPr>
                <w:sz w:val="16"/>
                <w:szCs w:val="16"/>
              </w:rPr>
              <w:t>El 81% de los usuarios del Sistema de Madrid estaban satisfechos o muy satisfechos</w:t>
            </w:r>
          </w:p>
          <w:p w:rsidR="00794E04" w:rsidRPr="00526311" w:rsidRDefault="00794E04" w:rsidP="0063039A">
            <w:pPr>
              <w:ind w:left="32"/>
              <w:rPr>
                <w:sz w:val="16"/>
                <w:szCs w:val="16"/>
              </w:rPr>
            </w:pPr>
          </w:p>
          <w:p w:rsidR="00794E04" w:rsidRPr="00526311" w:rsidRDefault="00794E04" w:rsidP="0063039A">
            <w:pPr>
              <w:ind w:left="32"/>
              <w:rPr>
                <w:sz w:val="16"/>
                <w:szCs w:val="16"/>
              </w:rPr>
            </w:pPr>
            <w:r w:rsidRPr="00526311">
              <w:rPr>
                <w:sz w:val="16"/>
                <w:szCs w:val="16"/>
              </w:rPr>
              <w:t>En 2014, se aplazó la encuesta de satisfacción del cliente del Sistema de la Haya</w:t>
            </w:r>
          </w:p>
          <w:p w:rsidR="00794E04" w:rsidRPr="00526311" w:rsidRDefault="00794E04" w:rsidP="0063039A">
            <w:pPr>
              <w:ind w:left="32"/>
              <w:rPr>
                <w:sz w:val="16"/>
                <w:szCs w:val="16"/>
              </w:rPr>
            </w:pPr>
          </w:p>
          <w:p w:rsidR="00794E04" w:rsidRPr="00526311" w:rsidRDefault="00794E04" w:rsidP="0063039A">
            <w:pPr>
              <w:ind w:left="32"/>
              <w:rPr>
                <w:sz w:val="16"/>
                <w:szCs w:val="16"/>
              </w:rPr>
            </w:pPr>
          </w:p>
        </w:tc>
        <w:tc>
          <w:tcPr>
            <w:tcW w:w="674" w:type="pct"/>
            <w:tcMar>
              <w:top w:w="110" w:type="dxa"/>
            </w:tcMar>
          </w:tcPr>
          <w:p w:rsidR="00794E04" w:rsidRPr="00526311" w:rsidRDefault="00794E04" w:rsidP="0063039A">
            <w:pPr>
              <w:keepNext/>
              <w:keepLines/>
              <w:ind w:left="-108"/>
              <w:jc w:val="center"/>
              <w:rPr>
                <w:b/>
                <w:bCs/>
                <w:color w:val="00B050"/>
                <w:sz w:val="16"/>
                <w:szCs w:val="16"/>
              </w:rPr>
            </w:pPr>
            <w:r w:rsidRPr="00526311">
              <w:rPr>
                <w:b/>
                <w:color w:val="00B050"/>
                <w:sz w:val="16"/>
                <w:szCs w:val="16"/>
              </w:rPr>
              <w:t>Avanza</w:t>
            </w: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r w:rsidRPr="00526311">
              <w:rPr>
                <w:b/>
                <w:bCs/>
                <w:sz w:val="16"/>
                <w:szCs w:val="16"/>
              </w:rPr>
              <w:br/>
            </w:r>
          </w:p>
          <w:p w:rsidR="00794E04" w:rsidRPr="00526311" w:rsidRDefault="00794E04" w:rsidP="008E4DE1">
            <w:pPr>
              <w:keepNext/>
              <w:keepLines/>
              <w:ind w:left="-108"/>
              <w:jc w:val="center"/>
              <w:rPr>
                <w:sz w:val="16"/>
                <w:szCs w:val="16"/>
              </w:rPr>
            </w:pPr>
            <w:r w:rsidRPr="00526311">
              <w:rPr>
                <w:b/>
                <w:color w:val="0070C0"/>
                <w:sz w:val="16"/>
                <w:szCs w:val="16"/>
              </w:rPr>
              <w:t>N</w:t>
            </w:r>
            <w:r w:rsidR="008E4DE1" w:rsidRPr="00526311">
              <w:rPr>
                <w:b/>
                <w:color w:val="0070C0"/>
                <w:sz w:val="16"/>
                <w:szCs w:val="16"/>
              </w:rPr>
              <w:t>.d.</w:t>
            </w:r>
            <w:r w:rsidRPr="00526311">
              <w:rPr>
                <w:b/>
                <w:color w:val="0070C0"/>
                <w:sz w:val="16"/>
                <w:szCs w:val="16"/>
              </w:rPr>
              <w:t xml:space="preserve"> para </w:t>
            </w:r>
            <w:r w:rsidR="008E4DE1" w:rsidRPr="00526311">
              <w:rPr>
                <w:b/>
                <w:color w:val="0070C0"/>
                <w:sz w:val="16"/>
                <w:szCs w:val="16"/>
              </w:rPr>
              <w:br/>
            </w:r>
            <w:r w:rsidRPr="00526311">
              <w:rPr>
                <w:b/>
                <w:color w:val="0070C0"/>
                <w:sz w:val="16"/>
                <w:szCs w:val="16"/>
              </w:rPr>
              <w:t>2014</w:t>
            </w:r>
          </w:p>
        </w:tc>
      </w:tr>
      <w:tr w:rsidR="00794E04" w:rsidRPr="00526311" w:rsidTr="0063039A">
        <w:tc>
          <w:tcPr>
            <w:tcW w:w="1103" w:type="pct"/>
            <w:tcBorders>
              <w:bottom w:val="single" w:sz="4" w:space="0" w:color="auto"/>
            </w:tcBorders>
          </w:tcPr>
          <w:p w:rsidR="00794E04" w:rsidRPr="00526311" w:rsidRDefault="00794E04" w:rsidP="0063039A">
            <w:pPr>
              <w:rPr>
                <w:sz w:val="16"/>
                <w:szCs w:val="16"/>
              </w:rPr>
            </w:pPr>
            <w:r w:rsidRPr="00526311">
              <w:rPr>
                <w:sz w:val="16"/>
                <w:szCs w:val="16"/>
              </w:rPr>
              <w:t>Se cumplen los objetivos definidos en el sitio web de la OMPI para la calidad del servicio</w:t>
            </w:r>
          </w:p>
        </w:tc>
        <w:tc>
          <w:tcPr>
            <w:tcW w:w="1349" w:type="pct"/>
            <w:tcBorders>
              <w:bottom w:val="single" w:sz="4" w:space="0" w:color="auto"/>
            </w:tcBorders>
            <w:shd w:val="clear" w:color="auto" w:fill="auto"/>
          </w:tcPr>
          <w:p w:rsidR="00794E04" w:rsidRPr="00526311" w:rsidRDefault="00794E04" w:rsidP="0063039A">
            <w:pPr>
              <w:rPr>
                <w:color w:val="002060"/>
                <w:sz w:val="16"/>
                <w:szCs w:val="16"/>
              </w:rPr>
            </w:pPr>
            <w:r w:rsidRPr="00526311">
              <w:rPr>
                <w:i/>
                <w:color w:val="002060"/>
                <w:sz w:val="16"/>
                <w:szCs w:val="16"/>
              </w:rPr>
              <w:t>Referencia actualizada a fines de 2013:  n</w:t>
            </w:r>
            <w:r w:rsidRPr="00526311">
              <w:rPr>
                <w:color w:val="002060"/>
                <w:sz w:val="16"/>
                <w:szCs w:val="16"/>
              </w:rPr>
              <w:t>o hay referencias</w:t>
            </w:r>
          </w:p>
          <w:p w:rsidR="00794E04" w:rsidRPr="00526311" w:rsidRDefault="00794E04" w:rsidP="0063039A">
            <w:pPr>
              <w:rPr>
                <w:sz w:val="16"/>
                <w:szCs w:val="16"/>
              </w:rPr>
            </w:pPr>
          </w:p>
          <w:p w:rsidR="00794E04" w:rsidRPr="00526311" w:rsidRDefault="00794E04" w:rsidP="0063039A">
            <w:pPr>
              <w:rPr>
                <w:i/>
                <w:sz w:val="16"/>
                <w:szCs w:val="16"/>
              </w:rPr>
            </w:pPr>
            <w:r w:rsidRPr="00526311">
              <w:rPr>
                <w:i/>
                <w:sz w:val="16"/>
                <w:szCs w:val="16"/>
              </w:rPr>
              <w:t>Referencia original en el presupuesto por programas de 2014/15:</w:t>
            </w:r>
            <w:r w:rsidRPr="00526311">
              <w:t xml:space="preserve"> </w:t>
            </w:r>
            <w:r w:rsidRPr="00526311">
              <w:rPr>
                <w:sz w:val="16"/>
                <w:szCs w:val="16"/>
              </w:rPr>
              <w:t>Por definir respecto de los ámbitos específicos</w:t>
            </w:r>
          </w:p>
        </w:tc>
        <w:tc>
          <w:tcPr>
            <w:tcW w:w="750" w:type="pct"/>
            <w:tcBorders>
              <w:bottom w:val="single" w:sz="4" w:space="0" w:color="auto"/>
            </w:tcBorders>
            <w:tcMar>
              <w:top w:w="110" w:type="dxa"/>
            </w:tcMar>
          </w:tcPr>
          <w:p w:rsidR="00794E04" w:rsidRPr="00526311" w:rsidRDefault="00794E04" w:rsidP="00353744">
            <w:pPr>
              <w:autoSpaceDE w:val="0"/>
              <w:autoSpaceDN w:val="0"/>
              <w:adjustRightInd w:val="0"/>
              <w:ind w:left="-50" w:right="-96"/>
              <w:rPr>
                <w:sz w:val="16"/>
                <w:szCs w:val="16"/>
              </w:rPr>
            </w:pPr>
            <w:r w:rsidRPr="00526311">
              <w:rPr>
                <w:sz w:val="16"/>
                <w:szCs w:val="16"/>
              </w:rPr>
              <w:t xml:space="preserve">Objetivo definido: Normas de servicio del Centro de Atención al Cliente </w:t>
            </w:r>
          </w:p>
          <w:p w:rsidR="00794E04" w:rsidRPr="00526311" w:rsidRDefault="00794E04" w:rsidP="00353744">
            <w:pPr>
              <w:autoSpaceDE w:val="0"/>
              <w:autoSpaceDN w:val="0"/>
              <w:adjustRightInd w:val="0"/>
              <w:ind w:left="-50" w:right="-96"/>
              <w:rPr>
                <w:sz w:val="16"/>
                <w:szCs w:val="16"/>
              </w:rPr>
            </w:pPr>
            <w:r w:rsidRPr="00526311">
              <w:rPr>
                <w:sz w:val="16"/>
                <w:szCs w:val="16"/>
              </w:rPr>
              <w:t xml:space="preserve">i) 90% de tickets tramitados en un día </w:t>
            </w:r>
          </w:p>
          <w:p w:rsidR="00794E04" w:rsidRPr="00526311" w:rsidRDefault="00794E04" w:rsidP="0063039A">
            <w:pPr>
              <w:autoSpaceDE w:val="0"/>
              <w:autoSpaceDN w:val="0"/>
              <w:adjustRightInd w:val="0"/>
              <w:rPr>
                <w:sz w:val="16"/>
                <w:szCs w:val="16"/>
              </w:rPr>
            </w:pPr>
          </w:p>
          <w:p w:rsidR="00794E04" w:rsidRPr="00526311" w:rsidRDefault="00794E04" w:rsidP="00353744">
            <w:pPr>
              <w:autoSpaceDE w:val="0"/>
              <w:autoSpaceDN w:val="0"/>
              <w:adjustRightInd w:val="0"/>
              <w:ind w:left="-50" w:right="-96"/>
              <w:rPr>
                <w:sz w:val="16"/>
                <w:szCs w:val="16"/>
              </w:rPr>
            </w:pPr>
            <w:r w:rsidRPr="00526311">
              <w:rPr>
                <w:sz w:val="16"/>
                <w:szCs w:val="16"/>
              </w:rPr>
              <w:t xml:space="preserve">ii) 90% de quejas tramitadas en ocho horas de trabajo </w:t>
            </w:r>
          </w:p>
          <w:p w:rsidR="00794E04" w:rsidRPr="00526311" w:rsidRDefault="00794E04" w:rsidP="0063039A">
            <w:pPr>
              <w:autoSpaceDE w:val="0"/>
              <w:autoSpaceDN w:val="0"/>
              <w:adjustRightInd w:val="0"/>
              <w:rPr>
                <w:sz w:val="16"/>
                <w:szCs w:val="16"/>
              </w:rPr>
            </w:pPr>
          </w:p>
          <w:p w:rsidR="00794E04" w:rsidRPr="00526311" w:rsidRDefault="00794E04" w:rsidP="00353744">
            <w:pPr>
              <w:autoSpaceDE w:val="0"/>
              <w:autoSpaceDN w:val="0"/>
              <w:adjustRightInd w:val="0"/>
              <w:ind w:left="-50" w:right="-96"/>
              <w:rPr>
                <w:sz w:val="16"/>
                <w:szCs w:val="16"/>
              </w:rPr>
            </w:pPr>
            <w:r w:rsidRPr="00526311">
              <w:rPr>
                <w:sz w:val="16"/>
                <w:szCs w:val="16"/>
              </w:rPr>
              <w:t xml:space="preserve">Referencia original en el presupuesto por programas de 2014/15: Por definir respecto de los ámbitos específicos </w:t>
            </w:r>
          </w:p>
          <w:p w:rsidR="00794E04" w:rsidRPr="00526311" w:rsidRDefault="00794E04" w:rsidP="0063039A">
            <w:pPr>
              <w:autoSpaceDE w:val="0"/>
              <w:autoSpaceDN w:val="0"/>
              <w:adjustRightInd w:val="0"/>
              <w:rPr>
                <w:sz w:val="16"/>
                <w:szCs w:val="16"/>
              </w:rPr>
            </w:pPr>
          </w:p>
        </w:tc>
        <w:tc>
          <w:tcPr>
            <w:tcW w:w="1124" w:type="pct"/>
            <w:tcBorders>
              <w:bottom w:val="single" w:sz="4" w:space="0" w:color="auto"/>
            </w:tcBorders>
            <w:shd w:val="clear" w:color="auto" w:fill="FFFFFF"/>
            <w:tcMar>
              <w:top w:w="110" w:type="dxa"/>
            </w:tcMar>
          </w:tcPr>
          <w:p w:rsidR="00794E04" w:rsidRPr="00526311" w:rsidRDefault="00794E04" w:rsidP="0063039A">
            <w:pPr>
              <w:rPr>
                <w:sz w:val="16"/>
                <w:szCs w:val="16"/>
              </w:rPr>
            </w:pPr>
            <w:r w:rsidRPr="00526311">
              <w:rPr>
                <w:sz w:val="16"/>
                <w:szCs w:val="16"/>
              </w:rPr>
              <w:t xml:space="preserve">i) 92% de tickets tramitados en 1 día  </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 xml:space="preserve">ii) 100% de las quejas tramitadas en ocho horas de trabajo </w:t>
            </w:r>
          </w:p>
        </w:tc>
        <w:tc>
          <w:tcPr>
            <w:tcW w:w="674" w:type="pct"/>
            <w:tcBorders>
              <w:bottom w:val="single" w:sz="4" w:space="0" w:color="auto"/>
            </w:tcBorders>
            <w:tcMar>
              <w:top w:w="110" w:type="dxa"/>
            </w:tcMar>
          </w:tcPr>
          <w:p w:rsidR="00794E04" w:rsidRPr="00526311" w:rsidRDefault="00794E04" w:rsidP="0063039A">
            <w:pPr>
              <w:keepNext/>
              <w:keepLines/>
              <w:ind w:left="-108"/>
              <w:jc w:val="center"/>
              <w:rPr>
                <w:b/>
                <w:bCs/>
                <w:color w:val="00B050"/>
                <w:sz w:val="16"/>
                <w:szCs w:val="16"/>
              </w:rPr>
            </w:pPr>
            <w:r w:rsidRPr="00526311">
              <w:rPr>
                <w:b/>
                <w:color w:val="00B050"/>
                <w:sz w:val="16"/>
                <w:szCs w:val="16"/>
              </w:rPr>
              <w:t>Avanza</w:t>
            </w: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ind w:left="-108"/>
              <w:jc w:val="center"/>
              <w:rPr>
                <w:b/>
                <w:bCs/>
                <w:color w:val="00B050"/>
                <w:sz w:val="16"/>
                <w:szCs w:val="16"/>
              </w:rPr>
            </w:pPr>
            <w:r w:rsidRPr="00526311">
              <w:rPr>
                <w:b/>
                <w:color w:val="00B050"/>
                <w:sz w:val="16"/>
                <w:szCs w:val="16"/>
              </w:rPr>
              <w:t>Avanza</w:t>
            </w:r>
          </w:p>
        </w:tc>
      </w:tr>
    </w:tbl>
    <w:p w:rsidR="00794E04" w:rsidRPr="00526311" w:rsidRDefault="00794E04" w:rsidP="0063039A">
      <w:pPr>
        <w:jc w:val="both"/>
        <w:rPr>
          <w:color w:val="000000"/>
          <w:szCs w:val="22"/>
        </w:rPr>
      </w:pPr>
    </w:p>
    <w:p w:rsidR="00794E04" w:rsidRPr="00526311" w:rsidRDefault="00794E04">
      <w:pPr>
        <w:rPr>
          <w:szCs w:val="22"/>
        </w:rPr>
      </w:pPr>
      <w:r w:rsidRPr="00526311">
        <w:rPr>
          <w:szCs w:val="22"/>
        </w:rPr>
        <w:br w:type="page"/>
      </w:r>
    </w:p>
    <w:p w:rsidR="00794E04" w:rsidRPr="00526311" w:rsidRDefault="00794E04" w:rsidP="0063039A">
      <w:pPr>
        <w:rPr>
          <w:szCs w:val="22"/>
        </w:rPr>
      </w:pPr>
      <w:r w:rsidRPr="00526311">
        <w:rPr>
          <w:szCs w:val="22"/>
        </w:rPr>
        <w:lastRenderedPageBreak/>
        <w:t>UTILIZACIÓN DE LOS RECURSOS</w:t>
      </w:r>
    </w:p>
    <w:p w:rsidR="00794E04" w:rsidRPr="00526311" w:rsidRDefault="00794E04" w:rsidP="0063039A">
      <w:pPr>
        <w:jc w:val="both"/>
      </w:pPr>
    </w:p>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794E04" w:rsidRPr="00526311" w:rsidRDefault="00794E04" w:rsidP="0063039A">
      <w:pPr>
        <w:pStyle w:val="NormalWeb"/>
        <w:spacing w:before="0" w:beforeAutospacing="0" w:after="0" w:afterAutospacing="0"/>
        <w:jc w:val="center"/>
        <w:rPr>
          <w:i/>
          <w:iCs/>
          <w:sz w:val="20"/>
          <w:szCs w:val="20"/>
          <w:lang w:val="es-ES"/>
        </w:rPr>
      </w:pPr>
    </w:p>
    <w:p w:rsidR="00794E04" w:rsidRPr="00526311" w:rsidRDefault="00DD7B62" w:rsidP="0063039A">
      <w:pPr>
        <w:pStyle w:val="NormalWeb"/>
        <w:spacing w:before="0" w:beforeAutospacing="0" w:after="0" w:afterAutospacing="0"/>
        <w:jc w:val="center"/>
        <w:rPr>
          <w:sz w:val="20"/>
          <w:szCs w:val="20"/>
          <w:lang w:val="es-ES"/>
        </w:rPr>
      </w:pPr>
      <w:r w:rsidRPr="00526311">
        <w:rPr>
          <w:noProof/>
        </w:rPr>
        <w:drawing>
          <wp:inline distT="0" distB="0" distL="0" distR="0" wp14:anchorId="2EE5C540" wp14:editId="3FCCFB7F">
            <wp:extent cx="5762625" cy="1438275"/>
            <wp:effectExtent l="0" t="0" r="9525" b="9525"/>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2625" cy="1438275"/>
                    </a:xfrm>
                    <a:prstGeom prst="rect">
                      <a:avLst/>
                    </a:prstGeom>
                    <a:noFill/>
                    <a:ln>
                      <a:noFill/>
                    </a:ln>
                  </pic:spPr>
                </pic:pic>
              </a:graphicData>
            </a:graphic>
          </wp:inline>
        </w:drawing>
      </w:r>
    </w:p>
    <w:p w:rsidR="00794E04" w:rsidRPr="00526311" w:rsidRDefault="00794E04" w:rsidP="0063039A">
      <w:pPr>
        <w:jc w:val="both"/>
      </w:pPr>
    </w:p>
    <w:p w:rsidR="00794E04" w:rsidRPr="00526311" w:rsidRDefault="00794E04" w:rsidP="0063039A">
      <w:pPr>
        <w:jc w:val="both"/>
      </w:pPr>
    </w:p>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t>Presupuesto y gastos reales (de personal y no relativos a personal)</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794E04" w:rsidRPr="00526311" w:rsidRDefault="00794E04" w:rsidP="0063039A">
      <w:pPr>
        <w:pStyle w:val="NormalWeb"/>
        <w:spacing w:before="0" w:beforeAutospacing="0" w:after="0" w:afterAutospacing="0"/>
        <w:jc w:val="both"/>
        <w:rPr>
          <w:lang w:val="es-ES"/>
        </w:rPr>
      </w:pPr>
    </w:p>
    <w:p w:rsidR="00794E04" w:rsidRPr="00526311" w:rsidRDefault="00FF6E74" w:rsidP="0063039A">
      <w:pPr>
        <w:jc w:val="center"/>
      </w:pPr>
      <w:bookmarkStart w:id="73" w:name="Punto19"/>
      <w:r w:rsidRPr="00526311">
        <w:rPr>
          <w:noProof/>
          <w:lang w:val="en-US" w:eastAsia="en-US"/>
        </w:rPr>
        <w:drawing>
          <wp:inline distT="0" distB="0" distL="0" distR="0" wp14:anchorId="35D90969" wp14:editId="624AC58D">
            <wp:extent cx="5940425" cy="1231877"/>
            <wp:effectExtent l="0" t="0" r="3175" b="698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0425" cy="1231877"/>
                    </a:xfrm>
                    <a:prstGeom prst="rect">
                      <a:avLst/>
                    </a:prstGeom>
                    <a:noFill/>
                    <a:ln>
                      <a:noFill/>
                    </a:ln>
                  </pic:spPr>
                </pic:pic>
              </a:graphicData>
            </a:graphic>
          </wp:inline>
        </w:drawing>
      </w:r>
      <w:bookmarkEnd w:id="73"/>
    </w:p>
    <w:p w:rsidR="00794E04" w:rsidRPr="00526311" w:rsidRDefault="00794E04" w:rsidP="0063039A">
      <w:pPr>
        <w:rPr>
          <w:sz w:val="16"/>
          <w:szCs w:val="16"/>
        </w:rPr>
      </w:pPr>
      <w:r w:rsidRPr="00526311">
        <w:rPr>
          <w:i/>
          <w:sz w:val="16"/>
          <w:szCs w:val="16"/>
        </w:rPr>
        <w:t xml:space="preserve">NOTA:  </w:t>
      </w:r>
      <w:r w:rsidRPr="00526311">
        <w:rPr>
          <w:i/>
          <w:iCs/>
          <w:sz w:val="16"/>
          <w:szCs w:val="16"/>
        </w:rPr>
        <w:t>El presupuesto de 2014/15 tras las transferencias refleja las transferencias efectuadas al 31 de marzo de 2015 para hacer frente a las necesidades durante el bienio 2014/15, según lo previsto en el artículo 5.5 del Reglamento Financiero</w:t>
      </w:r>
      <w:r w:rsidRPr="00526311">
        <w:rPr>
          <w:i/>
          <w:sz w:val="16"/>
          <w:szCs w:val="16"/>
        </w:rPr>
        <w:t>.</w:t>
      </w:r>
    </w:p>
    <w:p w:rsidR="00794E04" w:rsidRPr="00526311" w:rsidRDefault="00794E04" w:rsidP="0063039A">
      <w:pPr>
        <w:autoSpaceDE w:val="0"/>
        <w:autoSpaceDN w:val="0"/>
        <w:jc w:val="both"/>
        <w:rPr>
          <w:sz w:val="20"/>
          <w:lang w:eastAsia="ko-KR"/>
        </w:rPr>
      </w:pPr>
    </w:p>
    <w:p w:rsidR="00794E04" w:rsidRPr="00526311" w:rsidRDefault="00794E04"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794E04" w:rsidRPr="00526311" w:rsidRDefault="00794E04" w:rsidP="0063039A">
      <w:pPr>
        <w:autoSpaceDE w:val="0"/>
        <w:autoSpaceDN w:val="0"/>
        <w:jc w:val="both"/>
        <w:rPr>
          <w:sz w:val="20"/>
          <w:lang w:eastAsia="ko-KR"/>
        </w:rPr>
      </w:pPr>
    </w:p>
    <w:p w:rsidR="00794E04" w:rsidRPr="00526311" w:rsidRDefault="00794E04" w:rsidP="00794E04">
      <w:pPr>
        <w:pStyle w:val="ListParagraph"/>
        <w:numPr>
          <w:ilvl w:val="0"/>
          <w:numId w:val="72"/>
        </w:numPr>
        <w:tabs>
          <w:tab w:val="left" w:pos="709"/>
        </w:tabs>
        <w:ind w:left="0" w:firstLine="0"/>
        <w:jc w:val="both"/>
        <w:rPr>
          <w:rFonts w:cs="Arial"/>
          <w:lang w:val="es-ES" w:eastAsia="ko-KR"/>
        </w:rPr>
      </w:pPr>
      <w:r w:rsidRPr="00526311">
        <w:rPr>
          <w:rFonts w:cs="Arial"/>
          <w:lang w:val="es-ES" w:eastAsia="ko-KR"/>
        </w:rPr>
        <w:t>La disminución global neta del presupuesto de 2014/15 tras las transferencias se debe principalmente a:  i) la transferencia del Centro de Información de la OMPI al programa 21; y ii) la transferencia de recursos no relativos a personal para un pasante (al programa 23 donde está centralizada la gestión de pasantías) con el objeto de apoyar el trabajo de la Revista de la OMPI y asistir en la preparación del Día Mundial de la P.I. de 2015.</w:t>
      </w:r>
    </w:p>
    <w:p w:rsidR="00794E04" w:rsidRPr="00526311" w:rsidRDefault="00794E04" w:rsidP="0063039A">
      <w:pPr>
        <w:autoSpaceDE w:val="0"/>
        <w:autoSpaceDN w:val="0"/>
        <w:jc w:val="both"/>
        <w:rPr>
          <w:sz w:val="20"/>
          <w:lang w:eastAsia="ko-KR"/>
        </w:rPr>
      </w:pPr>
    </w:p>
    <w:p w:rsidR="00794E04" w:rsidRPr="00526311" w:rsidRDefault="00794E04"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794E04" w:rsidRPr="00526311" w:rsidRDefault="00794E04" w:rsidP="0063039A">
      <w:pPr>
        <w:tabs>
          <w:tab w:val="left" w:pos="709"/>
        </w:tabs>
        <w:jc w:val="both"/>
        <w:rPr>
          <w:sz w:val="20"/>
          <w:u w:val="single"/>
          <w:lang w:eastAsia="ko-KR"/>
        </w:rPr>
      </w:pPr>
    </w:p>
    <w:p w:rsidR="00794E04" w:rsidRPr="00526311" w:rsidRDefault="00794E04" w:rsidP="00794E04">
      <w:pPr>
        <w:pStyle w:val="ListParagraph"/>
        <w:numPr>
          <w:ilvl w:val="0"/>
          <w:numId w:val="72"/>
        </w:numPr>
        <w:tabs>
          <w:tab w:val="left" w:pos="709"/>
        </w:tabs>
        <w:ind w:left="0" w:firstLine="0"/>
        <w:jc w:val="both"/>
        <w:rPr>
          <w:lang w:val="es-ES"/>
        </w:rPr>
      </w:pPr>
      <w:r w:rsidRPr="00526311">
        <w:rPr>
          <w:lang w:val="es-ES"/>
        </w:rPr>
        <w:t xml:space="preserve">La utilización del presupuesto se ha mantenido dentro de los límites establecidos (40-60%) durante el primer año del bienio y está bien encaminada. </w:t>
      </w:r>
    </w:p>
    <w:p w:rsidR="00794E04" w:rsidRPr="00526311" w:rsidRDefault="00794E04" w:rsidP="0063039A">
      <w:pPr>
        <w:pStyle w:val="ListParagraph"/>
        <w:tabs>
          <w:tab w:val="left" w:pos="709"/>
        </w:tabs>
        <w:ind w:left="0"/>
        <w:jc w:val="both"/>
        <w:rPr>
          <w:lang w:val="es-ES"/>
        </w:rPr>
      </w:pPr>
    </w:p>
    <w:p w:rsidR="00794E04" w:rsidRPr="00526311" w:rsidRDefault="00794E04" w:rsidP="0063039A">
      <w:pPr>
        <w:pStyle w:val="ListParagraph"/>
        <w:tabs>
          <w:tab w:val="left" w:pos="709"/>
        </w:tabs>
        <w:ind w:left="0"/>
        <w:jc w:val="both"/>
        <w:rPr>
          <w:lang w:val="es-ES"/>
        </w:rPr>
      </w:pPr>
    </w:p>
    <w:p w:rsidR="00794E04" w:rsidRPr="00526311" w:rsidRDefault="00794E04">
      <w:pPr>
        <w:rPr>
          <w:rFonts w:eastAsia="Times New Roman"/>
          <w:b/>
          <w:bCs/>
          <w:iCs/>
          <w:sz w:val="20"/>
        </w:rPr>
      </w:pPr>
      <w:r w:rsidRPr="00526311">
        <w:rPr>
          <w:rFonts w:eastAsia="Times New Roman"/>
          <w:b/>
          <w:bCs/>
          <w:iCs/>
          <w:sz w:val="20"/>
        </w:rPr>
        <w:br w:type="page"/>
      </w:r>
    </w:p>
    <w:p w:rsidR="00466D38" w:rsidRPr="00526311" w:rsidRDefault="00466D38" w:rsidP="00466D38">
      <w:pPr>
        <w:keepNext/>
        <w:tabs>
          <w:tab w:val="right" w:pos="9072"/>
        </w:tabs>
        <w:ind w:left="2410" w:hanging="2410"/>
        <w:outlineLvl w:val="1"/>
        <w:rPr>
          <w:rFonts w:eastAsia="Times New Roman"/>
          <w:b/>
          <w:bCs/>
          <w:iCs/>
          <w:szCs w:val="28"/>
        </w:rPr>
      </w:pPr>
      <w:bookmarkStart w:id="74" w:name="_Toc422927433"/>
      <w:bookmarkStart w:id="75" w:name="_Toc367350601"/>
      <w:r w:rsidRPr="00526311">
        <w:rPr>
          <w:rFonts w:eastAsia="Times New Roman"/>
          <w:b/>
          <w:bCs/>
          <w:iCs/>
          <w:szCs w:val="28"/>
        </w:rPr>
        <w:lastRenderedPageBreak/>
        <w:t>PROGRAMA 20</w:t>
      </w:r>
      <w:r w:rsidRPr="00526311">
        <w:rPr>
          <w:rFonts w:eastAsia="Times New Roman"/>
          <w:b/>
          <w:bCs/>
          <w:iCs/>
          <w:szCs w:val="28"/>
        </w:rPr>
        <w:tab/>
        <w:t xml:space="preserve">RELACIONES EXTERIORES, ALIANZAS Y OFICINAS </w:t>
      </w:r>
      <w:r w:rsidR="00353744" w:rsidRPr="00526311">
        <w:rPr>
          <w:rFonts w:eastAsia="Times New Roman"/>
          <w:b/>
          <w:bCs/>
          <w:iCs/>
          <w:szCs w:val="28"/>
        </w:rPr>
        <w:t>EN EL EXTERIOR</w:t>
      </w:r>
      <w:bookmarkEnd w:id="74"/>
    </w:p>
    <w:p w:rsidR="00466D38" w:rsidRPr="00526311" w:rsidRDefault="00466D38" w:rsidP="00466D38">
      <w:pPr>
        <w:ind w:left="1985" w:hanging="1985"/>
        <w:rPr>
          <w:rFonts w:eastAsia="Times New Roman"/>
          <w:sz w:val="20"/>
        </w:rPr>
      </w:pPr>
    </w:p>
    <w:p w:rsidR="00466D38" w:rsidRPr="00526311" w:rsidRDefault="00466D38" w:rsidP="00466D38">
      <w:pPr>
        <w:ind w:left="2410" w:hanging="2410"/>
        <w:rPr>
          <w:rFonts w:eastAsia="Times New Roman"/>
          <w:b/>
          <w:sz w:val="20"/>
        </w:rPr>
      </w:pPr>
      <w:r w:rsidRPr="00526311">
        <w:rPr>
          <w:rFonts w:eastAsia="Times New Roman"/>
          <w:b/>
          <w:sz w:val="20"/>
        </w:rPr>
        <w:t>Director de programa</w:t>
      </w:r>
      <w:r w:rsidRPr="00526311">
        <w:rPr>
          <w:rFonts w:eastAsia="Times New Roman"/>
          <w:b/>
          <w:sz w:val="20"/>
        </w:rPr>
        <w:tab/>
        <w:t>Sr. M. A. Getahun</w:t>
      </w:r>
    </w:p>
    <w:p w:rsidR="00466D38" w:rsidRPr="00526311" w:rsidRDefault="00466D38" w:rsidP="00466D38">
      <w:pPr>
        <w:ind w:left="1985" w:hanging="1985"/>
        <w:jc w:val="both"/>
        <w:rPr>
          <w:rFonts w:eastAsia="Times New Roman"/>
          <w:sz w:val="20"/>
        </w:rPr>
      </w:pPr>
    </w:p>
    <w:p w:rsidR="00466D38" w:rsidRPr="00526311" w:rsidRDefault="00466D38" w:rsidP="00466D38">
      <w:pPr>
        <w:jc w:val="both"/>
        <w:rPr>
          <w:rFonts w:eastAsia="Times New Roman"/>
          <w:sz w:val="20"/>
        </w:rPr>
      </w:pPr>
    </w:p>
    <w:p w:rsidR="00466D38" w:rsidRPr="00526311" w:rsidRDefault="00466D38" w:rsidP="00466D38">
      <w:pPr>
        <w:jc w:val="both"/>
        <w:rPr>
          <w:rFonts w:eastAsia="Times New Roman"/>
          <w:bCs/>
        </w:rPr>
      </w:pPr>
      <w:r w:rsidRPr="00526311">
        <w:rPr>
          <w:rFonts w:eastAsia="Times New Roman"/>
          <w:bCs/>
        </w:rPr>
        <w:t>RESEÑA DE LOS AVANCES LOGRADOS EN 2014</w:t>
      </w:r>
    </w:p>
    <w:p w:rsidR="00466D38" w:rsidRPr="00526311" w:rsidRDefault="00466D38" w:rsidP="00466D38">
      <w:pPr>
        <w:jc w:val="both"/>
        <w:rPr>
          <w:rFonts w:eastAsia="Times New Roman"/>
          <w:bCs/>
        </w:rPr>
      </w:pPr>
    </w:p>
    <w:p w:rsidR="00466D38" w:rsidRPr="00526311" w:rsidRDefault="00466D38" w:rsidP="00466D38">
      <w:pPr>
        <w:jc w:val="both"/>
        <w:rPr>
          <w:rFonts w:eastAsia="Times New Roman"/>
          <w:bCs/>
          <w:sz w:val="20"/>
        </w:rPr>
      </w:pPr>
      <w:r w:rsidRPr="00526311">
        <w:rPr>
          <w:rFonts w:eastAsia="Times New Roman"/>
          <w:bCs/>
          <w:sz w:val="20"/>
        </w:rPr>
        <w:t>RELACIONES EXTERIORES Y ALIANZAS</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En estrecha colaboración con un gran número de partes interesadas, las Naciones Unidas (NN.UU.) y sus Estados miembros tienen hoy una oportunidad fundamental para establecer un marco universal que comprenda los tres pilares principales del desarrollo sostenible.  Se espera que a finales del bienio 2014/15 se haya podido llegar a un acuerdo en relación con los principales elementos de la Agenda para el Desarrollo posterior a 2015 y acerca del cambio climático.  Como organismo especializado de las NN.UU., y en sintonía con su mandato y con las recomendaciones 30 y 40 de su A.D., la OMPI continuó desempeñando la función que le incumbe en esas iniciativas, participando y contribuyendo a las mismas de forma estratégica.  En el marco del programa 20, también por conducto de las actividades de la Oficina de la OMPI en Nueva York, se participó, entre otras cosas, en 2014, en:</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78"/>
        </w:numPr>
        <w:contextualSpacing/>
        <w:jc w:val="both"/>
        <w:rPr>
          <w:rFonts w:cs="Arial"/>
          <w:lang w:val="es-ES"/>
        </w:rPr>
      </w:pPr>
      <w:r w:rsidRPr="00526311">
        <w:rPr>
          <w:rFonts w:cs="Arial"/>
          <w:lang w:val="es-ES"/>
        </w:rPr>
        <w:t>la labor del equipo de trabajo interinstitucional (ETI) de las Naciones Unidas sobre la Agenda para el Desarrollo posterior a 2015, el equipo de apoyo técnico del Grupo de Trabajo de composición abierta sobre los objetivos de desarrollo sostenible y el diálogo estructurado del Presidente de la Asamblea General de las NN.UU. sobre la posibilidad de establecer un mecanismo de facilitación que promueva el desarrollo, la transferencia y la difusión de tecnologías limpias y respetuosas con el medio ambiente.</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78"/>
        </w:numPr>
        <w:contextualSpacing/>
        <w:jc w:val="both"/>
        <w:rPr>
          <w:rFonts w:cs="Arial"/>
          <w:lang w:val="es-ES"/>
        </w:rPr>
      </w:pPr>
      <w:r w:rsidRPr="00526311">
        <w:rPr>
          <w:rFonts w:cs="Arial"/>
          <w:lang w:val="es-ES"/>
        </w:rPr>
        <w:t>las actividades en el ámbito de la tecnología relativas a la Convención Marco de las NN.UU. sobre el cambio climático (CMNUCC), en particular, el Mecanismo de Tecnología de la CMNUCC, el Comité Ejecutivo de Tecnología y el Centro y Red de Tecnología del Clima (C</w:t>
      </w:r>
      <w:r w:rsidR="00353744" w:rsidRPr="00526311">
        <w:rPr>
          <w:rFonts w:cs="Arial"/>
          <w:lang w:val="es-ES"/>
        </w:rPr>
        <w:t>RT</w:t>
      </w:r>
      <w:r w:rsidRPr="00526311">
        <w:rPr>
          <w:rFonts w:cs="Arial"/>
          <w:lang w:val="es-ES"/>
        </w:rPr>
        <w:t>C).  A ese respecto, en el marco del programa se prestó asistencia para un taller organizado por el Comité Ejecutivo de Tecnología sobre sistemas nacionales de innovación, y se presentó el Índice Mundial de Innovación en las sesiones de junio de 2014 relativas a la CMNUCC y se colaboró en la organización de una reunión paralela con la Agencia Internacional de Energías Renovables (IRENA).</w:t>
      </w:r>
    </w:p>
    <w:p w:rsidR="00466D38" w:rsidRPr="00526311" w:rsidRDefault="00466D38" w:rsidP="00466D38">
      <w:pPr>
        <w:pStyle w:val="ListParagraph"/>
        <w:ind w:left="780"/>
        <w:jc w:val="both"/>
        <w:rPr>
          <w:rFonts w:cs="Arial"/>
          <w:lang w:val="es-ES"/>
        </w:rPr>
      </w:pPr>
    </w:p>
    <w:p w:rsidR="00466D38" w:rsidRPr="00526311" w:rsidRDefault="00466D38" w:rsidP="00466D38">
      <w:pPr>
        <w:pStyle w:val="ListParagraph"/>
        <w:numPr>
          <w:ilvl w:val="0"/>
          <w:numId w:val="73"/>
        </w:numPr>
        <w:contextualSpacing/>
        <w:jc w:val="both"/>
        <w:rPr>
          <w:rFonts w:cs="Arial"/>
          <w:lang w:val="es-ES"/>
        </w:rPr>
      </w:pPr>
      <w:r w:rsidRPr="00526311">
        <w:rPr>
          <w:rFonts w:cs="Arial"/>
          <w:lang w:val="es-ES"/>
        </w:rPr>
        <w:t>la tercera Conferencia Internacional sobre los Pequeños Estados Insulares en Desarrollo (PEID), que tuvo lugar en Apia (Samoa), en septiembre de 2014.  La OMPI organizó una actividad paralela sobre conocimientos tradicionales y P.I. y concertó nueve acuerdos de colaboración en el marco de la plataforma de acción de los PEID, y también participó en el Grupo Interinstitucional Consultivo de cara a la aplicación del documento final de la Conferencia (Trayectoria de Samoa).</w:t>
      </w:r>
    </w:p>
    <w:p w:rsidR="00466D38" w:rsidRPr="00526311" w:rsidRDefault="00466D38" w:rsidP="00466D38">
      <w:pPr>
        <w:pStyle w:val="ListParagraph"/>
        <w:ind w:left="780"/>
        <w:jc w:val="both"/>
        <w:rPr>
          <w:rFonts w:cs="Arial"/>
          <w:lang w:val="es-ES"/>
        </w:rPr>
      </w:pPr>
    </w:p>
    <w:p w:rsidR="00466D38" w:rsidRPr="00526311" w:rsidRDefault="00466D38" w:rsidP="00466D38">
      <w:pPr>
        <w:pStyle w:val="ListParagraph"/>
        <w:numPr>
          <w:ilvl w:val="0"/>
          <w:numId w:val="73"/>
        </w:numPr>
        <w:contextualSpacing/>
        <w:jc w:val="both"/>
        <w:rPr>
          <w:rFonts w:cs="Arial"/>
          <w:lang w:val="es-ES"/>
        </w:rPr>
      </w:pPr>
      <w:r w:rsidRPr="00526311">
        <w:rPr>
          <w:rFonts w:cs="Arial"/>
          <w:lang w:val="es-ES"/>
        </w:rPr>
        <w:t xml:space="preserve"> el informe de 2014 del Grupo de Tareas sobre el desfase en el logro de los ODM.  Conforme a lo dispuesto en la recomendación 22 de la A.D., la OMPI colaboró con la OMC y la OMS en la sección del informe relacionada con el acceso a los medicamentos esenciales y asequibles.</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78"/>
        </w:numPr>
        <w:contextualSpacing/>
        <w:jc w:val="both"/>
        <w:rPr>
          <w:rFonts w:cs="Arial"/>
          <w:lang w:val="es-ES"/>
        </w:rPr>
      </w:pPr>
      <w:r w:rsidRPr="00526311">
        <w:rPr>
          <w:rFonts w:cs="Arial"/>
          <w:lang w:val="es-ES"/>
        </w:rPr>
        <w:t xml:space="preserve">la puesta en práctica de las conclusiones de la Cumbre Mundial sobre la Sociedad de la Información (CMSI) y el examen de 10 años de la aplicación y el seguimiento de los resultados de la CMSI en respuesta a la resolución 2013/9 del Consejo Económico y Social (ECOSOC).  Para dar seguimiento a la recomendación 24 de la A.D., la OMPI participó activamente en el Evento de Alto Nivel CMSI+10, celebrado en Ginebra, del 10 al 13 de junio de 2014, en cuya inauguración, el Director General pronunció un discurso.  En coordinación con los encargados del programa 3 tuvo lugar un taller en torno al tema </w:t>
      </w:r>
      <w:r w:rsidRPr="00526311">
        <w:rPr>
          <w:rFonts w:cs="Arial"/>
          <w:i/>
          <w:lang w:val="es-ES"/>
        </w:rPr>
        <w:t xml:space="preserve">“Media and the Internet” </w:t>
      </w:r>
      <w:r w:rsidRPr="00526311">
        <w:rPr>
          <w:rFonts w:cs="Arial"/>
          <w:lang w:val="es-ES"/>
        </w:rPr>
        <w:t xml:space="preserve">para la parte del foro de la cumbre.  La OMPI participó también activamente en el Foro </w:t>
      </w:r>
      <w:r w:rsidR="00353744" w:rsidRPr="00526311">
        <w:rPr>
          <w:rFonts w:cs="Arial"/>
          <w:lang w:val="es-ES"/>
        </w:rPr>
        <w:t>de</w:t>
      </w:r>
      <w:r w:rsidRPr="00526311">
        <w:rPr>
          <w:rFonts w:cs="Arial"/>
          <w:lang w:val="es-ES"/>
        </w:rPr>
        <w:t xml:space="preserve"> Gobernanza de Internet</w:t>
      </w:r>
      <w:r w:rsidR="00353744" w:rsidRPr="00526311">
        <w:rPr>
          <w:rFonts w:cs="Arial"/>
          <w:lang w:val="es-ES"/>
        </w:rPr>
        <w:t xml:space="preserve"> (IGF)</w:t>
      </w:r>
      <w:r w:rsidRPr="00526311">
        <w:rPr>
          <w:rFonts w:cs="Arial"/>
          <w:lang w:val="es-ES"/>
        </w:rPr>
        <w:t>.  Además, colaboró en la organización de dos talleres que tuvieron lugar durante</w:t>
      </w:r>
      <w:r w:rsidR="00353744" w:rsidRPr="00526311">
        <w:rPr>
          <w:rFonts w:cs="Arial"/>
          <w:lang w:val="es-ES"/>
        </w:rPr>
        <w:t xml:space="preserve"> el IGF</w:t>
      </w:r>
      <w:r w:rsidRPr="00526311">
        <w:rPr>
          <w:rFonts w:cs="Arial"/>
          <w:lang w:val="es-ES"/>
        </w:rPr>
        <w:t>, uno sobre las empresas creativas y otro sobre la creación y la protección de la cultura digital y el fomento del acceso a dicha cultura.</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 xml:space="preserve">A lo largo de 2014, la OMPI siguió reforzando sus vínculos de colaboración con las siguientes organizaciones intergubernamentales asociadas:  </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79"/>
        </w:numPr>
        <w:contextualSpacing/>
        <w:jc w:val="both"/>
        <w:rPr>
          <w:rFonts w:cs="Arial"/>
          <w:lang w:val="es-ES"/>
        </w:rPr>
      </w:pPr>
      <w:r w:rsidRPr="00526311">
        <w:rPr>
          <w:rFonts w:cs="Arial"/>
          <w:lang w:val="es-ES"/>
        </w:rPr>
        <w:lastRenderedPageBreak/>
        <w:t>En colaboración con los encargados de los programas 1, 2, 3, 4, 9, 17 y 18, los encargados del programa 20 velaron por la participación de la OMPI en el Consejo de los ADPIC, de la OMC, y coordinaron la participación de la OMPI en los talleres nacionales, regionales e internacionales de la OMC sobre varios temas, así como en el simposio que la OMC organizó los días 11 y 12 de junio en Ginebra, en torno al tema “</w:t>
      </w:r>
      <w:r w:rsidRPr="00526311">
        <w:rPr>
          <w:rFonts w:cs="Arial"/>
          <w:i/>
          <w:lang w:val="es-ES"/>
        </w:rPr>
        <w:t>Realizing Development Objectives of the IP System:  LDC Priority Needs for Technical and Financial Cooperation</w:t>
      </w:r>
      <w:r w:rsidRPr="00526311">
        <w:rPr>
          <w:rFonts w:cs="Arial"/>
          <w:lang w:val="es-ES"/>
        </w:rPr>
        <w:t>”.</w:t>
      </w:r>
    </w:p>
    <w:p w:rsidR="00466D38" w:rsidRPr="00526311" w:rsidRDefault="00466D38" w:rsidP="00466D38">
      <w:pPr>
        <w:pStyle w:val="ListParagraph"/>
        <w:jc w:val="both"/>
        <w:rPr>
          <w:rFonts w:cs="Arial"/>
          <w:lang w:val="es-ES"/>
        </w:rPr>
      </w:pPr>
    </w:p>
    <w:p w:rsidR="00466D38" w:rsidRPr="00526311" w:rsidRDefault="00466D38" w:rsidP="00466D38">
      <w:pPr>
        <w:pStyle w:val="ListParagraph"/>
        <w:numPr>
          <w:ilvl w:val="0"/>
          <w:numId w:val="79"/>
        </w:numPr>
        <w:contextualSpacing/>
        <w:jc w:val="both"/>
        <w:rPr>
          <w:rFonts w:cs="Arial"/>
          <w:lang w:val="es-ES"/>
        </w:rPr>
      </w:pPr>
      <w:r w:rsidRPr="00526311">
        <w:rPr>
          <w:rFonts w:cs="Arial"/>
          <w:lang w:val="es-ES"/>
        </w:rPr>
        <w:t>La cooperación con la OMS siguió siendo una gran prioridad en 2014.  A las actividades realizadas junto con los encargados de los programas 1, 14 y 18, en el marco de la colaboración trilateral OMPI-OMS-OMC, vino a sumarse la participación efectiva de la OMPI en otras reuniones e iniciativas de la OMC, así como en una serie de reuniones celebradas en el marco del programa de las NN.UU. sobre las enfermedades no contagiosas.  Con respecto a la recomendación 14, en el sentido de ofrecer asesoramiento a los países en desarrollo y PMA para la aplicación y la puesta en marcha de los derechos y obligaciones y el conocimiento y uso de las flexibilidades contempladas en el Acuerdo sobre los ADPIC, los encargados del programa 20, en colaboración con los sectores fundamentales de la OMPI, velaron por que las actividades emprendidas por la OMC y la OMS reflejarán esta recomendación.</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79"/>
        </w:numPr>
        <w:contextualSpacing/>
        <w:jc w:val="both"/>
        <w:rPr>
          <w:rFonts w:cs="Arial"/>
          <w:lang w:val="es-ES"/>
        </w:rPr>
      </w:pPr>
      <w:r w:rsidRPr="00526311">
        <w:rPr>
          <w:rFonts w:cs="Arial"/>
          <w:lang w:val="es-ES"/>
        </w:rPr>
        <w:t>En el marco del programa 20 se coordinó la participación de la OMPI en la vigesimoprimera reunión del Consejo Intergubernamental del Programa Hidrológico Internacional (UNESCO), que tuvo lugar en París, los días 18 a 20 de junio;  en la tercera Conferencia Internacional sobre la gestión de los recursos hídricos y el medio ambiente (ICWRE</w:t>
      </w:r>
      <w:r w:rsidRPr="00526311">
        <w:rPr>
          <w:rFonts w:cs="Arial"/>
          <w:lang w:val="es-ES"/>
        </w:rPr>
        <w:noBreakHyphen/>
        <w:t xml:space="preserve">2014), celebrada en Antalya, del 13 al 15 de mayo, y en la actividad paralela, organizada con el Programa Hidrológico Internacional durante la </w:t>
      </w:r>
      <w:r w:rsidRPr="00526311">
        <w:rPr>
          <w:rFonts w:cs="Arial"/>
          <w:i/>
          <w:lang w:val="es-ES"/>
        </w:rPr>
        <w:t>World Water Week</w:t>
      </w:r>
      <w:r w:rsidRPr="00526311">
        <w:rPr>
          <w:rFonts w:cs="Arial"/>
          <w:lang w:val="es-ES"/>
        </w:rPr>
        <w:t xml:space="preserve"> que tuvo lugar en Estocolmo, del 31 de agosto al 6 de septiembre.</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79"/>
        </w:numPr>
        <w:contextualSpacing/>
        <w:jc w:val="both"/>
        <w:rPr>
          <w:rFonts w:cs="Arial"/>
          <w:lang w:val="es-ES"/>
        </w:rPr>
      </w:pPr>
      <w:r w:rsidRPr="00526311">
        <w:rPr>
          <w:rFonts w:cs="Arial"/>
          <w:lang w:val="es-ES"/>
        </w:rPr>
        <w:t>En colaboración con la UNCTAD, la Oficina de las Naciones Unidas en Ginebra, el Centro de Comercio Internacional (CCI), el</w:t>
      </w:r>
      <w:r w:rsidR="00353744" w:rsidRPr="00526311">
        <w:rPr>
          <w:rFonts w:cs="Arial"/>
          <w:lang w:val="es-ES"/>
        </w:rPr>
        <w:t xml:space="preserve"> Departamento de Desarrollo Económico del Cantón de Ginebra, </w:t>
      </w:r>
      <w:r w:rsidRPr="00526311">
        <w:rPr>
          <w:rFonts w:cs="Arial"/>
          <w:lang w:val="es-ES"/>
        </w:rPr>
        <w:t xml:space="preserve">la Universidad de Ginebra y la </w:t>
      </w:r>
      <w:r w:rsidRPr="00526311">
        <w:rPr>
          <w:rFonts w:cs="Arial"/>
          <w:i/>
          <w:lang w:val="es-ES"/>
        </w:rPr>
        <w:t>Fédération des Entreprises Romandes</w:t>
      </w:r>
      <w:r w:rsidRPr="00526311">
        <w:rPr>
          <w:rFonts w:cs="Arial"/>
          <w:lang w:val="es-ES"/>
        </w:rPr>
        <w:t xml:space="preserve"> (FER), la OMPI participó activamente en la Semana Mundial del Espíritu Empresarial de Ginebra y se encargó, en ese marco, de organizar toda una serie de eventos y sesiones de formación.  Se hizo particular hincapié en el fomento de la innovación, los empresarios jóvenes y la organización de sesiones de información sobre las patentes, las pymes y la P.I. (Apoyo de las recomendaciones 4, 11 y 40 de la A.D. y las actividades de los programas 11, 14 y 30).</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0"/>
        </w:numPr>
        <w:contextualSpacing/>
        <w:jc w:val="both"/>
        <w:rPr>
          <w:rFonts w:cs="Arial"/>
          <w:lang w:val="es-ES"/>
        </w:rPr>
      </w:pPr>
      <w:r w:rsidRPr="00526311">
        <w:rPr>
          <w:rFonts w:cs="Arial"/>
          <w:lang w:val="es-ES"/>
        </w:rPr>
        <w:t>La cooperación con otros organismos especializados de las NN.UU., en particular, la UIT, la UNESCO, la ONUDI y la UNCTAD siguió siendo un medio de apoyo mutuo y contribuyó a lograr los resultados previstos de la OMPI y la puesta en práctica de la Agenda de la OMPI para el Desarrollo.</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 xml:space="preserve">En 2014 prosiguieron las iniciativas de la OMPI para fomentar los vínculos de colaboración y movilizar contribuciones financieras voluntarias para proyectos de P.I., lo que ilustra la verdadera y permanente incorporación de la recomendación 2 de la A.D. en las actividades del programa.  Una parte importante de dicha labor consiste en prestar asesoramiento y orientación en relación con proyectos de la OMPI como WIPO GREEN, </w:t>
      </w:r>
      <w:r w:rsidR="00526311" w:rsidRPr="00526311">
        <w:rPr>
          <w:rFonts w:cs="Arial"/>
          <w:i/>
          <w:lang w:val="es-ES"/>
        </w:rPr>
        <w:t>WIPO Re:Search</w:t>
      </w:r>
      <w:r w:rsidRPr="00526311">
        <w:rPr>
          <w:rFonts w:cs="Arial"/>
          <w:lang w:val="es-ES"/>
        </w:rPr>
        <w:t xml:space="preserve"> y el Consorcio ABC para dar con donantes potenciales y elaborar estrategias de establecimiento de vínculos de colaboración y captación de apoyo financiero.  Además, en junio de 2014, en colaboración con el Pacto Mundial de las Naciones Unidas y en estrecha cooperación con la Oficina de Propiedad Intelectual de Etiopía, se organizó una misión sobre el terreno a una fábrica de café de la </w:t>
      </w:r>
      <w:r w:rsidR="00353744" w:rsidRPr="00526311">
        <w:rPr>
          <w:rFonts w:cs="Arial"/>
          <w:lang w:val="es-ES"/>
        </w:rPr>
        <w:t xml:space="preserve">Cooperativa </w:t>
      </w:r>
      <w:r w:rsidRPr="00526311">
        <w:rPr>
          <w:rFonts w:cs="Arial"/>
          <w:lang w:val="es-ES"/>
        </w:rPr>
        <w:t xml:space="preserve">de </w:t>
      </w:r>
      <w:r w:rsidR="00353744" w:rsidRPr="00526311">
        <w:rPr>
          <w:rFonts w:cs="Arial"/>
          <w:lang w:val="es-ES"/>
        </w:rPr>
        <w:t xml:space="preserve">Agricultores </w:t>
      </w:r>
      <w:r w:rsidRPr="00526311">
        <w:rPr>
          <w:rFonts w:cs="Arial"/>
          <w:lang w:val="es-ES"/>
        </w:rPr>
        <w:t xml:space="preserve">de </w:t>
      </w:r>
      <w:r w:rsidR="00353744" w:rsidRPr="00526311">
        <w:rPr>
          <w:rFonts w:cs="Arial"/>
          <w:lang w:val="es-ES"/>
        </w:rPr>
        <w:t xml:space="preserve">Café </w:t>
      </w:r>
      <w:r w:rsidRPr="00526311">
        <w:rPr>
          <w:rFonts w:cs="Arial"/>
          <w:lang w:val="es-ES"/>
        </w:rPr>
        <w:t>de Oromia como parte de la conferencia anual de coordinadores del sector privado de las Naciones Unidas, celebrada en Addis Abeba.  Durante la visita se analizaron medios por los que la P.I. y los vínculos de colaboración pueden fomentar el desarrollo.</w:t>
      </w:r>
    </w:p>
    <w:p w:rsidR="00466D38" w:rsidRPr="00526311" w:rsidRDefault="00466D38" w:rsidP="00466D38">
      <w:pPr>
        <w:jc w:val="both"/>
        <w:rPr>
          <w:rFonts w:eastAsia="Times New Roman"/>
          <w:sz w:val="20"/>
        </w:rPr>
      </w:pPr>
    </w:p>
    <w:p w:rsidR="00466D38" w:rsidRPr="00526311" w:rsidRDefault="00466D38" w:rsidP="00466D38">
      <w:pPr>
        <w:pStyle w:val="ListParagraph"/>
        <w:keepNext/>
        <w:tabs>
          <w:tab w:val="left" w:pos="709"/>
        </w:tabs>
        <w:ind w:left="0"/>
        <w:jc w:val="both"/>
        <w:rPr>
          <w:rFonts w:eastAsia="SimSun" w:cs="Arial"/>
          <w:iCs/>
          <w:lang w:val="es-ES" w:eastAsia="zh-CN"/>
        </w:rPr>
      </w:pPr>
      <w:r w:rsidRPr="00526311">
        <w:rPr>
          <w:rFonts w:eastAsia="SimSun" w:cs="Arial"/>
          <w:iCs/>
          <w:lang w:val="es-ES" w:eastAsia="zh-CN"/>
        </w:rPr>
        <w:t>RELACIONES CON LAS ONG Y LA INDUSTRIA</w:t>
      </w:r>
    </w:p>
    <w:p w:rsidR="00466D38" w:rsidRPr="00526311" w:rsidRDefault="00466D38" w:rsidP="00466D38">
      <w:pPr>
        <w:pStyle w:val="ListParagraph"/>
        <w:keepNext/>
        <w:tabs>
          <w:tab w:val="left" w:pos="709"/>
        </w:tabs>
        <w:ind w:left="0"/>
        <w:jc w:val="both"/>
        <w:rPr>
          <w:rFonts w:eastAsia="SimSun" w:cs="Arial"/>
          <w:iCs/>
          <w:lang w:val="es-ES" w:eastAsia="zh-CN"/>
        </w:rPr>
      </w:pPr>
    </w:p>
    <w:p w:rsidR="00466D38" w:rsidRPr="00526311" w:rsidRDefault="00466D38" w:rsidP="00466D38">
      <w:pPr>
        <w:pStyle w:val="ListParagraph"/>
        <w:keepNext/>
        <w:numPr>
          <w:ilvl w:val="0"/>
          <w:numId w:val="81"/>
        </w:numPr>
        <w:tabs>
          <w:tab w:val="left" w:pos="709"/>
        </w:tabs>
        <w:ind w:left="0" w:firstLine="0"/>
        <w:contextualSpacing/>
        <w:jc w:val="both"/>
        <w:rPr>
          <w:rFonts w:cs="Arial"/>
          <w:lang w:val="es-ES"/>
        </w:rPr>
      </w:pPr>
      <w:r w:rsidRPr="00526311">
        <w:rPr>
          <w:rFonts w:cs="Arial"/>
          <w:lang w:val="es-ES"/>
        </w:rPr>
        <w:t xml:space="preserve">A lo largo de 2014 prosiguió la labor para garantizar la participación activa de instancias no gubernamentales interesadas en los programas de la OMPI.  La Organización llevó a cabo intensas campañas de difusión y organizó actividades para favorecer debates más eficaces con los representantes de la sociedad civil, incluidos, en particular, debates acerca de la A.D. de la OMPI, conforme a lo dispuesto en la recomendación 42 de la A.D.  En 2014, la OMPI fue anfitriona de la tercera reunión anual que celebra el Director General exclusivamente con ONG acreditadas, continuando así una valiosa tradición de colaboración abierta, transparente y dinámica para abordar la labor y los logros </w:t>
      </w:r>
      <w:r w:rsidRPr="00526311">
        <w:rPr>
          <w:rFonts w:cs="Arial"/>
          <w:lang w:val="es-ES"/>
        </w:rPr>
        <w:lastRenderedPageBreak/>
        <w:t>de la OMPI.  Además, la OMPI contribuyó a establecer varios foros por conducto de los cuales fomentó la participación y la cooperación con partes interesadas nos gubernamentales, entre otras cosas, en talleres y seminarios, consultas sobre proyectos específicos y actividades paralelas.</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eastAsia="SimSun" w:cs="Arial"/>
          <w:iCs/>
          <w:lang w:val="es-ES" w:eastAsia="zh-CN"/>
        </w:rPr>
      </w:pPr>
      <w:r w:rsidRPr="00526311">
        <w:rPr>
          <w:rFonts w:cs="Arial"/>
          <w:lang w:val="es-ES"/>
        </w:rPr>
        <w:t>Cabe destacar que, tras el hito que supuso la adopción del Tratado de Marrakech sobre los discapacitados visuales en 2013, la OMPI inició una serie de seminarios bajo el lema “De la política a la práctica:  velar por la aplicación del Tratado de Marrakech para las personas con discapacidad visual, y por la disponibilidad de libros en formato accesible” para ofrecer orientación y fomentar una toma de conciencia entre todas las partes interesadas acerca de las disposiciones del tratado y las iniciativas prácticas en colaboración con múltiples partes interesadas, encaminadas a aumentar la disponibilidad de libros en formato accesible, como el Consorcio de Libros Accesibles.  Por medio de esas y otras iniciativas, la OMPI demostró que sigue determinada en promover oportunidades y reforzar las medidas encaminadas a garantizar una amplia participación de la sociedad civil en sus actividades.</w:t>
      </w:r>
    </w:p>
    <w:p w:rsidR="00466D38" w:rsidRPr="00526311" w:rsidRDefault="00466D38" w:rsidP="00466D38">
      <w:pPr>
        <w:jc w:val="both"/>
        <w:rPr>
          <w:rFonts w:eastAsia="Times New Roman"/>
          <w:sz w:val="20"/>
        </w:rPr>
      </w:pPr>
    </w:p>
    <w:p w:rsidR="00466D38" w:rsidRPr="00526311" w:rsidRDefault="00466D38" w:rsidP="00466D38">
      <w:pPr>
        <w:jc w:val="both"/>
        <w:rPr>
          <w:rFonts w:eastAsia="Times New Roman"/>
          <w:sz w:val="20"/>
        </w:rPr>
      </w:pPr>
      <w:r w:rsidRPr="00526311">
        <w:rPr>
          <w:rFonts w:eastAsia="Times New Roman"/>
          <w:sz w:val="20"/>
        </w:rPr>
        <w:t>OFICINAS EN EL EXTERIOR</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La red de oficinas de la OMPI en el exterior siguió formando parte integrante de la Organización, con la finalidad de acercar los servicios y la cooperación de la OMPI a los Estados miembros, las partes interesadas y los asociados, en aras de una mayor eficacia en la ejecución de los programas y de responder a las necesidades y prioridades específicas de los países y/o regiones en los que operan.  En 2014, la red aumentó a cinco oficinas a raíz de la apertura de las Oficinas de la OMPI en China (OOC) y en la Federación de Rusia (OOR).</w:t>
      </w:r>
    </w:p>
    <w:p w:rsidR="00466D38" w:rsidRPr="00526311" w:rsidRDefault="00466D38" w:rsidP="00466D38">
      <w:pPr>
        <w:jc w:val="both"/>
        <w:rPr>
          <w:rFonts w:eastAsia="Times New Roman"/>
          <w:sz w:val="20"/>
        </w:rPr>
      </w:pPr>
    </w:p>
    <w:p w:rsidR="00466D38" w:rsidRPr="00526311" w:rsidRDefault="00466D38" w:rsidP="00466D38">
      <w:pPr>
        <w:jc w:val="both"/>
        <w:rPr>
          <w:rFonts w:eastAsia="Times New Roman"/>
          <w:sz w:val="20"/>
          <w:u w:val="single"/>
        </w:rPr>
      </w:pPr>
      <w:r w:rsidRPr="00526311">
        <w:rPr>
          <w:rFonts w:eastAsia="Times New Roman"/>
          <w:sz w:val="20"/>
          <w:u w:val="single"/>
        </w:rPr>
        <w:t>Oficina de la OMPI en el Brasil (OOB)</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Durante el año, la OOB prestó particular atención a la consolidación de las capacidades nacionales y promover el uso de los servicios de la OMPI.  Para respaldar la labor del Instituto Nacional de Propiedad Industrial (INPI), que ha definido, entre otras de sus prioridades, la de mejorar la productividad y la eficacia, la OOB prestó asistencia en la organización de actividades de creación de capacidad en el ámbito del examen de solicitudes de patente.  Ejemplo de ello fue la colaboración mantenida con la Confederación Nacional de Industrias para organizar una serie de talleres con la finalidad de informar acerca de iniciativas internacionales que están en curso, centradas en la colaboración en el examen de solicitudes de patente.</w:t>
      </w:r>
    </w:p>
    <w:p w:rsidR="00466D38" w:rsidRPr="00526311" w:rsidRDefault="00466D38" w:rsidP="00466D38">
      <w:pPr>
        <w:pStyle w:val="ListParagraph"/>
        <w:tabs>
          <w:tab w:val="left" w:pos="709"/>
        </w:tabs>
        <w:ind w:left="0"/>
        <w:jc w:val="both"/>
        <w:rPr>
          <w:rFonts w:cs="Arial"/>
          <w:lang w:val="es-ES"/>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La Oficina dedicó esfuerzos considerables a colaborar con otras partes interesadas en el Brasil para fomentar una toma de conciencia acerca de los beneficios de la protección de la P.I. y la importancia de la comercialización de los activos de P.I.  A ese respecto, colaboró estrechamente con la Asociación Nacional de Investigación y Desarrollo de Empresas Innovadoras (ANPEI) y fue invitada a participar en dos comités creados por esta última, uno de ellos centrado en el fomento de la innovación y otro, dedicado a la P.I.  Fue una valiosa plataforma para poner de relieve la importancia del PCT y explicar sus procedimientos.</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El fondo fiduciario del Brasil para respaldar la cooperación Sur</w:t>
      </w:r>
      <w:r w:rsidRPr="00526311">
        <w:rPr>
          <w:rFonts w:cs="Arial"/>
          <w:lang w:val="es-ES"/>
        </w:rPr>
        <w:noBreakHyphen/>
        <w:t>Sur, establecido en 2012 y dirigido por la OOB, siguió ofreciendo a la Oficina importantes oportunidades para fomentar iniciativas, en particular, en la esfera de la transferencia de tecnología y la comercialización de la P.I.  En el seminario regional sobre P.I. y transferencia de tecnología celebrado en el Uruguay, en el mes de diciembre, se dieron cita representantes de varios países (Argentina, Brasil, Chile, Paraguay y Uruguay), lo que fue una oportunidad para intercambiar información y conocimientos técnicos en las esferas de formulación de estrategias nacionales e institucionales de P.I y desarrollo de medios estratégicos para fomentar la innovación.  Gracias al fondo fiduciario pudieron organizarse programas de formación en varias regiones del Brasil, lo que se tradujo en un aumento de la capacidad local en negociación de licencias tecnológicas y redacción de solicitudes de patente.</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La OOB colaboró con asociados locales y de las NN.UU. del Brasil en cuestiones de interés mutuo como medio de explotar y maximizar los recursos y progresar en el mandato que se le ha encomendado.  En colaboración con el PNUD y el organismo de innovación en el Brasil se emprendió un proyecto para formar negociadores en cuestiones relativas a la tecnología y el desarrollo.  En relación con la promoción de las plataformas de la OMPI, la Oficina colaboró con la Asociación</w:t>
      </w:r>
      <w:r w:rsidR="00353744" w:rsidRPr="00526311">
        <w:rPr>
          <w:rFonts w:cs="Arial"/>
          <w:lang w:val="es-ES"/>
        </w:rPr>
        <w:t xml:space="preserve"> Nacional</w:t>
      </w:r>
      <w:r w:rsidRPr="00526311">
        <w:rPr>
          <w:rFonts w:cs="Arial"/>
          <w:lang w:val="es-ES"/>
        </w:rPr>
        <w:t xml:space="preserve"> Brasileña de Gestores de Transferencia Tecnológica (FORTEC) en torno a WIPO GREEN, lo que se prevé se traduzca en 2015 en la introducción de las primeras entradas en la base de datos.</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lastRenderedPageBreak/>
        <w:t>Además, la OOB centró su atención en 2014 en las ventajas económicas que confieren las indicaciones geográficas y las ventajas de la protección de los diseños.  En octubre, la OOB contribuyó a organizar un seminario internacional en cuyo marco se debatieron las ventajas económicas y sociales de las indicaciones geográficas y las marcas colectivas  para el desarrollo nacional, en particular para el sector de las empresas agrícolas.  Más adelante, ese mismo año, la Oficina organizó otro seminario internacional, que en esa oportunidad, se centró en la protección de los diseños industriales como herramienta al servicio de la competitividad de las empresas.</w:t>
      </w:r>
    </w:p>
    <w:p w:rsidR="00466D38" w:rsidRPr="00526311" w:rsidRDefault="00466D38" w:rsidP="00466D38">
      <w:pPr>
        <w:jc w:val="both"/>
        <w:rPr>
          <w:rFonts w:eastAsia="Times New Roman"/>
          <w:sz w:val="20"/>
        </w:rPr>
      </w:pPr>
    </w:p>
    <w:p w:rsidR="00466D38" w:rsidRPr="00526311" w:rsidRDefault="00466D38" w:rsidP="00466D38">
      <w:pPr>
        <w:jc w:val="both"/>
        <w:rPr>
          <w:rFonts w:eastAsia="Times New Roman"/>
          <w:sz w:val="20"/>
          <w:u w:val="single"/>
        </w:rPr>
      </w:pPr>
      <w:r w:rsidRPr="00526311">
        <w:rPr>
          <w:rFonts w:eastAsia="Times New Roman"/>
          <w:sz w:val="20"/>
          <w:u w:val="single"/>
        </w:rPr>
        <w:t>Oficina de la OMPI en China (OOC)</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La OOC se inauguró en julio de 2014 y durante el segundo semestre del año se dedicó a sentar cimientos y consolidar su estructura administrativa.  A ese respecto, estableció lazos de cooperación estrecha con el país anfitrión, en particular, con el Ministerio de Relaciones Exteriores, la Oficina Estatal de Propiedad Intelectual (SIPO), la Administración Estatal de Industria y Comercio (SAIC), la Administración Nacional de Derecho de Autor (NCAC) y el Gobierno Municipal de Beijing, lo que facilitó en gran medida la capacidad de la oficina para empezar a ser operativa.</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En 2014, China fue el tercer y séptimo usuario más importante de los Sistemas del PCT y Madrid, respectivamente, por lo que, desde sus inicios, una prioridad de la Oficina fue promover los servicios de la OMPI en el mercado de China.  Se organizaron eventos en Beijing y sus alrededores y en otras regiones, destinadas a los usuarios de los servicios de la OMPI.  Una ventaja adicional de esas iniciativas fue el establecimiento de vínculos de colaboración con la industria y otras partes interesadas, que serán importantes para que la Oficina amplíe su alcance para dar cabida a los usuarios de las demás regiones de China en 2015.</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2014 será recordado como año en el que China ratificó el Tratado de Beijing sobre Interpretaciones y Ejecuciones Audiovisuales.  De ahí que, en el ámbito de la cultura y las industrias creativas, la Oficina centrara sus esfuerzos en el fomento del Tratado de Marrakech.  En colaboración con la NCAC, en diciembre la Oficina organizó una mesa redonda con asistencia de funcionarios de las universidades y el Gobierno y en cuyo marco se examinó la posibilidad de adhesión y los pasos preparatorios.</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En lo que se refiere a los diseños industriales, la Oficina no tardó en ponerse en marcha para respaldar la intención de China de adherirse al Sistema de La Haya.  Se inició el diálogo con altos funcionarios legislativos y la Oficina participó en un simposio internacional y en un seminario sobre diseños industriales, aprovechando esas oportunidades para poner de relieve las ventajas y la naturaleza del sistema.</w:t>
      </w:r>
    </w:p>
    <w:p w:rsidR="00466D38" w:rsidRPr="00526311" w:rsidRDefault="00466D38" w:rsidP="00466D38">
      <w:pPr>
        <w:pStyle w:val="ListParagraph"/>
        <w:tabs>
          <w:tab w:val="left" w:pos="709"/>
        </w:tabs>
        <w:ind w:left="0"/>
        <w:jc w:val="both"/>
        <w:rPr>
          <w:rFonts w:cs="Arial"/>
          <w:lang w:val="es-ES"/>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La Oficina siguió participando durante el año en varias iniciativas adicionales.  Avanzaron los debates con la SAIC respecto de la cooperación con China en el intercambio de datos en relación con la base de datos mundial sobre marcas.  La Oficina siguió promoviendo las plataformas de la OMPI y cabe destacar que el Grupo Haier (uno de los mayores fabricantes de aparatos electrónicos del mundo), empezó a colaborar con WIPO GREEN tras la inauguración de la Oficina.  Al mismo tiempo, la Oficina inició actividades encaminadas a darse a conocer y fomentar la importancia de la P.I. y la innovación para el desarrollo de China.  Ejemplos destacados a ese respecto fueron la 16ª</w:t>
      </w:r>
      <w:r w:rsidRPr="00526311">
        <w:rPr>
          <w:rFonts w:cs="Arial"/>
          <w:vertAlign w:val="superscript"/>
          <w:lang w:val="es-ES"/>
        </w:rPr>
        <w:t xml:space="preserve"> </w:t>
      </w:r>
      <w:r w:rsidRPr="00526311">
        <w:rPr>
          <w:rFonts w:cs="Arial"/>
          <w:lang w:val="es-ES"/>
        </w:rPr>
        <w:t>ceremonia de concesión de galardones OMPI-SIPO para recompensar la mejor invención patentada y mejor diseño industrial chino y la octava edición de la Feria Internacional de Invenciones (ITIK 2014) organizada por la Asociación de Inventores de China, en la que la Oficina hizo también entrega de premios de la OMPI.</w:t>
      </w:r>
    </w:p>
    <w:p w:rsidR="00466D38" w:rsidRPr="00526311" w:rsidRDefault="00466D38" w:rsidP="00466D38">
      <w:pPr>
        <w:jc w:val="both"/>
        <w:rPr>
          <w:rFonts w:eastAsia="Times New Roman"/>
          <w:sz w:val="20"/>
        </w:rPr>
      </w:pPr>
    </w:p>
    <w:p w:rsidR="00466D38" w:rsidRPr="00526311" w:rsidRDefault="00466D38" w:rsidP="00466D38">
      <w:pPr>
        <w:jc w:val="both"/>
        <w:rPr>
          <w:rFonts w:eastAsia="Times New Roman"/>
          <w:sz w:val="20"/>
          <w:u w:val="single"/>
        </w:rPr>
      </w:pPr>
      <w:r w:rsidRPr="00526311">
        <w:rPr>
          <w:rFonts w:eastAsia="Times New Roman"/>
          <w:sz w:val="20"/>
          <w:u w:val="single"/>
        </w:rPr>
        <w:t>Oficina de la OMPI en el Japón (OOJ)</w:t>
      </w:r>
    </w:p>
    <w:p w:rsidR="00466D38" w:rsidRPr="00526311" w:rsidRDefault="00466D38" w:rsidP="00466D38">
      <w:pPr>
        <w:jc w:val="both"/>
        <w:rPr>
          <w:rFonts w:eastAsia="Times New Roman"/>
          <w:sz w:val="20"/>
          <w:u w:val="single"/>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Durante el año, la OOJ siguió centrando su atención en los servicios de P.I. de la OMPI en el mercado japonés.  Se trató, entre otras cosas, de prestar servicios puntuales y eficaces a los usuarios de dichos sistemas.  Por un lado, eso entrañó prestar asesoramiento y suministrar información en respuesta a las cerca de 700 consultas recibidas por la Oficina a lo largo del año por parte de usuarios y otras partes interesadas en el Japón,  Por otra parte, entrañó llevar a cabo actividades para usuarios de los servicios de la OMPI y otras partes interesadas, colaborando estrechamente y con el apoyo de instituciones gubernamentales del país anfitrión así como con la industria y las universidades japonesas.  Con ese fin se llevaron a cabo actividades de difusión, entre otras, 27 ponencias destinadas a importantes partes interesadas, con la participación de 4.200 personas aproximadamente.</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lastRenderedPageBreak/>
        <w:t>Durante el año, la Oficina centró también su labor en dar a conocer más ampliamente la OMPI y sus actividades.  Eso se logró mediante la celebración de numerosas reuniones y eventos con partes interesadas del país y publicando en el sitio web de la OOJ, la versión en japonés de información clave de la OMPI.  La OOJ siguió desempeñando una función clave en la atención al cliente las 24 horas del día de la OMPI.</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 xml:space="preserve">La OOJ se movilizó para promover las plataformas de la OMPI.  Fruto de esos esfuerzos es la adición de otro instituto japonés como asociado de WIPO GREEN.  La OOJ realizó también campañas de fomento de WIPO GREEN y </w:t>
      </w:r>
      <w:r w:rsidR="00526311" w:rsidRPr="00526311">
        <w:rPr>
          <w:rFonts w:cs="Arial"/>
          <w:i/>
          <w:lang w:val="es-ES"/>
        </w:rPr>
        <w:t>WIPO Re:Search</w:t>
      </w:r>
      <w:r w:rsidRPr="00526311">
        <w:rPr>
          <w:rFonts w:cs="Arial"/>
          <w:lang w:val="es-ES"/>
        </w:rPr>
        <w:t xml:space="preserve"> entre usuarios interesados del Japón, lo que se tradujo en un aumento de las entradas en WIPO GREEN.</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 xml:space="preserve">El Fondo Fiduciario del Japón siguió ofreciendo a la OOJ importantes oportunidades para realizar actividades en Asia y el Pacífico con miras al fortalecimiento de capacidades en la región en materia de P.I.  La Oficina realizó cuatro ponencias en la base de datos de </w:t>
      </w:r>
      <w:r w:rsidRPr="00526311">
        <w:rPr>
          <w:rFonts w:cs="Arial"/>
          <w:i/>
          <w:lang w:val="es-ES"/>
        </w:rPr>
        <w:t>IP Advantage</w:t>
      </w:r>
      <w:r w:rsidRPr="00526311">
        <w:rPr>
          <w:rFonts w:cs="Arial"/>
          <w:lang w:val="es-ES"/>
        </w:rPr>
        <w:t xml:space="preserve"> con ejemplos de cómo funciona la P.I. para el desarrollo en el mundo real y la oficina organizó tres talleres para intercambiar experiencias sobre casos de utilización eficaz de la P.I. en los países en desarrollo, en los que participaron unas 70 personas procedentes de países en desarrollo.</w:t>
      </w:r>
    </w:p>
    <w:p w:rsidR="00466D38" w:rsidRPr="00526311" w:rsidRDefault="00466D38" w:rsidP="00466D38">
      <w:pPr>
        <w:jc w:val="both"/>
        <w:rPr>
          <w:rFonts w:eastAsia="Times New Roman"/>
          <w:sz w:val="20"/>
        </w:rPr>
      </w:pPr>
    </w:p>
    <w:p w:rsidR="00466D38" w:rsidRPr="00526311" w:rsidRDefault="00466D38" w:rsidP="00466D38">
      <w:pPr>
        <w:keepNext/>
        <w:jc w:val="both"/>
        <w:rPr>
          <w:rFonts w:eastAsia="Times New Roman"/>
          <w:sz w:val="20"/>
          <w:u w:val="single"/>
        </w:rPr>
      </w:pPr>
      <w:r w:rsidRPr="00526311">
        <w:rPr>
          <w:rFonts w:eastAsia="Times New Roman"/>
          <w:sz w:val="20"/>
          <w:u w:val="single"/>
        </w:rPr>
        <w:t>Oficina de la OMPI en la Federación de Rusia (OOR)</w:t>
      </w:r>
    </w:p>
    <w:p w:rsidR="00466D38" w:rsidRPr="00526311" w:rsidRDefault="00466D38" w:rsidP="00466D38">
      <w:pPr>
        <w:keepNext/>
        <w:jc w:val="both"/>
        <w:rPr>
          <w:rFonts w:eastAsia="Times New Roman"/>
          <w:sz w:val="20"/>
        </w:rPr>
      </w:pPr>
    </w:p>
    <w:p w:rsidR="00466D38" w:rsidRPr="00526311" w:rsidRDefault="00466D38" w:rsidP="00466D38">
      <w:pPr>
        <w:pStyle w:val="ListParagraph"/>
        <w:keepNext/>
        <w:numPr>
          <w:ilvl w:val="0"/>
          <w:numId w:val="81"/>
        </w:numPr>
        <w:tabs>
          <w:tab w:val="left" w:pos="709"/>
        </w:tabs>
        <w:ind w:left="0" w:firstLine="0"/>
        <w:contextualSpacing/>
        <w:jc w:val="both"/>
        <w:rPr>
          <w:rFonts w:cs="Arial"/>
          <w:lang w:val="es-ES"/>
        </w:rPr>
      </w:pPr>
      <w:r w:rsidRPr="00526311">
        <w:rPr>
          <w:rFonts w:cs="Arial"/>
          <w:lang w:val="es-ES"/>
        </w:rPr>
        <w:t xml:space="preserve">La OOR fue inaugurada en julio y, como en el caso de la OOC, durante el segundo semestre del año, centró sus esfuerzos en sentar cimientos y consolidar su estructura administrativa.  A ese respecto, se establecieron estrechos lazos de cooperación con el país anfitrión, en particular con el Servicio Federal de Propiedad Intelectual (ROSPATENT) y el Consejo de la Federación de la Asamblea Federal de la Federación de Rusia, el Tribunal de Derechos de Propiedad Intelectual y la Academia Estatal Rusa de Propiedad Intelectual (RGAIS).  Gracias a esa colaboración, la Oficina pasó a ser operativa rápidamente.  La primera prioridad de las actividades de la OOR fue dar a conocer los servicios de la OMPI en el mercado ruso.  A ese respecto, la Oficina participó en varios eventos nacionales organizados por ROSPATENT y la OMPI así como en iniciativas de capacitación en Moscú y otras ciudades, centradas en el fomento del PCT y los Sistemas de Madrid y </w:t>
      </w:r>
      <w:r w:rsidR="006147F4" w:rsidRPr="00526311">
        <w:rPr>
          <w:rFonts w:cs="Arial"/>
          <w:lang w:val="es-ES"/>
        </w:rPr>
        <w:t xml:space="preserve">de </w:t>
      </w:r>
      <w:r w:rsidRPr="00526311">
        <w:rPr>
          <w:rFonts w:cs="Arial"/>
          <w:lang w:val="es-ES"/>
        </w:rPr>
        <w:t xml:space="preserve">La Haya.  Esos encuentros fueron una oportunidad para ayudar a la Federación de Rusia a crear una red de CATI, aumentar la capacidad de las universidades y las instituciones de investigación locales con respecto al desarrollo de políticas de P.I. y dar a conocer mejor el sistema internacional de P.I.  Esos foros fueron también una oportunidad para tender puentes entre la OOR recientemente creada y otras partes interesadas, como la Cámara de Industria y Comercio, con la que la Oficina espera colaborar estrechamente en el futuro, al tiempo de responder al desafío de llevar a cabo actividades en las muchas y distantes regiones rusas </w:t>
      </w:r>
    </w:p>
    <w:p w:rsidR="00466D38" w:rsidRPr="00526311" w:rsidRDefault="00466D38" w:rsidP="00466D38">
      <w:pPr>
        <w:jc w:val="both"/>
        <w:rPr>
          <w:rFonts w:eastAsia="Times New Roman"/>
          <w:sz w:val="20"/>
        </w:rPr>
      </w:pPr>
    </w:p>
    <w:p w:rsidR="00466D38" w:rsidRPr="00526311" w:rsidRDefault="00466D38" w:rsidP="00466D38">
      <w:pPr>
        <w:jc w:val="both"/>
        <w:rPr>
          <w:rFonts w:eastAsia="Times New Roman"/>
          <w:sz w:val="20"/>
          <w:u w:val="single"/>
        </w:rPr>
      </w:pPr>
      <w:r w:rsidRPr="00526311">
        <w:rPr>
          <w:rFonts w:eastAsia="Times New Roman"/>
          <w:sz w:val="20"/>
          <w:u w:val="single"/>
        </w:rPr>
        <w:t>Oficina de la OMPI en Singapur (OOS)</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 xml:space="preserve">La OOS continuó reforzando su función de centro de servicios de la OMPI y foro regional de P.I para los Estados miembros, las organizaciones internacionales, las ONG y las empresas en la región.  La Oficina trabajó para promover los servicios mundiales de la OMPI y resultó alentador que a lo largo de la ASEAN hubiera un aumento del 8% entre 2013 y 2014 en el número de solicitudes PCT y un aumento del 4% en el número de solicitudes de registro de marcas en virtud del </w:t>
      </w:r>
      <w:r w:rsidR="00DF7826" w:rsidRPr="00526311">
        <w:rPr>
          <w:rFonts w:cs="Arial"/>
          <w:lang w:val="es-ES"/>
        </w:rPr>
        <w:t>Sistema de Madrid</w:t>
      </w:r>
      <w:r w:rsidRPr="00526311">
        <w:rPr>
          <w:rFonts w:cs="Arial"/>
          <w:lang w:val="es-ES"/>
        </w:rPr>
        <w:t xml:space="preserve"> en ese mismo intervalo.</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 xml:space="preserve">Mediante la organización y participación en eventos junto con numerosos asociados como el foro Asian Legal Business (ALB), cámaras de </w:t>
      </w:r>
      <w:r w:rsidR="006147F4" w:rsidRPr="00526311">
        <w:rPr>
          <w:rFonts w:cs="Arial"/>
          <w:lang w:val="es-ES"/>
        </w:rPr>
        <w:t xml:space="preserve">Comercio </w:t>
      </w:r>
      <w:r w:rsidRPr="00526311">
        <w:rPr>
          <w:rFonts w:cs="Arial"/>
          <w:lang w:val="es-ES"/>
        </w:rPr>
        <w:t xml:space="preserve">y asociaciones empresariales, la </w:t>
      </w:r>
      <w:r w:rsidRPr="00526311">
        <w:rPr>
          <w:rFonts w:cs="Arial"/>
          <w:i/>
          <w:lang w:val="es-ES"/>
        </w:rPr>
        <w:t>Licensing Executive Society</w:t>
      </w:r>
      <w:r w:rsidRPr="00526311">
        <w:rPr>
          <w:rFonts w:cs="Arial"/>
          <w:lang w:val="es-ES"/>
        </w:rPr>
        <w:t xml:space="preserve"> (LES) y la Universidad Nacional de Singapur (NUS), la OOS logró promover entre un gran número de sectores interesados y usuarios los servicios mundiales de P.I. </w:t>
      </w:r>
      <w:r w:rsidR="00526311">
        <w:rPr>
          <w:rFonts w:cs="Arial"/>
          <w:lang w:val="es-ES"/>
        </w:rPr>
        <w:t xml:space="preserve">de la OMPI, </w:t>
      </w:r>
      <w:r w:rsidR="00526311" w:rsidRPr="00526311">
        <w:rPr>
          <w:rFonts w:cs="Arial"/>
          <w:i/>
          <w:lang w:val="es-ES"/>
        </w:rPr>
        <w:t>WIPO GREEN</w:t>
      </w:r>
      <w:r w:rsidR="00526311">
        <w:rPr>
          <w:rFonts w:cs="Arial"/>
          <w:lang w:val="es-ES"/>
        </w:rPr>
        <w:t xml:space="preserve">, </w:t>
      </w:r>
      <w:r w:rsidR="00526311" w:rsidRPr="00526311">
        <w:rPr>
          <w:rFonts w:cs="Arial"/>
          <w:i/>
          <w:lang w:val="es-ES"/>
        </w:rPr>
        <w:t>WIPO Re:</w:t>
      </w:r>
      <w:r w:rsidRPr="00526311">
        <w:rPr>
          <w:rFonts w:cs="Arial"/>
          <w:i/>
          <w:lang w:val="es-ES"/>
        </w:rPr>
        <w:t>Search</w:t>
      </w:r>
      <w:r w:rsidRPr="00526311">
        <w:rPr>
          <w:rFonts w:cs="Arial"/>
          <w:lang w:val="es-ES"/>
        </w:rPr>
        <w:t xml:space="preserve">, las bases de datos mundiales de la OMPI, el programa de CATI y </w:t>
      </w:r>
      <w:r w:rsidRPr="00526311">
        <w:rPr>
          <w:rFonts w:cs="Arial"/>
          <w:i/>
          <w:lang w:val="es-ES"/>
        </w:rPr>
        <w:t>WIPO CASE</w:t>
      </w:r>
      <w:r w:rsidRPr="00526311">
        <w:rPr>
          <w:rFonts w:cs="Arial"/>
          <w:lang w:val="es-ES"/>
        </w:rPr>
        <w:t>.</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En 2014 siguió reforzándose la colaboración con la ASEAN, y la OOS desempeñó una función cada vez más central en la coordinación de las actividades solicitadas por el Grupo de Trabajo sobre Cooperación en Propiedad Intelectual (AWGIPC) dando así aplicación al plan de acción de la ASEAN 2011</w:t>
      </w:r>
      <w:r w:rsidRPr="00526311">
        <w:rPr>
          <w:rFonts w:cs="Arial"/>
          <w:lang w:val="es-ES"/>
        </w:rPr>
        <w:noBreakHyphen/>
        <w:t xml:space="preserve">2015 en materia de derechos de P.I.  en el contexto del establecimiento de la Comunidad Económica de la ASEAN (AEC) a fines de 2015.  Además, se organizaron talleres en todos los Estados miembros de la ASEAN para avanzar en los esfuerzos </w:t>
      </w:r>
      <w:r w:rsidR="00526311">
        <w:rPr>
          <w:rFonts w:cs="Arial"/>
          <w:lang w:val="es-ES"/>
        </w:rPr>
        <w:t>de cara a su adhesión</w:t>
      </w:r>
      <w:r w:rsidRPr="00526311">
        <w:rPr>
          <w:rFonts w:cs="Arial"/>
          <w:lang w:val="es-ES"/>
        </w:rPr>
        <w:t xml:space="preserve"> a los </w:t>
      </w:r>
      <w:r w:rsidR="006147F4" w:rsidRPr="00526311">
        <w:rPr>
          <w:rFonts w:cs="Arial"/>
          <w:lang w:val="es-ES"/>
        </w:rPr>
        <w:t>Sistemas de Madrid y de La Haya</w:t>
      </w:r>
      <w:r w:rsidRPr="00526311">
        <w:rPr>
          <w:rFonts w:cs="Arial"/>
          <w:lang w:val="es-ES"/>
        </w:rPr>
        <w:t xml:space="preserve">.  Los vínculos de cooperación con sectores interesados y asociados hicieron posible organizar actividades esenciales en la OOS, como el Taller subregional para Países de la ASEAN sobre el Sistema de La Haya, con el proyecto de la Oficina de Armonización del Mercado Interno de la UE y la ASEAN sobre la protección de los derechos de propiedad intelectual (OAMI/ECAP III) y el Taller </w:t>
      </w:r>
      <w:r w:rsidRPr="00526311">
        <w:rPr>
          <w:rFonts w:cs="Arial"/>
          <w:lang w:val="es-ES"/>
        </w:rPr>
        <w:lastRenderedPageBreak/>
        <w:t>subregional OMPI-Zona de Libre Comercio ASEAN, Australia y Nueva Zelandia para examinadores de marcas de la ASEAN centrado en el Sistema de Madrid.</w:t>
      </w:r>
    </w:p>
    <w:p w:rsidR="00466D38" w:rsidRPr="00526311" w:rsidRDefault="00466D38" w:rsidP="00466D38">
      <w:pPr>
        <w:pStyle w:val="ListParagraph"/>
        <w:tabs>
          <w:tab w:val="left" w:pos="709"/>
        </w:tabs>
        <w:ind w:left="0"/>
        <w:jc w:val="both"/>
        <w:rPr>
          <w:rFonts w:cs="Arial"/>
          <w:lang w:val="es-ES"/>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 xml:space="preserve">En 2014, la OOS siguió gestionando y dando aplicación al memorando de entendimiento entre la OMPI y el Gobierno de Singapur, centrado en perfeccionar los conocimientos técnicos de los funcionarios de P.I. y partes interesadas de Asia y el Pacífico.  Además, se llevaron a cabo unas 20 actividades de asistencia técnica en 12 Estados miembros para contribuir al funcionamiento de sistemas eficaces de administración de la P.I. así como en relación con los </w:t>
      </w:r>
      <w:r w:rsidR="006147F4" w:rsidRPr="00526311">
        <w:rPr>
          <w:rFonts w:cs="Arial"/>
          <w:lang w:val="es-ES"/>
        </w:rPr>
        <w:t>Sistemas de Madrid</w:t>
      </w:r>
      <w:r w:rsidRPr="00526311">
        <w:rPr>
          <w:rFonts w:cs="Arial"/>
          <w:lang w:val="es-ES"/>
        </w:rPr>
        <w:t xml:space="preserve"> y de La Haya, el derecho de autor y los derechos conexos, los organismos de gestión colectiva y campañas e iniciativas de sensibilización y creación de capacidad.  La OOS organizó también 11 visitas de estudio, en comparación con las seis que se organizaron en 2013, para profesionales de la P.I. de toda la región, así como de instituciones clave de Singapur.  La OSS colaboró con la Oficina de Propiedad Intelectual de Singapur para organizar reuniones, y talleres importantes e invitó a conferenciantes a la tercera iniciativa regional anual IP Week@SG</w:t>
      </w:r>
      <w:r w:rsidR="007624F4" w:rsidRPr="00526311">
        <w:rPr>
          <w:rFonts w:cs="Arial"/>
          <w:lang w:val="es-ES"/>
        </w:rPr>
        <w:t xml:space="preserve"> 2014</w:t>
      </w:r>
      <w:r w:rsidRPr="00526311">
        <w:rPr>
          <w:rFonts w:cs="Arial"/>
          <w:lang w:val="es-ES"/>
        </w:rPr>
        <w:t>, destinada a empresarios, innovadores y creadores.</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 xml:space="preserve">En 2014 se reforzó también la labor de difusión, concretamente, la OOS participó como oradora en varios eventos y conferencias de organizaciones intergubernamentales, ONG, e instituciones nacionales de la región o con sede en Singapur, como la </w:t>
      </w:r>
      <w:r w:rsidRPr="00526311">
        <w:rPr>
          <w:rFonts w:cs="Arial"/>
          <w:i/>
          <w:lang w:val="es-ES"/>
        </w:rPr>
        <w:t>ASEAN IP Association</w:t>
      </w:r>
      <w:r w:rsidRPr="00526311">
        <w:rPr>
          <w:rFonts w:cs="Arial"/>
          <w:lang w:val="es-ES"/>
        </w:rPr>
        <w:t xml:space="preserve"> (AIPA), la Cooperación Económica Asia-Pacífico, la </w:t>
      </w:r>
      <w:r w:rsidRPr="00526311">
        <w:rPr>
          <w:rFonts w:cs="Arial"/>
          <w:i/>
          <w:lang w:val="es-ES"/>
        </w:rPr>
        <w:t>Asia-Europe Foundation</w:t>
      </w:r>
      <w:r w:rsidRPr="00526311">
        <w:rPr>
          <w:rFonts w:cs="Arial"/>
          <w:lang w:val="es-ES"/>
        </w:rPr>
        <w:t xml:space="preserve"> (ASEF), la Asociación Malasia de P.I. (MIPA), el Instituto Económico de la ASEAN y Asia Oriental (ERIA), la Confederación de Sociedades Internacionales de Autores y Compositores (CISAC), </w:t>
      </w:r>
      <w:r w:rsidRPr="00526311">
        <w:rPr>
          <w:rFonts w:cs="Arial"/>
          <w:i/>
          <w:lang w:val="es-ES"/>
        </w:rPr>
        <w:t>Central IP</w:t>
      </w:r>
      <w:r w:rsidRPr="00526311">
        <w:rPr>
          <w:rFonts w:cs="Arial"/>
          <w:lang w:val="es-ES"/>
        </w:rPr>
        <w:t xml:space="preserve"> y el Tribunal Comercial Internacional de Tailandia.</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A fin de ahorrar en los viajes y usar más eficazmente el tiempo del personal de la OMPI, la OOS representó a la Organización en varias ocasiones, por ejemplo, en el programa de la Academia de la OMPI de escuelas de verano en Asia y el programa de Máster de Derecho de P.I. OMPI-Queensland University of Technology.  La Oficina siguió desempeñando un papel importante a la hora de velar por que el servicio de atención al cliente de la OMPI esté disponible las 24 horas del día.</w:t>
      </w:r>
    </w:p>
    <w:p w:rsidR="00466D38" w:rsidRPr="00526311" w:rsidRDefault="00466D38" w:rsidP="00466D38">
      <w:pPr>
        <w:jc w:val="both"/>
        <w:rPr>
          <w:rFonts w:eastAsia="Times New Roman"/>
          <w:sz w:val="20"/>
        </w:rPr>
      </w:pPr>
    </w:p>
    <w:p w:rsidR="00466D38" w:rsidRPr="00526311" w:rsidRDefault="00466D38" w:rsidP="00466D38">
      <w:pPr>
        <w:jc w:val="both"/>
        <w:rPr>
          <w:rFonts w:eastAsia="Times New Roman"/>
          <w:sz w:val="20"/>
        </w:rPr>
      </w:pPr>
    </w:p>
    <w:p w:rsidR="00466D38" w:rsidRPr="00526311" w:rsidRDefault="00466D38" w:rsidP="00466D38">
      <w:pPr>
        <w:keepNext/>
      </w:pPr>
      <w:r w:rsidRPr="00526311">
        <w:t>DATOS SOBRE EL RENDIMIENTO</w:t>
      </w:r>
    </w:p>
    <w:p w:rsidR="00466D38" w:rsidRPr="00526311" w:rsidRDefault="00466D38" w:rsidP="00466D38">
      <w:pPr>
        <w:keepNext/>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7"/>
        <w:gridCol w:w="1654"/>
        <w:gridCol w:w="1757"/>
        <w:gridCol w:w="2789"/>
        <w:gridCol w:w="1304"/>
      </w:tblGrid>
      <w:tr w:rsidR="00466D38" w:rsidRPr="00526311" w:rsidTr="008761B9">
        <w:tc>
          <w:tcPr>
            <w:tcW w:w="5000" w:type="pct"/>
            <w:gridSpan w:val="5"/>
            <w:tcBorders>
              <w:bottom w:val="single" w:sz="4" w:space="0" w:color="auto"/>
            </w:tcBorders>
            <w:shd w:val="clear" w:color="auto" w:fill="CCFFFF"/>
          </w:tcPr>
          <w:p w:rsidR="00466D38" w:rsidRPr="00526311" w:rsidRDefault="00466D38" w:rsidP="008761B9">
            <w:pPr>
              <w:keepNext/>
              <w:keepLines/>
              <w:tabs>
                <w:tab w:val="left" w:pos="-392"/>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sz w:val="16"/>
                <w:szCs w:val="16"/>
              </w:rPr>
              <w:t>II.1 Fomento del uso de la vía del PCT para la presentación de solicitudes internacionales de patente</w:t>
            </w:r>
          </w:p>
        </w:tc>
      </w:tr>
      <w:tr w:rsidR="00466D38" w:rsidRPr="00526311" w:rsidTr="008761B9">
        <w:tc>
          <w:tcPr>
            <w:tcW w:w="1080" w:type="pct"/>
            <w:tcBorders>
              <w:top w:val="single" w:sz="4" w:space="0" w:color="auto"/>
              <w:left w:val="single" w:sz="4" w:space="0" w:color="auto"/>
              <w:bottom w:val="nil"/>
              <w:right w:val="nil"/>
            </w:tcBorders>
            <w:shd w:val="clear" w:color="auto" w:fill="auto"/>
          </w:tcPr>
          <w:p w:rsidR="00466D38" w:rsidRPr="00526311" w:rsidRDefault="00466D38" w:rsidP="008761B9">
            <w:pPr>
              <w:keepNext/>
              <w:rPr>
                <w:sz w:val="16"/>
                <w:szCs w:val="16"/>
              </w:rPr>
            </w:pPr>
            <w:r w:rsidRPr="00526311">
              <w:rPr>
                <w:b/>
                <w:sz w:val="16"/>
                <w:szCs w:val="16"/>
              </w:rPr>
              <w:t>Indicadores de rendimiento</w:t>
            </w:r>
          </w:p>
        </w:tc>
        <w:tc>
          <w:tcPr>
            <w:tcW w:w="864" w:type="pct"/>
            <w:tcBorders>
              <w:top w:val="single" w:sz="4" w:space="0" w:color="auto"/>
              <w:left w:val="nil"/>
              <w:bottom w:val="nil"/>
              <w:right w:val="nil"/>
            </w:tcBorders>
            <w:shd w:val="clear" w:color="auto" w:fill="auto"/>
          </w:tcPr>
          <w:p w:rsidR="00466D38" w:rsidRPr="00526311" w:rsidRDefault="00466D38" w:rsidP="008761B9">
            <w:pPr>
              <w:keepNext/>
              <w:rPr>
                <w:b/>
                <w:bCs/>
                <w:sz w:val="16"/>
                <w:szCs w:val="16"/>
              </w:rPr>
            </w:pPr>
            <w:r w:rsidRPr="00526311">
              <w:rPr>
                <w:b/>
                <w:bCs/>
                <w:sz w:val="16"/>
                <w:szCs w:val="16"/>
              </w:rPr>
              <w:t>Referencia</w:t>
            </w:r>
          </w:p>
        </w:tc>
        <w:tc>
          <w:tcPr>
            <w:tcW w:w="918" w:type="pct"/>
            <w:tcBorders>
              <w:top w:val="single" w:sz="4" w:space="0" w:color="auto"/>
              <w:left w:val="nil"/>
              <w:bottom w:val="nil"/>
              <w:right w:val="nil"/>
            </w:tcBorders>
            <w:shd w:val="clear" w:color="auto" w:fill="auto"/>
            <w:tcMar>
              <w:top w:w="110" w:type="dxa"/>
            </w:tcMar>
          </w:tcPr>
          <w:p w:rsidR="00466D38" w:rsidRPr="00526311" w:rsidRDefault="00466D38" w:rsidP="008761B9">
            <w:pPr>
              <w:keepNext/>
              <w:rPr>
                <w:b/>
                <w:sz w:val="16"/>
                <w:szCs w:val="16"/>
              </w:rPr>
            </w:pPr>
            <w:r w:rsidRPr="00526311">
              <w:rPr>
                <w:b/>
                <w:sz w:val="16"/>
                <w:szCs w:val="16"/>
              </w:rPr>
              <w:t>Objetivos</w:t>
            </w:r>
          </w:p>
        </w:tc>
        <w:tc>
          <w:tcPr>
            <w:tcW w:w="1457" w:type="pct"/>
            <w:tcBorders>
              <w:top w:val="single" w:sz="4" w:space="0" w:color="auto"/>
              <w:left w:val="nil"/>
              <w:bottom w:val="nil"/>
              <w:right w:val="nil"/>
            </w:tcBorders>
            <w:shd w:val="clear" w:color="auto" w:fill="FFFFFF"/>
            <w:tcMar>
              <w:top w:w="110" w:type="dxa"/>
            </w:tcMar>
          </w:tcPr>
          <w:p w:rsidR="00466D38" w:rsidRPr="00526311" w:rsidRDefault="00466D38" w:rsidP="008761B9">
            <w:pPr>
              <w:keepNext/>
              <w:rPr>
                <w:sz w:val="16"/>
                <w:szCs w:val="16"/>
              </w:rPr>
            </w:pPr>
            <w:r w:rsidRPr="00526311">
              <w:rPr>
                <w:b/>
                <w:sz w:val="16"/>
                <w:szCs w:val="16"/>
              </w:rPr>
              <w:t>Datos sobre el rendimiento</w:t>
            </w:r>
          </w:p>
        </w:tc>
        <w:tc>
          <w:tcPr>
            <w:tcW w:w="681" w:type="pct"/>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
                <w:bCs/>
                <w:sz w:val="16"/>
                <w:szCs w:val="16"/>
              </w:rPr>
            </w:pPr>
            <w:r w:rsidRPr="00526311">
              <w:rPr>
                <w:b/>
                <w:bCs/>
                <w:sz w:val="16"/>
                <w:szCs w:val="16"/>
              </w:rPr>
              <w:t>Clave de colores</w:t>
            </w:r>
          </w:p>
        </w:tc>
      </w:tr>
      <w:tr w:rsidR="00466D38" w:rsidRPr="00526311" w:rsidTr="008761B9">
        <w:trPr>
          <w:trHeight w:val="3041"/>
        </w:trPr>
        <w:tc>
          <w:tcPr>
            <w:tcW w:w="1080" w:type="pct"/>
            <w:tcBorders>
              <w:top w:val="nil"/>
              <w:left w:val="single" w:sz="4" w:space="0" w:color="auto"/>
              <w:bottom w:val="nil"/>
              <w:right w:val="nil"/>
            </w:tcBorders>
            <w:shd w:val="clear" w:color="auto" w:fill="auto"/>
          </w:tcPr>
          <w:p w:rsidR="00466D38" w:rsidRPr="00526311" w:rsidRDefault="00466D38" w:rsidP="008761B9">
            <w:pPr>
              <w:keepNext/>
              <w:rPr>
                <w:sz w:val="16"/>
                <w:szCs w:val="16"/>
              </w:rPr>
            </w:pPr>
            <w:r w:rsidRPr="00526311">
              <w:rPr>
                <w:sz w:val="16"/>
                <w:szCs w:val="16"/>
              </w:rPr>
              <w:t>Porcentaje de solicitudes presentadas en virtud del PCT</w:t>
            </w:r>
          </w:p>
        </w:tc>
        <w:tc>
          <w:tcPr>
            <w:tcW w:w="864" w:type="pct"/>
            <w:tcBorders>
              <w:top w:val="nil"/>
              <w:left w:val="nil"/>
              <w:bottom w:val="nil"/>
              <w:right w:val="nil"/>
            </w:tcBorders>
            <w:shd w:val="clear" w:color="auto" w:fill="auto"/>
          </w:tcPr>
          <w:p w:rsidR="00466D38" w:rsidRPr="00526311" w:rsidRDefault="00466D38" w:rsidP="008761B9">
            <w:pPr>
              <w:keepNext/>
              <w:spacing w:after="120"/>
              <w:rPr>
                <w:i/>
                <w:color w:val="002060"/>
                <w:sz w:val="16"/>
                <w:szCs w:val="16"/>
              </w:rPr>
            </w:pPr>
            <w:r w:rsidRPr="00526311">
              <w:rPr>
                <w:i/>
                <w:color w:val="002060"/>
                <w:sz w:val="16"/>
                <w:szCs w:val="16"/>
              </w:rPr>
              <w:t>Referencia actualizada a fines de 2013:</w:t>
            </w:r>
          </w:p>
          <w:p w:rsidR="00466D38" w:rsidRPr="00526311" w:rsidRDefault="00466D38" w:rsidP="008761B9">
            <w:pPr>
              <w:keepNext/>
              <w:rPr>
                <w:i/>
                <w:color w:val="002060"/>
                <w:sz w:val="16"/>
                <w:szCs w:val="16"/>
              </w:rPr>
            </w:pPr>
            <w:r w:rsidRPr="00526311">
              <w:rPr>
                <w:color w:val="002060"/>
                <w:sz w:val="16"/>
                <w:szCs w:val="16"/>
              </w:rPr>
              <w:t>2012:  588;    2013:  657 (OOB)</w:t>
            </w:r>
          </w:p>
          <w:p w:rsidR="00466D38" w:rsidRPr="00526311" w:rsidRDefault="00466D38" w:rsidP="008761B9">
            <w:pPr>
              <w:keepNext/>
              <w:rPr>
                <w:i/>
                <w:color w:val="002060"/>
                <w:sz w:val="16"/>
                <w:szCs w:val="16"/>
              </w:rPr>
            </w:pPr>
            <w:r w:rsidRPr="00526311">
              <w:rPr>
                <w:i/>
                <w:color w:val="002060"/>
                <w:sz w:val="16"/>
                <w:szCs w:val="16"/>
              </w:rPr>
              <w:t xml:space="preserve">2012:  </w:t>
            </w:r>
            <w:r w:rsidRPr="00526311">
              <w:rPr>
                <w:color w:val="002060"/>
                <w:sz w:val="16"/>
                <w:szCs w:val="16"/>
              </w:rPr>
              <w:t>43.523;</w:t>
            </w:r>
            <w:r w:rsidRPr="00526311">
              <w:rPr>
                <w:i/>
                <w:color w:val="002060"/>
                <w:sz w:val="16"/>
                <w:szCs w:val="16"/>
              </w:rPr>
              <w:t xml:space="preserve">  2013:  </w:t>
            </w:r>
            <w:r w:rsidRPr="00526311">
              <w:rPr>
                <w:color w:val="002060"/>
                <w:sz w:val="16"/>
                <w:szCs w:val="16"/>
              </w:rPr>
              <w:t>43.771 (OOJ)</w:t>
            </w:r>
            <w:r w:rsidRPr="00526311">
              <w:rPr>
                <w:i/>
                <w:color w:val="002060"/>
                <w:sz w:val="16"/>
                <w:szCs w:val="16"/>
              </w:rPr>
              <w:t xml:space="preserve">  </w:t>
            </w:r>
          </w:p>
          <w:p w:rsidR="00466D38" w:rsidRPr="00526311" w:rsidRDefault="00466D38" w:rsidP="008761B9">
            <w:pPr>
              <w:keepNext/>
              <w:rPr>
                <w:color w:val="002060"/>
                <w:sz w:val="16"/>
                <w:szCs w:val="16"/>
              </w:rPr>
            </w:pPr>
            <w:r w:rsidRPr="00526311">
              <w:rPr>
                <w:color w:val="002060"/>
                <w:sz w:val="16"/>
                <w:szCs w:val="16"/>
              </w:rPr>
              <w:t>2012:  1.124</w:t>
            </w:r>
          </w:p>
          <w:p w:rsidR="00466D38" w:rsidRPr="00526311" w:rsidRDefault="00466D38" w:rsidP="008761B9">
            <w:pPr>
              <w:keepNext/>
              <w:rPr>
                <w:color w:val="002060"/>
                <w:sz w:val="16"/>
                <w:szCs w:val="16"/>
              </w:rPr>
            </w:pPr>
            <w:r w:rsidRPr="00526311">
              <w:rPr>
                <w:color w:val="002060"/>
                <w:sz w:val="16"/>
                <w:szCs w:val="16"/>
              </w:rPr>
              <w:t>2013:  1.282 (OOS)</w:t>
            </w:r>
          </w:p>
          <w:p w:rsidR="00466D38" w:rsidRPr="00526311" w:rsidRDefault="00466D38" w:rsidP="008761B9">
            <w:pPr>
              <w:keepNext/>
              <w:spacing w:after="120"/>
              <w:rPr>
                <w:sz w:val="16"/>
                <w:szCs w:val="16"/>
              </w:rPr>
            </w:pPr>
            <w:r w:rsidRPr="00526311">
              <w:rPr>
                <w:i/>
                <w:sz w:val="16"/>
                <w:szCs w:val="16"/>
              </w:rPr>
              <w:t>Referencia original en el presupuesto de 2014/15:</w:t>
            </w:r>
            <w:r w:rsidRPr="00526311">
              <w:rPr>
                <w:sz w:val="16"/>
                <w:szCs w:val="16"/>
              </w:rPr>
              <w:t xml:space="preserve">  </w:t>
            </w:r>
          </w:p>
          <w:p w:rsidR="00466D38" w:rsidRPr="00526311" w:rsidRDefault="00466D38" w:rsidP="008761B9">
            <w:pPr>
              <w:rPr>
                <w:sz w:val="16"/>
                <w:szCs w:val="16"/>
              </w:rPr>
            </w:pPr>
            <w:r w:rsidRPr="00526311">
              <w:rPr>
                <w:sz w:val="16"/>
                <w:szCs w:val="16"/>
              </w:rPr>
              <w:t>519 en 2011 (OOB)</w:t>
            </w:r>
          </w:p>
          <w:p w:rsidR="00466D38" w:rsidRPr="00526311" w:rsidRDefault="00466D38" w:rsidP="008761B9">
            <w:pPr>
              <w:rPr>
                <w:sz w:val="16"/>
                <w:szCs w:val="16"/>
              </w:rPr>
            </w:pPr>
            <w:r w:rsidRPr="00526311">
              <w:rPr>
                <w:sz w:val="16"/>
                <w:szCs w:val="16"/>
              </w:rPr>
              <w:t>Por determinar (OOJ)</w:t>
            </w:r>
          </w:p>
          <w:p w:rsidR="00466D38" w:rsidRPr="00526311" w:rsidRDefault="00466D38" w:rsidP="008761B9">
            <w:pPr>
              <w:rPr>
                <w:color w:val="000000"/>
                <w:sz w:val="16"/>
                <w:szCs w:val="16"/>
              </w:rPr>
            </w:pPr>
            <w:r w:rsidRPr="00526311">
              <w:rPr>
                <w:sz w:val="16"/>
                <w:szCs w:val="16"/>
              </w:rPr>
              <w:t>Por determinar (OOS)</w:t>
            </w:r>
          </w:p>
        </w:tc>
        <w:tc>
          <w:tcPr>
            <w:tcW w:w="918" w:type="pct"/>
            <w:tcBorders>
              <w:top w:val="nil"/>
              <w:left w:val="nil"/>
              <w:bottom w:val="nil"/>
              <w:right w:val="nil"/>
            </w:tcBorders>
            <w:shd w:val="clear" w:color="auto" w:fill="auto"/>
            <w:tcMar>
              <w:top w:w="110" w:type="dxa"/>
            </w:tcMar>
          </w:tcPr>
          <w:p w:rsidR="00466D38" w:rsidRPr="00526311" w:rsidRDefault="00466D38" w:rsidP="008761B9">
            <w:pPr>
              <w:keepNext/>
              <w:rPr>
                <w:sz w:val="16"/>
                <w:szCs w:val="16"/>
                <w:lang w:bidi="th-TH"/>
              </w:rPr>
            </w:pPr>
          </w:p>
          <w:p w:rsidR="00466D38" w:rsidRPr="00526311" w:rsidRDefault="00466D38" w:rsidP="008761B9">
            <w:pPr>
              <w:keepNext/>
              <w:rPr>
                <w:sz w:val="16"/>
                <w:szCs w:val="16"/>
                <w:lang w:bidi="th-TH"/>
              </w:rPr>
            </w:pPr>
            <w:r w:rsidRPr="00526311">
              <w:rPr>
                <w:sz w:val="16"/>
                <w:szCs w:val="16"/>
                <w:lang w:bidi="th-TH"/>
              </w:rPr>
              <w:t>Aumento del 15% (OOB)</w:t>
            </w:r>
          </w:p>
          <w:p w:rsidR="00466D38" w:rsidRPr="00526311" w:rsidRDefault="00466D38" w:rsidP="008761B9">
            <w:pPr>
              <w:keepNext/>
              <w:rPr>
                <w:sz w:val="16"/>
                <w:szCs w:val="16"/>
                <w:lang w:bidi="th-TH"/>
              </w:rPr>
            </w:pPr>
          </w:p>
          <w:p w:rsidR="00466D38" w:rsidRPr="00526311" w:rsidRDefault="00466D38" w:rsidP="008761B9">
            <w:pPr>
              <w:keepNext/>
              <w:rPr>
                <w:sz w:val="16"/>
                <w:szCs w:val="16"/>
                <w:lang w:bidi="th-TH"/>
              </w:rPr>
            </w:pPr>
            <w:r w:rsidRPr="00526311">
              <w:rPr>
                <w:sz w:val="16"/>
                <w:szCs w:val="16"/>
                <w:lang w:bidi="th-TH"/>
              </w:rPr>
              <w:t>Aumento del 1% (OOJ)</w:t>
            </w:r>
          </w:p>
          <w:p w:rsidR="00466D38" w:rsidRPr="00526311" w:rsidRDefault="00466D38" w:rsidP="008761B9">
            <w:pPr>
              <w:keepNext/>
              <w:rPr>
                <w:sz w:val="16"/>
                <w:szCs w:val="16"/>
                <w:lang w:bidi="th-TH"/>
              </w:rPr>
            </w:pPr>
          </w:p>
          <w:p w:rsidR="00466D38" w:rsidRPr="00526311" w:rsidRDefault="00466D38" w:rsidP="008761B9">
            <w:pPr>
              <w:keepNext/>
              <w:rPr>
                <w:sz w:val="16"/>
                <w:szCs w:val="16"/>
                <w:lang w:bidi="th-TH"/>
              </w:rPr>
            </w:pPr>
            <w:r w:rsidRPr="00526311">
              <w:rPr>
                <w:sz w:val="16"/>
                <w:szCs w:val="16"/>
                <w:lang w:bidi="th-TH"/>
              </w:rPr>
              <w:t>Aumento del 5% (OOS)</w:t>
            </w:r>
          </w:p>
        </w:tc>
        <w:tc>
          <w:tcPr>
            <w:tcW w:w="1457" w:type="pct"/>
            <w:tcBorders>
              <w:top w:val="nil"/>
              <w:left w:val="nil"/>
              <w:bottom w:val="nil"/>
              <w:right w:val="nil"/>
            </w:tcBorders>
            <w:shd w:val="clear" w:color="auto" w:fill="FFFFFF"/>
            <w:tcMar>
              <w:top w:w="110" w:type="dxa"/>
            </w:tcMar>
          </w:tcPr>
          <w:p w:rsidR="00466D38" w:rsidRPr="00526311" w:rsidRDefault="00466D38" w:rsidP="008761B9">
            <w:pPr>
              <w:keepNext/>
              <w:rPr>
                <w:sz w:val="16"/>
                <w:szCs w:val="16"/>
              </w:rPr>
            </w:pPr>
          </w:p>
          <w:p w:rsidR="00466D38" w:rsidRPr="00526311" w:rsidRDefault="00466D38" w:rsidP="008761B9">
            <w:pPr>
              <w:keepNext/>
              <w:rPr>
                <w:sz w:val="16"/>
                <w:szCs w:val="16"/>
              </w:rPr>
            </w:pPr>
            <w:r w:rsidRPr="00526311">
              <w:rPr>
                <w:sz w:val="16"/>
                <w:szCs w:val="16"/>
              </w:rPr>
              <w:t>2014:  581 (disminución del 12% respecto de 2013) (OOB)</w:t>
            </w:r>
          </w:p>
          <w:p w:rsidR="00466D38" w:rsidRPr="00526311" w:rsidRDefault="00466D38" w:rsidP="008761B9">
            <w:pPr>
              <w:keepNext/>
              <w:rPr>
                <w:sz w:val="16"/>
                <w:szCs w:val="16"/>
              </w:rPr>
            </w:pPr>
          </w:p>
          <w:p w:rsidR="00466D38" w:rsidRPr="00526311" w:rsidRDefault="00466D38" w:rsidP="008761B9">
            <w:pPr>
              <w:keepNext/>
              <w:rPr>
                <w:sz w:val="16"/>
                <w:szCs w:val="16"/>
              </w:rPr>
            </w:pPr>
            <w:r w:rsidRPr="00526311">
              <w:rPr>
                <w:sz w:val="16"/>
                <w:szCs w:val="16"/>
              </w:rPr>
              <w:t>2014:  42.459 (disminución del 3% respecto de 2013)  (OOJ)</w:t>
            </w:r>
          </w:p>
          <w:p w:rsidR="00466D38" w:rsidRPr="00526311" w:rsidRDefault="00466D38" w:rsidP="008761B9">
            <w:pPr>
              <w:keepNext/>
              <w:rPr>
                <w:sz w:val="16"/>
                <w:szCs w:val="16"/>
              </w:rPr>
            </w:pPr>
          </w:p>
          <w:p w:rsidR="00466D38" w:rsidRPr="00526311" w:rsidRDefault="00466D38" w:rsidP="008761B9">
            <w:pPr>
              <w:keepNext/>
              <w:rPr>
                <w:sz w:val="16"/>
                <w:szCs w:val="16"/>
              </w:rPr>
            </w:pPr>
            <w:r w:rsidRPr="00526311">
              <w:rPr>
                <w:sz w:val="16"/>
                <w:szCs w:val="16"/>
              </w:rPr>
              <w:t>2014:  1.387 (aumento del 8% respecto de 2013) (OOS)</w:t>
            </w:r>
          </w:p>
          <w:p w:rsidR="00466D38" w:rsidRPr="00526311" w:rsidRDefault="00466D38" w:rsidP="008761B9">
            <w:pPr>
              <w:keepNext/>
              <w:rPr>
                <w:sz w:val="16"/>
                <w:szCs w:val="16"/>
              </w:rPr>
            </w:pPr>
          </w:p>
        </w:tc>
        <w:tc>
          <w:tcPr>
            <w:tcW w:w="681" w:type="pct"/>
            <w:tcBorders>
              <w:top w:val="nil"/>
              <w:left w:val="nil"/>
              <w:bottom w:val="nil"/>
              <w:right w:val="single" w:sz="4" w:space="0" w:color="auto"/>
            </w:tcBorders>
            <w:shd w:val="clear" w:color="auto" w:fill="auto"/>
            <w:tcMar>
              <w:top w:w="110" w:type="dxa"/>
            </w:tcMar>
          </w:tcPr>
          <w:p w:rsidR="00466D38" w:rsidRPr="00526311" w:rsidRDefault="00466D38" w:rsidP="008761B9">
            <w:pPr>
              <w:keepNext/>
              <w:keepLines/>
              <w:rPr>
                <w:b/>
                <w:bCs/>
                <w:color w:val="FF0000"/>
                <w:sz w:val="16"/>
                <w:szCs w:val="16"/>
              </w:rPr>
            </w:pPr>
          </w:p>
          <w:p w:rsidR="00466D38" w:rsidRPr="00526311" w:rsidRDefault="00466D38" w:rsidP="008761B9">
            <w:pPr>
              <w:keepNext/>
              <w:keepLines/>
              <w:ind w:left="-108"/>
              <w:jc w:val="center"/>
              <w:rPr>
                <w:b/>
                <w:bCs/>
                <w:color w:val="FF0000"/>
                <w:sz w:val="16"/>
                <w:szCs w:val="16"/>
              </w:rPr>
            </w:pPr>
            <w:r w:rsidRPr="00526311">
              <w:rPr>
                <w:b/>
                <w:bCs/>
                <w:color w:val="FF0000"/>
                <w:sz w:val="16"/>
                <w:szCs w:val="16"/>
              </w:rPr>
              <w:t>No avanza</w:t>
            </w:r>
          </w:p>
          <w:p w:rsidR="00466D38" w:rsidRPr="00526311" w:rsidRDefault="00466D38" w:rsidP="008761B9">
            <w:pPr>
              <w:keepNext/>
              <w:keepLines/>
              <w:rPr>
                <w:b/>
                <w:bCs/>
                <w:color w:val="FF0000"/>
                <w:sz w:val="16"/>
                <w:szCs w:val="16"/>
              </w:rPr>
            </w:pPr>
          </w:p>
          <w:p w:rsidR="007624F4" w:rsidRPr="00526311" w:rsidRDefault="007624F4" w:rsidP="008761B9">
            <w:pPr>
              <w:keepNext/>
              <w:keepLines/>
              <w:rPr>
                <w:b/>
                <w:bCs/>
                <w:color w:val="FF0000"/>
                <w:sz w:val="16"/>
                <w:szCs w:val="16"/>
              </w:rPr>
            </w:pPr>
          </w:p>
          <w:p w:rsidR="00466D38" w:rsidRPr="00526311" w:rsidRDefault="00466D38" w:rsidP="008761B9">
            <w:pPr>
              <w:keepNext/>
              <w:keepLines/>
              <w:ind w:left="-108"/>
              <w:jc w:val="center"/>
              <w:rPr>
                <w:b/>
                <w:bCs/>
                <w:color w:val="FF0000"/>
                <w:sz w:val="16"/>
                <w:szCs w:val="16"/>
              </w:rPr>
            </w:pPr>
            <w:r w:rsidRPr="00526311">
              <w:rPr>
                <w:b/>
                <w:bCs/>
                <w:color w:val="FF0000"/>
                <w:sz w:val="16"/>
                <w:szCs w:val="16"/>
              </w:rPr>
              <w:t>No avanza</w:t>
            </w:r>
          </w:p>
          <w:p w:rsidR="00466D38" w:rsidRPr="00526311" w:rsidRDefault="00466D38" w:rsidP="008761B9">
            <w:pPr>
              <w:keepNext/>
              <w:keepLines/>
              <w:jc w:val="center"/>
              <w:rPr>
                <w:b/>
                <w:color w:val="00B050"/>
                <w:sz w:val="16"/>
                <w:szCs w:val="16"/>
              </w:rPr>
            </w:pPr>
          </w:p>
          <w:p w:rsidR="007624F4" w:rsidRPr="00526311" w:rsidRDefault="007624F4" w:rsidP="008761B9">
            <w:pPr>
              <w:keepNext/>
              <w:keepLines/>
              <w:jc w:val="center"/>
              <w:rPr>
                <w:b/>
                <w:color w:val="00B050"/>
                <w:sz w:val="16"/>
                <w:szCs w:val="16"/>
              </w:rPr>
            </w:pPr>
          </w:p>
          <w:p w:rsidR="00466D38" w:rsidRPr="00526311" w:rsidRDefault="00466D38" w:rsidP="008761B9">
            <w:pPr>
              <w:keepNext/>
              <w:keepLines/>
              <w:jc w:val="center"/>
              <w:rPr>
                <w:b/>
                <w:color w:val="00B050"/>
                <w:sz w:val="16"/>
                <w:szCs w:val="16"/>
              </w:rPr>
            </w:pPr>
            <w:r w:rsidRPr="00526311">
              <w:rPr>
                <w:b/>
                <w:color w:val="00B050"/>
                <w:sz w:val="16"/>
                <w:szCs w:val="16"/>
              </w:rPr>
              <w:t>Avanza</w:t>
            </w:r>
          </w:p>
          <w:p w:rsidR="00466D38" w:rsidRPr="00526311" w:rsidRDefault="00466D38" w:rsidP="008761B9">
            <w:pPr>
              <w:keepNext/>
              <w:keepLines/>
              <w:rPr>
                <w:b/>
                <w:bCs/>
                <w:color w:val="00B050"/>
                <w:sz w:val="16"/>
                <w:szCs w:val="16"/>
              </w:rPr>
            </w:pPr>
          </w:p>
        </w:tc>
      </w:tr>
      <w:tr w:rsidR="00466D38" w:rsidRPr="00526311" w:rsidTr="008761B9">
        <w:tc>
          <w:tcPr>
            <w:tcW w:w="1080" w:type="pct"/>
            <w:tcBorders>
              <w:top w:val="nil"/>
              <w:left w:val="single" w:sz="4" w:space="0" w:color="auto"/>
              <w:bottom w:val="single" w:sz="4" w:space="0" w:color="auto"/>
              <w:right w:val="nil"/>
            </w:tcBorders>
            <w:shd w:val="clear" w:color="auto" w:fill="auto"/>
          </w:tcPr>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Porcentaje de encargados de la adopción de políticas, funcionarios gubernamentales, profesionales de la P.I. y participantes en talleres con un mayor conocimiento del PCT y los temas conexos</w:t>
            </w:r>
          </w:p>
        </w:tc>
        <w:tc>
          <w:tcPr>
            <w:tcW w:w="864" w:type="pct"/>
            <w:tcBorders>
              <w:top w:val="nil"/>
              <w:left w:val="nil"/>
              <w:bottom w:val="single" w:sz="4" w:space="0" w:color="auto"/>
              <w:right w:val="nil"/>
            </w:tcBorders>
            <w:shd w:val="clear" w:color="auto" w:fill="auto"/>
          </w:tcPr>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N.d. (OOB)</w:t>
            </w:r>
          </w:p>
          <w:p w:rsidR="00466D38" w:rsidRPr="00526311" w:rsidRDefault="00466D38" w:rsidP="008761B9">
            <w:pPr>
              <w:rPr>
                <w:sz w:val="16"/>
                <w:szCs w:val="16"/>
              </w:rPr>
            </w:pPr>
            <w:r w:rsidRPr="00526311">
              <w:rPr>
                <w:sz w:val="16"/>
                <w:szCs w:val="16"/>
              </w:rPr>
              <w:t>N.d. (OOJ)</w:t>
            </w:r>
          </w:p>
          <w:p w:rsidR="00466D38" w:rsidRPr="00526311" w:rsidRDefault="00466D38" w:rsidP="008761B9">
            <w:pPr>
              <w:rPr>
                <w:sz w:val="16"/>
                <w:szCs w:val="16"/>
              </w:rPr>
            </w:pPr>
            <w:r w:rsidRPr="00526311">
              <w:rPr>
                <w:sz w:val="16"/>
                <w:szCs w:val="16"/>
              </w:rPr>
              <w:t>N.d. (OOS)</w:t>
            </w:r>
          </w:p>
        </w:tc>
        <w:tc>
          <w:tcPr>
            <w:tcW w:w="918" w:type="pct"/>
            <w:tcBorders>
              <w:top w:val="nil"/>
              <w:left w:val="nil"/>
              <w:bottom w:val="single" w:sz="4" w:space="0" w:color="auto"/>
              <w:right w:val="nil"/>
            </w:tcBorders>
            <w:shd w:val="clear" w:color="auto" w:fill="auto"/>
            <w:tcMar>
              <w:top w:w="110" w:type="dxa"/>
            </w:tcMar>
          </w:tcPr>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75% (OOB)</w:t>
            </w:r>
          </w:p>
          <w:p w:rsidR="00466D38" w:rsidRPr="00526311" w:rsidRDefault="00466D38" w:rsidP="008761B9">
            <w:pPr>
              <w:rPr>
                <w:sz w:val="16"/>
                <w:szCs w:val="16"/>
              </w:rPr>
            </w:pPr>
            <w:r w:rsidRPr="00526311">
              <w:rPr>
                <w:sz w:val="16"/>
                <w:szCs w:val="16"/>
              </w:rPr>
              <w:t>75% (OOJ)</w:t>
            </w:r>
          </w:p>
          <w:p w:rsidR="00466D38" w:rsidRPr="00526311" w:rsidRDefault="00466D38" w:rsidP="008761B9">
            <w:pPr>
              <w:rPr>
                <w:sz w:val="16"/>
                <w:szCs w:val="16"/>
              </w:rPr>
            </w:pPr>
            <w:r w:rsidRPr="00526311">
              <w:rPr>
                <w:sz w:val="16"/>
                <w:szCs w:val="16"/>
              </w:rPr>
              <w:t>75% (OOS)</w:t>
            </w:r>
          </w:p>
        </w:tc>
        <w:tc>
          <w:tcPr>
            <w:tcW w:w="1457" w:type="pct"/>
            <w:tcBorders>
              <w:top w:val="nil"/>
              <w:left w:val="nil"/>
              <w:bottom w:val="single" w:sz="4" w:space="0" w:color="auto"/>
              <w:right w:val="nil"/>
            </w:tcBorders>
            <w:shd w:val="clear" w:color="auto" w:fill="FFFFFF"/>
            <w:tcMar>
              <w:top w:w="110" w:type="dxa"/>
            </w:tcMar>
          </w:tcPr>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80% (OOB)</w:t>
            </w:r>
          </w:p>
          <w:p w:rsidR="00466D38" w:rsidRPr="00526311" w:rsidRDefault="00466D38" w:rsidP="008761B9">
            <w:pPr>
              <w:rPr>
                <w:sz w:val="16"/>
                <w:szCs w:val="16"/>
              </w:rPr>
            </w:pPr>
            <w:r w:rsidRPr="00526311">
              <w:rPr>
                <w:sz w:val="16"/>
                <w:szCs w:val="16"/>
              </w:rPr>
              <w:t>94% (OOJ)</w:t>
            </w:r>
          </w:p>
          <w:p w:rsidR="00466D38" w:rsidRPr="00526311" w:rsidRDefault="00466D38" w:rsidP="008761B9">
            <w:pPr>
              <w:rPr>
                <w:sz w:val="16"/>
                <w:szCs w:val="16"/>
              </w:rPr>
            </w:pPr>
            <w:r w:rsidRPr="00526311">
              <w:rPr>
                <w:sz w:val="16"/>
                <w:szCs w:val="16"/>
              </w:rPr>
              <w:t>93% (OOS)</w:t>
            </w:r>
          </w:p>
          <w:p w:rsidR="00466D38" w:rsidRPr="00526311" w:rsidRDefault="00466D38" w:rsidP="008761B9">
            <w:pPr>
              <w:rPr>
                <w:sz w:val="16"/>
                <w:szCs w:val="16"/>
              </w:rPr>
            </w:pPr>
          </w:p>
          <w:p w:rsidR="00466D38" w:rsidRPr="00526311" w:rsidRDefault="00466D38" w:rsidP="008761B9">
            <w:pPr>
              <w:rPr>
                <w:sz w:val="16"/>
                <w:szCs w:val="16"/>
              </w:rPr>
            </w:pPr>
          </w:p>
        </w:tc>
        <w:tc>
          <w:tcPr>
            <w:tcW w:w="681" w:type="pct"/>
            <w:tcBorders>
              <w:top w:val="nil"/>
              <w:left w:val="nil"/>
              <w:bottom w:val="single" w:sz="4" w:space="0" w:color="auto"/>
              <w:right w:val="single" w:sz="4" w:space="0" w:color="auto"/>
            </w:tcBorders>
            <w:shd w:val="clear" w:color="auto" w:fill="auto"/>
            <w:tcMar>
              <w:top w:w="110" w:type="dxa"/>
            </w:tcMar>
          </w:tcPr>
          <w:p w:rsidR="00466D38" w:rsidRPr="00526311" w:rsidRDefault="00466D38" w:rsidP="008761B9">
            <w:pPr>
              <w:keepNext/>
              <w:keepLines/>
              <w:jc w:val="center"/>
              <w:rPr>
                <w:b/>
                <w:color w:val="00B050"/>
                <w:sz w:val="16"/>
                <w:szCs w:val="16"/>
              </w:rPr>
            </w:pPr>
          </w:p>
          <w:p w:rsidR="00466D38" w:rsidRPr="00526311" w:rsidRDefault="00466D38" w:rsidP="008761B9">
            <w:pPr>
              <w:keepNext/>
              <w:keepLines/>
              <w:jc w:val="center"/>
              <w:rPr>
                <w:color w:val="00B050"/>
                <w:sz w:val="16"/>
                <w:szCs w:val="16"/>
              </w:rPr>
            </w:pPr>
            <w:r w:rsidRPr="00526311">
              <w:rPr>
                <w:b/>
                <w:color w:val="00B050"/>
                <w:sz w:val="16"/>
                <w:szCs w:val="16"/>
              </w:rPr>
              <w:t>Avanza</w:t>
            </w:r>
          </w:p>
          <w:p w:rsidR="00466D38" w:rsidRPr="00526311" w:rsidRDefault="00466D38" w:rsidP="008761B9">
            <w:pPr>
              <w:keepNext/>
              <w:keepLines/>
              <w:jc w:val="center"/>
              <w:rPr>
                <w:color w:val="00B050"/>
                <w:sz w:val="16"/>
                <w:szCs w:val="16"/>
              </w:rPr>
            </w:pPr>
            <w:r w:rsidRPr="00526311">
              <w:rPr>
                <w:b/>
                <w:color w:val="00B050"/>
                <w:sz w:val="16"/>
                <w:szCs w:val="16"/>
              </w:rPr>
              <w:t>Avanza</w:t>
            </w:r>
          </w:p>
          <w:p w:rsidR="00466D38" w:rsidRPr="00526311" w:rsidRDefault="00466D38" w:rsidP="008761B9">
            <w:pPr>
              <w:keepNext/>
              <w:keepLines/>
              <w:jc w:val="center"/>
              <w:rPr>
                <w:color w:val="00B050"/>
                <w:sz w:val="16"/>
                <w:szCs w:val="16"/>
              </w:rPr>
            </w:pPr>
            <w:r w:rsidRPr="00526311">
              <w:rPr>
                <w:b/>
                <w:color w:val="00B050"/>
                <w:sz w:val="16"/>
                <w:szCs w:val="16"/>
              </w:rPr>
              <w:t>Avanza</w:t>
            </w:r>
          </w:p>
        </w:tc>
      </w:tr>
      <w:tr w:rsidR="00466D38" w:rsidRPr="00526311" w:rsidTr="008761B9">
        <w:trPr>
          <w:trHeight w:val="434"/>
        </w:trPr>
        <w:tc>
          <w:tcPr>
            <w:tcW w:w="5000" w:type="pct"/>
            <w:gridSpan w:val="5"/>
            <w:tcBorders>
              <w:top w:val="single" w:sz="4" w:space="0" w:color="auto"/>
              <w:bottom w:val="single" w:sz="4" w:space="0" w:color="auto"/>
            </w:tcBorders>
            <w:shd w:val="clear" w:color="auto" w:fill="CCFFFF"/>
          </w:tcPr>
          <w:p w:rsidR="00466D38" w:rsidRPr="00526311" w:rsidRDefault="00466D38" w:rsidP="008761B9">
            <w:pPr>
              <w:keepNext/>
              <w:keepLines/>
              <w:tabs>
                <w:tab w:val="left" w:pos="1735"/>
              </w:tabs>
              <w:spacing w:before="120"/>
              <w:rPr>
                <w:b/>
                <w:bCs/>
                <w:sz w:val="16"/>
                <w:szCs w:val="16"/>
              </w:rPr>
            </w:pPr>
            <w:r w:rsidRPr="00526311">
              <w:rPr>
                <w:b/>
                <w:bCs/>
                <w:sz w:val="16"/>
                <w:szCs w:val="16"/>
              </w:rPr>
              <w:lastRenderedPageBreak/>
              <w:t>Resultado previsto:</w:t>
            </w:r>
            <w:r w:rsidRPr="00526311">
              <w:rPr>
                <w:b/>
                <w:bCs/>
                <w:sz w:val="16"/>
                <w:szCs w:val="16"/>
              </w:rPr>
              <w:tab/>
            </w:r>
            <w:r w:rsidRPr="00526311">
              <w:rPr>
                <w:sz w:val="16"/>
                <w:szCs w:val="16"/>
              </w:rPr>
              <w:t>II.4 Mayor y más eficaz utilización del Sistema de La Haya por los países en desarrollo y los PMA, entre otros</w:t>
            </w:r>
          </w:p>
        </w:tc>
      </w:tr>
      <w:tr w:rsidR="00466D38" w:rsidRPr="00526311" w:rsidTr="008761B9">
        <w:tc>
          <w:tcPr>
            <w:tcW w:w="1080" w:type="pct"/>
            <w:tcBorders>
              <w:top w:val="single" w:sz="4" w:space="0" w:color="auto"/>
              <w:left w:val="single" w:sz="4" w:space="0" w:color="auto"/>
              <w:bottom w:val="nil"/>
              <w:right w:val="nil"/>
            </w:tcBorders>
            <w:shd w:val="clear" w:color="auto" w:fill="auto"/>
          </w:tcPr>
          <w:p w:rsidR="00466D38" w:rsidRPr="00526311" w:rsidRDefault="00466D38" w:rsidP="008761B9">
            <w:pPr>
              <w:keepNext/>
              <w:keepLines/>
              <w:rPr>
                <w:sz w:val="16"/>
                <w:szCs w:val="16"/>
              </w:rPr>
            </w:pPr>
            <w:r w:rsidRPr="00526311">
              <w:rPr>
                <w:b/>
                <w:sz w:val="16"/>
                <w:szCs w:val="16"/>
              </w:rPr>
              <w:t>Indicadores de rendimiento</w:t>
            </w:r>
          </w:p>
        </w:tc>
        <w:tc>
          <w:tcPr>
            <w:tcW w:w="864" w:type="pct"/>
            <w:tcBorders>
              <w:top w:val="single" w:sz="4" w:space="0" w:color="auto"/>
              <w:left w:val="nil"/>
              <w:bottom w:val="nil"/>
              <w:right w:val="nil"/>
            </w:tcBorders>
            <w:shd w:val="clear" w:color="auto" w:fill="auto"/>
          </w:tcPr>
          <w:p w:rsidR="00466D38" w:rsidRPr="00526311" w:rsidRDefault="00466D38" w:rsidP="008761B9">
            <w:pPr>
              <w:keepNext/>
              <w:keepLines/>
              <w:rPr>
                <w:b/>
                <w:bCs/>
                <w:sz w:val="16"/>
                <w:szCs w:val="16"/>
              </w:rPr>
            </w:pPr>
            <w:r w:rsidRPr="00526311">
              <w:rPr>
                <w:b/>
                <w:bCs/>
                <w:sz w:val="16"/>
                <w:szCs w:val="16"/>
              </w:rPr>
              <w:t>Referencia</w:t>
            </w:r>
          </w:p>
        </w:tc>
        <w:tc>
          <w:tcPr>
            <w:tcW w:w="918" w:type="pct"/>
            <w:tcBorders>
              <w:top w:val="single" w:sz="4" w:space="0" w:color="auto"/>
              <w:left w:val="nil"/>
              <w:bottom w:val="nil"/>
              <w:right w:val="nil"/>
            </w:tcBorders>
            <w:shd w:val="clear" w:color="auto" w:fill="auto"/>
            <w:tcMar>
              <w:top w:w="110" w:type="dxa"/>
            </w:tcMar>
          </w:tcPr>
          <w:p w:rsidR="00466D38" w:rsidRPr="00526311" w:rsidRDefault="00466D38" w:rsidP="008761B9">
            <w:pPr>
              <w:keepNext/>
              <w:keepLines/>
              <w:rPr>
                <w:b/>
                <w:sz w:val="16"/>
                <w:szCs w:val="16"/>
              </w:rPr>
            </w:pPr>
            <w:r w:rsidRPr="00526311">
              <w:rPr>
                <w:b/>
                <w:sz w:val="16"/>
                <w:szCs w:val="16"/>
              </w:rPr>
              <w:t>Objetivos</w:t>
            </w:r>
          </w:p>
        </w:tc>
        <w:tc>
          <w:tcPr>
            <w:tcW w:w="1457" w:type="pct"/>
            <w:tcBorders>
              <w:top w:val="single" w:sz="4" w:space="0" w:color="auto"/>
              <w:left w:val="nil"/>
              <w:bottom w:val="nil"/>
              <w:right w:val="nil"/>
            </w:tcBorders>
            <w:shd w:val="clear" w:color="auto" w:fill="FFFFFF"/>
            <w:tcMar>
              <w:top w:w="110" w:type="dxa"/>
            </w:tcMar>
          </w:tcPr>
          <w:p w:rsidR="00466D38" w:rsidRPr="00526311" w:rsidRDefault="00466D38" w:rsidP="008761B9">
            <w:pPr>
              <w:rPr>
                <w:sz w:val="16"/>
                <w:szCs w:val="16"/>
              </w:rPr>
            </w:pPr>
            <w:r w:rsidRPr="00526311">
              <w:rPr>
                <w:b/>
                <w:sz w:val="16"/>
                <w:szCs w:val="16"/>
              </w:rPr>
              <w:t>Datos sobre el rendimiento</w:t>
            </w:r>
          </w:p>
        </w:tc>
        <w:tc>
          <w:tcPr>
            <w:tcW w:w="681" w:type="pct"/>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
                <w:bCs/>
                <w:sz w:val="16"/>
                <w:szCs w:val="16"/>
              </w:rPr>
            </w:pPr>
            <w:r w:rsidRPr="00526311">
              <w:rPr>
                <w:b/>
                <w:bCs/>
                <w:sz w:val="16"/>
                <w:szCs w:val="16"/>
              </w:rPr>
              <w:t>Clave de colores</w:t>
            </w:r>
          </w:p>
        </w:tc>
      </w:tr>
      <w:tr w:rsidR="00466D38" w:rsidRPr="00526311" w:rsidTr="008761B9">
        <w:trPr>
          <w:trHeight w:val="1222"/>
        </w:trPr>
        <w:tc>
          <w:tcPr>
            <w:tcW w:w="1080" w:type="pct"/>
            <w:tcBorders>
              <w:top w:val="nil"/>
              <w:left w:val="single" w:sz="4" w:space="0" w:color="auto"/>
              <w:bottom w:val="nil"/>
              <w:right w:val="nil"/>
            </w:tcBorders>
            <w:shd w:val="clear" w:color="auto" w:fill="auto"/>
          </w:tcPr>
          <w:p w:rsidR="00466D38" w:rsidRPr="00526311" w:rsidRDefault="00466D38" w:rsidP="008761B9">
            <w:pPr>
              <w:keepNext/>
              <w:keepLines/>
              <w:rPr>
                <w:sz w:val="16"/>
                <w:szCs w:val="16"/>
              </w:rPr>
            </w:pPr>
            <w:r w:rsidRPr="00526311">
              <w:rPr>
                <w:sz w:val="16"/>
                <w:szCs w:val="16"/>
              </w:rPr>
              <w:t>Número de países que han formulado o adoptado políticas en las que se expone su adhesión al Arreglo de La Haya.</w:t>
            </w:r>
          </w:p>
        </w:tc>
        <w:tc>
          <w:tcPr>
            <w:tcW w:w="864" w:type="pct"/>
            <w:tcBorders>
              <w:top w:val="nil"/>
              <w:left w:val="nil"/>
              <w:bottom w:val="nil"/>
              <w:right w:val="nil"/>
            </w:tcBorders>
            <w:shd w:val="clear" w:color="auto" w:fill="auto"/>
          </w:tcPr>
          <w:p w:rsidR="00466D38" w:rsidRPr="00526311" w:rsidRDefault="00466D38" w:rsidP="008761B9">
            <w:pPr>
              <w:rPr>
                <w:sz w:val="16"/>
                <w:szCs w:val="16"/>
              </w:rPr>
            </w:pPr>
            <w:r w:rsidRPr="00526311">
              <w:rPr>
                <w:sz w:val="16"/>
                <w:szCs w:val="16"/>
              </w:rPr>
              <w:t>N.d. (OOS)</w:t>
            </w:r>
          </w:p>
          <w:p w:rsidR="00466D38" w:rsidRPr="00526311" w:rsidRDefault="00466D38" w:rsidP="008761B9">
            <w:pPr>
              <w:keepNext/>
              <w:keepLines/>
              <w:jc w:val="center"/>
              <w:rPr>
                <w:sz w:val="16"/>
                <w:szCs w:val="16"/>
              </w:rPr>
            </w:pPr>
          </w:p>
        </w:tc>
        <w:tc>
          <w:tcPr>
            <w:tcW w:w="918" w:type="pct"/>
            <w:tcBorders>
              <w:top w:val="nil"/>
              <w:left w:val="nil"/>
              <w:bottom w:val="nil"/>
              <w:right w:val="nil"/>
            </w:tcBorders>
            <w:shd w:val="clear" w:color="auto" w:fill="auto"/>
            <w:tcMar>
              <w:top w:w="110" w:type="dxa"/>
            </w:tcMar>
          </w:tcPr>
          <w:p w:rsidR="00466D38" w:rsidRPr="00526311" w:rsidRDefault="00466D38" w:rsidP="008761B9">
            <w:pPr>
              <w:keepNext/>
              <w:keepLines/>
              <w:rPr>
                <w:sz w:val="16"/>
                <w:szCs w:val="16"/>
              </w:rPr>
            </w:pPr>
            <w:r w:rsidRPr="00526311">
              <w:rPr>
                <w:sz w:val="16"/>
                <w:szCs w:val="16"/>
              </w:rPr>
              <w:t>7 Estados miembros de la ASEAN (OOS)</w:t>
            </w:r>
          </w:p>
        </w:tc>
        <w:tc>
          <w:tcPr>
            <w:tcW w:w="1457" w:type="pct"/>
            <w:tcBorders>
              <w:top w:val="nil"/>
              <w:left w:val="nil"/>
              <w:bottom w:val="nil"/>
              <w:right w:val="nil"/>
            </w:tcBorders>
            <w:shd w:val="clear" w:color="auto" w:fill="FFFFFF"/>
            <w:tcMar>
              <w:top w:w="110" w:type="dxa"/>
            </w:tcMar>
          </w:tcPr>
          <w:p w:rsidR="00466D38" w:rsidRPr="00526311" w:rsidRDefault="00466D38" w:rsidP="008761B9">
            <w:pPr>
              <w:rPr>
                <w:sz w:val="16"/>
                <w:szCs w:val="16"/>
              </w:rPr>
            </w:pPr>
            <w:r w:rsidRPr="00526311">
              <w:rPr>
                <w:sz w:val="16"/>
                <w:szCs w:val="16"/>
              </w:rPr>
              <w:t>7 Estados miembros de la ASEAN  (Camboya, Filipinas, Indonesia, República Democrática Popular Lao, Malasia, Tailandia, Viet Nam)</w:t>
            </w:r>
          </w:p>
        </w:tc>
        <w:tc>
          <w:tcPr>
            <w:tcW w:w="681" w:type="pct"/>
            <w:tcBorders>
              <w:top w:val="nil"/>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
                <w:bCs/>
                <w:color w:val="00B050"/>
                <w:sz w:val="16"/>
                <w:szCs w:val="16"/>
              </w:rPr>
            </w:pPr>
            <w:r w:rsidRPr="00526311">
              <w:rPr>
                <w:b/>
                <w:bCs/>
                <w:color w:val="00B050"/>
                <w:sz w:val="16"/>
                <w:szCs w:val="16"/>
              </w:rPr>
              <w:t>Avanza</w:t>
            </w:r>
          </w:p>
        </w:tc>
      </w:tr>
      <w:tr w:rsidR="00466D38" w:rsidRPr="00526311" w:rsidTr="00466D38">
        <w:tc>
          <w:tcPr>
            <w:tcW w:w="1080" w:type="pct"/>
            <w:tcBorders>
              <w:top w:val="nil"/>
              <w:left w:val="single" w:sz="4" w:space="0" w:color="auto"/>
              <w:bottom w:val="nil"/>
              <w:right w:val="nil"/>
            </w:tcBorders>
            <w:shd w:val="clear" w:color="auto" w:fill="auto"/>
          </w:tcPr>
          <w:p w:rsidR="00466D38" w:rsidRPr="00526311" w:rsidRDefault="00466D38" w:rsidP="008761B9">
            <w:pPr>
              <w:rPr>
                <w:sz w:val="16"/>
                <w:szCs w:val="16"/>
              </w:rPr>
            </w:pPr>
            <w:r w:rsidRPr="00526311">
              <w:rPr>
                <w:sz w:val="16"/>
                <w:szCs w:val="16"/>
              </w:rPr>
              <w:t xml:space="preserve">Porcentaje de encargados de la adopción de políticas, funcionarios gubernamentales, profesionales de la P.I. y participantes en talleres con un mayor conocimiento del </w:t>
            </w:r>
            <w:r w:rsidR="00DF7826" w:rsidRPr="00526311">
              <w:rPr>
                <w:sz w:val="16"/>
                <w:szCs w:val="16"/>
              </w:rPr>
              <w:t>Sistema de La Haya</w:t>
            </w:r>
            <w:r w:rsidRPr="00526311">
              <w:rPr>
                <w:sz w:val="16"/>
                <w:szCs w:val="16"/>
              </w:rPr>
              <w:t>.</w:t>
            </w:r>
          </w:p>
        </w:tc>
        <w:tc>
          <w:tcPr>
            <w:tcW w:w="864" w:type="pct"/>
            <w:tcBorders>
              <w:top w:val="nil"/>
              <w:left w:val="nil"/>
              <w:bottom w:val="nil"/>
              <w:right w:val="nil"/>
            </w:tcBorders>
            <w:shd w:val="clear" w:color="auto" w:fill="auto"/>
          </w:tcPr>
          <w:p w:rsidR="00466D38" w:rsidRPr="00526311" w:rsidRDefault="00466D38" w:rsidP="008761B9">
            <w:pPr>
              <w:rPr>
                <w:sz w:val="16"/>
                <w:szCs w:val="16"/>
              </w:rPr>
            </w:pPr>
            <w:r w:rsidRPr="00526311">
              <w:rPr>
                <w:sz w:val="16"/>
                <w:szCs w:val="16"/>
              </w:rPr>
              <w:t>N.d. (OOB)</w:t>
            </w:r>
          </w:p>
          <w:p w:rsidR="00466D38" w:rsidRPr="00526311" w:rsidRDefault="00466D38" w:rsidP="008761B9">
            <w:pPr>
              <w:rPr>
                <w:sz w:val="16"/>
                <w:szCs w:val="16"/>
              </w:rPr>
            </w:pPr>
            <w:r w:rsidRPr="00526311">
              <w:rPr>
                <w:sz w:val="16"/>
                <w:szCs w:val="16"/>
              </w:rPr>
              <w:t>N.d. (OOJ)</w:t>
            </w:r>
          </w:p>
          <w:p w:rsidR="00466D38" w:rsidRPr="00526311" w:rsidDel="00436D89" w:rsidRDefault="00466D38" w:rsidP="008761B9">
            <w:pPr>
              <w:rPr>
                <w:sz w:val="16"/>
                <w:szCs w:val="16"/>
              </w:rPr>
            </w:pPr>
            <w:r w:rsidRPr="00526311">
              <w:rPr>
                <w:sz w:val="16"/>
                <w:szCs w:val="16"/>
              </w:rPr>
              <w:t>N.d. (OOS)</w:t>
            </w:r>
          </w:p>
        </w:tc>
        <w:tc>
          <w:tcPr>
            <w:tcW w:w="918" w:type="pct"/>
            <w:tcBorders>
              <w:top w:val="nil"/>
              <w:left w:val="nil"/>
              <w:bottom w:val="nil"/>
              <w:right w:val="nil"/>
            </w:tcBorders>
            <w:shd w:val="clear" w:color="auto" w:fill="auto"/>
            <w:tcMar>
              <w:top w:w="110" w:type="dxa"/>
            </w:tcMar>
          </w:tcPr>
          <w:p w:rsidR="00466D38" w:rsidRPr="00526311" w:rsidRDefault="00466D38" w:rsidP="008761B9">
            <w:pPr>
              <w:rPr>
                <w:sz w:val="16"/>
                <w:szCs w:val="16"/>
              </w:rPr>
            </w:pPr>
            <w:r w:rsidRPr="00526311">
              <w:rPr>
                <w:sz w:val="16"/>
                <w:szCs w:val="16"/>
              </w:rPr>
              <w:t>75% (OOB)</w:t>
            </w:r>
          </w:p>
          <w:p w:rsidR="00466D38" w:rsidRPr="00526311" w:rsidRDefault="00466D38" w:rsidP="008761B9">
            <w:pPr>
              <w:rPr>
                <w:sz w:val="16"/>
                <w:szCs w:val="16"/>
              </w:rPr>
            </w:pPr>
            <w:r w:rsidRPr="00526311">
              <w:rPr>
                <w:sz w:val="16"/>
                <w:szCs w:val="16"/>
              </w:rPr>
              <w:t>75% (OOJ)</w:t>
            </w:r>
          </w:p>
          <w:p w:rsidR="00466D38" w:rsidRPr="00526311" w:rsidRDefault="00466D38" w:rsidP="008761B9">
            <w:pPr>
              <w:rPr>
                <w:sz w:val="16"/>
                <w:szCs w:val="16"/>
              </w:rPr>
            </w:pPr>
            <w:r w:rsidRPr="00526311">
              <w:rPr>
                <w:sz w:val="16"/>
                <w:szCs w:val="16"/>
              </w:rPr>
              <w:t>75% (OOS)</w:t>
            </w:r>
          </w:p>
          <w:p w:rsidR="00466D38" w:rsidRPr="00526311" w:rsidRDefault="00466D38" w:rsidP="008761B9">
            <w:pPr>
              <w:rPr>
                <w:sz w:val="16"/>
                <w:szCs w:val="16"/>
              </w:rPr>
            </w:pPr>
          </w:p>
          <w:p w:rsidR="00466D38" w:rsidRPr="00526311" w:rsidRDefault="00466D38" w:rsidP="008761B9">
            <w:pPr>
              <w:rPr>
                <w:sz w:val="16"/>
                <w:szCs w:val="16"/>
              </w:rPr>
            </w:pPr>
          </w:p>
        </w:tc>
        <w:tc>
          <w:tcPr>
            <w:tcW w:w="1457" w:type="pct"/>
            <w:tcBorders>
              <w:top w:val="nil"/>
              <w:left w:val="nil"/>
              <w:bottom w:val="nil"/>
              <w:right w:val="nil"/>
            </w:tcBorders>
            <w:shd w:val="clear" w:color="auto" w:fill="FFFFFF"/>
            <w:tcMar>
              <w:top w:w="110" w:type="dxa"/>
            </w:tcMar>
          </w:tcPr>
          <w:p w:rsidR="00466D38" w:rsidRPr="00526311" w:rsidRDefault="00466D38" w:rsidP="008761B9">
            <w:pPr>
              <w:rPr>
                <w:sz w:val="16"/>
                <w:szCs w:val="16"/>
              </w:rPr>
            </w:pPr>
            <w:r w:rsidRPr="00526311">
              <w:rPr>
                <w:sz w:val="16"/>
                <w:szCs w:val="16"/>
              </w:rPr>
              <w:t>75% (OOB)</w:t>
            </w:r>
          </w:p>
          <w:p w:rsidR="00466D38" w:rsidRPr="00526311" w:rsidRDefault="00466D38" w:rsidP="008761B9">
            <w:pPr>
              <w:rPr>
                <w:sz w:val="16"/>
                <w:szCs w:val="16"/>
              </w:rPr>
            </w:pPr>
            <w:r w:rsidRPr="00526311">
              <w:rPr>
                <w:sz w:val="16"/>
                <w:szCs w:val="16"/>
              </w:rPr>
              <w:t>94% (OOJ)</w:t>
            </w:r>
          </w:p>
          <w:p w:rsidR="00466D38" w:rsidRPr="00526311" w:rsidDel="00436D89" w:rsidRDefault="00466D38" w:rsidP="008761B9">
            <w:pPr>
              <w:rPr>
                <w:sz w:val="16"/>
                <w:szCs w:val="16"/>
              </w:rPr>
            </w:pPr>
            <w:r w:rsidRPr="00526311">
              <w:rPr>
                <w:sz w:val="16"/>
                <w:szCs w:val="16"/>
              </w:rPr>
              <w:t>85% (OOS)</w:t>
            </w:r>
          </w:p>
        </w:tc>
        <w:tc>
          <w:tcPr>
            <w:tcW w:w="681" w:type="pct"/>
            <w:tcBorders>
              <w:top w:val="nil"/>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
                <w:bCs/>
                <w:color w:val="00B050"/>
                <w:sz w:val="16"/>
                <w:szCs w:val="16"/>
              </w:rPr>
            </w:pPr>
            <w:r w:rsidRPr="00526311">
              <w:rPr>
                <w:b/>
                <w:bCs/>
                <w:color w:val="00B050"/>
                <w:sz w:val="16"/>
                <w:szCs w:val="16"/>
              </w:rPr>
              <w:t>Avanza</w:t>
            </w:r>
          </w:p>
          <w:p w:rsidR="00466D38" w:rsidRPr="00526311" w:rsidRDefault="00466D38" w:rsidP="008761B9">
            <w:pPr>
              <w:keepNext/>
              <w:keepLines/>
              <w:jc w:val="center"/>
              <w:rPr>
                <w:b/>
                <w:bCs/>
                <w:color w:val="00B050"/>
                <w:sz w:val="16"/>
                <w:szCs w:val="16"/>
              </w:rPr>
            </w:pPr>
            <w:r w:rsidRPr="00526311">
              <w:rPr>
                <w:b/>
                <w:bCs/>
                <w:color w:val="00B050"/>
                <w:sz w:val="16"/>
                <w:szCs w:val="16"/>
              </w:rPr>
              <w:t>Avanza</w:t>
            </w:r>
          </w:p>
          <w:p w:rsidR="00466D38" w:rsidRPr="00526311" w:rsidRDefault="00466D38" w:rsidP="008761B9">
            <w:pPr>
              <w:keepNext/>
              <w:keepLines/>
              <w:jc w:val="center"/>
              <w:rPr>
                <w:b/>
                <w:bCs/>
                <w:color w:val="00B050"/>
                <w:sz w:val="16"/>
                <w:szCs w:val="16"/>
              </w:rPr>
            </w:pPr>
            <w:r w:rsidRPr="00526311">
              <w:rPr>
                <w:b/>
                <w:bCs/>
                <w:color w:val="00B050"/>
                <w:sz w:val="16"/>
                <w:szCs w:val="16"/>
              </w:rPr>
              <w:t>Avanza</w:t>
            </w:r>
          </w:p>
        </w:tc>
      </w:tr>
      <w:tr w:rsidR="00466D38" w:rsidRPr="00526311" w:rsidTr="008761B9">
        <w:tc>
          <w:tcPr>
            <w:tcW w:w="1080" w:type="pct"/>
            <w:tcBorders>
              <w:top w:val="nil"/>
              <w:left w:val="single" w:sz="4" w:space="0" w:color="auto"/>
              <w:bottom w:val="single" w:sz="4" w:space="0" w:color="auto"/>
              <w:right w:val="nil"/>
            </w:tcBorders>
            <w:shd w:val="clear" w:color="auto" w:fill="auto"/>
          </w:tcPr>
          <w:p w:rsidR="00466D38" w:rsidRPr="00526311" w:rsidRDefault="00466D38" w:rsidP="008761B9">
            <w:pPr>
              <w:rPr>
                <w:color w:val="000000"/>
                <w:sz w:val="16"/>
                <w:szCs w:val="16"/>
              </w:rPr>
            </w:pPr>
            <w:r w:rsidRPr="00526311">
              <w:rPr>
                <w:color w:val="000000"/>
                <w:sz w:val="16"/>
                <w:szCs w:val="16"/>
              </w:rPr>
              <w:t>No de Partes Contratantes del Sistema de La Haya en la región de Asia y el Pacífico</w:t>
            </w:r>
          </w:p>
        </w:tc>
        <w:tc>
          <w:tcPr>
            <w:tcW w:w="864" w:type="pct"/>
            <w:tcBorders>
              <w:top w:val="nil"/>
              <w:left w:val="nil"/>
              <w:bottom w:val="single" w:sz="4" w:space="0" w:color="auto"/>
              <w:right w:val="nil"/>
            </w:tcBorders>
            <w:shd w:val="clear" w:color="auto" w:fill="auto"/>
          </w:tcPr>
          <w:p w:rsidR="00466D38" w:rsidRPr="00526311" w:rsidRDefault="00466D38" w:rsidP="008761B9">
            <w:pPr>
              <w:rPr>
                <w:i/>
                <w:color w:val="002060"/>
                <w:sz w:val="16"/>
                <w:szCs w:val="16"/>
              </w:rPr>
            </w:pPr>
            <w:r w:rsidRPr="00526311">
              <w:rPr>
                <w:i/>
                <w:color w:val="002060"/>
                <w:sz w:val="16"/>
                <w:szCs w:val="16"/>
              </w:rPr>
              <w:t xml:space="preserve">Referencia actualizada a fines de 2013:  </w:t>
            </w:r>
          </w:p>
          <w:p w:rsidR="00466D38" w:rsidRPr="00526311" w:rsidRDefault="00466D38" w:rsidP="008761B9">
            <w:pPr>
              <w:rPr>
                <w:color w:val="002060"/>
                <w:sz w:val="16"/>
                <w:szCs w:val="16"/>
              </w:rPr>
            </w:pPr>
            <w:r w:rsidRPr="00526311">
              <w:rPr>
                <w:color w:val="002060"/>
                <w:sz w:val="16"/>
                <w:szCs w:val="16"/>
              </w:rPr>
              <w:t>El Japón no es Parte Contratante (OOJ)</w:t>
            </w:r>
          </w:p>
          <w:p w:rsidR="00466D38" w:rsidRPr="00526311" w:rsidRDefault="00466D38" w:rsidP="008761B9">
            <w:pPr>
              <w:rPr>
                <w:color w:val="002060"/>
                <w:sz w:val="16"/>
                <w:szCs w:val="16"/>
              </w:rPr>
            </w:pPr>
            <w:r w:rsidRPr="00526311">
              <w:rPr>
                <w:color w:val="002060"/>
                <w:sz w:val="16"/>
                <w:szCs w:val="16"/>
              </w:rPr>
              <w:t>2 en la región de la ASEAN  (Brunei Darussalam y Singapur) (OOS)</w:t>
            </w:r>
          </w:p>
          <w:p w:rsidR="00466D38" w:rsidRPr="00526311" w:rsidRDefault="00466D38" w:rsidP="008761B9">
            <w:pPr>
              <w:rPr>
                <w:sz w:val="16"/>
                <w:szCs w:val="16"/>
              </w:rPr>
            </w:pPr>
            <w:r w:rsidRPr="00526311">
              <w:rPr>
                <w:i/>
                <w:sz w:val="16"/>
                <w:szCs w:val="16"/>
              </w:rPr>
              <w:t>Referencia original en el presupuesto de 2014/15:</w:t>
            </w:r>
            <w:r w:rsidRPr="00526311">
              <w:rPr>
                <w:sz w:val="16"/>
                <w:szCs w:val="16"/>
              </w:rPr>
              <w:t xml:space="preserve">  1 en la región de la ASEAN (OOS)</w:t>
            </w:r>
          </w:p>
          <w:p w:rsidR="00466D38" w:rsidRPr="00526311" w:rsidRDefault="00466D38" w:rsidP="008761B9">
            <w:pPr>
              <w:rPr>
                <w:sz w:val="16"/>
                <w:szCs w:val="16"/>
              </w:rPr>
            </w:pPr>
            <w:r w:rsidRPr="00526311">
              <w:rPr>
                <w:sz w:val="16"/>
                <w:szCs w:val="16"/>
              </w:rPr>
              <w:t>El Japón no es Parte Contratante (OOJ)</w:t>
            </w:r>
            <w:r w:rsidR="00526311">
              <w:rPr>
                <w:sz w:val="16"/>
                <w:szCs w:val="16"/>
              </w:rPr>
              <w:t>.</w:t>
            </w:r>
            <w:r w:rsidR="00526311">
              <w:rPr>
                <w:sz w:val="16"/>
                <w:szCs w:val="16"/>
              </w:rPr>
              <w:br/>
            </w:r>
          </w:p>
        </w:tc>
        <w:tc>
          <w:tcPr>
            <w:tcW w:w="918" w:type="pct"/>
            <w:tcBorders>
              <w:top w:val="nil"/>
              <w:left w:val="nil"/>
              <w:bottom w:val="single" w:sz="4" w:space="0" w:color="auto"/>
              <w:right w:val="nil"/>
            </w:tcBorders>
            <w:shd w:val="clear" w:color="auto" w:fill="auto"/>
            <w:tcMar>
              <w:top w:w="110" w:type="dxa"/>
            </w:tcMar>
          </w:tcPr>
          <w:p w:rsidR="00466D38" w:rsidRPr="00526311" w:rsidRDefault="00466D38" w:rsidP="008761B9">
            <w:pPr>
              <w:rPr>
                <w:sz w:val="16"/>
                <w:szCs w:val="16"/>
              </w:rPr>
            </w:pPr>
            <w:r w:rsidRPr="00526311">
              <w:rPr>
                <w:sz w:val="16"/>
                <w:szCs w:val="16"/>
              </w:rPr>
              <w:t>7 en la región de la ASEAN (OOS)</w:t>
            </w:r>
            <w:r w:rsidR="007624F4" w:rsidRPr="00526311">
              <w:rPr>
                <w:sz w:val="16"/>
                <w:szCs w:val="16"/>
              </w:rPr>
              <w:br/>
            </w:r>
          </w:p>
          <w:p w:rsidR="00466D38" w:rsidRPr="00526311" w:rsidRDefault="00466D38" w:rsidP="008761B9">
            <w:pPr>
              <w:rPr>
                <w:sz w:val="16"/>
                <w:szCs w:val="16"/>
              </w:rPr>
            </w:pPr>
            <w:r w:rsidRPr="00526311">
              <w:rPr>
                <w:sz w:val="16"/>
                <w:szCs w:val="16"/>
              </w:rPr>
              <w:t>Adhesión del Japón (OOJ)</w:t>
            </w:r>
          </w:p>
        </w:tc>
        <w:tc>
          <w:tcPr>
            <w:tcW w:w="1457" w:type="pct"/>
            <w:tcBorders>
              <w:top w:val="nil"/>
              <w:left w:val="nil"/>
              <w:bottom w:val="single" w:sz="4" w:space="0" w:color="auto"/>
              <w:right w:val="nil"/>
            </w:tcBorders>
            <w:shd w:val="clear" w:color="auto" w:fill="FFFFFF"/>
            <w:tcMar>
              <w:top w:w="110" w:type="dxa"/>
            </w:tcMar>
          </w:tcPr>
          <w:p w:rsidR="00466D38" w:rsidRPr="00526311" w:rsidRDefault="00466D38" w:rsidP="008761B9">
            <w:pPr>
              <w:rPr>
                <w:sz w:val="16"/>
                <w:szCs w:val="16"/>
              </w:rPr>
            </w:pPr>
            <w:r w:rsidRPr="00526311">
              <w:rPr>
                <w:sz w:val="16"/>
                <w:szCs w:val="16"/>
              </w:rPr>
              <w:t>Ninguna Parte Contratante adicional del Sistema de La Haya en la región de la ASEAN en 2014 (OOS)</w:t>
            </w:r>
          </w:p>
          <w:p w:rsidR="00466D38" w:rsidRPr="00526311" w:rsidRDefault="00466D38" w:rsidP="008761B9">
            <w:pPr>
              <w:rPr>
                <w:sz w:val="16"/>
                <w:szCs w:val="16"/>
              </w:rPr>
            </w:pPr>
            <w:r w:rsidRPr="00526311">
              <w:rPr>
                <w:sz w:val="16"/>
                <w:szCs w:val="16"/>
              </w:rPr>
              <w:t>Ninguna adhesión en 2014 (el Japón finalizará los trámites de su adhesión en febrero de 2015)</w:t>
            </w:r>
          </w:p>
          <w:p w:rsidR="00466D38" w:rsidRPr="00526311" w:rsidRDefault="00466D38" w:rsidP="008761B9">
            <w:pPr>
              <w:rPr>
                <w:sz w:val="16"/>
                <w:szCs w:val="16"/>
              </w:rPr>
            </w:pPr>
          </w:p>
        </w:tc>
        <w:tc>
          <w:tcPr>
            <w:tcW w:w="681" w:type="pct"/>
            <w:tcBorders>
              <w:top w:val="nil"/>
              <w:left w:val="nil"/>
              <w:bottom w:val="single" w:sz="4" w:space="0" w:color="auto"/>
              <w:right w:val="single" w:sz="4" w:space="0" w:color="auto"/>
            </w:tcBorders>
            <w:shd w:val="clear" w:color="auto" w:fill="auto"/>
            <w:tcMar>
              <w:top w:w="110" w:type="dxa"/>
            </w:tcMar>
          </w:tcPr>
          <w:p w:rsidR="007624F4" w:rsidRPr="00526311" w:rsidRDefault="007624F4" w:rsidP="008761B9">
            <w:pPr>
              <w:keepNext/>
              <w:keepLines/>
              <w:jc w:val="center"/>
              <w:rPr>
                <w:b/>
                <w:color w:val="00B050"/>
                <w:sz w:val="16"/>
                <w:szCs w:val="16"/>
              </w:rPr>
            </w:pPr>
            <w:r w:rsidRPr="00526311">
              <w:rPr>
                <w:b/>
                <w:color w:val="FF0000"/>
                <w:sz w:val="16"/>
                <w:szCs w:val="16"/>
              </w:rPr>
              <w:t>No avanza</w:t>
            </w:r>
            <w:r w:rsidRPr="00526311">
              <w:rPr>
                <w:b/>
                <w:color w:val="00B050"/>
                <w:sz w:val="16"/>
                <w:szCs w:val="16"/>
              </w:rPr>
              <w:t xml:space="preserve"> </w:t>
            </w:r>
          </w:p>
          <w:p w:rsidR="007624F4" w:rsidRPr="00526311" w:rsidRDefault="007624F4" w:rsidP="008761B9">
            <w:pPr>
              <w:keepNext/>
              <w:keepLines/>
              <w:jc w:val="center"/>
              <w:rPr>
                <w:b/>
                <w:color w:val="00B050"/>
                <w:sz w:val="16"/>
                <w:szCs w:val="16"/>
              </w:rPr>
            </w:pPr>
          </w:p>
          <w:p w:rsidR="007624F4" w:rsidRPr="00526311" w:rsidRDefault="007624F4" w:rsidP="008761B9">
            <w:pPr>
              <w:keepNext/>
              <w:keepLines/>
              <w:jc w:val="center"/>
              <w:rPr>
                <w:b/>
                <w:color w:val="00B050"/>
                <w:sz w:val="16"/>
                <w:szCs w:val="16"/>
              </w:rPr>
            </w:pPr>
          </w:p>
          <w:p w:rsidR="007624F4" w:rsidRPr="00526311" w:rsidRDefault="007624F4" w:rsidP="008761B9">
            <w:pPr>
              <w:keepNext/>
              <w:keepLines/>
              <w:jc w:val="center"/>
              <w:rPr>
                <w:b/>
                <w:color w:val="00B050"/>
                <w:sz w:val="16"/>
                <w:szCs w:val="16"/>
              </w:rPr>
            </w:pPr>
          </w:p>
          <w:p w:rsidR="00466D38" w:rsidRPr="00526311" w:rsidRDefault="00466D38" w:rsidP="007624F4">
            <w:pPr>
              <w:keepNext/>
              <w:keepLines/>
              <w:jc w:val="center"/>
              <w:rPr>
                <w:color w:val="808080"/>
                <w:sz w:val="16"/>
                <w:szCs w:val="16"/>
              </w:rPr>
            </w:pPr>
            <w:r w:rsidRPr="00526311">
              <w:rPr>
                <w:b/>
                <w:color w:val="00B050"/>
                <w:sz w:val="16"/>
                <w:szCs w:val="16"/>
              </w:rPr>
              <w:t>Avanza</w:t>
            </w:r>
          </w:p>
        </w:tc>
      </w:tr>
      <w:tr w:rsidR="00466D38" w:rsidRPr="00526311" w:rsidTr="008761B9">
        <w:tc>
          <w:tcPr>
            <w:tcW w:w="5000" w:type="pct"/>
            <w:gridSpan w:val="5"/>
            <w:tcBorders>
              <w:top w:val="single" w:sz="4" w:space="0" w:color="auto"/>
              <w:bottom w:val="single" w:sz="4" w:space="0" w:color="auto"/>
            </w:tcBorders>
            <w:shd w:val="clear" w:color="auto" w:fill="CCFFFF"/>
          </w:tcPr>
          <w:p w:rsidR="00466D38" w:rsidRPr="00526311" w:rsidRDefault="00466D38" w:rsidP="008761B9">
            <w:pPr>
              <w:keepNext/>
              <w:keepLine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color w:val="000000"/>
                <w:sz w:val="16"/>
                <w:szCs w:val="16"/>
              </w:rPr>
              <w:t>II.6 Mayor y más eficaz utilización de los Sistemas de Madrid y de Lisboa por los países en desarrollo y los PMA, entre otros</w:t>
            </w:r>
          </w:p>
        </w:tc>
      </w:tr>
      <w:tr w:rsidR="00466D38" w:rsidRPr="00526311" w:rsidTr="008761B9">
        <w:tc>
          <w:tcPr>
            <w:tcW w:w="1080" w:type="pct"/>
            <w:tcBorders>
              <w:top w:val="single" w:sz="4" w:space="0" w:color="auto"/>
              <w:left w:val="single" w:sz="4" w:space="0" w:color="auto"/>
              <w:bottom w:val="nil"/>
              <w:right w:val="nil"/>
            </w:tcBorders>
            <w:shd w:val="clear" w:color="auto" w:fill="auto"/>
          </w:tcPr>
          <w:p w:rsidR="00466D38" w:rsidRPr="00526311" w:rsidRDefault="00466D38" w:rsidP="008761B9">
            <w:pPr>
              <w:keepNext/>
              <w:keepLines/>
              <w:rPr>
                <w:sz w:val="16"/>
                <w:szCs w:val="16"/>
              </w:rPr>
            </w:pPr>
            <w:r w:rsidRPr="00526311">
              <w:rPr>
                <w:b/>
                <w:sz w:val="16"/>
                <w:szCs w:val="16"/>
              </w:rPr>
              <w:t>Indicadores de rendimiento</w:t>
            </w:r>
          </w:p>
        </w:tc>
        <w:tc>
          <w:tcPr>
            <w:tcW w:w="864" w:type="pct"/>
            <w:tcBorders>
              <w:top w:val="single" w:sz="4" w:space="0" w:color="auto"/>
              <w:left w:val="nil"/>
              <w:bottom w:val="nil"/>
              <w:right w:val="nil"/>
            </w:tcBorders>
            <w:shd w:val="clear" w:color="auto" w:fill="auto"/>
          </w:tcPr>
          <w:p w:rsidR="00466D38" w:rsidRPr="00526311" w:rsidRDefault="00466D38" w:rsidP="008761B9">
            <w:pPr>
              <w:keepNext/>
              <w:keepLines/>
              <w:rPr>
                <w:b/>
                <w:bCs/>
                <w:sz w:val="16"/>
                <w:szCs w:val="16"/>
              </w:rPr>
            </w:pPr>
            <w:r w:rsidRPr="00526311">
              <w:rPr>
                <w:b/>
                <w:bCs/>
                <w:sz w:val="16"/>
                <w:szCs w:val="16"/>
              </w:rPr>
              <w:t>Referencia</w:t>
            </w:r>
          </w:p>
        </w:tc>
        <w:tc>
          <w:tcPr>
            <w:tcW w:w="918" w:type="pct"/>
            <w:tcBorders>
              <w:top w:val="single" w:sz="4" w:space="0" w:color="auto"/>
              <w:left w:val="nil"/>
              <w:bottom w:val="nil"/>
              <w:right w:val="nil"/>
            </w:tcBorders>
            <w:shd w:val="clear" w:color="auto" w:fill="auto"/>
            <w:tcMar>
              <w:top w:w="110" w:type="dxa"/>
            </w:tcMar>
          </w:tcPr>
          <w:p w:rsidR="00466D38" w:rsidRPr="00526311" w:rsidRDefault="00466D38" w:rsidP="008761B9">
            <w:pPr>
              <w:keepNext/>
              <w:keepLines/>
              <w:rPr>
                <w:b/>
                <w:sz w:val="16"/>
                <w:szCs w:val="16"/>
              </w:rPr>
            </w:pPr>
            <w:r w:rsidRPr="00526311">
              <w:rPr>
                <w:b/>
                <w:sz w:val="16"/>
                <w:szCs w:val="16"/>
              </w:rPr>
              <w:t>Objetivos</w:t>
            </w:r>
          </w:p>
        </w:tc>
        <w:tc>
          <w:tcPr>
            <w:tcW w:w="1457" w:type="pct"/>
            <w:tcBorders>
              <w:top w:val="single" w:sz="4" w:space="0" w:color="auto"/>
              <w:left w:val="nil"/>
              <w:bottom w:val="nil"/>
              <w:right w:val="nil"/>
            </w:tcBorders>
            <w:shd w:val="clear" w:color="auto" w:fill="FFFFFF"/>
            <w:tcMar>
              <w:top w:w="110" w:type="dxa"/>
            </w:tcMar>
          </w:tcPr>
          <w:p w:rsidR="00466D38" w:rsidRPr="00526311" w:rsidRDefault="00466D38" w:rsidP="008761B9">
            <w:pPr>
              <w:keepNext/>
              <w:keepLines/>
              <w:rPr>
                <w:sz w:val="16"/>
                <w:szCs w:val="16"/>
              </w:rPr>
            </w:pPr>
            <w:r w:rsidRPr="00526311">
              <w:rPr>
                <w:b/>
                <w:sz w:val="16"/>
                <w:szCs w:val="16"/>
              </w:rPr>
              <w:t>Datos sobre el rendimiento</w:t>
            </w:r>
          </w:p>
        </w:tc>
        <w:tc>
          <w:tcPr>
            <w:tcW w:w="681" w:type="pct"/>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rPr>
                <w:b/>
                <w:bCs/>
                <w:sz w:val="16"/>
                <w:szCs w:val="16"/>
              </w:rPr>
            </w:pPr>
            <w:r w:rsidRPr="00526311">
              <w:rPr>
                <w:b/>
                <w:bCs/>
                <w:sz w:val="16"/>
                <w:szCs w:val="16"/>
              </w:rPr>
              <w:t>Clave de colores</w:t>
            </w:r>
          </w:p>
        </w:tc>
      </w:tr>
      <w:tr w:rsidR="00466D38" w:rsidRPr="00526311" w:rsidTr="008761B9">
        <w:tc>
          <w:tcPr>
            <w:tcW w:w="1080" w:type="pct"/>
            <w:tcBorders>
              <w:top w:val="nil"/>
              <w:left w:val="single" w:sz="4" w:space="0" w:color="auto"/>
              <w:bottom w:val="nil"/>
              <w:right w:val="nil"/>
            </w:tcBorders>
            <w:shd w:val="clear" w:color="auto" w:fill="auto"/>
          </w:tcPr>
          <w:p w:rsidR="00466D38" w:rsidRPr="00526311" w:rsidRDefault="00466D38" w:rsidP="008761B9">
            <w:pPr>
              <w:keepNext/>
              <w:keepLines/>
              <w:spacing w:after="120"/>
              <w:rPr>
                <w:sz w:val="16"/>
                <w:szCs w:val="16"/>
              </w:rPr>
            </w:pPr>
            <w:r w:rsidRPr="00526311">
              <w:rPr>
                <w:sz w:val="16"/>
                <w:szCs w:val="16"/>
              </w:rPr>
              <w:t>Número de países que han formulado o adoptado políticas en las que se expone su adhesión al Protocolo de Madrid</w:t>
            </w:r>
          </w:p>
        </w:tc>
        <w:tc>
          <w:tcPr>
            <w:tcW w:w="864" w:type="pct"/>
            <w:tcBorders>
              <w:top w:val="nil"/>
              <w:left w:val="nil"/>
              <w:bottom w:val="nil"/>
              <w:right w:val="nil"/>
            </w:tcBorders>
            <w:shd w:val="clear" w:color="auto" w:fill="auto"/>
          </w:tcPr>
          <w:p w:rsidR="00466D38" w:rsidRPr="00526311" w:rsidRDefault="00466D38" w:rsidP="008761B9">
            <w:pPr>
              <w:keepNext/>
              <w:keepLines/>
              <w:rPr>
                <w:sz w:val="16"/>
                <w:szCs w:val="16"/>
              </w:rPr>
            </w:pPr>
            <w:r w:rsidRPr="00526311">
              <w:rPr>
                <w:sz w:val="16"/>
                <w:szCs w:val="16"/>
              </w:rPr>
              <w:t>N.d. (OOS)</w:t>
            </w:r>
          </w:p>
        </w:tc>
        <w:tc>
          <w:tcPr>
            <w:tcW w:w="918" w:type="pct"/>
            <w:tcBorders>
              <w:top w:val="nil"/>
              <w:left w:val="nil"/>
              <w:bottom w:val="nil"/>
              <w:right w:val="nil"/>
            </w:tcBorders>
            <w:shd w:val="clear" w:color="auto" w:fill="auto"/>
            <w:tcMar>
              <w:top w:w="110" w:type="dxa"/>
            </w:tcMar>
          </w:tcPr>
          <w:p w:rsidR="00466D38" w:rsidRPr="00526311" w:rsidRDefault="00466D38" w:rsidP="008761B9">
            <w:pPr>
              <w:keepNext/>
              <w:keepLines/>
              <w:rPr>
                <w:sz w:val="16"/>
                <w:szCs w:val="16"/>
              </w:rPr>
            </w:pPr>
            <w:r w:rsidRPr="00526311">
              <w:rPr>
                <w:sz w:val="16"/>
                <w:szCs w:val="16"/>
              </w:rPr>
              <w:t>6 Estados miembros de la ASEAN (OOS)</w:t>
            </w:r>
          </w:p>
        </w:tc>
        <w:tc>
          <w:tcPr>
            <w:tcW w:w="1457" w:type="pct"/>
            <w:tcBorders>
              <w:top w:val="nil"/>
              <w:left w:val="nil"/>
              <w:bottom w:val="nil"/>
              <w:right w:val="nil"/>
            </w:tcBorders>
            <w:shd w:val="clear" w:color="auto" w:fill="FFFFFF"/>
            <w:tcMar>
              <w:top w:w="110" w:type="dxa"/>
            </w:tcMar>
          </w:tcPr>
          <w:p w:rsidR="00466D38" w:rsidRPr="00526311" w:rsidRDefault="00466D38" w:rsidP="008761B9">
            <w:pPr>
              <w:keepNext/>
              <w:keepLines/>
              <w:rPr>
                <w:sz w:val="16"/>
                <w:szCs w:val="16"/>
              </w:rPr>
            </w:pPr>
            <w:r w:rsidRPr="00526311">
              <w:rPr>
                <w:sz w:val="16"/>
                <w:szCs w:val="16"/>
              </w:rPr>
              <w:t>6 Estados miembros de la ASEAN  (Brunei Darussalam, Camboya, Indonesia, República Democrática Popular Lao, Malasia, Tailandia) (OOS)</w:t>
            </w:r>
          </w:p>
        </w:tc>
        <w:tc>
          <w:tcPr>
            <w:tcW w:w="681" w:type="pct"/>
            <w:tcBorders>
              <w:top w:val="nil"/>
              <w:left w:val="nil"/>
              <w:bottom w:val="nil"/>
              <w:right w:val="single" w:sz="4" w:space="0" w:color="auto"/>
            </w:tcBorders>
            <w:shd w:val="clear" w:color="auto" w:fill="auto"/>
            <w:tcMar>
              <w:top w:w="110" w:type="dxa"/>
            </w:tcMar>
          </w:tcPr>
          <w:p w:rsidR="00466D38" w:rsidRPr="00526311" w:rsidRDefault="00466D38" w:rsidP="008761B9">
            <w:pPr>
              <w:keepNext/>
              <w:keepLines/>
              <w:ind w:left="-106"/>
              <w:jc w:val="center"/>
              <w:rPr>
                <w:b/>
                <w:bCs/>
                <w:color w:val="00B050"/>
                <w:sz w:val="16"/>
                <w:szCs w:val="16"/>
              </w:rPr>
            </w:pPr>
            <w:r w:rsidRPr="00526311">
              <w:rPr>
                <w:b/>
                <w:bCs/>
                <w:color w:val="00B050"/>
                <w:sz w:val="16"/>
                <w:szCs w:val="16"/>
              </w:rPr>
              <w:t>Avanza</w:t>
            </w:r>
          </w:p>
        </w:tc>
      </w:tr>
      <w:tr w:rsidR="00466D38" w:rsidRPr="00526311" w:rsidTr="008761B9">
        <w:tc>
          <w:tcPr>
            <w:tcW w:w="1080" w:type="pct"/>
            <w:tcBorders>
              <w:top w:val="nil"/>
              <w:left w:val="single" w:sz="4" w:space="0" w:color="auto"/>
              <w:bottom w:val="nil"/>
              <w:right w:val="nil"/>
            </w:tcBorders>
            <w:shd w:val="clear" w:color="auto" w:fill="auto"/>
          </w:tcPr>
          <w:p w:rsidR="00466D38" w:rsidRPr="00526311" w:rsidRDefault="00466D38" w:rsidP="008761B9">
            <w:pPr>
              <w:rPr>
                <w:sz w:val="16"/>
                <w:szCs w:val="16"/>
              </w:rPr>
            </w:pPr>
            <w:r w:rsidRPr="00526311">
              <w:rPr>
                <w:sz w:val="16"/>
                <w:szCs w:val="16"/>
              </w:rPr>
              <w:t xml:space="preserve">Porcentaje de participantes satisfechos en talleres/seminarios sobre temas relacionados con el </w:t>
            </w:r>
            <w:r w:rsidR="00DF7826" w:rsidRPr="00526311">
              <w:rPr>
                <w:sz w:val="16"/>
                <w:szCs w:val="16"/>
              </w:rPr>
              <w:t>Sistema de Madrid</w:t>
            </w:r>
            <w:r w:rsidRPr="00526311">
              <w:rPr>
                <w:sz w:val="16"/>
                <w:szCs w:val="16"/>
              </w:rPr>
              <w:t>.</w:t>
            </w:r>
          </w:p>
        </w:tc>
        <w:tc>
          <w:tcPr>
            <w:tcW w:w="864" w:type="pct"/>
            <w:tcBorders>
              <w:top w:val="nil"/>
              <w:left w:val="nil"/>
              <w:bottom w:val="nil"/>
              <w:right w:val="nil"/>
            </w:tcBorders>
            <w:shd w:val="clear" w:color="auto" w:fill="auto"/>
          </w:tcPr>
          <w:p w:rsidR="00466D38" w:rsidRPr="00526311" w:rsidRDefault="00466D38" w:rsidP="008761B9">
            <w:pPr>
              <w:rPr>
                <w:i/>
                <w:color w:val="002060"/>
                <w:sz w:val="16"/>
                <w:szCs w:val="16"/>
              </w:rPr>
            </w:pPr>
            <w:r w:rsidRPr="00526311">
              <w:rPr>
                <w:i/>
                <w:color w:val="002060"/>
                <w:sz w:val="16"/>
                <w:szCs w:val="16"/>
              </w:rPr>
              <w:t xml:space="preserve">Referencia actualizada a fines de 2013:  </w:t>
            </w:r>
          </w:p>
          <w:p w:rsidR="00466D38" w:rsidRPr="00526311" w:rsidRDefault="00466D38" w:rsidP="008761B9">
            <w:pPr>
              <w:rPr>
                <w:sz w:val="16"/>
                <w:szCs w:val="16"/>
              </w:rPr>
            </w:pPr>
            <w:r w:rsidRPr="00526311">
              <w:rPr>
                <w:i/>
                <w:sz w:val="16"/>
                <w:szCs w:val="16"/>
              </w:rPr>
              <w:t>Referencia original en el presupuesto de 2014/15:</w:t>
            </w:r>
            <w:r w:rsidRPr="00526311">
              <w:rPr>
                <w:sz w:val="16"/>
                <w:szCs w:val="16"/>
              </w:rPr>
              <w:t xml:space="preserve">  </w:t>
            </w:r>
          </w:p>
          <w:p w:rsidR="00466D38" w:rsidRPr="00526311" w:rsidRDefault="00466D38" w:rsidP="008761B9">
            <w:pPr>
              <w:rPr>
                <w:sz w:val="16"/>
                <w:szCs w:val="16"/>
              </w:rPr>
            </w:pPr>
            <w:r w:rsidRPr="00526311">
              <w:rPr>
                <w:sz w:val="16"/>
                <w:szCs w:val="16"/>
              </w:rPr>
              <w:t>65% (OOB)</w:t>
            </w:r>
          </w:p>
          <w:p w:rsidR="00466D38" w:rsidRPr="00526311" w:rsidRDefault="00466D38" w:rsidP="008761B9">
            <w:pPr>
              <w:spacing w:after="120"/>
              <w:rPr>
                <w:color w:val="002060"/>
                <w:sz w:val="16"/>
                <w:szCs w:val="16"/>
              </w:rPr>
            </w:pPr>
            <w:r w:rsidRPr="00526311">
              <w:rPr>
                <w:sz w:val="16"/>
                <w:szCs w:val="16"/>
              </w:rPr>
              <w:t>65% (OOS)</w:t>
            </w:r>
          </w:p>
        </w:tc>
        <w:tc>
          <w:tcPr>
            <w:tcW w:w="918" w:type="pct"/>
            <w:tcBorders>
              <w:top w:val="nil"/>
              <w:left w:val="nil"/>
              <w:bottom w:val="nil"/>
              <w:right w:val="nil"/>
            </w:tcBorders>
            <w:shd w:val="clear" w:color="auto" w:fill="auto"/>
            <w:tcMar>
              <w:top w:w="110" w:type="dxa"/>
            </w:tcMar>
          </w:tcPr>
          <w:p w:rsidR="00466D38" w:rsidRPr="00526311" w:rsidRDefault="00466D38" w:rsidP="008761B9">
            <w:pPr>
              <w:rPr>
                <w:sz w:val="16"/>
                <w:szCs w:val="16"/>
              </w:rPr>
            </w:pPr>
            <w:r w:rsidRPr="00526311">
              <w:rPr>
                <w:sz w:val="16"/>
                <w:szCs w:val="16"/>
              </w:rPr>
              <w:t>&gt; 75% (OOB)</w:t>
            </w:r>
          </w:p>
          <w:p w:rsidR="00466D38" w:rsidRPr="00526311" w:rsidRDefault="00466D38" w:rsidP="008761B9">
            <w:pPr>
              <w:rPr>
                <w:sz w:val="16"/>
                <w:szCs w:val="16"/>
              </w:rPr>
            </w:pPr>
            <w:r w:rsidRPr="00526311">
              <w:rPr>
                <w:sz w:val="16"/>
                <w:szCs w:val="16"/>
              </w:rPr>
              <w:t>&gt; 75% (OOS)</w:t>
            </w:r>
          </w:p>
        </w:tc>
        <w:tc>
          <w:tcPr>
            <w:tcW w:w="1457" w:type="pct"/>
            <w:tcBorders>
              <w:top w:val="nil"/>
              <w:left w:val="nil"/>
              <w:bottom w:val="nil"/>
              <w:right w:val="nil"/>
            </w:tcBorders>
            <w:shd w:val="clear" w:color="auto" w:fill="FFFFFF"/>
            <w:tcMar>
              <w:top w:w="110" w:type="dxa"/>
            </w:tcMar>
          </w:tcPr>
          <w:p w:rsidR="00466D38" w:rsidRPr="00526311" w:rsidRDefault="00466D38" w:rsidP="008761B9">
            <w:pPr>
              <w:rPr>
                <w:sz w:val="16"/>
                <w:szCs w:val="16"/>
              </w:rPr>
            </w:pPr>
            <w:r w:rsidRPr="00526311">
              <w:rPr>
                <w:sz w:val="16"/>
                <w:szCs w:val="16"/>
              </w:rPr>
              <w:t xml:space="preserve">No se organizaron talleres sobre el </w:t>
            </w:r>
            <w:r w:rsidR="00DF7826" w:rsidRPr="00526311">
              <w:rPr>
                <w:sz w:val="16"/>
                <w:szCs w:val="16"/>
              </w:rPr>
              <w:t>Sistema de Madrid</w:t>
            </w:r>
            <w:r w:rsidRPr="00526311">
              <w:rPr>
                <w:sz w:val="16"/>
                <w:szCs w:val="16"/>
              </w:rPr>
              <w:t xml:space="preserve"> en el Brasil en 2014</w:t>
            </w:r>
          </w:p>
          <w:p w:rsidR="00466D38" w:rsidRPr="00526311" w:rsidRDefault="00466D38" w:rsidP="008761B9">
            <w:pPr>
              <w:rPr>
                <w:sz w:val="16"/>
                <w:szCs w:val="16"/>
              </w:rPr>
            </w:pPr>
            <w:r w:rsidRPr="00526311">
              <w:rPr>
                <w:sz w:val="16"/>
                <w:szCs w:val="16"/>
              </w:rPr>
              <w:t>89%, sobre la base de los comentarios de los participantes (OOS)</w:t>
            </w:r>
          </w:p>
        </w:tc>
        <w:tc>
          <w:tcPr>
            <w:tcW w:w="681" w:type="pct"/>
            <w:tcBorders>
              <w:top w:val="nil"/>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
                <w:bCs/>
                <w:color w:val="0070C0"/>
                <w:sz w:val="16"/>
                <w:szCs w:val="16"/>
              </w:rPr>
            </w:pPr>
            <w:r w:rsidRPr="00526311">
              <w:rPr>
                <w:b/>
                <w:bCs/>
                <w:color w:val="0070C0"/>
                <w:sz w:val="16"/>
                <w:szCs w:val="16"/>
              </w:rPr>
              <w:t>N</w:t>
            </w:r>
            <w:r w:rsidR="007624F4" w:rsidRPr="00526311">
              <w:rPr>
                <w:b/>
                <w:bCs/>
                <w:color w:val="0070C0"/>
                <w:sz w:val="16"/>
                <w:szCs w:val="16"/>
              </w:rPr>
              <w:t>.d.</w:t>
            </w:r>
            <w:r w:rsidRPr="00526311">
              <w:rPr>
                <w:b/>
                <w:bCs/>
                <w:color w:val="0070C0"/>
                <w:sz w:val="16"/>
                <w:szCs w:val="16"/>
              </w:rPr>
              <w:t xml:space="preserve"> para </w:t>
            </w:r>
            <w:r w:rsidR="007624F4" w:rsidRPr="00526311">
              <w:rPr>
                <w:b/>
                <w:bCs/>
                <w:color w:val="0070C0"/>
                <w:sz w:val="16"/>
                <w:szCs w:val="16"/>
              </w:rPr>
              <w:br/>
            </w:r>
            <w:r w:rsidRPr="00526311">
              <w:rPr>
                <w:b/>
                <w:bCs/>
                <w:color w:val="0070C0"/>
                <w:sz w:val="16"/>
                <w:szCs w:val="16"/>
              </w:rPr>
              <w:t>2014</w:t>
            </w:r>
          </w:p>
          <w:p w:rsidR="00466D38" w:rsidRPr="00526311" w:rsidRDefault="00466D38" w:rsidP="008761B9">
            <w:pPr>
              <w:keepNext/>
              <w:keepLines/>
              <w:jc w:val="center"/>
              <w:rPr>
                <w:b/>
                <w:bCs/>
                <w:color w:val="00B050"/>
                <w:sz w:val="16"/>
                <w:szCs w:val="16"/>
              </w:rPr>
            </w:pPr>
          </w:p>
          <w:p w:rsidR="00466D38" w:rsidRPr="00526311" w:rsidRDefault="00466D38" w:rsidP="008761B9">
            <w:pPr>
              <w:keepNext/>
              <w:keepLines/>
              <w:jc w:val="center"/>
              <w:rPr>
                <w:b/>
                <w:bCs/>
                <w:color w:val="00B050"/>
                <w:sz w:val="16"/>
                <w:szCs w:val="16"/>
              </w:rPr>
            </w:pPr>
            <w:r w:rsidRPr="00526311">
              <w:rPr>
                <w:b/>
                <w:bCs/>
                <w:color w:val="00B050"/>
                <w:sz w:val="16"/>
                <w:szCs w:val="16"/>
              </w:rPr>
              <w:t>Avanza</w:t>
            </w:r>
          </w:p>
        </w:tc>
      </w:tr>
      <w:tr w:rsidR="00466D38" w:rsidRPr="00526311" w:rsidTr="008761B9">
        <w:tc>
          <w:tcPr>
            <w:tcW w:w="1080" w:type="pct"/>
            <w:tcBorders>
              <w:top w:val="nil"/>
              <w:left w:val="single" w:sz="4" w:space="0" w:color="auto"/>
              <w:bottom w:val="single" w:sz="4" w:space="0" w:color="auto"/>
              <w:right w:val="nil"/>
            </w:tcBorders>
            <w:shd w:val="clear" w:color="auto" w:fill="auto"/>
          </w:tcPr>
          <w:p w:rsidR="00466D38" w:rsidRPr="00526311" w:rsidRDefault="00466D38" w:rsidP="008761B9">
            <w:pPr>
              <w:rPr>
                <w:sz w:val="16"/>
                <w:szCs w:val="16"/>
              </w:rPr>
            </w:pPr>
            <w:r w:rsidRPr="00526311">
              <w:rPr>
                <w:sz w:val="16"/>
                <w:szCs w:val="16"/>
              </w:rPr>
              <w:t>Número de Partes Contratantes del Protocolo de Madrid.</w:t>
            </w:r>
          </w:p>
        </w:tc>
        <w:tc>
          <w:tcPr>
            <w:tcW w:w="864" w:type="pct"/>
            <w:tcBorders>
              <w:top w:val="nil"/>
              <w:left w:val="nil"/>
              <w:bottom w:val="single" w:sz="4" w:space="0" w:color="auto"/>
              <w:right w:val="nil"/>
            </w:tcBorders>
            <w:shd w:val="clear" w:color="auto" w:fill="auto"/>
          </w:tcPr>
          <w:p w:rsidR="00466D38" w:rsidRPr="00526311" w:rsidRDefault="00466D38" w:rsidP="008761B9">
            <w:pPr>
              <w:rPr>
                <w:i/>
                <w:color w:val="002060"/>
                <w:sz w:val="16"/>
                <w:szCs w:val="16"/>
              </w:rPr>
            </w:pPr>
            <w:r w:rsidRPr="00526311">
              <w:rPr>
                <w:i/>
                <w:color w:val="002060"/>
                <w:sz w:val="16"/>
                <w:szCs w:val="16"/>
              </w:rPr>
              <w:t xml:space="preserve">Referencia actualizada a fines de 2013:  </w:t>
            </w:r>
            <w:r w:rsidRPr="00526311">
              <w:rPr>
                <w:color w:val="002060"/>
                <w:sz w:val="16"/>
                <w:szCs w:val="16"/>
              </w:rPr>
              <w:t>3 (Filipinas, Singapur, Viet Nam) (OOS)</w:t>
            </w:r>
          </w:p>
          <w:p w:rsidR="00466D38" w:rsidRPr="00526311" w:rsidRDefault="00466D38" w:rsidP="008761B9">
            <w:pPr>
              <w:rPr>
                <w:sz w:val="16"/>
                <w:szCs w:val="16"/>
              </w:rPr>
            </w:pPr>
            <w:r w:rsidRPr="00526311">
              <w:rPr>
                <w:i/>
                <w:sz w:val="16"/>
                <w:szCs w:val="16"/>
              </w:rPr>
              <w:t>Referencia original en el presupuesto de 2014/15:</w:t>
            </w:r>
            <w:r w:rsidRPr="00526311">
              <w:rPr>
                <w:sz w:val="16"/>
                <w:szCs w:val="16"/>
              </w:rPr>
              <w:t xml:space="preserve">  </w:t>
            </w:r>
          </w:p>
          <w:p w:rsidR="00466D38" w:rsidRPr="00526311" w:rsidRDefault="00466D38" w:rsidP="008761B9">
            <w:pPr>
              <w:spacing w:after="120"/>
              <w:rPr>
                <w:color w:val="002060"/>
                <w:sz w:val="16"/>
                <w:szCs w:val="16"/>
              </w:rPr>
            </w:pPr>
            <w:r w:rsidRPr="00526311">
              <w:rPr>
                <w:sz w:val="16"/>
                <w:szCs w:val="16"/>
              </w:rPr>
              <w:t>3 (OOS)</w:t>
            </w:r>
          </w:p>
        </w:tc>
        <w:tc>
          <w:tcPr>
            <w:tcW w:w="918" w:type="pct"/>
            <w:tcBorders>
              <w:top w:val="nil"/>
              <w:left w:val="nil"/>
              <w:bottom w:val="single" w:sz="4" w:space="0" w:color="auto"/>
              <w:right w:val="nil"/>
            </w:tcBorders>
            <w:shd w:val="clear" w:color="auto" w:fill="auto"/>
            <w:tcMar>
              <w:top w:w="110" w:type="dxa"/>
            </w:tcMar>
          </w:tcPr>
          <w:p w:rsidR="00466D38" w:rsidRPr="00526311" w:rsidRDefault="00466D38" w:rsidP="008761B9">
            <w:pPr>
              <w:rPr>
                <w:sz w:val="16"/>
                <w:szCs w:val="16"/>
              </w:rPr>
            </w:pPr>
            <w:r w:rsidRPr="00526311">
              <w:rPr>
                <w:sz w:val="16"/>
                <w:szCs w:val="16"/>
              </w:rPr>
              <w:t>10 (OOS)</w:t>
            </w:r>
          </w:p>
        </w:tc>
        <w:tc>
          <w:tcPr>
            <w:tcW w:w="1457" w:type="pct"/>
            <w:tcBorders>
              <w:top w:val="nil"/>
              <w:left w:val="nil"/>
              <w:bottom w:val="single" w:sz="4" w:space="0" w:color="auto"/>
              <w:right w:val="nil"/>
            </w:tcBorders>
            <w:shd w:val="clear" w:color="auto" w:fill="FFFFFF"/>
            <w:tcMar>
              <w:top w:w="110" w:type="dxa"/>
            </w:tcMar>
          </w:tcPr>
          <w:p w:rsidR="00466D38" w:rsidRPr="00526311" w:rsidRDefault="00466D38" w:rsidP="008761B9">
            <w:pPr>
              <w:rPr>
                <w:sz w:val="16"/>
                <w:szCs w:val="16"/>
              </w:rPr>
            </w:pPr>
            <w:r w:rsidRPr="00526311">
              <w:rPr>
                <w:sz w:val="16"/>
                <w:szCs w:val="16"/>
              </w:rPr>
              <w:t>Ninguna Parte Contratante en la región de la ASEAN en 2014.  (OOS)</w:t>
            </w:r>
          </w:p>
        </w:tc>
        <w:tc>
          <w:tcPr>
            <w:tcW w:w="681" w:type="pct"/>
            <w:tcBorders>
              <w:top w:val="nil"/>
              <w:left w:val="nil"/>
              <w:bottom w:val="single" w:sz="4" w:space="0" w:color="auto"/>
              <w:right w:val="single" w:sz="4" w:space="0" w:color="auto"/>
            </w:tcBorders>
            <w:shd w:val="clear" w:color="auto" w:fill="auto"/>
            <w:tcMar>
              <w:top w:w="110" w:type="dxa"/>
            </w:tcMar>
          </w:tcPr>
          <w:p w:rsidR="00466D38" w:rsidRPr="00526311" w:rsidRDefault="00466D38" w:rsidP="008761B9">
            <w:pPr>
              <w:keepNext/>
              <w:keepLines/>
              <w:jc w:val="center"/>
              <w:rPr>
                <w:b/>
                <w:bCs/>
                <w:color w:val="00B050"/>
                <w:sz w:val="16"/>
                <w:szCs w:val="16"/>
              </w:rPr>
            </w:pPr>
            <w:r w:rsidRPr="00526311">
              <w:rPr>
                <w:b/>
                <w:bCs/>
                <w:color w:val="FF0000"/>
                <w:sz w:val="16"/>
                <w:szCs w:val="16"/>
              </w:rPr>
              <w:t>No avanza</w:t>
            </w:r>
          </w:p>
        </w:tc>
      </w:tr>
    </w:tbl>
    <w:p w:rsidR="00466D38" w:rsidRPr="00526311" w:rsidRDefault="00466D38" w:rsidP="00466D38">
      <w:r w:rsidRPr="00526311">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1562"/>
        <w:gridCol w:w="92"/>
        <w:gridCol w:w="1757"/>
        <w:gridCol w:w="2789"/>
        <w:gridCol w:w="138"/>
        <w:gridCol w:w="1164"/>
      </w:tblGrid>
      <w:tr w:rsidR="00466D38" w:rsidRPr="00526311" w:rsidTr="008761B9">
        <w:tc>
          <w:tcPr>
            <w:tcW w:w="1081" w:type="pct"/>
            <w:tcBorders>
              <w:top w:val="single" w:sz="4" w:space="0" w:color="auto"/>
              <w:left w:val="single" w:sz="4" w:space="0" w:color="auto"/>
              <w:bottom w:val="nil"/>
              <w:right w:val="nil"/>
            </w:tcBorders>
            <w:shd w:val="clear" w:color="auto" w:fill="auto"/>
          </w:tcPr>
          <w:p w:rsidR="00466D38" w:rsidRPr="00526311" w:rsidRDefault="00466D38" w:rsidP="008761B9">
            <w:pPr>
              <w:rPr>
                <w:sz w:val="16"/>
                <w:szCs w:val="16"/>
              </w:rPr>
            </w:pPr>
            <w:r w:rsidRPr="00526311">
              <w:rPr>
                <w:b/>
                <w:sz w:val="16"/>
                <w:szCs w:val="16"/>
              </w:rPr>
              <w:lastRenderedPageBreak/>
              <w:t>Indicadores de rendimiento</w:t>
            </w:r>
          </w:p>
        </w:tc>
        <w:tc>
          <w:tcPr>
            <w:tcW w:w="864" w:type="pct"/>
            <w:gridSpan w:val="2"/>
            <w:tcBorders>
              <w:top w:val="single" w:sz="4" w:space="0" w:color="auto"/>
              <w:left w:val="nil"/>
              <w:bottom w:val="nil"/>
              <w:right w:val="nil"/>
            </w:tcBorders>
            <w:shd w:val="clear" w:color="auto" w:fill="auto"/>
          </w:tcPr>
          <w:p w:rsidR="00466D38" w:rsidRPr="00526311" w:rsidRDefault="00466D38" w:rsidP="008761B9">
            <w:pPr>
              <w:spacing w:after="120"/>
              <w:rPr>
                <w:i/>
                <w:color w:val="002060"/>
                <w:sz w:val="16"/>
                <w:szCs w:val="16"/>
              </w:rPr>
            </w:pPr>
            <w:r w:rsidRPr="00526311">
              <w:rPr>
                <w:b/>
                <w:bCs/>
                <w:sz w:val="16"/>
                <w:szCs w:val="16"/>
              </w:rPr>
              <w:t>Referencia</w:t>
            </w:r>
          </w:p>
        </w:tc>
        <w:tc>
          <w:tcPr>
            <w:tcW w:w="918" w:type="pct"/>
            <w:tcBorders>
              <w:top w:val="single" w:sz="4" w:space="0" w:color="auto"/>
              <w:left w:val="nil"/>
              <w:bottom w:val="nil"/>
              <w:right w:val="nil"/>
            </w:tcBorders>
            <w:shd w:val="clear" w:color="auto" w:fill="auto"/>
            <w:tcMar>
              <w:top w:w="110" w:type="dxa"/>
            </w:tcMar>
          </w:tcPr>
          <w:p w:rsidR="00466D38" w:rsidRPr="00526311" w:rsidRDefault="00466D38" w:rsidP="008761B9">
            <w:pPr>
              <w:spacing w:after="120"/>
              <w:rPr>
                <w:sz w:val="16"/>
                <w:szCs w:val="16"/>
              </w:rPr>
            </w:pPr>
            <w:r w:rsidRPr="00526311">
              <w:rPr>
                <w:b/>
                <w:sz w:val="16"/>
                <w:szCs w:val="16"/>
              </w:rPr>
              <w:t>Objetivos</w:t>
            </w:r>
          </w:p>
        </w:tc>
        <w:tc>
          <w:tcPr>
            <w:tcW w:w="1457" w:type="pct"/>
            <w:tcBorders>
              <w:top w:val="single" w:sz="4" w:space="0" w:color="auto"/>
              <w:left w:val="nil"/>
              <w:bottom w:val="nil"/>
              <w:right w:val="nil"/>
            </w:tcBorders>
            <w:shd w:val="clear" w:color="auto" w:fill="FFFFFF"/>
            <w:tcMar>
              <w:top w:w="110" w:type="dxa"/>
            </w:tcMar>
          </w:tcPr>
          <w:p w:rsidR="00466D38" w:rsidRPr="00526311" w:rsidRDefault="00466D38" w:rsidP="008761B9">
            <w:pPr>
              <w:spacing w:after="120"/>
              <w:rPr>
                <w:sz w:val="16"/>
                <w:szCs w:val="16"/>
              </w:rPr>
            </w:pPr>
            <w:r w:rsidRPr="00526311">
              <w:rPr>
                <w:b/>
                <w:sz w:val="16"/>
                <w:szCs w:val="16"/>
              </w:rPr>
              <w:t>Datos sobre el rendimiento</w:t>
            </w:r>
          </w:p>
        </w:tc>
        <w:tc>
          <w:tcPr>
            <w:tcW w:w="680" w:type="pct"/>
            <w:gridSpan w:val="2"/>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
                <w:bCs/>
                <w:color w:val="00B050"/>
                <w:sz w:val="16"/>
                <w:szCs w:val="16"/>
              </w:rPr>
            </w:pPr>
            <w:r w:rsidRPr="00526311">
              <w:rPr>
                <w:b/>
                <w:bCs/>
                <w:sz w:val="16"/>
                <w:szCs w:val="16"/>
              </w:rPr>
              <w:t>Clave de colores</w:t>
            </w:r>
          </w:p>
        </w:tc>
      </w:tr>
      <w:tr w:rsidR="00466D38" w:rsidRPr="00526311" w:rsidTr="008761B9">
        <w:tc>
          <w:tcPr>
            <w:tcW w:w="1081" w:type="pct"/>
            <w:tcBorders>
              <w:top w:val="nil"/>
              <w:left w:val="single" w:sz="4" w:space="0" w:color="auto"/>
              <w:bottom w:val="nil"/>
              <w:right w:val="nil"/>
            </w:tcBorders>
            <w:shd w:val="clear" w:color="auto" w:fill="auto"/>
          </w:tcPr>
          <w:p w:rsidR="00466D38" w:rsidRPr="00526311" w:rsidRDefault="00466D38" w:rsidP="008761B9">
            <w:pPr>
              <w:rPr>
                <w:sz w:val="16"/>
                <w:szCs w:val="16"/>
              </w:rPr>
            </w:pPr>
            <w:r w:rsidRPr="00526311">
              <w:rPr>
                <w:sz w:val="16"/>
                <w:szCs w:val="16"/>
              </w:rPr>
              <w:t>Número de nuevos registros (Sistema de Madrid).</w:t>
            </w:r>
          </w:p>
        </w:tc>
        <w:tc>
          <w:tcPr>
            <w:tcW w:w="864" w:type="pct"/>
            <w:gridSpan w:val="2"/>
            <w:tcBorders>
              <w:top w:val="nil"/>
              <w:left w:val="nil"/>
              <w:bottom w:val="nil"/>
              <w:right w:val="nil"/>
            </w:tcBorders>
            <w:shd w:val="clear" w:color="auto" w:fill="auto"/>
          </w:tcPr>
          <w:p w:rsidR="00466D38" w:rsidRPr="00526311" w:rsidRDefault="00466D38" w:rsidP="008761B9">
            <w:pPr>
              <w:spacing w:after="120"/>
              <w:rPr>
                <w:i/>
                <w:color w:val="002060"/>
                <w:sz w:val="16"/>
                <w:szCs w:val="16"/>
              </w:rPr>
            </w:pPr>
            <w:r w:rsidRPr="00526311">
              <w:rPr>
                <w:i/>
                <w:color w:val="002060"/>
                <w:sz w:val="16"/>
                <w:szCs w:val="16"/>
              </w:rPr>
              <w:t xml:space="preserve">Referencia actualizada a fines de 2013:  </w:t>
            </w:r>
          </w:p>
          <w:p w:rsidR="00466D38" w:rsidRPr="00526311" w:rsidRDefault="00466D38" w:rsidP="008761B9">
            <w:pPr>
              <w:rPr>
                <w:i/>
                <w:color w:val="002060"/>
                <w:sz w:val="16"/>
                <w:szCs w:val="16"/>
              </w:rPr>
            </w:pPr>
            <w:r w:rsidRPr="00526311">
              <w:rPr>
                <w:i/>
                <w:color w:val="002060"/>
                <w:sz w:val="16"/>
                <w:szCs w:val="16"/>
              </w:rPr>
              <w:t xml:space="preserve">2012:  </w:t>
            </w:r>
            <w:r w:rsidRPr="00526311">
              <w:rPr>
                <w:color w:val="002060"/>
                <w:sz w:val="16"/>
                <w:szCs w:val="16"/>
              </w:rPr>
              <w:t>2.054</w:t>
            </w:r>
            <w:r w:rsidRPr="00526311">
              <w:rPr>
                <w:i/>
                <w:color w:val="002060"/>
                <w:sz w:val="16"/>
                <w:szCs w:val="16"/>
              </w:rPr>
              <w:t xml:space="preserve"> </w:t>
            </w:r>
          </w:p>
          <w:p w:rsidR="00466D38" w:rsidRPr="00526311" w:rsidRDefault="00466D38" w:rsidP="008761B9">
            <w:pPr>
              <w:rPr>
                <w:i/>
                <w:color w:val="002060"/>
                <w:sz w:val="16"/>
                <w:szCs w:val="16"/>
              </w:rPr>
            </w:pPr>
            <w:r w:rsidRPr="00526311">
              <w:rPr>
                <w:i/>
                <w:color w:val="002060"/>
                <w:sz w:val="16"/>
                <w:szCs w:val="16"/>
              </w:rPr>
              <w:t xml:space="preserve">2013:  </w:t>
            </w:r>
            <w:r w:rsidRPr="00526311">
              <w:rPr>
                <w:color w:val="002060"/>
                <w:sz w:val="16"/>
                <w:szCs w:val="16"/>
              </w:rPr>
              <w:t>1.845 (OOJ)</w:t>
            </w:r>
          </w:p>
          <w:p w:rsidR="00466D38" w:rsidRPr="00526311" w:rsidRDefault="00466D38" w:rsidP="008761B9">
            <w:pPr>
              <w:rPr>
                <w:color w:val="002060"/>
                <w:sz w:val="16"/>
                <w:szCs w:val="16"/>
              </w:rPr>
            </w:pPr>
            <w:r w:rsidRPr="00526311">
              <w:rPr>
                <w:color w:val="002060"/>
                <w:sz w:val="16"/>
                <w:szCs w:val="16"/>
              </w:rPr>
              <w:t>2012 = 327</w:t>
            </w:r>
          </w:p>
          <w:p w:rsidR="00466D38" w:rsidRPr="00526311" w:rsidRDefault="00466D38" w:rsidP="008761B9">
            <w:pPr>
              <w:spacing w:after="120"/>
              <w:rPr>
                <w:color w:val="002060"/>
                <w:sz w:val="16"/>
                <w:szCs w:val="16"/>
              </w:rPr>
            </w:pPr>
            <w:r w:rsidRPr="00526311">
              <w:rPr>
                <w:color w:val="002060"/>
                <w:sz w:val="16"/>
                <w:szCs w:val="16"/>
              </w:rPr>
              <w:t xml:space="preserve">2013 = 337 </w:t>
            </w:r>
            <w:r w:rsidRPr="00526311">
              <w:rPr>
                <w:i/>
                <w:color w:val="002060"/>
                <w:sz w:val="16"/>
                <w:szCs w:val="16"/>
              </w:rPr>
              <w:t>14/15:</w:t>
            </w:r>
            <w:r w:rsidRPr="00526311">
              <w:rPr>
                <w:color w:val="002060"/>
                <w:sz w:val="16"/>
                <w:szCs w:val="16"/>
              </w:rPr>
              <w:t xml:space="preserve">  </w:t>
            </w:r>
          </w:p>
          <w:p w:rsidR="00466D38" w:rsidRPr="00526311" w:rsidRDefault="00466D38" w:rsidP="008761B9">
            <w:pPr>
              <w:spacing w:after="120"/>
              <w:rPr>
                <w:color w:val="002060"/>
                <w:sz w:val="16"/>
                <w:szCs w:val="16"/>
              </w:rPr>
            </w:pPr>
            <w:r w:rsidRPr="00526311">
              <w:rPr>
                <w:sz w:val="16"/>
                <w:szCs w:val="16"/>
              </w:rPr>
              <w:t xml:space="preserve">Estadísticas de la ASEAN y el Japón sobre el Sistema de Madrid </w:t>
            </w:r>
            <w:r w:rsidRPr="00526311">
              <w:rPr>
                <w:color w:val="002060"/>
                <w:sz w:val="16"/>
                <w:szCs w:val="16"/>
              </w:rPr>
              <w:t>(OOS)</w:t>
            </w:r>
          </w:p>
          <w:p w:rsidR="00466D38" w:rsidRPr="00526311" w:rsidRDefault="00466D38" w:rsidP="008761B9">
            <w:pPr>
              <w:spacing w:after="120"/>
              <w:rPr>
                <w:sz w:val="16"/>
                <w:szCs w:val="16"/>
              </w:rPr>
            </w:pPr>
            <w:r w:rsidRPr="00526311">
              <w:rPr>
                <w:i/>
                <w:sz w:val="16"/>
                <w:szCs w:val="16"/>
              </w:rPr>
              <w:t>Referencia original en el presupuesto de 2014/15</w:t>
            </w:r>
            <w:r w:rsidRPr="00526311">
              <w:rPr>
                <w:sz w:val="16"/>
                <w:szCs w:val="16"/>
              </w:rPr>
              <w:t xml:space="preserve"> </w:t>
            </w:r>
          </w:p>
          <w:p w:rsidR="00466D38" w:rsidRPr="00526311" w:rsidRDefault="00466D38" w:rsidP="008761B9">
            <w:pPr>
              <w:spacing w:after="120"/>
              <w:rPr>
                <w:sz w:val="16"/>
                <w:szCs w:val="16"/>
              </w:rPr>
            </w:pPr>
            <w:r w:rsidRPr="00526311">
              <w:rPr>
                <w:sz w:val="16"/>
                <w:szCs w:val="16"/>
              </w:rPr>
              <w:t xml:space="preserve">Estadísticas de la ASEAN sobre el </w:t>
            </w:r>
            <w:r w:rsidR="00DF7826" w:rsidRPr="00526311">
              <w:rPr>
                <w:sz w:val="16"/>
                <w:szCs w:val="16"/>
              </w:rPr>
              <w:t>Sistema de Madrid</w:t>
            </w:r>
            <w:r w:rsidRPr="00526311">
              <w:rPr>
                <w:sz w:val="16"/>
                <w:szCs w:val="16"/>
              </w:rPr>
              <w:t xml:space="preserve"> (OOS) 2012/13</w:t>
            </w:r>
          </w:p>
          <w:p w:rsidR="00466D38" w:rsidRPr="00526311" w:rsidRDefault="00466D38" w:rsidP="008761B9">
            <w:pPr>
              <w:spacing w:after="120"/>
              <w:rPr>
                <w:color w:val="000000"/>
                <w:sz w:val="16"/>
                <w:szCs w:val="16"/>
              </w:rPr>
            </w:pPr>
            <w:r w:rsidRPr="00526311">
              <w:rPr>
                <w:sz w:val="16"/>
                <w:szCs w:val="16"/>
              </w:rPr>
              <w:t xml:space="preserve">Estadísticas de la ASEAN sobre el </w:t>
            </w:r>
            <w:r w:rsidR="00DF7826" w:rsidRPr="00526311">
              <w:rPr>
                <w:sz w:val="16"/>
                <w:szCs w:val="16"/>
              </w:rPr>
              <w:t>Sistema de Madrid</w:t>
            </w:r>
            <w:r w:rsidRPr="00526311">
              <w:rPr>
                <w:sz w:val="16"/>
                <w:szCs w:val="16"/>
              </w:rPr>
              <w:t xml:space="preserve"> (OOJ) 2012/13</w:t>
            </w:r>
          </w:p>
        </w:tc>
        <w:tc>
          <w:tcPr>
            <w:tcW w:w="918" w:type="pct"/>
            <w:tcBorders>
              <w:top w:val="nil"/>
              <w:left w:val="nil"/>
              <w:bottom w:val="nil"/>
              <w:right w:val="nil"/>
            </w:tcBorders>
            <w:shd w:val="clear" w:color="auto" w:fill="auto"/>
            <w:tcMar>
              <w:top w:w="110" w:type="dxa"/>
            </w:tcMar>
          </w:tcPr>
          <w:p w:rsidR="00466D38" w:rsidRPr="00526311" w:rsidRDefault="00466D38" w:rsidP="008761B9">
            <w:pPr>
              <w:rPr>
                <w:sz w:val="16"/>
                <w:szCs w:val="16"/>
              </w:rPr>
            </w:pPr>
            <w:r w:rsidRPr="00526311">
              <w:rPr>
                <w:sz w:val="16"/>
                <w:szCs w:val="16"/>
              </w:rPr>
              <w:t>Aumento de las solicitudes presentadas en un 5% (OOS)</w:t>
            </w:r>
          </w:p>
          <w:p w:rsidR="00466D38" w:rsidRPr="00526311" w:rsidRDefault="00466D38" w:rsidP="008761B9">
            <w:pPr>
              <w:spacing w:after="120"/>
              <w:rPr>
                <w:sz w:val="16"/>
                <w:szCs w:val="16"/>
              </w:rPr>
            </w:pPr>
            <w:r w:rsidRPr="00526311">
              <w:rPr>
                <w:sz w:val="16"/>
                <w:szCs w:val="16"/>
              </w:rPr>
              <w:t>Aumento de las solicitudes presentadas (OOJ)</w:t>
            </w:r>
          </w:p>
          <w:p w:rsidR="00466D38" w:rsidRPr="00526311" w:rsidRDefault="00466D38" w:rsidP="008761B9">
            <w:pPr>
              <w:rPr>
                <w:sz w:val="16"/>
                <w:szCs w:val="16"/>
              </w:rPr>
            </w:pPr>
          </w:p>
        </w:tc>
        <w:tc>
          <w:tcPr>
            <w:tcW w:w="1457" w:type="pct"/>
            <w:tcBorders>
              <w:top w:val="nil"/>
              <w:left w:val="nil"/>
              <w:bottom w:val="nil"/>
              <w:right w:val="nil"/>
            </w:tcBorders>
            <w:shd w:val="clear" w:color="auto" w:fill="FFFFFF"/>
            <w:tcMar>
              <w:top w:w="110" w:type="dxa"/>
            </w:tcMar>
          </w:tcPr>
          <w:p w:rsidR="00466D38" w:rsidRPr="00526311" w:rsidRDefault="00466D38" w:rsidP="008761B9">
            <w:pPr>
              <w:spacing w:after="120"/>
              <w:rPr>
                <w:sz w:val="16"/>
                <w:szCs w:val="16"/>
              </w:rPr>
            </w:pPr>
            <w:r w:rsidRPr="00526311">
              <w:rPr>
                <w:sz w:val="16"/>
                <w:szCs w:val="16"/>
              </w:rPr>
              <w:t>2014:  351 (aumento del 4% respecto de 2013) (OOS)</w:t>
            </w:r>
          </w:p>
          <w:p w:rsidR="00466D38" w:rsidRPr="00526311" w:rsidRDefault="00466D38" w:rsidP="008761B9">
            <w:pPr>
              <w:spacing w:after="120"/>
              <w:rPr>
                <w:sz w:val="16"/>
                <w:szCs w:val="16"/>
              </w:rPr>
            </w:pPr>
          </w:p>
          <w:p w:rsidR="00466D38" w:rsidRPr="00526311" w:rsidRDefault="00466D38" w:rsidP="008761B9">
            <w:pPr>
              <w:spacing w:after="120"/>
              <w:rPr>
                <w:sz w:val="16"/>
                <w:szCs w:val="16"/>
              </w:rPr>
            </w:pPr>
            <w:r w:rsidRPr="00526311">
              <w:rPr>
                <w:sz w:val="16"/>
                <w:szCs w:val="16"/>
              </w:rPr>
              <w:t>2014:  2.033 (aumento del 10% respecto de 2013) (OOJ)</w:t>
            </w:r>
          </w:p>
          <w:p w:rsidR="00466D38" w:rsidRPr="00526311" w:rsidRDefault="00466D38" w:rsidP="008761B9">
            <w:pPr>
              <w:spacing w:after="120"/>
              <w:rPr>
                <w:sz w:val="16"/>
                <w:szCs w:val="16"/>
              </w:rPr>
            </w:pPr>
          </w:p>
          <w:p w:rsidR="00466D38" w:rsidRPr="00526311" w:rsidRDefault="00466D38" w:rsidP="008761B9">
            <w:pPr>
              <w:rPr>
                <w:sz w:val="16"/>
                <w:szCs w:val="16"/>
              </w:rPr>
            </w:pPr>
          </w:p>
          <w:p w:rsidR="00466D38" w:rsidRPr="00526311" w:rsidRDefault="00466D38" w:rsidP="008761B9">
            <w:pPr>
              <w:rPr>
                <w:sz w:val="16"/>
                <w:szCs w:val="16"/>
              </w:rPr>
            </w:pPr>
          </w:p>
        </w:tc>
        <w:tc>
          <w:tcPr>
            <w:tcW w:w="680" w:type="pct"/>
            <w:gridSpan w:val="2"/>
            <w:tcBorders>
              <w:top w:val="nil"/>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
                <w:bCs/>
                <w:color w:val="00B050"/>
                <w:sz w:val="16"/>
                <w:szCs w:val="16"/>
              </w:rPr>
            </w:pPr>
            <w:r w:rsidRPr="00526311">
              <w:rPr>
                <w:b/>
                <w:bCs/>
                <w:color w:val="00B050"/>
                <w:sz w:val="16"/>
                <w:szCs w:val="16"/>
              </w:rPr>
              <w:t>Avanza</w:t>
            </w:r>
          </w:p>
          <w:p w:rsidR="00466D38" w:rsidRPr="00526311" w:rsidRDefault="00466D38" w:rsidP="008761B9">
            <w:pPr>
              <w:keepNext/>
              <w:keepLines/>
              <w:jc w:val="center"/>
              <w:rPr>
                <w:b/>
                <w:bCs/>
                <w:color w:val="00B050"/>
                <w:sz w:val="16"/>
                <w:szCs w:val="16"/>
              </w:rPr>
            </w:pPr>
          </w:p>
          <w:p w:rsidR="00466D38" w:rsidRPr="00526311" w:rsidRDefault="00466D38" w:rsidP="008761B9">
            <w:pPr>
              <w:keepNext/>
              <w:keepLines/>
              <w:jc w:val="center"/>
              <w:rPr>
                <w:b/>
                <w:bCs/>
                <w:color w:val="00B050"/>
                <w:sz w:val="16"/>
                <w:szCs w:val="16"/>
              </w:rPr>
            </w:pPr>
          </w:p>
          <w:p w:rsidR="007624F4" w:rsidRPr="00526311" w:rsidRDefault="007624F4" w:rsidP="008761B9">
            <w:pPr>
              <w:keepNext/>
              <w:keepLines/>
              <w:jc w:val="center"/>
              <w:rPr>
                <w:b/>
                <w:bCs/>
                <w:color w:val="00B050"/>
                <w:sz w:val="16"/>
                <w:szCs w:val="16"/>
              </w:rPr>
            </w:pPr>
          </w:p>
          <w:p w:rsidR="00466D38" w:rsidRPr="00526311" w:rsidRDefault="00466D38" w:rsidP="008761B9">
            <w:pPr>
              <w:keepNext/>
              <w:keepLines/>
              <w:jc w:val="center"/>
              <w:rPr>
                <w:b/>
                <w:bCs/>
                <w:color w:val="00B050"/>
                <w:sz w:val="16"/>
                <w:szCs w:val="16"/>
              </w:rPr>
            </w:pPr>
            <w:r w:rsidRPr="00526311">
              <w:rPr>
                <w:b/>
                <w:bCs/>
                <w:color w:val="00B050"/>
                <w:sz w:val="16"/>
                <w:szCs w:val="16"/>
              </w:rPr>
              <w:t>Avanza</w:t>
            </w:r>
          </w:p>
          <w:p w:rsidR="00466D38" w:rsidRPr="00526311" w:rsidRDefault="00466D38" w:rsidP="008761B9">
            <w:pPr>
              <w:keepNext/>
              <w:keepLines/>
              <w:jc w:val="center"/>
              <w:rPr>
                <w:b/>
                <w:color w:val="00B050"/>
                <w:sz w:val="16"/>
                <w:szCs w:val="16"/>
              </w:rPr>
            </w:pPr>
          </w:p>
        </w:tc>
      </w:tr>
      <w:tr w:rsidR="00466D38" w:rsidRPr="00526311" w:rsidTr="008761B9">
        <w:trPr>
          <w:trHeight w:val="3791"/>
        </w:trPr>
        <w:tc>
          <w:tcPr>
            <w:tcW w:w="1081" w:type="pct"/>
            <w:tcBorders>
              <w:top w:val="nil"/>
              <w:left w:val="single" w:sz="4" w:space="0" w:color="auto"/>
              <w:bottom w:val="single" w:sz="4" w:space="0" w:color="auto"/>
              <w:right w:val="nil"/>
            </w:tcBorders>
            <w:shd w:val="clear" w:color="auto" w:fill="auto"/>
          </w:tcPr>
          <w:p w:rsidR="00466D38" w:rsidRPr="00526311" w:rsidRDefault="00466D38" w:rsidP="008761B9">
            <w:pPr>
              <w:rPr>
                <w:sz w:val="16"/>
                <w:szCs w:val="16"/>
              </w:rPr>
            </w:pPr>
            <w:r w:rsidRPr="00526311">
              <w:rPr>
                <w:sz w:val="16"/>
                <w:szCs w:val="16"/>
              </w:rPr>
              <w:t>Número de renovaciones (Sistema de Madrid).</w:t>
            </w:r>
          </w:p>
        </w:tc>
        <w:tc>
          <w:tcPr>
            <w:tcW w:w="864" w:type="pct"/>
            <w:gridSpan w:val="2"/>
            <w:tcBorders>
              <w:top w:val="nil"/>
              <w:left w:val="nil"/>
              <w:bottom w:val="single" w:sz="4" w:space="0" w:color="auto"/>
              <w:right w:val="nil"/>
            </w:tcBorders>
            <w:shd w:val="clear" w:color="auto" w:fill="auto"/>
          </w:tcPr>
          <w:p w:rsidR="00466D38" w:rsidRPr="00526311" w:rsidRDefault="00466D38" w:rsidP="008761B9">
            <w:pPr>
              <w:rPr>
                <w:rFonts w:eastAsiaTheme="majorEastAsia"/>
                <w:i/>
                <w:color w:val="002060"/>
                <w:sz w:val="16"/>
                <w:szCs w:val="16"/>
              </w:rPr>
            </w:pPr>
            <w:r w:rsidRPr="00526311">
              <w:rPr>
                <w:i/>
                <w:color w:val="002060"/>
                <w:sz w:val="16"/>
                <w:szCs w:val="16"/>
              </w:rPr>
              <w:t xml:space="preserve">Referencia actualizada a fines de 2013:  </w:t>
            </w:r>
          </w:p>
          <w:p w:rsidR="00466D38" w:rsidRPr="00526311" w:rsidRDefault="00466D38" w:rsidP="008761B9">
            <w:pPr>
              <w:rPr>
                <w:color w:val="002060"/>
                <w:sz w:val="16"/>
                <w:szCs w:val="16"/>
              </w:rPr>
            </w:pPr>
            <w:r w:rsidRPr="00526311">
              <w:rPr>
                <w:color w:val="002060"/>
                <w:sz w:val="16"/>
                <w:szCs w:val="16"/>
              </w:rPr>
              <w:t>2012:  187</w:t>
            </w:r>
          </w:p>
          <w:p w:rsidR="00466D38" w:rsidRPr="00526311" w:rsidRDefault="00466D38" w:rsidP="008761B9">
            <w:pPr>
              <w:rPr>
                <w:color w:val="002060"/>
                <w:sz w:val="16"/>
                <w:szCs w:val="16"/>
              </w:rPr>
            </w:pPr>
            <w:r w:rsidRPr="00526311">
              <w:rPr>
                <w:color w:val="002060"/>
                <w:sz w:val="16"/>
                <w:szCs w:val="16"/>
              </w:rPr>
              <w:t>2013:  311 (OOJ)</w:t>
            </w:r>
          </w:p>
          <w:p w:rsidR="00466D38" w:rsidRPr="00526311" w:rsidRDefault="00466D38" w:rsidP="008761B9">
            <w:pPr>
              <w:rPr>
                <w:color w:val="002060"/>
                <w:sz w:val="16"/>
                <w:szCs w:val="16"/>
              </w:rPr>
            </w:pPr>
            <w:r w:rsidRPr="00526311">
              <w:rPr>
                <w:color w:val="002060"/>
                <w:sz w:val="16"/>
                <w:szCs w:val="16"/>
              </w:rPr>
              <w:t>2012:  51</w:t>
            </w:r>
          </w:p>
          <w:p w:rsidR="00466D38" w:rsidRPr="00526311" w:rsidRDefault="00466D38" w:rsidP="008761B9">
            <w:pPr>
              <w:spacing w:after="120"/>
              <w:rPr>
                <w:color w:val="002060"/>
                <w:sz w:val="16"/>
                <w:szCs w:val="16"/>
              </w:rPr>
            </w:pPr>
            <w:r w:rsidRPr="00526311">
              <w:rPr>
                <w:color w:val="002060"/>
                <w:sz w:val="16"/>
                <w:szCs w:val="16"/>
              </w:rPr>
              <w:t>2013:  62 (OOS)</w:t>
            </w:r>
          </w:p>
          <w:p w:rsidR="00466D38" w:rsidRPr="00526311" w:rsidRDefault="00466D38" w:rsidP="008761B9">
            <w:pPr>
              <w:rPr>
                <w:rFonts w:eastAsiaTheme="majorEastAsia"/>
                <w:i/>
                <w:sz w:val="16"/>
                <w:szCs w:val="16"/>
              </w:rPr>
            </w:pPr>
            <w:r w:rsidRPr="00526311">
              <w:rPr>
                <w:i/>
                <w:sz w:val="16"/>
                <w:szCs w:val="16"/>
              </w:rPr>
              <w:t xml:space="preserve">Referencia original en el presupuesto de 2014/15: </w:t>
            </w:r>
          </w:p>
          <w:p w:rsidR="00466D38" w:rsidRPr="00526311" w:rsidRDefault="00466D38" w:rsidP="008761B9">
            <w:pPr>
              <w:spacing w:after="120"/>
              <w:rPr>
                <w:sz w:val="16"/>
                <w:szCs w:val="16"/>
              </w:rPr>
            </w:pPr>
            <w:r w:rsidRPr="00526311">
              <w:rPr>
                <w:sz w:val="16"/>
                <w:szCs w:val="16"/>
              </w:rPr>
              <w:t xml:space="preserve">Estadísticas de la ASEAN sobre el </w:t>
            </w:r>
            <w:r w:rsidR="00DF7826" w:rsidRPr="00526311">
              <w:rPr>
                <w:sz w:val="16"/>
                <w:szCs w:val="16"/>
              </w:rPr>
              <w:t>Sistema de Madrid</w:t>
            </w:r>
            <w:r w:rsidRPr="00526311">
              <w:rPr>
                <w:sz w:val="16"/>
                <w:szCs w:val="16"/>
              </w:rPr>
              <w:t xml:space="preserve"> (OOJ)</w:t>
            </w:r>
          </w:p>
          <w:p w:rsidR="00466D38" w:rsidRPr="00526311" w:rsidRDefault="00466D38" w:rsidP="008761B9">
            <w:pPr>
              <w:rPr>
                <w:color w:val="002060"/>
                <w:sz w:val="16"/>
                <w:szCs w:val="16"/>
              </w:rPr>
            </w:pPr>
            <w:r w:rsidRPr="00526311">
              <w:rPr>
                <w:sz w:val="16"/>
                <w:szCs w:val="16"/>
              </w:rPr>
              <w:t xml:space="preserve">Estadísticas de la ASEAN y el Japón sobre el </w:t>
            </w:r>
            <w:r w:rsidR="00DF7826" w:rsidRPr="00526311">
              <w:rPr>
                <w:sz w:val="16"/>
                <w:szCs w:val="16"/>
              </w:rPr>
              <w:t>Sistema de Madrid</w:t>
            </w:r>
            <w:r w:rsidRPr="00526311">
              <w:rPr>
                <w:sz w:val="16"/>
                <w:szCs w:val="16"/>
              </w:rPr>
              <w:t xml:space="preserve"> (OOJ)</w:t>
            </w:r>
          </w:p>
        </w:tc>
        <w:tc>
          <w:tcPr>
            <w:tcW w:w="918" w:type="pct"/>
            <w:tcBorders>
              <w:top w:val="nil"/>
              <w:left w:val="nil"/>
              <w:bottom w:val="single" w:sz="4" w:space="0" w:color="auto"/>
              <w:right w:val="nil"/>
            </w:tcBorders>
            <w:shd w:val="clear" w:color="auto" w:fill="auto"/>
            <w:tcMar>
              <w:top w:w="110" w:type="dxa"/>
            </w:tcMar>
          </w:tcPr>
          <w:p w:rsidR="00466D38" w:rsidRPr="00526311" w:rsidRDefault="00466D38" w:rsidP="008761B9">
            <w:pPr>
              <w:rPr>
                <w:sz w:val="16"/>
                <w:szCs w:val="16"/>
              </w:rPr>
            </w:pPr>
            <w:r w:rsidRPr="00526311">
              <w:rPr>
                <w:sz w:val="16"/>
                <w:szCs w:val="16"/>
              </w:rPr>
              <w:t>Por determinar (OOJ)</w:t>
            </w:r>
          </w:p>
          <w:p w:rsidR="00466D38" w:rsidRPr="00526311" w:rsidRDefault="00466D38" w:rsidP="008761B9">
            <w:pPr>
              <w:rPr>
                <w:sz w:val="16"/>
                <w:szCs w:val="16"/>
              </w:rPr>
            </w:pPr>
            <w:r w:rsidRPr="00526311">
              <w:rPr>
                <w:sz w:val="16"/>
                <w:szCs w:val="16"/>
              </w:rPr>
              <w:t>Por determinar (OOS)</w:t>
            </w:r>
          </w:p>
          <w:p w:rsidR="00466D38" w:rsidRPr="00526311" w:rsidRDefault="00466D38" w:rsidP="008761B9">
            <w:pPr>
              <w:rPr>
                <w:sz w:val="16"/>
                <w:szCs w:val="16"/>
              </w:rPr>
            </w:pPr>
          </w:p>
        </w:tc>
        <w:tc>
          <w:tcPr>
            <w:tcW w:w="1457" w:type="pct"/>
            <w:tcBorders>
              <w:top w:val="nil"/>
              <w:left w:val="nil"/>
              <w:bottom w:val="single" w:sz="4" w:space="0" w:color="auto"/>
              <w:right w:val="nil"/>
            </w:tcBorders>
            <w:shd w:val="clear" w:color="auto" w:fill="FFFFFF"/>
            <w:tcMar>
              <w:top w:w="110" w:type="dxa"/>
            </w:tcMar>
          </w:tcPr>
          <w:p w:rsidR="00466D38" w:rsidRPr="00526311" w:rsidRDefault="00466D38" w:rsidP="008761B9">
            <w:pPr>
              <w:rPr>
                <w:sz w:val="16"/>
                <w:szCs w:val="16"/>
              </w:rPr>
            </w:pPr>
            <w:r w:rsidRPr="00526311">
              <w:rPr>
                <w:sz w:val="16"/>
                <w:szCs w:val="16"/>
              </w:rPr>
              <w:t>Renovaciones en 2014:</w:t>
            </w:r>
          </w:p>
          <w:p w:rsidR="00466D38" w:rsidRPr="00526311" w:rsidRDefault="00466D38" w:rsidP="00466D38">
            <w:pPr>
              <w:pStyle w:val="ListParagraph"/>
              <w:numPr>
                <w:ilvl w:val="0"/>
                <w:numId w:val="77"/>
              </w:numPr>
              <w:contextualSpacing/>
              <w:rPr>
                <w:rFonts w:eastAsia="SimSun" w:cs="Arial"/>
                <w:sz w:val="16"/>
                <w:szCs w:val="16"/>
                <w:lang w:val="es-ES" w:eastAsia="zh-CN"/>
              </w:rPr>
            </w:pPr>
            <w:r w:rsidRPr="00526311">
              <w:rPr>
                <w:rFonts w:eastAsia="SimSun" w:cs="Arial"/>
                <w:sz w:val="16"/>
                <w:szCs w:val="16"/>
                <w:lang w:val="es-ES" w:eastAsia="zh-CN"/>
              </w:rPr>
              <w:t>462 (aumento del 48,6% respecto de 2013) (OOJ)</w:t>
            </w:r>
          </w:p>
          <w:p w:rsidR="00466D38" w:rsidRPr="00526311" w:rsidRDefault="00466D38" w:rsidP="00466D38">
            <w:pPr>
              <w:pStyle w:val="ListParagraph"/>
              <w:numPr>
                <w:ilvl w:val="0"/>
                <w:numId w:val="77"/>
              </w:numPr>
              <w:contextualSpacing/>
              <w:rPr>
                <w:rFonts w:eastAsia="SimSun" w:cs="Arial"/>
                <w:sz w:val="16"/>
                <w:szCs w:val="16"/>
                <w:lang w:val="es-ES" w:eastAsia="zh-CN"/>
              </w:rPr>
            </w:pPr>
            <w:r w:rsidRPr="00526311">
              <w:rPr>
                <w:rFonts w:eastAsia="SimSun" w:cs="Arial"/>
                <w:sz w:val="16"/>
                <w:szCs w:val="16"/>
                <w:lang w:val="es-ES" w:eastAsia="zh-CN"/>
              </w:rPr>
              <w:t>56 (disminución del 9,7% respecto de 2013) (OOS)</w:t>
            </w:r>
          </w:p>
          <w:p w:rsidR="00466D38" w:rsidRPr="00526311" w:rsidRDefault="00466D38" w:rsidP="008761B9">
            <w:pPr>
              <w:rPr>
                <w:sz w:val="16"/>
                <w:szCs w:val="16"/>
              </w:rPr>
            </w:pPr>
          </w:p>
        </w:tc>
        <w:tc>
          <w:tcPr>
            <w:tcW w:w="680" w:type="pct"/>
            <w:gridSpan w:val="2"/>
            <w:tcBorders>
              <w:top w:val="nil"/>
              <w:left w:val="nil"/>
              <w:bottom w:val="single" w:sz="4" w:space="0" w:color="auto"/>
              <w:right w:val="single" w:sz="4" w:space="0" w:color="auto"/>
            </w:tcBorders>
            <w:shd w:val="clear" w:color="auto" w:fill="auto"/>
            <w:tcMar>
              <w:top w:w="110" w:type="dxa"/>
            </w:tcMar>
          </w:tcPr>
          <w:p w:rsidR="00466D38" w:rsidRPr="00526311" w:rsidRDefault="00466D38" w:rsidP="008761B9">
            <w:pPr>
              <w:keepNext/>
              <w:keepLines/>
              <w:jc w:val="center"/>
              <w:rPr>
                <w:b/>
                <w:bCs/>
                <w:color w:val="808080"/>
                <w:sz w:val="16"/>
                <w:szCs w:val="16"/>
              </w:rPr>
            </w:pPr>
            <w:r w:rsidRPr="00526311">
              <w:rPr>
                <w:b/>
                <w:bCs/>
                <w:color w:val="808080"/>
                <w:sz w:val="16"/>
                <w:szCs w:val="16"/>
              </w:rPr>
              <w:t>No mensurable</w:t>
            </w:r>
          </w:p>
          <w:p w:rsidR="00466D38" w:rsidRPr="00526311" w:rsidRDefault="00466D38" w:rsidP="008761B9">
            <w:pPr>
              <w:keepNext/>
              <w:keepLines/>
              <w:jc w:val="center"/>
              <w:rPr>
                <w:b/>
                <w:bCs/>
                <w:color w:val="808080"/>
                <w:sz w:val="16"/>
                <w:szCs w:val="16"/>
              </w:rPr>
            </w:pPr>
          </w:p>
          <w:p w:rsidR="00466D38" w:rsidRPr="00526311" w:rsidRDefault="00466D38" w:rsidP="008761B9">
            <w:pPr>
              <w:keepNext/>
              <w:keepLines/>
              <w:jc w:val="center"/>
              <w:rPr>
                <w:b/>
                <w:bCs/>
                <w:color w:val="808080"/>
                <w:sz w:val="16"/>
                <w:szCs w:val="16"/>
              </w:rPr>
            </w:pPr>
            <w:r w:rsidRPr="00526311">
              <w:rPr>
                <w:b/>
                <w:bCs/>
                <w:color w:val="808080"/>
                <w:sz w:val="16"/>
                <w:szCs w:val="16"/>
              </w:rPr>
              <w:t>No mensurable</w:t>
            </w:r>
          </w:p>
        </w:tc>
      </w:tr>
      <w:tr w:rsidR="00466D38" w:rsidRPr="00526311" w:rsidTr="008761B9">
        <w:trPr>
          <w:trHeight w:val="766"/>
        </w:trPr>
        <w:tc>
          <w:tcPr>
            <w:tcW w:w="5000" w:type="pct"/>
            <w:gridSpan w:val="7"/>
            <w:tcBorders>
              <w:top w:val="single" w:sz="4" w:space="0" w:color="auto"/>
              <w:bottom w:val="single" w:sz="4" w:space="0" w:color="auto"/>
            </w:tcBorders>
            <w:shd w:val="clear" w:color="auto" w:fill="CCFFFF"/>
          </w:tcPr>
          <w:p w:rsidR="00466D38" w:rsidRPr="00526311" w:rsidRDefault="00466D38" w:rsidP="008761B9">
            <w:pPr>
              <w:keepNext/>
              <w:keepLines/>
              <w:tabs>
                <w:tab w:val="left" w:pos="-2093"/>
              </w:tabs>
              <w:spacing w:before="120" w:after="120"/>
              <w:ind w:left="1735" w:hanging="1735"/>
              <w:rPr>
                <w:b/>
                <w:bCs/>
                <w:color w:val="808080"/>
                <w:sz w:val="16"/>
                <w:szCs w:val="16"/>
              </w:rPr>
            </w:pPr>
            <w:r w:rsidRPr="00526311">
              <w:rPr>
                <w:b/>
                <w:bCs/>
                <w:sz w:val="16"/>
                <w:szCs w:val="16"/>
              </w:rPr>
              <w:t>Resultado previsto:</w:t>
            </w:r>
            <w:r w:rsidRPr="00526311">
              <w:rPr>
                <w:b/>
                <w:bCs/>
                <w:sz w:val="16"/>
                <w:szCs w:val="16"/>
              </w:rPr>
              <w:tab/>
            </w:r>
            <w:r w:rsidRPr="00526311">
              <w:rPr>
                <w:bCs/>
                <w:sz w:val="16"/>
                <w:szCs w:val="16"/>
              </w:rPr>
              <w:t>II.8 Las controversias nacionales e internacionales en materia de P.I. se evitan o resuelven cada vez con más frecuencia mediante procedimientos de mediación, arbitraje y demás métodos de solución extrajudicial de controversias</w:t>
            </w:r>
          </w:p>
        </w:tc>
      </w:tr>
      <w:tr w:rsidR="00466D38" w:rsidRPr="00526311" w:rsidTr="008761B9">
        <w:tc>
          <w:tcPr>
            <w:tcW w:w="1081" w:type="pct"/>
            <w:tcBorders>
              <w:top w:val="single" w:sz="4" w:space="0" w:color="auto"/>
              <w:left w:val="single" w:sz="4" w:space="0" w:color="auto"/>
              <w:bottom w:val="nil"/>
              <w:right w:val="nil"/>
            </w:tcBorders>
            <w:shd w:val="clear" w:color="auto" w:fill="auto"/>
          </w:tcPr>
          <w:p w:rsidR="00466D38" w:rsidRPr="00526311" w:rsidRDefault="00466D38" w:rsidP="008761B9">
            <w:pPr>
              <w:rPr>
                <w:color w:val="000000"/>
                <w:sz w:val="16"/>
                <w:szCs w:val="16"/>
              </w:rPr>
            </w:pPr>
            <w:r w:rsidRPr="00526311">
              <w:rPr>
                <w:b/>
                <w:color w:val="000000"/>
                <w:sz w:val="16"/>
                <w:szCs w:val="16"/>
              </w:rPr>
              <w:t>Indicadores de rendimiento</w:t>
            </w:r>
          </w:p>
        </w:tc>
        <w:tc>
          <w:tcPr>
            <w:tcW w:w="816" w:type="pct"/>
            <w:tcBorders>
              <w:top w:val="single" w:sz="4" w:space="0" w:color="auto"/>
              <w:left w:val="nil"/>
              <w:bottom w:val="nil"/>
              <w:right w:val="nil"/>
            </w:tcBorders>
            <w:shd w:val="clear" w:color="auto" w:fill="auto"/>
          </w:tcPr>
          <w:p w:rsidR="00466D38" w:rsidRPr="00526311" w:rsidRDefault="00466D38" w:rsidP="008761B9">
            <w:pPr>
              <w:rPr>
                <w:color w:val="002060"/>
                <w:sz w:val="16"/>
                <w:szCs w:val="16"/>
              </w:rPr>
            </w:pPr>
            <w:r w:rsidRPr="00526311">
              <w:rPr>
                <w:b/>
                <w:color w:val="000000"/>
                <w:sz w:val="16"/>
                <w:szCs w:val="16"/>
              </w:rPr>
              <w:t>Referencia</w:t>
            </w:r>
          </w:p>
        </w:tc>
        <w:tc>
          <w:tcPr>
            <w:tcW w:w="966" w:type="pct"/>
            <w:gridSpan w:val="2"/>
            <w:tcBorders>
              <w:top w:val="single" w:sz="4" w:space="0" w:color="auto"/>
              <w:left w:val="nil"/>
              <w:bottom w:val="nil"/>
              <w:right w:val="nil"/>
            </w:tcBorders>
            <w:shd w:val="clear" w:color="auto" w:fill="auto"/>
            <w:tcMar>
              <w:top w:w="110" w:type="dxa"/>
            </w:tcMar>
          </w:tcPr>
          <w:p w:rsidR="00466D38" w:rsidRPr="00526311" w:rsidRDefault="00466D38" w:rsidP="008761B9">
            <w:pPr>
              <w:rPr>
                <w:sz w:val="16"/>
                <w:szCs w:val="16"/>
              </w:rPr>
            </w:pPr>
            <w:r w:rsidRPr="00526311">
              <w:rPr>
                <w:b/>
                <w:color w:val="000000"/>
                <w:sz w:val="16"/>
                <w:szCs w:val="16"/>
              </w:rPr>
              <w:t>Objetivos</w:t>
            </w:r>
          </w:p>
        </w:tc>
        <w:tc>
          <w:tcPr>
            <w:tcW w:w="1529" w:type="pct"/>
            <w:gridSpan w:val="2"/>
            <w:tcBorders>
              <w:top w:val="single" w:sz="4" w:space="0" w:color="auto"/>
              <w:left w:val="nil"/>
              <w:bottom w:val="nil"/>
              <w:right w:val="nil"/>
            </w:tcBorders>
            <w:shd w:val="clear" w:color="auto" w:fill="FFFFFF"/>
            <w:tcMar>
              <w:top w:w="110" w:type="dxa"/>
            </w:tcMar>
          </w:tcPr>
          <w:p w:rsidR="00466D38" w:rsidRPr="00526311" w:rsidRDefault="00466D38" w:rsidP="008761B9">
            <w:pPr>
              <w:rPr>
                <w:sz w:val="16"/>
                <w:szCs w:val="16"/>
              </w:rPr>
            </w:pPr>
            <w:r w:rsidRPr="00526311">
              <w:rPr>
                <w:b/>
                <w:color w:val="000000"/>
                <w:sz w:val="16"/>
                <w:szCs w:val="16"/>
              </w:rPr>
              <w:t>Datos sobre el rendimiento</w:t>
            </w:r>
          </w:p>
        </w:tc>
        <w:tc>
          <w:tcPr>
            <w:tcW w:w="608" w:type="pct"/>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
                <w:bCs/>
                <w:color w:val="808080"/>
                <w:sz w:val="16"/>
                <w:szCs w:val="16"/>
              </w:rPr>
            </w:pPr>
            <w:r w:rsidRPr="00526311">
              <w:rPr>
                <w:b/>
                <w:bCs/>
                <w:color w:val="000000"/>
                <w:sz w:val="16"/>
                <w:szCs w:val="16"/>
              </w:rPr>
              <w:t>Clave de colores</w:t>
            </w:r>
          </w:p>
        </w:tc>
      </w:tr>
      <w:tr w:rsidR="00466D38" w:rsidRPr="00526311" w:rsidTr="008761B9">
        <w:tc>
          <w:tcPr>
            <w:tcW w:w="1081" w:type="pct"/>
            <w:tcBorders>
              <w:top w:val="nil"/>
              <w:left w:val="single" w:sz="4" w:space="0" w:color="auto"/>
              <w:bottom w:val="single" w:sz="4" w:space="0" w:color="auto"/>
              <w:right w:val="nil"/>
            </w:tcBorders>
            <w:shd w:val="clear" w:color="auto" w:fill="auto"/>
          </w:tcPr>
          <w:p w:rsidR="00466D38" w:rsidRPr="00526311" w:rsidRDefault="00466D38" w:rsidP="008761B9">
            <w:pPr>
              <w:spacing w:after="120"/>
              <w:rPr>
                <w:sz w:val="16"/>
                <w:szCs w:val="16"/>
              </w:rPr>
            </w:pPr>
            <w:r w:rsidRPr="00526311">
              <w:rPr>
                <w:sz w:val="16"/>
                <w:szCs w:val="16"/>
              </w:rPr>
              <w:t>Cada vez más se considera la posibilidad de utilizar servicios extrajudiciales de solución de controversias en las transacciones sobre P.I., entre otras cosas, valiéndose de los procedimientos de la OMPI</w:t>
            </w:r>
          </w:p>
        </w:tc>
        <w:tc>
          <w:tcPr>
            <w:tcW w:w="816" w:type="pct"/>
            <w:tcBorders>
              <w:top w:val="nil"/>
              <w:left w:val="nil"/>
              <w:bottom w:val="single" w:sz="4" w:space="0" w:color="auto"/>
              <w:right w:val="nil"/>
            </w:tcBorders>
            <w:shd w:val="clear" w:color="auto" w:fill="auto"/>
          </w:tcPr>
          <w:p w:rsidR="00466D38" w:rsidRPr="00526311" w:rsidDel="00862781" w:rsidRDefault="00466D38" w:rsidP="008761B9">
            <w:pPr>
              <w:rPr>
                <w:sz w:val="16"/>
                <w:szCs w:val="16"/>
              </w:rPr>
            </w:pPr>
            <w:r w:rsidRPr="00526311">
              <w:rPr>
                <w:sz w:val="16"/>
                <w:szCs w:val="16"/>
              </w:rPr>
              <w:t>N.d. (OOB)</w:t>
            </w:r>
          </w:p>
        </w:tc>
        <w:tc>
          <w:tcPr>
            <w:tcW w:w="966" w:type="pct"/>
            <w:gridSpan w:val="2"/>
            <w:tcBorders>
              <w:top w:val="nil"/>
              <w:left w:val="nil"/>
              <w:bottom w:val="single" w:sz="4" w:space="0" w:color="auto"/>
              <w:right w:val="nil"/>
            </w:tcBorders>
            <w:shd w:val="clear" w:color="auto" w:fill="auto"/>
            <w:tcMar>
              <w:top w:w="110" w:type="dxa"/>
            </w:tcMar>
          </w:tcPr>
          <w:p w:rsidR="00466D38" w:rsidRPr="00526311" w:rsidRDefault="007624F4" w:rsidP="007624F4">
            <w:pPr>
              <w:rPr>
                <w:sz w:val="16"/>
                <w:szCs w:val="16"/>
              </w:rPr>
            </w:pPr>
            <w:r w:rsidRPr="00526311">
              <w:rPr>
                <w:sz w:val="16"/>
                <w:szCs w:val="16"/>
              </w:rPr>
              <w:t>El CAM de la OMPI</w:t>
            </w:r>
            <w:r w:rsidR="00466D38" w:rsidRPr="00526311">
              <w:rPr>
                <w:sz w:val="16"/>
                <w:szCs w:val="16"/>
              </w:rPr>
              <w:t xml:space="preserve"> tramitará 30 controversias presentadas por usuarios brasileños en el INPI y 4 presentadas por no residentes en la OOB</w:t>
            </w:r>
            <w:r w:rsidR="00681E0B" w:rsidRPr="00526311">
              <w:rPr>
                <w:sz w:val="16"/>
                <w:szCs w:val="16"/>
              </w:rPr>
              <w:t xml:space="preserve"> (OOB)</w:t>
            </w:r>
          </w:p>
        </w:tc>
        <w:tc>
          <w:tcPr>
            <w:tcW w:w="1529" w:type="pct"/>
            <w:gridSpan w:val="2"/>
            <w:tcBorders>
              <w:top w:val="nil"/>
              <w:left w:val="nil"/>
              <w:bottom w:val="single" w:sz="4" w:space="0" w:color="auto"/>
              <w:right w:val="nil"/>
            </w:tcBorders>
            <w:shd w:val="clear" w:color="auto" w:fill="FFFFFF"/>
            <w:tcMar>
              <w:top w:w="110" w:type="dxa"/>
            </w:tcMar>
          </w:tcPr>
          <w:p w:rsidR="00466D38" w:rsidRPr="00526311" w:rsidDel="00844714" w:rsidRDefault="00466D38" w:rsidP="008761B9">
            <w:pPr>
              <w:rPr>
                <w:sz w:val="16"/>
                <w:szCs w:val="16"/>
              </w:rPr>
            </w:pPr>
            <w:r w:rsidRPr="00526311">
              <w:rPr>
                <w:sz w:val="16"/>
                <w:szCs w:val="16"/>
              </w:rPr>
              <w:t>Debido a cambios en el INPI en 2014, quedó suspendido el proyecto de utilizar servicios de solución extrajudicial de controversias relativas a transacciones de P.I. (OOB)</w:t>
            </w:r>
          </w:p>
        </w:tc>
        <w:tc>
          <w:tcPr>
            <w:tcW w:w="608" w:type="pct"/>
            <w:tcBorders>
              <w:top w:val="nil"/>
              <w:left w:val="nil"/>
              <w:bottom w:val="single" w:sz="4" w:space="0" w:color="auto"/>
              <w:right w:val="single" w:sz="4" w:space="0" w:color="auto"/>
            </w:tcBorders>
            <w:shd w:val="clear" w:color="auto" w:fill="auto"/>
            <w:tcMar>
              <w:top w:w="110" w:type="dxa"/>
            </w:tcMar>
          </w:tcPr>
          <w:p w:rsidR="00466D38" w:rsidRPr="00526311" w:rsidRDefault="00466D38" w:rsidP="008761B9">
            <w:pPr>
              <w:keepNext/>
              <w:keepLines/>
              <w:ind w:left="-106"/>
              <w:jc w:val="center"/>
              <w:rPr>
                <w:b/>
                <w:bCs/>
                <w:color w:val="FF0000"/>
                <w:sz w:val="16"/>
                <w:szCs w:val="16"/>
              </w:rPr>
            </w:pPr>
            <w:r w:rsidRPr="00526311">
              <w:rPr>
                <w:b/>
                <w:bCs/>
                <w:color w:val="FF0000"/>
                <w:sz w:val="16"/>
                <w:szCs w:val="16"/>
              </w:rPr>
              <w:t>No avanza</w:t>
            </w:r>
          </w:p>
        </w:tc>
      </w:tr>
    </w:tbl>
    <w:p w:rsidR="00466D38" w:rsidRPr="00526311" w:rsidRDefault="00466D38">
      <w:r w:rsidRPr="00526311">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1562"/>
        <w:gridCol w:w="1849"/>
        <w:gridCol w:w="2927"/>
        <w:gridCol w:w="1164"/>
      </w:tblGrid>
      <w:tr w:rsidR="00466D38" w:rsidRPr="00526311" w:rsidTr="008761B9">
        <w:tc>
          <w:tcPr>
            <w:tcW w:w="5000" w:type="pct"/>
            <w:gridSpan w:val="5"/>
            <w:tcBorders>
              <w:top w:val="single" w:sz="4" w:space="0" w:color="auto"/>
              <w:bottom w:val="single" w:sz="4" w:space="0" w:color="auto"/>
            </w:tcBorders>
            <w:shd w:val="clear" w:color="auto" w:fill="CCFFFF"/>
          </w:tcPr>
          <w:p w:rsidR="00466D38" w:rsidRPr="00526311" w:rsidRDefault="00466D38" w:rsidP="008761B9">
            <w:pPr>
              <w:keepNext/>
              <w:keepLines/>
              <w:tabs>
                <w:tab w:val="left" w:pos="-1526"/>
              </w:tabs>
              <w:spacing w:before="120" w:after="120"/>
              <w:ind w:left="1735" w:hanging="1735"/>
              <w:rPr>
                <w:b/>
                <w:bCs/>
                <w:sz w:val="16"/>
                <w:szCs w:val="16"/>
              </w:rPr>
            </w:pPr>
            <w:r w:rsidRPr="00526311">
              <w:rPr>
                <w:b/>
                <w:bCs/>
                <w:sz w:val="16"/>
                <w:szCs w:val="16"/>
              </w:rPr>
              <w:lastRenderedPageBreak/>
              <w:t>Resultado previsto:</w:t>
            </w:r>
            <w:r w:rsidRPr="00526311">
              <w:rPr>
                <w:b/>
                <w:bCs/>
                <w:sz w:val="16"/>
                <w:szCs w:val="16"/>
              </w:rPr>
              <w:tab/>
            </w:r>
            <w:r w:rsidRPr="00526311">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466D38" w:rsidRPr="00526311" w:rsidTr="008761B9">
        <w:tc>
          <w:tcPr>
            <w:tcW w:w="1081" w:type="pct"/>
            <w:tcBorders>
              <w:top w:val="single" w:sz="4" w:space="0" w:color="auto"/>
              <w:left w:val="single" w:sz="4" w:space="0" w:color="auto"/>
              <w:bottom w:val="nil"/>
              <w:right w:val="nil"/>
            </w:tcBorders>
            <w:shd w:val="clear" w:color="auto" w:fill="auto"/>
          </w:tcPr>
          <w:p w:rsidR="00466D38" w:rsidRPr="00526311" w:rsidRDefault="00466D38" w:rsidP="008761B9">
            <w:pPr>
              <w:rPr>
                <w:b/>
                <w:sz w:val="16"/>
                <w:szCs w:val="16"/>
              </w:rPr>
            </w:pPr>
            <w:r w:rsidRPr="00526311">
              <w:rPr>
                <w:b/>
                <w:sz w:val="16"/>
                <w:szCs w:val="16"/>
              </w:rPr>
              <w:t>Indicadores de rendimiento</w:t>
            </w:r>
          </w:p>
        </w:tc>
        <w:tc>
          <w:tcPr>
            <w:tcW w:w="816" w:type="pct"/>
            <w:tcBorders>
              <w:top w:val="single" w:sz="4" w:space="0" w:color="auto"/>
              <w:left w:val="nil"/>
              <w:bottom w:val="nil"/>
              <w:right w:val="nil"/>
            </w:tcBorders>
            <w:shd w:val="clear" w:color="auto" w:fill="auto"/>
          </w:tcPr>
          <w:p w:rsidR="00466D38" w:rsidRPr="00526311" w:rsidRDefault="00466D38" w:rsidP="008761B9">
            <w:pPr>
              <w:rPr>
                <w:b/>
                <w:sz w:val="16"/>
                <w:szCs w:val="16"/>
              </w:rPr>
            </w:pPr>
            <w:r w:rsidRPr="00526311">
              <w:rPr>
                <w:b/>
                <w:sz w:val="16"/>
                <w:szCs w:val="16"/>
              </w:rPr>
              <w:t>Referencia</w:t>
            </w:r>
          </w:p>
        </w:tc>
        <w:tc>
          <w:tcPr>
            <w:tcW w:w="966" w:type="pct"/>
            <w:tcBorders>
              <w:top w:val="single" w:sz="4" w:space="0" w:color="auto"/>
              <w:left w:val="nil"/>
              <w:bottom w:val="nil"/>
              <w:right w:val="nil"/>
            </w:tcBorders>
            <w:shd w:val="clear" w:color="auto" w:fill="auto"/>
            <w:tcMar>
              <w:top w:w="110" w:type="dxa"/>
            </w:tcMar>
          </w:tcPr>
          <w:p w:rsidR="00466D38" w:rsidRPr="00526311" w:rsidRDefault="00466D38" w:rsidP="008761B9">
            <w:pPr>
              <w:rPr>
                <w:b/>
                <w:sz w:val="16"/>
                <w:szCs w:val="16"/>
              </w:rPr>
            </w:pPr>
            <w:r w:rsidRPr="00526311">
              <w:rPr>
                <w:b/>
                <w:sz w:val="16"/>
                <w:szCs w:val="16"/>
              </w:rPr>
              <w:t>Objetivos</w:t>
            </w:r>
          </w:p>
        </w:tc>
        <w:tc>
          <w:tcPr>
            <w:tcW w:w="1529" w:type="pct"/>
            <w:tcBorders>
              <w:top w:val="single" w:sz="4" w:space="0" w:color="auto"/>
              <w:left w:val="nil"/>
              <w:bottom w:val="nil"/>
              <w:right w:val="nil"/>
            </w:tcBorders>
            <w:shd w:val="clear" w:color="auto" w:fill="FFFFFF"/>
            <w:tcMar>
              <w:top w:w="110" w:type="dxa"/>
            </w:tcMar>
          </w:tcPr>
          <w:p w:rsidR="00466D38" w:rsidRPr="00526311" w:rsidRDefault="00466D38" w:rsidP="008761B9">
            <w:pPr>
              <w:rPr>
                <w:b/>
                <w:sz w:val="16"/>
                <w:szCs w:val="16"/>
              </w:rPr>
            </w:pPr>
            <w:r w:rsidRPr="00526311">
              <w:rPr>
                <w:b/>
                <w:sz w:val="16"/>
                <w:szCs w:val="16"/>
              </w:rPr>
              <w:t>Datos sobre el rendimiento</w:t>
            </w:r>
          </w:p>
        </w:tc>
        <w:tc>
          <w:tcPr>
            <w:tcW w:w="608" w:type="pct"/>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
                <w:bCs/>
                <w:sz w:val="16"/>
                <w:szCs w:val="16"/>
              </w:rPr>
            </w:pPr>
            <w:r w:rsidRPr="00526311">
              <w:rPr>
                <w:b/>
                <w:bCs/>
                <w:sz w:val="16"/>
                <w:szCs w:val="16"/>
              </w:rPr>
              <w:t>Clave de colores</w:t>
            </w:r>
          </w:p>
        </w:tc>
      </w:tr>
      <w:tr w:rsidR="00466D38" w:rsidRPr="00526311" w:rsidTr="008761B9">
        <w:tc>
          <w:tcPr>
            <w:tcW w:w="1081" w:type="pct"/>
            <w:tcBorders>
              <w:top w:val="nil"/>
              <w:left w:val="single" w:sz="4" w:space="0" w:color="auto"/>
              <w:bottom w:val="single" w:sz="4" w:space="0" w:color="auto"/>
              <w:right w:val="nil"/>
            </w:tcBorders>
            <w:shd w:val="clear" w:color="auto" w:fill="auto"/>
          </w:tcPr>
          <w:p w:rsidR="00466D38" w:rsidRPr="00526311" w:rsidRDefault="00466D38" w:rsidP="008761B9">
            <w:pPr>
              <w:rPr>
                <w:sz w:val="16"/>
                <w:szCs w:val="16"/>
              </w:rPr>
            </w:pPr>
            <w:r w:rsidRPr="00526311">
              <w:rPr>
                <w:sz w:val="16"/>
                <w:szCs w:val="16"/>
              </w:rPr>
              <w:t>Porcentaje de encargados de la adopción de políticas, funcionarios gubernamentales, profesionales de la P.I. y participantes en talleres con un mayor conocimiento de los OGC y la manera de usar eficazmente la P.I. al servicio del desarrollo</w:t>
            </w:r>
          </w:p>
        </w:tc>
        <w:tc>
          <w:tcPr>
            <w:tcW w:w="816" w:type="pct"/>
            <w:tcBorders>
              <w:top w:val="nil"/>
              <w:left w:val="nil"/>
              <w:bottom w:val="single" w:sz="4" w:space="0" w:color="auto"/>
              <w:right w:val="nil"/>
            </w:tcBorders>
            <w:shd w:val="clear" w:color="auto" w:fill="auto"/>
          </w:tcPr>
          <w:p w:rsidR="00466D38" w:rsidRPr="00526311" w:rsidRDefault="00466D38" w:rsidP="008761B9">
            <w:pPr>
              <w:rPr>
                <w:sz w:val="16"/>
                <w:szCs w:val="16"/>
              </w:rPr>
            </w:pPr>
            <w:r w:rsidRPr="00526311">
              <w:rPr>
                <w:sz w:val="16"/>
                <w:szCs w:val="16"/>
              </w:rPr>
              <w:t>N.d. (OOB)</w:t>
            </w:r>
          </w:p>
          <w:p w:rsidR="00466D38" w:rsidRPr="00526311" w:rsidRDefault="00466D38" w:rsidP="008761B9">
            <w:pPr>
              <w:rPr>
                <w:sz w:val="16"/>
                <w:szCs w:val="16"/>
              </w:rPr>
            </w:pPr>
            <w:r w:rsidRPr="00526311">
              <w:rPr>
                <w:sz w:val="16"/>
                <w:szCs w:val="16"/>
              </w:rPr>
              <w:t>N.d. (OOJ)</w:t>
            </w:r>
          </w:p>
          <w:p w:rsidR="00466D38" w:rsidRPr="00526311" w:rsidRDefault="00466D38" w:rsidP="008761B9">
            <w:pPr>
              <w:rPr>
                <w:sz w:val="16"/>
                <w:szCs w:val="16"/>
              </w:rPr>
            </w:pPr>
            <w:r w:rsidRPr="00526311">
              <w:rPr>
                <w:sz w:val="16"/>
                <w:szCs w:val="16"/>
              </w:rPr>
              <w:t>60% (OOS)</w:t>
            </w:r>
          </w:p>
          <w:p w:rsidR="00466D38" w:rsidRPr="00526311" w:rsidRDefault="00466D38" w:rsidP="008761B9">
            <w:pPr>
              <w:rPr>
                <w:i/>
                <w:sz w:val="16"/>
                <w:szCs w:val="16"/>
              </w:rPr>
            </w:pPr>
          </w:p>
        </w:tc>
        <w:tc>
          <w:tcPr>
            <w:tcW w:w="966" w:type="pct"/>
            <w:tcBorders>
              <w:top w:val="nil"/>
              <w:left w:val="nil"/>
              <w:bottom w:val="single" w:sz="4" w:space="0" w:color="auto"/>
              <w:right w:val="nil"/>
            </w:tcBorders>
            <w:shd w:val="clear" w:color="auto" w:fill="auto"/>
            <w:tcMar>
              <w:top w:w="110" w:type="dxa"/>
            </w:tcMar>
          </w:tcPr>
          <w:p w:rsidR="00466D38" w:rsidRPr="00526311" w:rsidRDefault="00466D38" w:rsidP="008761B9">
            <w:pPr>
              <w:rPr>
                <w:sz w:val="16"/>
                <w:szCs w:val="16"/>
              </w:rPr>
            </w:pPr>
            <w:r w:rsidRPr="00526311">
              <w:rPr>
                <w:sz w:val="16"/>
                <w:szCs w:val="16"/>
              </w:rPr>
              <w:t>75% (OOB)</w:t>
            </w:r>
          </w:p>
          <w:p w:rsidR="00466D38" w:rsidRPr="00526311" w:rsidRDefault="00466D38" w:rsidP="008761B9">
            <w:pPr>
              <w:rPr>
                <w:sz w:val="16"/>
                <w:szCs w:val="16"/>
              </w:rPr>
            </w:pPr>
            <w:r w:rsidRPr="00526311">
              <w:rPr>
                <w:sz w:val="16"/>
                <w:szCs w:val="16"/>
              </w:rPr>
              <w:t>75% (OOJ)</w:t>
            </w:r>
          </w:p>
          <w:p w:rsidR="00466D38" w:rsidRPr="00526311" w:rsidRDefault="00466D38" w:rsidP="008761B9">
            <w:pPr>
              <w:rPr>
                <w:sz w:val="16"/>
                <w:szCs w:val="16"/>
              </w:rPr>
            </w:pPr>
            <w:r w:rsidRPr="00526311">
              <w:rPr>
                <w:sz w:val="16"/>
                <w:szCs w:val="16"/>
              </w:rPr>
              <w:t>&gt; 70% (OOS)</w:t>
            </w:r>
          </w:p>
          <w:p w:rsidR="00466D38" w:rsidRPr="00526311" w:rsidRDefault="00466D38" w:rsidP="008761B9">
            <w:pPr>
              <w:rPr>
                <w:sz w:val="16"/>
                <w:szCs w:val="16"/>
              </w:rPr>
            </w:pPr>
          </w:p>
        </w:tc>
        <w:tc>
          <w:tcPr>
            <w:tcW w:w="1529" w:type="pct"/>
            <w:tcBorders>
              <w:top w:val="nil"/>
              <w:left w:val="nil"/>
              <w:bottom w:val="single" w:sz="4" w:space="0" w:color="auto"/>
              <w:right w:val="nil"/>
            </w:tcBorders>
            <w:shd w:val="clear" w:color="auto" w:fill="FFFFFF"/>
            <w:tcMar>
              <w:top w:w="110" w:type="dxa"/>
            </w:tcMar>
          </w:tcPr>
          <w:p w:rsidR="00466D38" w:rsidRPr="00526311" w:rsidRDefault="00466D38" w:rsidP="008761B9">
            <w:pPr>
              <w:rPr>
                <w:sz w:val="16"/>
                <w:szCs w:val="16"/>
              </w:rPr>
            </w:pPr>
            <w:r w:rsidRPr="00526311">
              <w:rPr>
                <w:sz w:val="16"/>
                <w:szCs w:val="16"/>
              </w:rPr>
              <w:t>75% (OOB)</w:t>
            </w:r>
          </w:p>
          <w:p w:rsidR="00466D38" w:rsidRPr="00526311" w:rsidRDefault="00466D38" w:rsidP="008761B9">
            <w:pPr>
              <w:rPr>
                <w:sz w:val="16"/>
                <w:szCs w:val="16"/>
              </w:rPr>
            </w:pPr>
            <w:r w:rsidRPr="00526311">
              <w:rPr>
                <w:sz w:val="16"/>
                <w:szCs w:val="16"/>
              </w:rPr>
              <w:t>Ningún taller sobre los OGC organizado en el Japón en 2014.  (OOJ)</w:t>
            </w:r>
          </w:p>
          <w:p w:rsidR="00466D38" w:rsidRPr="00526311" w:rsidDel="00EA6FE2" w:rsidRDefault="00466D38" w:rsidP="008761B9">
            <w:pPr>
              <w:rPr>
                <w:sz w:val="16"/>
                <w:szCs w:val="16"/>
              </w:rPr>
            </w:pPr>
            <w:r w:rsidRPr="00526311">
              <w:rPr>
                <w:sz w:val="16"/>
                <w:szCs w:val="16"/>
              </w:rPr>
              <w:t>100% de los participantes estuvo de acuerdo en que las técnicas y los conocimientos adquiridos en el seminario aportan valor añadido a sus organizaciones (OOS)</w:t>
            </w:r>
          </w:p>
        </w:tc>
        <w:tc>
          <w:tcPr>
            <w:tcW w:w="608" w:type="pct"/>
            <w:tcBorders>
              <w:top w:val="nil"/>
              <w:left w:val="nil"/>
              <w:bottom w:val="single" w:sz="4" w:space="0" w:color="auto"/>
              <w:right w:val="single" w:sz="4" w:space="0" w:color="auto"/>
            </w:tcBorders>
            <w:shd w:val="clear" w:color="auto" w:fill="auto"/>
            <w:tcMar>
              <w:top w:w="110" w:type="dxa"/>
            </w:tcMar>
          </w:tcPr>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jc w:val="center"/>
              <w:rPr>
                <w:b/>
                <w:bCs/>
                <w:color w:val="00B050"/>
                <w:sz w:val="16"/>
                <w:szCs w:val="16"/>
              </w:rPr>
            </w:pPr>
          </w:p>
          <w:p w:rsidR="00466D38" w:rsidRPr="00526311" w:rsidRDefault="00466D38" w:rsidP="008761B9">
            <w:pPr>
              <w:keepNext/>
              <w:keepLines/>
              <w:ind w:left="-108"/>
              <w:jc w:val="center"/>
              <w:rPr>
                <w:b/>
                <w:bCs/>
                <w:color w:val="0070C0"/>
                <w:sz w:val="16"/>
                <w:szCs w:val="16"/>
              </w:rPr>
            </w:pPr>
            <w:r w:rsidRPr="00526311">
              <w:rPr>
                <w:b/>
                <w:bCs/>
                <w:color w:val="0070C0"/>
                <w:sz w:val="16"/>
                <w:szCs w:val="16"/>
              </w:rPr>
              <w:t>N</w:t>
            </w:r>
            <w:r w:rsidR="00681E0B" w:rsidRPr="00526311">
              <w:rPr>
                <w:b/>
                <w:bCs/>
                <w:color w:val="0070C0"/>
                <w:sz w:val="16"/>
                <w:szCs w:val="16"/>
              </w:rPr>
              <w:t>.d.</w:t>
            </w:r>
            <w:r w:rsidRPr="00526311">
              <w:rPr>
                <w:b/>
                <w:bCs/>
                <w:color w:val="0070C0"/>
                <w:sz w:val="16"/>
                <w:szCs w:val="16"/>
              </w:rPr>
              <w:t xml:space="preserve"> para 2014</w:t>
            </w:r>
          </w:p>
          <w:p w:rsidR="00466D38" w:rsidRPr="00526311" w:rsidRDefault="00466D38" w:rsidP="008761B9">
            <w:pPr>
              <w:keepNext/>
              <w:keepLines/>
              <w:jc w:val="center"/>
              <w:rPr>
                <w:b/>
                <w:bCs/>
                <w:color w:val="00B050"/>
                <w:sz w:val="16"/>
                <w:szCs w:val="16"/>
              </w:rPr>
            </w:pPr>
          </w:p>
          <w:p w:rsidR="00466D38" w:rsidRPr="00526311" w:rsidRDefault="00466D38" w:rsidP="008761B9">
            <w:pPr>
              <w:keepNext/>
              <w:keepLines/>
              <w:jc w:val="center"/>
              <w:rPr>
                <w:b/>
                <w:bCs/>
                <w:color w:val="00B050"/>
                <w:sz w:val="16"/>
                <w:szCs w:val="16"/>
              </w:rPr>
            </w:pPr>
          </w:p>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tc>
      </w:tr>
      <w:tr w:rsidR="00466D38" w:rsidRPr="00526311" w:rsidTr="008761B9">
        <w:tc>
          <w:tcPr>
            <w:tcW w:w="5000" w:type="pct"/>
            <w:gridSpan w:val="5"/>
            <w:tcBorders>
              <w:top w:val="single" w:sz="4" w:space="0" w:color="auto"/>
              <w:bottom w:val="single" w:sz="4" w:space="0" w:color="auto"/>
            </w:tcBorders>
            <w:shd w:val="clear" w:color="auto" w:fill="CCFFFF"/>
          </w:tcPr>
          <w:p w:rsidR="00466D38" w:rsidRPr="00526311" w:rsidRDefault="00466D38" w:rsidP="008761B9">
            <w:pPr>
              <w:keepNext/>
              <w:keepLines/>
              <w:tabs>
                <w:tab w:val="left" w:pos="-1526"/>
              </w:tabs>
              <w:spacing w:before="120" w:after="120"/>
              <w:ind w:left="1735" w:hanging="1735"/>
              <w:rPr>
                <w:b/>
                <w:bCs/>
                <w:color w:val="808080"/>
                <w:sz w:val="16"/>
                <w:szCs w:val="16"/>
              </w:rPr>
            </w:pPr>
            <w:r w:rsidRPr="00526311">
              <w:rPr>
                <w:b/>
                <w:bCs/>
                <w:sz w:val="16"/>
                <w:szCs w:val="16"/>
              </w:rPr>
              <w:t>Resultado previsto:</w:t>
            </w:r>
            <w:r w:rsidRPr="00526311">
              <w:rPr>
                <w:b/>
                <w:bCs/>
                <w:sz w:val="16"/>
                <w:szCs w:val="16"/>
              </w:rPr>
              <w:tab/>
            </w:r>
            <w:r w:rsidRPr="00526311">
              <w:rPr>
                <w:bCs/>
                <w:sz w:val="16"/>
                <w:szCs w:val="16"/>
              </w:rPr>
              <w:t>IV.2 Mejora del acceso y uso de información de P.I. por parte de instituciones de P.I. y el público para fomentar la innovación y la creatividad</w:t>
            </w:r>
          </w:p>
        </w:tc>
      </w:tr>
      <w:tr w:rsidR="00466D38" w:rsidRPr="00526311" w:rsidTr="008761B9">
        <w:tc>
          <w:tcPr>
            <w:tcW w:w="1081" w:type="pct"/>
            <w:tcBorders>
              <w:top w:val="single" w:sz="4" w:space="0" w:color="auto"/>
              <w:left w:val="single" w:sz="4" w:space="0" w:color="auto"/>
              <w:bottom w:val="nil"/>
              <w:right w:val="nil"/>
            </w:tcBorders>
            <w:shd w:val="clear" w:color="auto" w:fill="auto"/>
          </w:tcPr>
          <w:p w:rsidR="00466D38" w:rsidRPr="00526311" w:rsidRDefault="00466D38" w:rsidP="008761B9">
            <w:pPr>
              <w:rPr>
                <w:sz w:val="16"/>
                <w:szCs w:val="16"/>
              </w:rPr>
            </w:pPr>
            <w:r w:rsidRPr="00526311">
              <w:rPr>
                <w:b/>
                <w:sz w:val="16"/>
                <w:szCs w:val="16"/>
              </w:rPr>
              <w:t>Indicadores de rendimiento</w:t>
            </w:r>
          </w:p>
        </w:tc>
        <w:tc>
          <w:tcPr>
            <w:tcW w:w="816" w:type="pct"/>
            <w:tcBorders>
              <w:top w:val="single" w:sz="4" w:space="0" w:color="auto"/>
              <w:left w:val="nil"/>
              <w:bottom w:val="nil"/>
              <w:right w:val="nil"/>
            </w:tcBorders>
            <w:shd w:val="clear" w:color="auto" w:fill="auto"/>
          </w:tcPr>
          <w:p w:rsidR="00466D38" w:rsidRPr="00526311" w:rsidRDefault="00466D38" w:rsidP="008761B9">
            <w:pPr>
              <w:rPr>
                <w:sz w:val="16"/>
                <w:szCs w:val="16"/>
              </w:rPr>
            </w:pPr>
            <w:r w:rsidRPr="00526311">
              <w:rPr>
                <w:b/>
                <w:sz w:val="16"/>
                <w:szCs w:val="16"/>
              </w:rPr>
              <w:t>Referencia</w:t>
            </w:r>
          </w:p>
        </w:tc>
        <w:tc>
          <w:tcPr>
            <w:tcW w:w="966" w:type="pct"/>
            <w:tcBorders>
              <w:top w:val="single" w:sz="4" w:space="0" w:color="auto"/>
              <w:left w:val="nil"/>
              <w:bottom w:val="nil"/>
              <w:right w:val="nil"/>
            </w:tcBorders>
            <w:shd w:val="clear" w:color="auto" w:fill="auto"/>
            <w:tcMar>
              <w:top w:w="110" w:type="dxa"/>
            </w:tcMar>
          </w:tcPr>
          <w:p w:rsidR="00466D38" w:rsidRPr="00526311" w:rsidRDefault="00466D38" w:rsidP="008761B9">
            <w:pPr>
              <w:rPr>
                <w:sz w:val="16"/>
                <w:szCs w:val="16"/>
              </w:rPr>
            </w:pPr>
            <w:r w:rsidRPr="00526311">
              <w:rPr>
                <w:b/>
                <w:sz w:val="16"/>
                <w:szCs w:val="16"/>
              </w:rPr>
              <w:t>Objetivos</w:t>
            </w:r>
          </w:p>
        </w:tc>
        <w:tc>
          <w:tcPr>
            <w:tcW w:w="1529" w:type="pct"/>
            <w:tcBorders>
              <w:top w:val="single" w:sz="4" w:space="0" w:color="auto"/>
              <w:left w:val="nil"/>
              <w:bottom w:val="nil"/>
              <w:right w:val="nil"/>
            </w:tcBorders>
            <w:shd w:val="clear" w:color="auto" w:fill="FFFFFF"/>
            <w:tcMar>
              <w:top w:w="110" w:type="dxa"/>
            </w:tcMar>
          </w:tcPr>
          <w:p w:rsidR="00466D38" w:rsidRPr="00526311" w:rsidRDefault="00466D38" w:rsidP="008761B9">
            <w:pPr>
              <w:rPr>
                <w:sz w:val="16"/>
                <w:szCs w:val="16"/>
              </w:rPr>
            </w:pPr>
            <w:r w:rsidRPr="00526311">
              <w:rPr>
                <w:b/>
                <w:sz w:val="16"/>
                <w:szCs w:val="16"/>
              </w:rPr>
              <w:t>Datos sobre el rendimiento</w:t>
            </w:r>
          </w:p>
        </w:tc>
        <w:tc>
          <w:tcPr>
            <w:tcW w:w="608" w:type="pct"/>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rPr>
                <w:b/>
                <w:bCs/>
                <w:sz w:val="16"/>
                <w:szCs w:val="16"/>
              </w:rPr>
            </w:pPr>
            <w:r w:rsidRPr="00526311">
              <w:rPr>
                <w:b/>
                <w:bCs/>
                <w:sz w:val="16"/>
                <w:szCs w:val="16"/>
              </w:rPr>
              <w:t>Clave de colores</w:t>
            </w:r>
          </w:p>
        </w:tc>
      </w:tr>
      <w:tr w:rsidR="00466D38" w:rsidRPr="00526311" w:rsidTr="008761B9">
        <w:tc>
          <w:tcPr>
            <w:tcW w:w="1081" w:type="pct"/>
            <w:tcBorders>
              <w:top w:val="nil"/>
              <w:left w:val="single" w:sz="4" w:space="0" w:color="auto"/>
              <w:bottom w:val="single" w:sz="4" w:space="0" w:color="auto"/>
              <w:right w:val="nil"/>
            </w:tcBorders>
            <w:shd w:val="clear" w:color="auto" w:fill="auto"/>
          </w:tcPr>
          <w:p w:rsidR="00466D38" w:rsidRPr="00526311" w:rsidRDefault="00466D38" w:rsidP="008761B9">
            <w:pPr>
              <w:rPr>
                <w:sz w:val="16"/>
                <w:szCs w:val="16"/>
              </w:rPr>
            </w:pPr>
            <w:r w:rsidRPr="00526311">
              <w:rPr>
                <w:sz w:val="16"/>
                <w:szCs w:val="16"/>
              </w:rPr>
              <w:t>Número de usuarios de las bases de datos mundiales de la OMPI:  PATENTSCOPE y Base Mundial de Datos sobre Marcas</w:t>
            </w:r>
          </w:p>
        </w:tc>
        <w:tc>
          <w:tcPr>
            <w:tcW w:w="816" w:type="pct"/>
            <w:tcBorders>
              <w:top w:val="nil"/>
              <w:left w:val="nil"/>
              <w:bottom w:val="single" w:sz="4" w:space="0" w:color="auto"/>
              <w:right w:val="nil"/>
            </w:tcBorders>
            <w:shd w:val="clear" w:color="auto" w:fill="auto"/>
          </w:tcPr>
          <w:p w:rsidR="00466D38" w:rsidRPr="00526311" w:rsidRDefault="00466D38" w:rsidP="008761B9">
            <w:pPr>
              <w:rPr>
                <w:i/>
                <w:color w:val="002060"/>
                <w:sz w:val="16"/>
                <w:szCs w:val="16"/>
              </w:rPr>
            </w:pPr>
            <w:r w:rsidRPr="00526311">
              <w:rPr>
                <w:i/>
                <w:color w:val="002060"/>
                <w:sz w:val="16"/>
                <w:szCs w:val="16"/>
              </w:rPr>
              <w:t xml:space="preserve">Referencia actualizada a fines de 2013:  </w:t>
            </w:r>
          </w:p>
          <w:p w:rsidR="00466D38" w:rsidRPr="00526311" w:rsidRDefault="00466D38" w:rsidP="008761B9">
            <w:pPr>
              <w:rPr>
                <w:sz w:val="16"/>
                <w:szCs w:val="16"/>
              </w:rPr>
            </w:pPr>
            <w:r w:rsidRPr="00526311">
              <w:rPr>
                <w:sz w:val="16"/>
                <w:szCs w:val="16"/>
              </w:rPr>
              <w:t>PATENTSCOPE (Trim.3 2013):</w:t>
            </w:r>
          </w:p>
          <w:p w:rsidR="00466D38" w:rsidRPr="00526311" w:rsidRDefault="00466D38" w:rsidP="00466D38">
            <w:pPr>
              <w:pStyle w:val="ListParagraph"/>
              <w:numPr>
                <w:ilvl w:val="0"/>
                <w:numId w:val="74"/>
              </w:numPr>
              <w:contextualSpacing/>
              <w:rPr>
                <w:rFonts w:eastAsia="SimSun" w:cs="Arial"/>
                <w:sz w:val="16"/>
                <w:szCs w:val="16"/>
                <w:lang w:val="es-ES" w:eastAsia="zh-CN"/>
              </w:rPr>
            </w:pPr>
            <w:r w:rsidRPr="00526311">
              <w:rPr>
                <w:rFonts w:eastAsia="SimSun" w:cs="Arial"/>
                <w:sz w:val="16"/>
                <w:szCs w:val="16"/>
                <w:lang w:val="es-ES" w:eastAsia="zh-CN"/>
              </w:rPr>
              <w:t>3.839 (OOB)</w:t>
            </w:r>
          </w:p>
          <w:p w:rsidR="00466D38" w:rsidRPr="00526311" w:rsidRDefault="00466D38" w:rsidP="00466D38">
            <w:pPr>
              <w:pStyle w:val="ListParagraph"/>
              <w:numPr>
                <w:ilvl w:val="0"/>
                <w:numId w:val="74"/>
              </w:numPr>
              <w:contextualSpacing/>
              <w:rPr>
                <w:rFonts w:eastAsia="SimSun" w:cs="Arial"/>
                <w:sz w:val="16"/>
                <w:szCs w:val="16"/>
                <w:lang w:val="es-ES" w:eastAsia="zh-CN"/>
              </w:rPr>
            </w:pPr>
            <w:r w:rsidRPr="00526311">
              <w:rPr>
                <w:rFonts w:eastAsia="SimSun" w:cs="Arial"/>
                <w:sz w:val="16"/>
                <w:szCs w:val="16"/>
                <w:lang w:val="es-ES" w:eastAsia="zh-CN"/>
              </w:rPr>
              <w:t>14.906 (OOJ)</w:t>
            </w:r>
          </w:p>
          <w:p w:rsidR="00466D38" w:rsidRPr="00526311" w:rsidRDefault="00466D38" w:rsidP="00466D38">
            <w:pPr>
              <w:pStyle w:val="ListParagraph"/>
              <w:numPr>
                <w:ilvl w:val="0"/>
                <w:numId w:val="74"/>
              </w:numPr>
              <w:spacing w:after="200"/>
              <w:contextualSpacing/>
              <w:rPr>
                <w:rFonts w:eastAsia="SimSun" w:cs="Arial"/>
                <w:sz w:val="16"/>
                <w:szCs w:val="16"/>
                <w:lang w:val="es-ES" w:eastAsia="zh-CN"/>
              </w:rPr>
            </w:pPr>
            <w:r w:rsidRPr="00526311">
              <w:rPr>
                <w:rFonts w:eastAsia="SimSun" w:cs="Arial"/>
                <w:sz w:val="16"/>
                <w:szCs w:val="16"/>
                <w:lang w:val="es-ES" w:eastAsia="zh-CN"/>
              </w:rPr>
              <w:t>6.772 (OOS)</w:t>
            </w:r>
          </w:p>
          <w:p w:rsidR="00466D38" w:rsidRPr="00526311" w:rsidRDefault="00466D38" w:rsidP="008761B9">
            <w:pPr>
              <w:rPr>
                <w:sz w:val="16"/>
                <w:szCs w:val="16"/>
              </w:rPr>
            </w:pPr>
            <w:r w:rsidRPr="00526311">
              <w:rPr>
                <w:sz w:val="16"/>
                <w:szCs w:val="16"/>
              </w:rPr>
              <w:t>Base Mundial de Datos sobre Marcas:  2013</w:t>
            </w:r>
          </w:p>
          <w:p w:rsidR="00466D38" w:rsidRPr="00526311" w:rsidRDefault="00466D38" w:rsidP="00466D38">
            <w:pPr>
              <w:pStyle w:val="ListParagraph"/>
              <w:numPr>
                <w:ilvl w:val="0"/>
                <w:numId w:val="75"/>
              </w:numPr>
              <w:contextualSpacing/>
              <w:rPr>
                <w:rFonts w:eastAsia="SimSun" w:cs="Arial"/>
                <w:sz w:val="16"/>
                <w:szCs w:val="16"/>
                <w:lang w:val="es-ES" w:eastAsia="zh-CN"/>
              </w:rPr>
            </w:pPr>
            <w:r w:rsidRPr="00526311">
              <w:rPr>
                <w:rFonts w:eastAsia="SimSun" w:cs="Arial"/>
                <w:sz w:val="16"/>
                <w:szCs w:val="16"/>
                <w:lang w:val="es-ES" w:eastAsia="zh-CN"/>
              </w:rPr>
              <w:t>186 (OOB)</w:t>
            </w:r>
          </w:p>
          <w:p w:rsidR="00466D38" w:rsidRPr="00526311" w:rsidRDefault="00466D38" w:rsidP="00466D38">
            <w:pPr>
              <w:pStyle w:val="ListParagraph"/>
              <w:numPr>
                <w:ilvl w:val="0"/>
                <w:numId w:val="75"/>
              </w:numPr>
              <w:contextualSpacing/>
              <w:rPr>
                <w:rFonts w:eastAsia="SimSun" w:cs="Arial"/>
                <w:sz w:val="16"/>
                <w:szCs w:val="16"/>
                <w:lang w:val="es-ES" w:eastAsia="zh-CN"/>
              </w:rPr>
            </w:pPr>
            <w:r w:rsidRPr="00526311">
              <w:rPr>
                <w:rFonts w:eastAsia="SimSun" w:cs="Arial"/>
                <w:sz w:val="16"/>
                <w:szCs w:val="16"/>
                <w:lang w:val="es-ES" w:eastAsia="zh-CN"/>
              </w:rPr>
              <w:t>543 (OOJ)</w:t>
            </w:r>
          </w:p>
          <w:p w:rsidR="00466D38" w:rsidRPr="00526311" w:rsidRDefault="00466D38" w:rsidP="00466D38">
            <w:pPr>
              <w:pStyle w:val="ListParagraph"/>
              <w:numPr>
                <w:ilvl w:val="0"/>
                <w:numId w:val="75"/>
              </w:numPr>
              <w:contextualSpacing/>
              <w:rPr>
                <w:rFonts w:eastAsia="SimSun" w:cs="Arial"/>
                <w:sz w:val="16"/>
                <w:szCs w:val="16"/>
                <w:lang w:val="es-ES" w:eastAsia="zh-CN"/>
              </w:rPr>
            </w:pPr>
            <w:r w:rsidRPr="00526311">
              <w:rPr>
                <w:rFonts w:eastAsia="SimSun" w:cs="Arial"/>
                <w:sz w:val="16"/>
                <w:szCs w:val="16"/>
                <w:lang w:val="es-ES" w:eastAsia="zh-CN"/>
              </w:rPr>
              <w:t>1.711 (OOS)</w:t>
            </w:r>
          </w:p>
          <w:p w:rsidR="00466D38" w:rsidRPr="00526311" w:rsidRDefault="00466D38" w:rsidP="008761B9">
            <w:pPr>
              <w:pStyle w:val="ListParagraph"/>
              <w:ind w:left="360"/>
              <w:rPr>
                <w:rFonts w:eastAsia="SimSun" w:cs="Arial"/>
                <w:sz w:val="16"/>
                <w:szCs w:val="16"/>
                <w:lang w:val="es-ES" w:eastAsia="zh-CN"/>
              </w:rPr>
            </w:pPr>
          </w:p>
          <w:p w:rsidR="00466D38" w:rsidRPr="00526311" w:rsidRDefault="00466D38" w:rsidP="008761B9">
            <w:pPr>
              <w:rPr>
                <w:i/>
                <w:sz w:val="16"/>
                <w:szCs w:val="16"/>
              </w:rPr>
            </w:pPr>
            <w:r w:rsidRPr="00526311">
              <w:rPr>
                <w:i/>
                <w:sz w:val="16"/>
                <w:szCs w:val="16"/>
              </w:rPr>
              <w:t>Referencia original en el presupuesto de 2014/15:</w:t>
            </w:r>
          </w:p>
          <w:p w:rsidR="00466D38" w:rsidRPr="00526311" w:rsidRDefault="00466D38" w:rsidP="008761B9">
            <w:pPr>
              <w:rPr>
                <w:sz w:val="16"/>
                <w:szCs w:val="16"/>
              </w:rPr>
            </w:pPr>
            <w:r w:rsidRPr="00526311">
              <w:rPr>
                <w:sz w:val="16"/>
                <w:szCs w:val="16"/>
              </w:rPr>
              <w:t>Estadísticas a fines de 2013 (OOB)</w:t>
            </w:r>
          </w:p>
          <w:p w:rsidR="00466D38" w:rsidRPr="00526311" w:rsidRDefault="00466D38" w:rsidP="008761B9">
            <w:pPr>
              <w:rPr>
                <w:sz w:val="16"/>
                <w:szCs w:val="16"/>
              </w:rPr>
            </w:pPr>
            <w:r w:rsidRPr="00526311">
              <w:rPr>
                <w:sz w:val="16"/>
                <w:szCs w:val="16"/>
              </w:rPr>
              <w:t>Estadísticas a fines de 2013 (OOJ)</w:t>
            </w:r>
          </w:p>
          <w:p w:rsidR="00466D38" w:rsidRPr="00526311" w:rsidRDefault="00466D38" w:rsidP="008761B9">
            <w:pPr>
              <w:rPr>
                <w:color w:val="002060"/>
                <w:sz w:val="16"/>
                <w:szCs w:val="16"/>
              </w:rPr>
            </w:pPr>
            <w:r w:rsidRPr="00526311">
              <w:rPr>
                <w:sz w:val="16"/>
                <w:szCs w:val="16"/>
              </w:rPr>
              <w:t>Por determinar (OOS)</w:t>
            </w:r>
          </w:p>
        </w:tc>
        <w:tc>
          <w:tcPr>
            <w:tcW w:w="966" w:type="pct"/>
            <w:tcBorders>
              <w:top w:val="nil"/>
              <w:left w:val="nil"/>
              <w:bottom w:val="single" w:sz="4" w:space="0" w:color="auto"/>
              <w:right w:val="nil"/>
            </w:tcBorders>
            <w:shd w:val="clear" w:color="auto" w:fill="auto"/>
            <w:tcMar>
              <w:top w:w="110" w:type="dxa"/>
            </w:tcMar>
          </w:tcPr>
          <w:p w:rsidR="00466D38" w:rsidRPr="00526311" w:rsidRDefault="00466D38" w:rsidP="008761B9">
            <w:pPr>
              <w:rPr>
                <w:sz w:val="16"/>
                <w:szCs w:val="16"/>
              </w:rPr>
            </w:pPr>
            <w:r w:rsidRPr="00526311">
              <w:rPr>
                <w:sz w:val="16"/>
                <w:szCs w:val="16"/>
              </w:rPr>
              <w:t>5% (OOB)</w:t>
            </w:r>
          </w:p>
          <w:p w:rsidR="00466D38" w:rsidRPr="00526311" w:rsidRDefault="00466D38" w:rsidP="008761B9">
            <w:pPr>
              <w:rPr>
                <w:sz w:val="16"/>
                <w:szCs w:val="16"/>
              </w:rPr>
            </w:pPr>
            <w:r w:rsidRPr="00526311">
              <w:rPr>
                <w:sz w:val="16"/>
                <w:szCs w:val="16"/>
              </w:rPr>
              <w:t>Aumento del 5% (OOJ)</w:t>
            </w:r>
          </w:p>
          <w:p w:rsidR="00466D38" w:rsidRPr="00526311" w:rsidRDefault="00466D38" w:rsidP="008761B9">
            <w:pPr>
              <w:rPr>
                <w:sz w:val="16"/>
                <w:szCs w:val="16"/>
              </w:rPr>
            </w:pPr>
            <w:r w:rsidRPr="00526311">
              <w:rPr>
                <w:sz w:val="16"/>
                <w:szCs w:val="16"/>
              </w:rPr>
              <w:t>Aumento del 5% en los usuarios de la ASEAN (OOS)</w:t>
            </w:r>
          </w:p>
          <w:p w:rsidR="00466D38" w:rsidRPr="00526311" w:rsidRDefault="00466D38" w:rsidP="008761B9">
            <w:pPr>
              <w:rPr>
                <w:sz w:val="16"/>
                <w:szCs w:val="16"/>
              </w:rPr>
            </w:pPr>
          </w:p>
          <w:p w:rsidR="00466D38" w:rsidRPr="00526311" w:rsidRDefault="00466D38" w:rsidP="008761B9">
            <w:pPr>
              <w:rPr>
                <w:sz w:val="16"/>
                <w:szCs w:val="16"/>
              </w:rPr>
            </w:pPr>
          </w:p>
        </w:tc>
        <w:tc>
          <w:tcPr>
            <w:tcW w:w="1529" w:type="pct"/>
            <w:tcBorders>
              <w:top w:val="nil"/>
              <w:left w:val="nil"/>
              <w:bottom w:val="single" w:sz="4" w:space="0" w:color="auto"/>
              <w:right w:val="nil"/>
            </w:tcBorders>
            <w:shd w:val="clear" w:color="auto" w:fill="FFFFFF"/>
            <w:tcMar>
              <w:top w:w="110" w:type="dxa"/>
            </w:tcMar>
          </w:tcPr>
          <w:p w:rsidR="00466D38" w:rsidRPr="00526311" w:rsidRDefault="00466D38" w:rsidP="008761B9">
            <w:pPr>
              <w:rPr>
                <w:sz w:val="16"/>
                <w:szCs w:val="16"/>
              </w:rPr>
            </w:pPr>
            <w:r w:rsidRPr="00526311">
              <w:rPr>
                <w:sz w:val="16"/>
                <w:szCs w:val="16"/>
              </w:rPr>
              <w:t>PATENTSCOPE (Trim.4 2014):</w:t>
            </w:r>
          </w:p>
          <w:p w:rsidR="00466D38" w:rsidRPr="00526311" w:rsidRDefault="00466D38" w:rsidP="00466D38">
            <w:pPr>
              <w:pStyle w:val="ListParagraph"/>
              <w:numPr>
                <w:ilvl w:val="0"/>
                <w:numId w:val="74"/>
              </w:numPr>
              <w:contextualSpacing/>
              <w:rPr>
                <w:rFonts w:eastAsia="SimSun" w:cs="Arial"/>
                <w:sz w:val="16"/>
                <w:szCs w:val="16"/>
                <w:lang w:val="es-ES" w:eastAsia="zh-CN"/>
              </w:rPr>
            </w:pPr>
            <w:r w:rsidRPr="00526311">
              <w:rPr>
                <w:rFonts w:eastAsia="SimSun" w:cs="Arial"/>
                <w:sz w:val="16"/>
                <w:szCs w:val="16"/>
                <w:lang w:val="es-ES" w:eastAsia="zh-CN"/>
              </w:rPr>
              <w:t>4.688 (+22%) (OOB)</w:t>
            </w:r>
          </w:p>
          <w:p w:rsidR="00466D38" w:rsidRPr="00526311" w:rsidRDefault="00466D38" w:rsidP="00466D38">
            <w:pPr>
              <w:pStyle w:val="ListParagraph"/>
              <w:numPr>
                <w:ilvl w:val="0"/>
                <w:numId w:val="74"/>
              </w:numPr>
              <w:contextualSpacing/>
              <w:rPr>
                <w:rFonts w:eastAsia="SimSun" w:cs="Arial"/>
                <w:sz w:val="16"/>
                <w:szCs w:val="16"/>
                <w:lang w:val="es-ES" w:eastAsia="zh-CN"/>
              </w:rPr>
            </w:pPr>
            <w:r w:rsidRPr="00526311">
              <w:rPr>
                <w:rFonts w:eastAsia="SimSun" w:cs="Arial"/>
                <w:sz w:val="16"/>
                <w:szCs w:val="16"/>
                <w:lang w:val="es-ES" w:eastAsia="zh-CN"/>
              </w:rPr>
              <w:t>14.711 (-1,3%) (OOJ)</w:t>
            </w:r>
          </w:p>
          <w:p w:rsidR="00466D38" w:rsidRPr="00526311" w:rsidRDefault="00466D38" w:rsidP="00466D38">
            <w:pPr>
              <w:pStyle w:val="ListParagraph"/>
              <w:numPr>
                <w:ilvl w:val="0"/>
                <w:numId w:val="74"/>
              </w:numPr>
              <w:contextualSpacing/>
              <w:rPr>
                <w:rFonts w:eastAsia="SimSun" w:cs="Arial"/>
                <w:sz w:val="16"/>
                <w:szCs w:val="16"/>
                <w:lang w:val="es-ES" w:eastAsia="zh-CN"/>
              </w:rPr>
            </w:pPr>
            <w:r w:rsidRPr="00526311">
              <w:rPr>
                <w:rFonts w:eastAsia="SimSun" w:cs="Arial"/>
                <w:sz w:val="16"/>
                <w:szCs w:val="16"/>
                <w:lang w:val="es-ES" w:eastAsia="zh-CN"/>
              </w:rPr>
              <w:t>8.054 (+19%) (OOS)</w:t>
            </w:r>
          </w:p>
          <w:p w:rsidR="00466D38" w:rsidRPr="00526311" w:rsidRDefault="00466D38" w:rsidP="008761B9">
            <w:pPr>
              <w:rPr>
                <w:sz w:val="16"/>
                <w:szCs w:val="16"/>
              </w:rPr>
            </w:pPr>
          </w:p>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Base Mundial de Datos sobre Marcas:  2014:</w:t>
            </w:r>
          </w:p>
          <w:p w:rsidR="00466D38" w:rsidRPr="00526311" w:rsidRDefault="00466D38" w:rsidP="00466D38">
            <w:pPr>
              <w:pStyle w:val="ListParagraph"/>
              <w:numPr>
                <w:ilvl w:val="0"/>
                <w:numId w:val="75"/>
              </w:numPr>
              <w:contextualSpacing/>
              <w:rPr>
                <w:rFonts w:eastAsia="SimSun" w:cs="Arial"/>
                <w:sz w:val="16"/>
                <w:szCs w:val="16"/>
                <w:lang w:val="es-ES" w:eastAsia="zh-CN"/>
              </w:rPr>
            </w:pPr>
            <w:r w:rsidRPr="00526311">
              <w:rPr>
                <w:rFonts w:eastAsia="SimSun" w:cs="Arial"/>
                <w:sz w:val="16"/>
                <w:szCs w:val="16"/>
                <w:lang w:val="es-ES" w:eastAsia="zh-CN"/>
              </w:rPr>
              <w:t>532 (+186%) (OOB)</w:t>
            </w:r>
          </w:p>
          <w:p w:rsidR="00466D38" w:rsidRPr="00526311" w:rsidRDefault="00466D38" w:rsidP="00466D38">
            <w:pPr>
              <w:pStyle w:val="ListParagraph"/>
              <w:numPr>
                <w:ilvl w:val="0"/>
                <w:numId w:val="75"/>
              </w:numPr>
              <w:contextualSpacing/>
              <w:rPr>
                <w:rFonts w:eastAsia="SimSun" w:cs="Arial"/>
                <w:sz w:val="16"/>
                <w:szCs w:val="16"/>
                <w:lang w:val="es-ES" w:eastAsia="zh-CN"/>
              </w:rPr>
            </w:pPr>
            <w:r w:rsidRPr="00526311">
              <w:rPr>
                <w:rFonts w:eastAsia="SimSun" w:cs="Arial"/>
                <w:sz w:val="16"/>
                <w:szCs w:val="16"/>
                <w:lang w:val="es-ES" w:eastAsia="zh-CN"/>
              </w:rPr>
              <w:t>3.096 (+470%) (OOJ)</w:t>
            </w:r>
          </w:p>
          <w:p w:rsidR="00466D38" w:rsidRPr="00526311" w:rsidRDefault="00466D38" w:rsidP="00466D38">
            <w:pPr>
              <w:pStyle w:val="ListParagraph"/>
              <w:numPr>
                <w:ilvl w:val="0"/>
                <w:numId w:val="75"/>
              </w:numPr>
              <w:contextualSpacing/>
              <w:rPr>
                <w:rFonts w:eastAsia="SimSun" w:cs="Arial"/>
                <w:sz w:val="16"/>
                <w:szCs w:val="16"/>
                <w:lang w:val="es-ES" w:eastAsia="zh-CN"/>
              </w:rPr>
            </w:pPr>
            <w:r w:rsidRPr="00526311">
              <w:rPr>
                <w:rFonts w:eastAsia="SimSun" w:cs="Arial"/>
                <w:sz w:val="16"/>
                <w:szCs w:val="16"/>
                <w:lang w:val="es-ES" w:eastAsia="zh-CN"/>
              </w:rPr>
              <w:t>8.941 (+423%) (OOS)</w:t>
            </w:r>
          </w:p>
          <w:p w:rsidR="00466D38" w:rsidRPr="00526311" w:rsidRDefault="00466D38" w:rsidP="008761B9">
            <w:pPr>
              <w:rPr>
                <w:sz w:val="16"/>
                <w:szCs w:val="16"/>
              </w:rPr>
            </w:pPr>
          </w:p>
        </w:tc>
        <w:tc>
          <w:tcPr>
            <w:tcW w:w="608" w:type="pct"/>
            <w:tcBorders>
              <w:top w:val="nil"/>
              <w:left w:val="nil"/>
              <w:bottom w:val="single" w:sz="4" w:space="0" w:color="auto"/>
              <w:right w:val="single" w:sz="4" w:space="0" w:color="auto"/>
            </w:tcBorders>
            <w:shd w:val="clear" w:color="auto" w:fill="auto"/>
            <w:tcMar>
              <w:top w:w="110" w:type="dxa"/>
            </w:tcMar>
          </w:tcPr>
          <w:p w:rsidR="00466D38" w:rsidRPr="00526311" w:rsidRDefault="00466D38" w:rsidP="008761B9">
            <w:pPr>
              <w:keepNext/>
              <w:keepLines/>
              <w:ind w:left="-108"/>
              <w:jc w:val="center"/>
              <w:rPr>
                <w:b/>
                <w:bCs/>
                <w:color w:val="00B050"/>
                <w:sz w:val="16"/>
                <w:szCs w:val="16"/>
              </w:rPr>
            </w:pPr>
            <w:r w:rsidRPr="00526311">
              <w:rPr>
                <w:b/>
                <w:bCs/>
                <w:color w:val="00B050"/>
                <w:sz w:val="16"/>
                <w:szCs w:val="16"/>
              </w:rPr>
              <w:br/>
              <w:t>Avanza</w:t>
            </w:r>
          </w:p>
          <w:p w:rsidR="00466D38" w:rsidRPr="00526311" w:rsidRDefault="00466D38" w:rsidP="008761B9">
            <w:pPr>
              <w:keepNext/>
              <w:keepLines/>
              <w:ind w:left="-108"/>
              <w:jc w:val="center"/>
              <w:rPr>
                <w:b/>
                <w:bCs/>
                <w:color w:val="FF0000"/>
                <w:sz w:val="16"/>
                <w:szCs w:val="16"/>
              </w:rPr>
            </w:pPr>
            <w:r w:rsidRPr="00526311">
              <w:rPr>
                <w:b/>
                <w:bCs/>
                <w:color w:val="FF0000"/>
                <w:sz w:val="16"/>
                <w:szCs w:val="16"/>
              </w:rPr>
              <w:t>No avanza</w:t>
            </w:r>
          </w:p>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jc w:val="center"/>
              <w:rPr>
                <w:b/>
                <w:bCs/>
                <w:color w:val="00B050"/>
                <w:sz w:val="16"/>
                <w:szCs w:val="16"/>
              </w:rPr>
            </w:pPr>
          </w:p>
          <w:p w:rsidR="00466D38" w:rsidRPr="00526311" w:rsidRDefault="00466D38" w:rsidP="008761B9">
            <w:pPr>
              <w:keepNext/>
              <w:keepLines/>
              <w:jc w:val="center"/>
              <w:rPr>
                <w:b/>
                <w:bCs/>
                <w:color w:val="00B050"/>
                <w:sz w:val="16"/>
                <w:szCs w:val="16"/>
              </w:rPr>
            </w:pPr>
          </w:p>
          <w:p w:rsidR="00466D38" w:rsidRPr="00526311" w:rsidRDefault="00466D38" w:rsidP="008761B9">
            <w:pPr>
              <w:keepNext/>
              <w:keepLines/>
              <w:jc w:val="center"/>
              <w:rPr>
                <w:b/>
                <w:bCs/>
                <w:color w:val="00B050"/>
                <w:sz w:val="16"/>
                <w:szCs w:val="16"/>
              </w:rPr>
            </w:pPr>
            <w:r w:rsidRPr="00526311">
              <w:rPr>
                <w:b/>
                <w:bCs/>
                <w:color w:val="00B050"/>
                <w:sz w:val="16"/>
                <w:szCs w:val="16"/>
              </w:rPr>
              <w:br/>
            </w:r>
          </w:p>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rPr>
                <w:b/>
                <w:bCs/>
                <w:color w:val="00B050"/>
                <w:sz w:val="16"/>
                <w:szCs w:val="16"/>
              </w:rPr>
            </w:pPr>
          </w:p>
        </w:tc>
      </w:tr>
    </w:tbl>
    <w:p w:rsidR="00466D38" w:rsidRPr="00526311" w:rsidRDefault="00466D38" w:rsidP="00466D38">
      <w:r w:rsidRPr="00526311">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1"/>
        <w:gridCol w:w="6"/>
        <w:gridCol w:w="1556"/>
        <w:gridCol w:w="6"/>
        <w:gridCol w:w="1843"/>
        <w:gridCol w:w="6"/>
        <w:gridCol w:w="2921"/>
        <w:gridCol w:w="6"/>
        <w:gridCol w:w="270"/>
        <w:gridCol w:w="886"/>
      </w:tblGrid>
      <w:tr w:rsidR="00466D38" w:rsidRPr="00526311" w:rsidTr="008761B9">
        <w:trPr>
          <w:trHeight w:val="726"/>
        </w:trPr>
        <w:tc>
          <w:tcPr>
            <w:tcW w:w="5000" w:type="pct"/>
            <w:gridSpan w:val="10"/>
            <w:tcBorders>
              <w:top w:val="single" w:sz="4" w:space="0" w:color="auto"/>
              <w:bottom w:val="single" w:sz="4" w:space="0" w:color="auto"/>
            </w:tcBorders>
            <w:shd w:val="clear" w:color="auto" w:fill="CCFFFF"/>
          </w:tcPr>
          <w:p w:rsidR="00466D38" w:rsidRPr="00526311" w:rsidRDefault="00466D38" w:rsidP="008761B9">
            <w:pPr>
              <w:keepNext/>
              <w:keepLines/>
              <w:tabs>
                <w:tab w:val="left" w:pos="-959"/>
              </w:tabs>
              <w:spacing w:before="120"/>
              <w:ind w:left="1735" w:hanging="1735"/>
              <w:rPr>
                <w:bCs/>
                <w:color w:val="808080"/>
                <w:sz w:val="16"/>
                <w:szCs w:val="16"/>
              </w:rPr>
            </w:pPr>
            <w:r w:rsidRPr="00526311">
              <w:rPr>
                <w:b/>
                <w:bCs/>
                <w:sz w:val="16"/>
                <w:szCs w:val="16"/>
              </w:rPr>
              <w:lastRenderedPageBreak/>
              <w:t>Resultado previsto:</w:t>
            </w:r>
            <w:r w:rsidRPr="00526311">
              <w:rPr>
                <w:b/>
                <w:bCs/>
                <w:sz w:val="16"/>
                <w:szCs w:val="16"/>
              </w:rPr>
              <w:tab/>
            </w:r>
            <w:r w:rsidRPr="00526311">
              <w:rPr>
                <w:bCs/>
                <w:sz w:val="16"/>
                <w:szCs w:val="16"/>
              </w:rPr>
              <w:t>VII.2 Plataformas y herramientas de P.I. utilizadas para la transferencia de conocimiento y la difusión y adaptación de tecnología de los países desarrollados en los países en desarrollo, en particular en los menos adelantados, con el fin de atender los desafíos mundiales</w:t>
            </w:r>
          </w:p>
        </w:tc>
      </w:tr>
      <w:tr w:rsidR="00466D38" w:rsidRPr="00526311" w:rsidTr="008761B9">
        <w:tc>
          <w:tcPr>
            <w:tcW w:w="1082" w:type="pct"/>
            <w:tcBorders>
              <w:top w:val="single" w:sz="4" w:space="0" w:color="auto"/>
              <w:left w:val="single" w:sz="4" w:space="0" w:color="auto"/>
              <w:bottom w:val="nil"/>
              <w:right w:val="nil"/>
            </w:tcBorders>
            <w:shd w:val="clear" w:color="auto" w:fill="auto"/>
          </w:tcPr>
          <w:p w:rsidR="00466D38" w:rsidRPr="00526311" w:rsidRDefault="00466D38" w:rsidP="008761B9">
            <w:pPr>
              <w:rPr>
                <w:sz w:val="16"/>
                <w:szCs w:val="16"/>
              </w:rPr>
            </w:pPr>
            <w:r w:rsidRPr="00526311">
              <w:rPr>
                <w:b/>
                <w:sz w:val="16"/>
                <w:szCs w:val="16"/>
              </w:rPr>
              <w:t>Indicadores de rendimiento</w:t>
            </w:r>
          </w:p>
        </w:tc>
        <w:tc>
          <w:tcPr>
            <w:tcW w:w="816" w:type="pct"/>
            <w:gridSpan w:val="2"/>
            <w:tcBorders>
              <w:top w:val="single" w:sz="4" w:space="0" w:color="auto"/>
              <w:left w:val="nil"/>
              <w:bottom w:val="nil"/>
              <w:right w:val="nil"/>
            </w:tcBorders>
            <w:shd w:val="clear" w:color="auto" w:fill="auto"/>
          </w:tcPr>
          <w:p w:rsidR="00466D38" w:rsidRPr="00526311" w:rsidRDefault="00466D38" w:rsidP="008761B9">
            <w:pPr>
              <w:rPr>
                <w:sz w:val="16"/>
                <w:szCs w:val="16"/>
              </w:rPr>
            </w:pPr>
            <w:r w:rsidRPr="00526311">
              <w:rPr>
                <w:b/>
                <w:sz w:val="16"/>
                <w:szCs w:val="16"/>
              </w:rPr>
              <w:t>Referencia</w:t>
            </w:r>
          </w:p>
        </w:tc>
        <w:tc>
          <w:tcPr>
            <w:tcW w:w="966" w:type="pct"/>
            <w:gridSpan w:val="2"/>
            <w:tcBorders>
              <w:top w:val="single" w:sz="4" w:space="0" w:color="auto"/>
              <w:left w:val="nil"/>
              <w:bottom w:val="nil"/>
              <w:right w:val="nil"/>
            </w:tcBorders>
            <w:shd w:val="clear" w:color="auto" w:fill="auto"/>
            <w:tcMar>
              <w:top w:w="110" w:type="dxa"/>
            </w:tcMar>
          </w:tcPr>
          <w:p w:rsidR="00466D38" w:rsidRPr="00526311" w:rsidRDefault="00466D38" w:rsidP="008761B9">
            <w:pPr>
              <w:rPr>
                <w:sz w:val="16"/>
                <w:szCs w:val="16"/>
              </w:rPr>
            </w:pPr>
            <w:r w:rsidRPr="00526311">
              <w:rPr>
                <w:b/>
                <w:sz w:val="16"/>
                <w:szCs w:val="16"/>
              </w:rPr>
              <w:t>Objetivos</w:t>
            </w:r>
          </w:p>
        </w:tc>
        <w:tc>
          <w:tcPr>
            <w:tcW w:w="1529" w:type="pct"/>
            <w:gridSpan w:val="2"/>
            <w:tcBorders>
              <w:top w:val="single" w:sz="4" w:space="0" w:color="auto"/>
              <w:left w:val="nil"/>
              <w:bottom w:val="nil"/>
              <w:right w:val="nil"/>
            </w:tcBorders>
            <w:shd w:val="clear" w:color="auto" w:fill="FFFFFF"/>
            <w:tcMar>
              <w:top w:w="110" w:type="dxa"/>
            </w:tcMar>
          </w:tcPr>
          <w:p w:rsidR="00466D38" w:rsidRPr="00526311" w:rsidRDefault="00466D38" w:rsidP="008761B9">
            <w:pPr>
              <w:rPr>
                <w:sz w:val="16"/>
                <w:szCs w:val="16"/>
              </w:rPr>
            </w:pPr>
            <w:r w:rsidRPr="00526311">
              <w:rPr>
                <w:b/>
                <w:sz w:val="16"/>
                <w:szCs w:val="16"/>
              </w:rPr>
              <w:t>Datos sobre el rendimiento</w:t>
            </w:r>
          </w:p>
        </w:tc>
        <w:tc>
          <w:tcPr>
            <w:tcW w:w="607" w:type="pct"/>
            <w:gridSpan w:val="3"/>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Cs/>
                <w:sz w:val="16"/>
                <w:szCs w:val="16"/>
              </w:rPr>
            </w:pPr>
            <w:r w:rsidRPr="00526311">
              <w:rPr>
                <w:b/>
                <w:bCs/>
                <w:sz w:val="16"/>
                <w:szCs w:val="16"/>
              </w:rPr>
              <w:t>Clave de colores</w:t>
            </w:r>
          </w:p>
        </w:tc>
      </w:tr>
      <w:tr w:rsidR="00466D38" w:rsidRPr="00526311" w:rsidTr="008761B9">
        <w:tc>
          <w:tcPr>
            <w:tcW w:w="1082" w:type="pct"/>
            <w:tcBorders>
              <w:top w:val="nil"/>
              <w:left w:val="single" w:sz="4" w:space="0" w:color="auto"/>
              <w:bottom w:val="single" w:sz="4" w:space="0" w:color="auto"/>
              <w:right w:val="nil"/>
            </w:tcBorders>
            <w:shd w:val="clear" w:color="auto" w:fill="auto"/>
          </w:tcPr>
          <w:p w:rsidR="00466D38" w:rsidRPr="00526311" w:rsidRDefault="00466D38" w:rsidP="008761B9">
            <w:pPr>
              <w:rPr>
                <w:color w:val="000000"/>
                <w:sz w:val="16"/>
                <w:szCs w:val="16"/>
              </w:rPr>
            </w:pPr>
            <w:r w:rsidRPr="00526311">
              <w:rPr>
                <w:sz w:val="16"/>
                <w:szCs w:val="16"/>
              </w:rPr>
              <w:t xml:space="preserve">Participación de las partes interesadas en plataformas de la OMPI como WIPO GREEN y </w:t>
            </w:r>
            <w:r w:rsidR="00526311" w:rsidRPr="00526311">
              <w:rPr>
                <w:i/>
                <w:sz w:val="16"/>
                <w:szCs w:val="16"/>
              </w:rPr>
              <w:t>WIPO Re:Search</w:t>
            </w:r>
          </w:p>
        </w:tc>
        <w:tc>
          <w:tcPr>
            <w:tcW w:w="816" w:type="pct"/>
            <w:gridSpan w:val="2"/>
            <w:tcBorders>
              <w:top w:val="nil"/>
              <w:left w:val="nil"/>
              <w:bottom w:val="single" w:sz="4" w:space="0" w:color="auto"/>
              <w:right w:val="nil"/>
            </w:tcBorders>
            <w:shd w:val="clear" w:color="auto" w:fill="auto"/>
          </w:tcPr>
          <w:p w:rsidR="00466D38" w:rsidRPr="00526311" w:rsidRDefault="00466D38" w:rsidP="008761B9">
            <w:pPr>
              <w:rPr>
                <w:i/>
                <w:color w:val="002060"/>
                <w:sz w:val="16"/>
                <w:szCs w:val="16"/>
              </w:rPr>
            </w:pPr>
            <w:r w:rsidRPr="00526311">
              <w:rPr>
                <w:i/>
                <w:color w:val="002060"/>
                <w:sz w:val="16"/>
                <w:szCs w:val="16"/>
              </w:rPr>
              <w:t xml:space="preserve">Referencia actualizada a fines de 2013:  </w:t>
            </w:r>
          </w:p>
          <w:p w:rsidR="00466D38" w:rsidRPr="00526311" w:rsidRDefault="00466D38" w:rsidP="008761B9">
            <w:pPr>
              <w:rPr>
                <w:color w:val="002060"/>
                <w:sz w:val="16"/>
                <w:szCs w:val="16"/>
              </w:rPr>
            </w:pPr>
            <w:r w:rsidRPr="00526311">
              <w:rPr>
                <w:color w:val="002060"/>
                <w:sz w:val="16"/>
                <w:szCs w:val="16"/>
              </w:rPr>
              <w:t>N.d. (OOB)</w:t>
            </w:r>
          </w:p>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1 (JIPA) (OOJ)</w:t>
            </w:r>
          </w:p>
          <w:p w:rsidR="00466D38" w:rsidRPr="00526311" w:rsidRDefault="00466D38" w:rsidP="008761B9">
            <w:pPr>
              <w:rPr>
                <w:color w:val="002060"/>
                <w:sz w:val="16"/>
                <w:szCs w:val="16"/>
              </w:rPr>
            </w:pPr>
          </w:p>
          <w:p w:rsidR="00466D38" w:rsidRPr="00526311" w:rsidRDefault="00466D38" w:rsidP="008761B9">
            <w:pPr>
              <w:rPr>
                <w:color w:val="002060"/>
                <w:sz w:val="16"/>
                <w:szCs w:val="16"/>
              </w:rPr>
            </w:pPr>
            <w:r w:rsidRPr="00526311">
              <w:rPr>
                <w:color w:val="002060"/>
                <w:sz w:val="16"/>
                <w:szCs w:val="16"/>
              </w:rPr>
              <w:t xml:space="preserve">No se dispone de referencia para WIPO GREEN dado que la plataforma se inauguró en noviembre de 2013;  848 visitantes de </w:t>
            </w:r>
            <w:r w:rsidR="00526311" w:rsidRPr="00526311">
              <w:rPr>
                <w:i/>
                <w:color w:val="002060"/>
                <w:sz w:val="16"/>
                <w:szCs w:val="16"/>
              </w:rPr>
              <w:t>WIPO Re:Search</w:t>
            </w:r>
            <w:r w:rsidRPr="00526311">
              <w:rPr>
                <w:color w:val="002060"/>
                <w:sz w:val="16"/>
                <w:szCs w:val="16"/>
              </w:rPr>
              <w:t xml:space="preserve"> (OOS)         </w:t>
            </w:r>
          </w:p>
          <w:p w:rsidR="00466D38" w:rsidRPr="00526311" w:rsidRDefault="00466D38" w:rsidP="008761B9">
            <w:pPr>
              <w:rPr>
                <w:i/>
                <w:sz w:val="16"/>
                <w:szCs w:val="16"/>
              </w:rPr>
            </w:pPr>
          </w:p>
          <w:p w:rsidR="00466D38" w:rsidRPr="00526311" w:rsidRDefault="00466D38" w:rsidP="008761B9">
            <w:pPr>
              <w:rPr>
                <w:i/>
                <w:sz w:val="16"/>
                <w:szCs w:val="16"/>
              </w:rPr>
            </w:pPr>
            <w:r w:rsidRPr="00526311">
              <w:rPr>
                <w:i/>
                <w:sz w:val="16"/>
                <w:szCs w:val="16"/>
              </w:rPr>
              <w:t xml:space="preserve">Referencia original en el presupuesto de 2014/15: </w:t>
            </w:r>
          </w:p>
          <w:p w:rsidR="00466D38" w:rsidRPr="00526311" w:rsidRDefault="00466D38" w:rsidP="008761B9">
            <w:pPr>
              <w:rPr>
                <w:sz w:val="16"/>
                <w:szCs w:val="16"/>
              </w:rPr>
            </w:pPr>
            <w:r w:rsidRPr="00526311">
              <w:rPr>
                <w:sz w:val="16"/>
                <w:szCs w:val="16"/>
              </w:rPr>
              <w:t>N.d. (OOB)</w:t>
            </w:r>
          </w:p>
          <w:p w:rsidR="00466D38" w:rsidRPr="00526311" w:rsidRDefault="00466D38" w:rsidP="008761B9">
            <w:pPr>
              <w:rPr>
                <w:sz w:val="16"/>
                <w:szCs w:val="16"/>
              </w:rPr>
            </w:pPr>
            <w:r w:rsidRPr="00526311">
              <w:rPr>
                <w:sz w:val="16"/>
                <w:szCs w:val="16"/>
              </w:rPr>
              <w:t>N.d. (OOJ)</w:t>
            </w:r>
          </w:p>
          <w:p w:rsidR="00466D38" w:rsidRPr="00526311" w:rsidRDefault="00466D38" w:rsidP="008761B9">
            <w:pPr>
              <w:rPr>
                <w:sz w:val="16"/>
                <w:szCs w:val="16"/>
              </w:rPr>
            </w:pPr>
            <w:r w:rsidRPr="00526311">
              <w:rPr>
                <w:sz w:val="16"/>
                <w:szCs w:val="16"/>
              </w:rPr>
              <w:t>Por determinar (OOS)</w:t>
            </w:r>
          </w:p>
        </w:tc>
        <w:tc>
          <w:tcPr>
            <w:tcW w:w="966" w:type="pct"/>
            <w:gridSpan w:val="2"/>
            <w:tcBorders>
              <w:top w:val="nil"/>
              <w:left w:val="nil"/>
              <w:bottom w:val="single" w:sz="4" w:space="0" w:color="auto"/>
              <w:right w:val="nil"/>
            </w:tcBorders>
            <w:shd w:val="clear" w:color="auto" w:fill="auto"/>
            <w:tcMar>
              <w:top w:w="110" w:type="dxa"/>
            </w:tcMar>
          </w:tcPr>
          <w:p w:rsidR="00466D38" w:rsidRPr="00526311" w:rsidRDefault="00466D38" w:rsidP="008761B9">
            <w:pPr>
              <w:rPr>
                <w:sz w:val="16"/>
                <w:szCs w:val="16"/>
              </w:rPr>
            </w:pPr>
            <w:r w:rsidRPr="00526311">
              <w:rPr>
                <w:sz w:val="16"/>
                <w:szCs w:val="16"/>
              </w:rPr>
              <w:t>30 tecnologías desarrolladas por instituciones y empresas brasileñas en WIPO GREEN (OOB)</w:t>
            </w:r>
          </w:p>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 xml:space="preserve">Nuevos casos en WIPO GREEN o nueva participación en </w:t>
            </w:r>
            <w:r w:rsidR="00526311" w:rsidRPr="00526311">
              <w:rPr>
                <w:i/>
                <w:sz w:val="16"/>
                <w:szCs w:val="16"/>
              </w:rPr>
              <w:t>WIPO Re:Search</w:t>
            </w:r>
            <w:r w:rsidRPr="00526311">
              <w:rPr>
                <w:sz w:val="16"/>
                <w:szCs w:val="16"/>
              </w:rPr>
              <w:t xml:space="preserve"> (OOJ)</w:t>
            </w:r>
          </w:p>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Aumento del 5% en los usuarios de la ASEAN (OOS)</w:t>
            </w:r>
          </w:p>
          <w:p w:rsidR="00466D38" w:rsidRPr="00526311" w:rsidRDefault="00466D38" w:rsidP="008761B9">
            <w:pPr>
              <w:rPr>
                <w:sz w:val="16"/>
                <w:szCs w:val="16"/>
              </w:rPr>
            </w:pPr>
          </w:p>
        </w:tc>
        <w:tc>
          <w:tcPr>
            <w:tcW w:w="1529" w:type="pct"/>
            <w:gridSpan w:val="2"/>
            <w:tcBorders>
              <w:top w:val="nil"/>
              <w:left w:val="nil"/>
              <w:bottom w:val="single" w:sz="4" w:space="0" w:color="auto"/>
              <w:right w:val="nil"/>
            </w:tcBorders>
            <w:shd w:val="clear" w:color="auto" w:fill="FFFFFF"/>
            <w:tcMar>
              <w:top w:w="110" w:type="dxa"/>
            </w:tcMar>
          </w:tcPr>
          <w:p w:rsidR="00466D38" w:rsidRPr="00526311" w:rsidRDefault="00466D38" w:rsidP="008761B9">
            <w:pPr>
              <w:rPr>
                <w:sz w:val="16"/>
                <w:szCs w:val="16"/>
              </w:rPr>
            </w:pPr>
            <w:r w:rsidRPr="00526311">
              <w:rPr>
                <w:sz w:val="16"/>
                <w:szCs w:val="16"/>
              </w:rPr>
              <w:t>En 2014 no se incorporó en WIPO GREEN ninguna tecnología desarrollada por instituciones brasileñas.  Se avanzó notablemente en la colaboración con el FORTEC para recabar tecnologías e incorporarlas a la base de datos, y se prevé realizar las primeras entradas en 2015.  (OOB)</w:t>
            </w:r>
          </w:p>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WIPO GREEN:  15 usuarios adicionales en 2014 (43 en conjunto);  2 asociados adicionales (Instituto Waseda, Team E-Kansai) en 2014 (OOJ).</w:t>
            </w:r>
          </w:p>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 xml:space="preserve">En 2014, cuatro empresas incorporaron tecnologías en </w:t>
            </w:r>
            <w:r w:rsidR="00526311" w:rsidRPr="00526311">
              <w:rPr>
                <w:i/>
                <w:sz w:val="16"/>
                <w:szCs w:val="16"/>
              </w:rPr>
              <w:t>WIPO Re:Search</w:t>
            </w:r>
            <w:r w:rsidRPr="00526311">
              <w:rPr>
                <w:sz w:val="16"/>
                <w:szCs w:val="16"/>
              </w:rPr>
              <w:t xml:space="preserve"> con ayuda de la OOJ in 2014. (OOJ)</w:t>
            </w:r>
          </w:p>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21 usuarios de WIPO GREEN (OOS)</w:t>
            </w:r>
          </w:p>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 xml:space="preserve">959 visitantes de la ASEAN a </w:t>
            </w:r>
            <w:r w:rsidR="00526311" w:rsidRPr="00526311">
              <w:rPr>
                <w:i/>
                <w:sz w:val="16"/>
                <w:szCs w:val="16"/>
              </w:rPr>
              <w:t>WIPO Re:Search</w:t>
            </w:r>
            <w:r w:rsidRPr="00526311">
              <w:rPr>
                <w:sz w:val="16"/>
                <w:szCs w:val="16"/>
              </w:rPr>
              <w:t xml:space="preserve"> (aumento del 13%);  (OOS)</w:t>
            </w:r>
          </w:p>
          <w:p w:rsidR="00466D38" w:rsidRPr="00526311" w:rsidRDefault="00466D38" w:rsidP="008761B9">
            <w:pPr>
              <w:rPr>
                <w:sz w:val="16"/>
                <w:szCs w:val="16"/>
              </w:rPr>
            </w:pPr>
          </w:p>
        </w:tc>
        <w:tc>
          <w:tcPr>
            <w:tcW w:w="607" w:type="pct"/>
            <w:gridSpan w:val="3"/>
            <w:tcBorders>
              <w:top w:val="nil"/>
              <w:left w:val="nil"/>
              <w:bottom w:val="single" w:sz="4" w:space="0" w:color="auto"/>
              <w:right w:val="single" w:sz="4" w:space="0" w:color="auto"/>
            </w:tcBorders>
            <w:shd w:val="clear" w:color="auto" w:fill="auto"/>
            <w:tcMar>
              <w:top w:w="110" w:type="dxa"/>
            </w:tcMar>
          </w:tcPr>
          <w:p w:rsidR="00466D38" w:rsidRPr="00526311" w:rsidRDefault="00466D38" w:rsidP="008761B9">
            <w:pPr>
              <w:keepNext/>
              <w:keepLines/>
              <w:ind w:left="-108"/>
              <w:jc w:val="center"/>
              <w:rPr>
                <w:b/>
                <w:bCs/>
                <w:color w:val="FF0000"/>
                <w:sz w:val="16"/>
                <w:szCs w:val="16"/>
              </w:rPr>
            </w:pPr>
            <w:r w:rsidRPr="00526311">
              <w:rPr>
                <w:b/>
                <w:bCs/>
                <w:color w:val="FF0000"/>
                <w:sz w:val="16"/>
                <w:szCs w:val="16"/>
              </w:rPr>
              <w:t>No avanza</w:t>
            </w:r>
          </w:p>
          <w:p w:rsidR="00466D38" w:rsidRPr="00526311" w:rsidRDefault="00466D38" w:rsidP="008761B9">
            <w:pPr>
              <w:keepNext/>
              <w:keepLines/>
              <w:jc w:val="center"/>
              <w:rPr>
                <w:bCs/>
                <w:color w:val="808080"/>
                <w:sz w:val="16"/>
                <w:szCs w:val="16"/>
              </w:rPr>
            </w:pPr>
          </w:p>
          <w:p w:rsidR="00466D38" w:rsidRPr="00526311" w:rsidRDefault="00466D38" w:rsidP="008761B9">
            <w:pPr>
              <w:keepNext/>
              <w:keepLines/>
              <w:jc w:val="center"/>
              <w:rPr>
                <w:bCs/>
                <w:color w:val="80808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rPr>
                <w:bCs/>
                <w:color w:val="00B05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ind w:left="-108"/>
              <w:jc w:val="center"/>
              <w:rPr>
                <w:b/>
                <w:bCs/>
                <w:color w:val="808080"/>
                <w:sz w:val="16"/>
                <w:szCs w:val="16"/>
              </w:rPr>
            </w:pPr>
            <w:r w:rsidRPr="00526311">
              <w:rPr>
                <w:b/>
                <w:bCs/>
                <w:color w:val="808080"/>
                <w:sz w:val="16"/>
                <w:szCs w:val="16"/>
              </w:rPr>
              <w:t>No mensurable</w:t>
            </w: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rPr>
                <w:b/>
                <w:bCs/>
                <w:color w:val="00B050"/>
                <w:sz w:val="16"/>
                <w:szCs w:val="16"/>
              </w:rPr>
            </w:pPr>
          </w:p>
        </w:tc>
      </w:tr>
      <w:tr w:rsidR="00466D38" w:rsidRPr="00526311" w:rsidTr="008761B9">
        <w:tc>
          <w:tcPr>
            <w:tcW w:w="5000" w:type="pct"/>
            <w:gridSpan w:val="10"/>
            <w:tcBorders>
              <w:top w:val="single" w:sz="4" w:space="0" w:color="auto"/>
              <w:bottom w:val="single" w:sz="4" w:space="0" w:color="auto"/>
            </w:tcBorders>
            <w:shd w:val="clear" w:color="auto" w:fill="CCFFFF"/>
          </w:tcPr>
          <w:p w:rsidR="00466D38" w:rsidRPr="00526311" w:rsidRDefault="00466D38" w:rsidP="008761B9">
            <w:pPr>
              <w:keepNext/>
              <w:keepLines/>
              <w:tabs>
                <w:tab w:val="left" w:pos="-1526"/>
              </w:tabs>
              <w:spacing w:before="120" w:after="120"/>
              <w:ind w:left="1735" w:hanging="1735"/>
              <w:rPr>
                <w:bCs/>
                <w:color w:val="808080"/>
                <w:sz w:val="16"/>
                <w:szCs w:val="16"/>
              </w:rPr>
            </w:pPr>
            <w:r w:rsidRPr="00526311">
              <w:rPr>
                <w:b/>
                <w:bCs/>
                <w:sz w:val="16"/>
                <w:szCs w:val="16"/>
              </w:rPr>
              <w:t>Resultado previsto:</w:t>
            </w:r>
            <w:r w:rsidRPr="00526311">
              <w:rPr>
                <w:b/>
                <w:bCs/>
                <w:sz w:val="16"/>
                <w:szCs w:val="16"/>
              </w:rPr>
              <w:tab/>
            </w:r>
            <w:r w:rsidRPr="00526311">
              <w:rPr>
                <w:bCs/>
                <w:sz w:val="16"/>
                <w:szCs w:val="16"/>
              </w:rPr>
              <w:t>VIII.1 Comunicación más eficaz con el público en general acerca de la P.I. y la función de la OMPI</w:t>
            </w:r>
          </w:p>
        </w:tc>
      </w:tr>
      <w:tr w:rsidR="00466D38" w:rsidRPr="00526311" w:rsidTr="008761B9">
        <w:tc>
          <w:tcPr>
            <w:tcW w:w="1082" w:type="pct"/>
            <w:tcBorders>
              <w:top w:val="single" w:sz="4" w:space="0" w:color="auto"/>
              <w:left w:val="single" w:sz="4" w:space="0" w:color="auto"/>
              <w:bottom w:val="nil"/>
              <w:right w:val="nil"/>
            </w:tcBorders>
            <w:shd w:val="clear" w:color="auto" w:fill="auto"/>
          </w:tcPr>
          <w:p w:rsidR="00466D38" w:rsidRPr="00526311" w:rsidRDefault="00466D38" w:rsidP="008761B9">
            <w:pPr>
              <w:rPr>
                <w:color w:val="000000"/>
                <w:sz w:val="16"/>
                <w:szCs w:val="16"/>
              </w:rPr>
            </w:pPr>
            <w:r w:rsidRPr="00526311">
              <w:rPr>
                <w:b/>
                <w:color w:val="000000"/>
                <w:sz w:val="16"/>
                <w:szCs w:val="16"/>
              </w:rPr>
              <w:t>Indicadores de rendimiento</w:t>
            </w:r>
          </w:p>
        </w:tc>
        <w:tc>
          <w:tcPr>
            <w:tcW w:w="816" w:type="pct"/>
            <w:gridSpan w:val="2"/>
            <w:tcBorders>
              <w:top w:val="single" w:sz="4" w:space="0" w:color="auto"/>
              <w:left w:val="nil"/>
              <w:bottom w:val="nil"/>
              <w:right w:val="nil"/>
            </w:tcBorders>
            <w:shd w:val="clear" w:color="auto" w:fill="auto"/>
          </w:tcPr>
          <w:p w:rsidR="00466D38" w:rsidRPr="00526311" w:rsidRDefault="00466D38" w:rsidP="008761B9">
            <w:pPr>
              <w:rPr>
                <w:color w:val="002060"/>
                <w:sz w:val="16"/>
                <w:szCs w:val="16"/>
              </w:rPr>
            </w:pPr>
            <w:r w:rsidRPr="00526311">
              <w:rPr>
                <w:b/>
                <w:color w:val="000000"/>
                <w:sz w:val="16"/>
                <w:szCs w:val="16"/>
              </w:rPr>
              <w:t>Referencia</w:t>
            </w:r>
          </w:p>
        </w:tc>
        <w:tc>
          <w:tcPr>
            <w:tcW w:w="966" w:type="pct"/>
            <w:gridSpan w:val="2"/>
            <w:tcBorders>
              <w:top w:val="single" w:sz="4" w:space="0" w:color="auto"/>
              <w:left w:val="nil"/>
              <w:bottom w:val="nil"/>
              <w:right w:val="nil"/>
            </w:tcBorders>
            <w:shd w:val="clear" w:color="auto" w:fill="auto"/>
            <w:tcMar>
              <w:top w:w="110" w:type="dxa"/>
            </w:tcMar>
          </w:tcPr>
          <w:p w:rsidR="00466D38" w:rsidRPr="00526311" w:rsidRDefault="00466D38" w:rsidP="008761B9">
            <w:pPr>
              <w:rPr>
                <w:sz w:val="16"/>
                <w:szCs w:val="16"/>
              </w:rPr>
            </w:pPr>
            <w:r w:rsidRPr="00526311">
              <w:rPr>
                <w:b/>
                <w:color w:val="000000"/>
                <w:sz w:val="16"/>
                <w:szCs w:val="16"/>
              </w:rPr>
              <w:t>Objetivos</w:t>
            </w:r>
          </w:p>
        </w:tc>
        <w:tc>
          <w:tcPr>
            <w:tcW w:w="1673" w:type="pct"/>
            <w:gridSpan w:val="4"/>
            <w:tcBorders>
              <w:top w:val="single" w:sz="4" w:space="0" w:color="auto"/>
              <w:left w:val="nil"/>
              <w:bottom w:val="nil"/>
              <w:right w:val="nil"/>
            </w:tcBorders>
            <w:shd w:val="clear" w:color="auto" w:fill="FFFFFF"/>
            <w:tcMar>
              <w:top w:w="110" w:type="dxa"/>
            </w:tcMar>
          </w:tcPr>
          <w:p w:rsidR="00466D38" w:rsidRPr="00526311" w:rsidRDefault="00466D38" w:rsidP="008761B9">
            <w:pPr>
              <w:rPr>
                <w:sz w:val="16"/>
                <w:szCs w:val="16"/>
              </w:rPr>
            </w:pPr>
            <w:r w:rsidRPr="00526311">
              <w:rPr>
                <w:b/>
                <w:color w:val="000000"/>
                <w:sz w:val="16"/>
                <w:szCs w:val="16"/>
              </w:rPr>
              <w:t>Datos sobre el rendimiento</w:t>
            </w:r>
          </w:p>
        </w:tc>
        <w:tc>
          <w:tcPr>
            <w:tcW w:w="463" w:type="pct"/>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Cs/>
                <w:color w:val="808080"/>
                <w:sz w:val="16"/>
                <w:szCs w:val="16"/>
              </w:rPr>
            </w:pPr>
            <w:r w:rsidRPr="00526311">
              <w:rPr>
                <w:b/>
                <w:bCs/>
                <w:color w:val="000000"/>
                <w:sz w:val="16"/>
                <w:szCs w:val="16"/>
              </w:rPr>
              <w:t>Clave de colores</w:t>
            </w:r>
          </w:p>
        </w:tc>
      </w:tr>
      <w:tr w:rsidR="00466D38" w:rsidRPr="00526311" w:rsidTr="00466D38">
        <w:tc>
          <w:tcPr>
            <w:tcW w:w="1082" w:type="pct"/>
            <w:tcBorders>
              <w:top w:val="nil"/>
              <w:left w:val="single" w:sz="4" w:space="0" w:color="auto"/>
              <w:bottom w:val="nil"/>
              <w:right w:val="nil"/>
            </w:tcBorders>
            <w:shd w:val="clear" w:color="auto" w:fill="auto"/>
          </w:tcPr>
          <w:p w:rsidR="00466D38" w:rsidRPr="00526311" w:rsidRDefault="00466D38" w:rsidP="008761B9">
            <w:pPr>
              <w:rPr>
                <w:sz w:val="16"/>
                <w:szCs w:val="16"/>
              </w:rPr>
            </w:pPr>
            <w:r w:rsidRPr="00526311">
              <w:rPr>
                <w:sz w:val="16"/>
                <w:szCs w:val="16"/>
              </w:rPr>
              <w:t>Aumento del tráfico en el sitio web de las Oficinas de la OMPI en el exterior</w:t>
            </w:r>
          </w:p>
        </w:tc>
        <w:tc>
          <w:tcPr>
            <w:tcW w:w="816" w:type="pct"/>
            <w:gridSpan w:val="2"/>
            <w:tcBorders>
              <w:top w:val="nil"/>
              <w:left w:val="nil"/>
              <w:bottom w:val="nil"/>
              <w:right w:val="nil"/>
            </w:tcBorders>
            <w:shd w:val="clear" w:color="auto" w:fill="auto"/>
          </w:tcPr>
          <w:p w:rsidR="00466D38" w:rsidRPr="00526311" w:rsidRDefault="00466D38" w:rsidP="008761B9">
            <w:pPr>
              <w:rPr>
                <w:i/>
                <w:color w:val="002060"/>
                <w:sz w:val="16"/>
                <w:szCs w:val="16"/>
              </w:rPr>
            </w:pPr>
            <w:r w:rsidRPr="00526311">
              <w:rPr>
                <w:i/>
                <w:color w:val="002060"/>
                <w:sz w:val="16"/>
                <w:szCs w:val="16"/>
              </w:rPr>
              <w:t xml:space="preserve">Referencia actualizada a fines de 2013:  </w:t>
            </w:r>
          </w:p>
          <w:p w:rsidR="00466D38" w:rsidRPr="00526311" w:rsidRDefault="00466D38" w:rsidP="008761B9">
            <w:pPr>
              <w:rPr>
                <w:color w:val="002060"/>
                <w:sz w:val="16"/>
                <w:szCs w:val="16"/>
              </w:rPr>
            </w:pPr>
            <w:r w:rsidRPr="00526311">
              <w:rPr>
                <w:color w:val="002060"/>
                <w:sz w:val="16"/>
                <w:szCs w:val="16"/>
              </w:rPr>
              <w:t>N.d. (OOB)</w:t>
            </w:r>
          </w:p>
          <w:p w:rsidR="00466D38" w:rsidRPr="00526311" w:rsidRDefault="00466D38" w:rsidP="008761B9">
            <w:pPr>
              <w:rPr>
                <w:color w:val="002060"/>
                <w:sz w:val="16"/>
                <w:szCs w:val="16"/>
              </w:rPr>
            </w:pPr>
            <w:r w:rsidRPr="00526311">
              <w:rPr>
                <w:color w:val="002060"/>
                <w:sz w:val="16"/>
                <w:szCs w:val="16"/>
              </w:rPr>
              <w:t>5.900% (OOJ)</w:t>
            </w:r>
          </w:p>
          <w:p w:rsidR="00466D38" w:rsidRPr="00526311" w:rsidRDefault="00466D38" w:rsidP="008761B9">
            <w:pPr>
              <w:rPr>
                <w:color w:val="002060"/>
                <w:sz w:val="16"/>
                <w:szCs w:val="16"/>
              </w:rPr>
            </w:pPr>
            <w:r w:rsidRPr="00526311">
              <w:rPr>
                <w:color w:val="002060"/>
                <w:sz w:val="16"/>
                <w:szCs w:val="16"/>
              </w:rPr>
              <w:t>9.717 páginas vistas (OOS)</w:t>
            </w:r>
          </w:p>
          <w:p w:rsidR="00466D38" w:rsidRPr="00526311" w:rsidRDefault="00466D38" w:rsidP="008761B9">
            <w:pPr>
              <w:rPr>
                <w:i/>
                <w:sz w:val="16"/>
                <w:szCs w:val="16"/>
              </w:rPr>
            </w:pPr>
            <w:r w:rsidRPr="00526311">
              <w:rPr>
                <w:i/>
                <w:sz w:val="16"/>
                <w:szCs w:val="16"/>
              </w:rPr>
              <w:t>Referencia original P&amp;B 2014/15:</w:t>
            </w:r>
          </w:p>
          <w:p w:rsidR="00466D38" w:rsidRPr="00526311" w:rsidRDefault="00466D38" w:rsidP="008761B9">
            <w:pPr>
              <w:rPr>
                <w:sz w:val="16"/>
                <w:szCs w:val="16"/>
              </w:rPr>
            </w:pPr>
            <w:r w:rsidRPr="00526311">
              <w:rPr>
                <w:sz w:val="16"/>
                <w:szCs w:val="16"/>
              </w:rPr>
              <w:t>Por determinar (OOB)</w:t>
            </w:r>
          </w:p>
          <w:p w:rsidR="00466D38" w:rsidRPr="00526311" w:rsidRDefault="00466D38" w:rsidP="008761B9">
            <w:pPr>
              <w:rPr>
                <w:sz w:val="16"/>
                <w:szCs w:val="16"/>
              </w:rPr>
            </w:pPr>
            <w:r w:rsidRPr="00526311">
              <w:rPr>
                <w:sz w:val="16"/>
                <w:szCs w:val="16"/>
              </w:rPr>
              <w:t>Por determinar (OOJ)</w:t>
            </w:r>
          </w:p>
          <w:p w:rsidR="00466D38" w:rsidRPr="00526311" w:rsidRDefault="00466D38" w:rsidP="008761B9">
            <w:pPr>
              <w:rPr>
                <w:sz w:val="16"/>
                <w:szCs w:val="16"/>
              </w:rPr>
            </w:pPr>
            <w:r w:rsidRPr="00526311">
              <w:rPr>
                <w:sz w:val="16"/>
                <w:szCs w:val="16"/>
              </w:rPr>
              <w:t>Por determinar (OOS)</w:t>
            </w:r>
          </w:p>
        </w:tc>
        <w:tc>
          <w:tcPr>
            <w:tcW w:w="966" w:type="pct"/>
            <w:gridSpan w:val="2"/>
            <w:tcBorders>
              <w:top w:val="nil"/>
              <w:left w:val="nil"/>
              <w:bottom w:val="nil"/>
              <w:right w:val="nil"/>
            </w:tcBorders>
            <w:shd w:val="clear" w:color="auto" w:fill="auto"/>
            <w:tcMar>
              <w:top w:w="110" w:type="dxa"/>
            </w:tcMar>
          </w:tcPr>
          <w:p w:rsidR="00466D38" w:rsidRPr="00526311" w:rsidRDefault="00466D38" w:rsidP="008761B9">
            <w:pPr>
              <w:rPr>
                <w:sz w:val="16"/>
                <w:szCs w:val="16"/>
              </w:rPr>
            </w:pPr>
            <w:r w:rsidRPr="00526311">
              <w:rPr>
                <w:sz w:val="16"/>
                <w:szCs w:val="16"/>
              </w:rPr>
              <w:t>Aumento del 5% del tráfico del Brasil (OOB)</w:t>
            </w:r>
          </w:p>
          <w:p w:rsidR="00466D38" w:rsidRPr="00526311" w:rsidRDefault="00466D38" w:rsidP="008761B9">
            <w:pPr>
              <w:rPr>
                <w:sz w:val="16"/>
                <w:szCs w:val="16"/>
              </w:rPr>
            </w:pPr>
            <w:r w:rsidRPr="00526311">
              <w:rPr>
                <w:sz w:val="16"/>
                <w:szCs w:val="16"/>
              </w:rPr>
              <w:t>5% (OOJ)</w:t>
            </w:r>
          </w:p>
          <w:p w:rsidR="00466D38" w:rsidRPr="00526311" w:rsidRDefault="00466D38" w:rsidP="008761B9">
            <w:pPr>
              <w:rPr>
                <w:sz w:val="16"/>
                <w:szCs w:val="16"/>
              </w:rPr>
            </w:pPr>
            <w:r w:rsidRPr="00526311">
              <w:rPr>
                <w:sz w:val="16"/>
                <w:szCs w:val="16"/>
              </w:rPr>
              <w:t>Aumento del 5% en el tráfico de la región de la ASEAN (OOS)</w:t>
            </w:r>
          </w:p>
          <w:p w:rsidR="00466D38" w:rsidRPr="00526311" w:rsidRDefault="00466D38" w:rsidP="008761B9">
            <w:pPr>
              <w:rPr>
                <w:sz w:val="16"/>
                <w:szCs w:val="16"/>
              </w:rPr>
            </w:pPr>
          </w:p>
        </w:tc>
        <w:tc>
          <w:tcPr>
            <w:tcW w:w="1529" w:type="pct"/>
            <w:gridSpan w:val="2"/>
            <w:tcBorders>
              <w:top w:val="nil"/>
              <w:left w:val="nil"/>
              <w:bottom w:val="nil"/>
              <w:right w:val="nil"/>
            </w:tcBorders>
            <w:shd w:val="clear" w:color="auto" w:fill="FFFFFF"/>
            <w:tcMar>
              <w:top w:w="110" w:type="dxa"/>
            </w:tcMar>
          </w:tcPr>
          <w:p w:rsidR="00466D38" w:rsidRPr="00526311" w:rsidRDefault="00466D38" w:rsidP="008761B9">
            <w:pPr>
              <w:rPr>
                <w:sz w:val="16"/>
                <w:szCs w:val="16"/>
              </w:rPr>
            </w:pPr>
            <w:r w:rsidRPr="00526311">
              <w:rPr>
                <w:sz w:val="16"/>
                <w:szCs w:val="16"/>
              </w:rPr>
              <w:t>No se creó una página hasta febrero de 2015 (OOB)</w:t>
            </w:r>
          </w:p>
          <w:p w:rsidR="00466D38" w:rsidRPr="00526311" w:rsidRDefault="00466D38" w:rsidP="008761B9">
            <w:pPr>
              <w:rPr>
                <w:sz w:val="16"/>
                <w:szCs w:val="16"/>
              </w:rPr>
            </w:pPr>
            <w:r w:rsidRPr="00526311">
              <w:rPr>
                <w:sz w:val="16"/>
                <w:szCs w:val="16"/>
              </w:rPr>
              <w:t>2014:  7.650 (aumento del 29%) (OOJ)</w:t>
            </w:r>
          </w:p>
          <w:p w:rsidR="00466D38" w:rsidRPr="00526311" w:rsidRDefault="00466D38" w:rsidP="008761B9">
            <w:pPr>
              <w:rPr>
                <w:sz w:val="16"/>
                <w:szCs w:val="16"/>
              </w:rPr>
            </w:pPr>
            <w:r w:rsidRPr="00526311">
              <w:rPr>
                <w:sz w:val="16"/>
                <w:szCs w:val="16"/>
              </w:rPr>
              <w:t>2014:  9.882 (aumento del 2%) (OOS)</w:t>
            </w:r>
          </w:p>
          <w:p w:rsidR="00466D38" w:rsidRPr="00526311" w:rsidRDefault="00466D38" w:rsidP="008761B9">
            <w:pPr>
              <w:rPr>
                <w:sz w:val="16"/>
                <w:szCs w:val="16"/>
              </w:rPr>
            </w:pPr>
          </w:p>
        </w:tc>
        <w:tc>
          <w:tcPr>
            <w:tcW w:w="607" w:type="pct"/>
            <w:gridSpan w:val="3"/>
            <w:tcBorders>
              <w:top w:val="nil"/>
              <w:left w:val="nil"/>
              <w:bottom w:val="nil"/>
              <w:right w:val="single" w:sz="4" w:space="0" w:color="auto"/>
            </w:tcBorders>
            <w:shd w:val="clear" w:color="auto" w:fill="auto"/>
            <w:tcMar>
              <w:top w:w="110" w:type="dxa"/>
            </w:tcMar>
          </w:tcPr>
          <w:p w:rsidR="00466D38" w:rsidRPr="00526311" w:rsidRDefault="00466D38" w:rsidP="008761B9">
            <w:pPr>
              <w:keepNext/>
              <w:keepLines/>
              <w:ind w:left="-108"/>
              <w:jc w:val="center"/>
              <w:rPr>
                <w:b/>
                <w:bCs/>
                <w:color w:val="0070C0"/>
                <w:sz w:val="16"/>
                <w:szCs w:val="16"/>
              </w:rPr>
            </w:pPr>
            <w:r w:rsidRPr="00526311">
              <w:rPr>
                <w:b/>
                <w:bCs/>
                <w:color w:val="0070C0"/>
                <w:sz w:val="16"/>
                <w:szCs w:val="16"/>
              </w:rPr>
              <w:t>N</w:t>
            </w:r>
            <w:r w:rsidR="00681E0B" w:rsidRPr="00526311">
              <w:rPr>
                <w:b/>
                <w:bCs/>
                <w:color w:val="0070C0"/>
                <w:sz w:val="16"/>
                <w:szCs w:val="16"/>
              </w:rPr>
              <w:t>.d.</w:t>
            </w:r>
            <w:r w:rsidRPr="00526311">
              <w:rPr>
                <w:b/>
                <w:bCs/>
                <w:color w:val="0070C0"/>
                <w:sz w:val="16"/>
                <w:szCs w:val="16"/>
              </w:rPr>
              <w:t xml:space="preserve"> para 2014</w:t>
            </w: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jc w:val="center"/>
              <w:rPr>
                <w:b/>
                <w:bCs/>
                <w:color w:val="FF0000"/>
                <w:sz w:val="16"/>
                <w:szCs w:val="16"/>
              </w:rPr>
            </w:pPr>
          </w:p>
          <w:p w:rsidR="00466D38" w:rsidRPr="00526311" w:rsidRDefault="00466D38" w:rsidP="008761B9">
            <w:pPr>
              <w:keepNext/>
              <w:keepLines/>
              <w:ind w:left="-108"/>
              <w:jc w:val="center"/>
              <w:rPr>
                <w:b/>
                <w:bCs/>
                <w:color w:val="FF0000"/>
                <w:sz w:val="16"/>
                <w:szCs w:val="16"/>
              </w:rPr>
            </w:pPr>
            <w:r w:rsidRPr="00526311">
              <w:rPr>
                <w:b/>
                <w:bCs/>
                <w:color w:val="FF0000"/>
                <w:sz w:val="16"/>
                <w:szCs w:val="16"/>
              </w:rPr>
              <w:t>No avanza</w:t>
            </w:r>
          </w:p>
        </w:tc>
      </w:tr>
      <w:tr w:rsidR="00466D38" w:rsidRPr="00526311" w:rsidTr="00466D38">
        <w:tc>
          <w:tcPr>
            <w:tcW w:w="1085" w:type="pct"/>
            <w:gridSpan w:val="2"/>
            <w:tcBorders>
              <w:top w:val="nil"/>
              <w:left w:val="single" w:sz="4" w:space="0" w:color="auto"/>
              <w:bottom w:val="single" w:sz="4" w:space="0" w:color="auto"/>
              <w:right w:val="nil"/>
            </w:tcBorders>
            <w:shd w:val="clear" w:color="auto" w:fill="auto"/>
          </w:tcPr>
          <w:p w:rsidR="00466D38" w:rsidRPr="00526311" w:rsidRDefault="00466D38" w:rsidP="008761B9">
            <w:pPr>
              <w:rPr>
                <w:sz w:val="16"/>
                <w:szCs w:val="16"/>
              </w:rPr>
            </w:pPr>
            <w:r w:rsidRPr="00526311">
              <w:rPr>
                <w:sz w:val="16"/>
                <w:szCs w:val="16"/>
              </w:rPr>
              <w:t>Porcentaje de opiniones favorables de las partes interesadas sobre la misión, las actividades y la imagen institucional de la OMPI</w:t>
            </w:r>
          </w:p>
        </w:tc>
        <w:tc>
          <w:tcPr>
            <w:tcW w:w="816" w:type="pct"/>
            <w:gridSpan w:val="2"/>
            <w:tcBorders>
              <w:top w:val="nil"/>
              <w:left w:val="nil"/>
              <w:bottom w:val="single" w:sz="4" w:space="0" w:color="auto"/>
              <w:right w:val="nil"/>
            </w:tcBorders>
            <w:shd w:val="clear" w:color="auto" w:fill="auto"/>
          </w:tcPr>
          <w:p w:rsidR="00466D38" w:rsidRPr="00526311" w:rsidRDefault="00466D38" w:rsidP="008761B9">
            <w:pPr>
              <w:rPr>
                <w:sz w:val="16"/>
                <w:szCs w:val="16"/>
              </w:rPr>
            </w:pPr>
            <w:r w:rsidRPr="00526311">
              <w:rPr>
                <w:sz w:val="16"/>
                <w:szCs w:val="16"/>
              </w:rPr>
              <w:t>N.d. (OOB)</w:t>
            </w:r>
          </w:p>
          <w:p w:rsidR="00466D38" w:rsidRPr="00526311" w:rsidRDefault="00466D38" w:rsidP="008761B9">
            <w:pPr>
              <w:rPr>
                <w:sz w:val="16"/>
                <w:szCs w:val="16"/>
              </w:rPr>
            </w:pPr>
            <w:r w:rsidRPr="00526311">
              <w:rPr>
                <w:sz w:val="16"/>
                <w:szCs w:val="16"/>
              </w:rPr>
              <w:t>N.d. (OOJ)</w:t>
            </w:r>
          </w:p>
          <w:p w:rsidR="00466D38" w:rsidRPr="00526311" w:rsidRDefault="00466D38" w:rsidP="008761B9">
            <w:pPr>
              <w:rPr>
                <w:i/>
                <w:sz w:val="16"/>
                <w:szCs w:val="16"/>
              </w:rPr>
            </w:pPr>
            <w:r w:rsidRPr="00526311">
              <w:rPr>
                <w:sz w:val="16"/>
                <w:szCs w:val="16"/>
              </w:rPr>
              <w:t>N.d. (OOS)</w:t>
            </w:r>
          </w:p>
        </w:tc>
        <w:tc>
          <w:tcPr>
            <w:tcW w:w="966" w:type="pct"/>
            <w:gridSpan w:val="2"/>
            <w:tcBorders>
              <w:top w:val="nil"/>
              <w:left w:val="nil"/>
              <w:bottom w:val="single" w:sz="4" w:space="0" w:color="auto"/>
              <w:right w:val="nil"/>
            </w:tcBorders>
            <w:shd w:val="clear" w:color="auto" w:fill="auto"/>
            <w:tcMar>
              <w:top w:w="110" w:type="dxa"/>
            </w:tcMar>
          </w:tcPr>
          <w:p w:rsidR="00466D38" w:rsidRPr="00526311" w:rsidRDefault="00466D38" w:rsidP="008761B9">
            <w:pPr>
              <w:rPr>
                <w:sz w:val="16"/>
                <w:szCs w:val="16"/>
              </w:rPr>
            </w:pPr>
            <w:r w:rsidRPr="00526311">
              <w:rPr>
                <w:sz w:val="16"/>
                <w:szCs w:val="16"/>
              </w:rPr>
              <w:t>75% (OOB)</w:t>
            </w:r>
          </w:p>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75% (OOJ)</w:t>
            </w:r>
          </w:p>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&gt; 70% de participantes en actividades importantes de la OMPI (OOS)</w:t>
            </w:r>
          </w:p>
          <w:p w:rsidR="00466D38" w:rsidRPr="00526311" w:rsidRDefault="00466D38" w:rsidP="008761B9">
            <w:pPr>
              <w:rPr>
                <w:sz w:val="16"/>
                <w:szCs w:val="16"/>
              </w:rPr>
            </w:pPr>
          </w:p>
        </w:tc>
        <w:tc>
          <w:tcPr>
            <w:tcW w:w="1529" w:type="pct"/>
            <w:gridSpan w:val="2"/>
            <w:tcBorders>
              <w:top w:val="nil"/>
              <w:left w:val="nil"/>
              <w:bottom w:val="single" w:sz="4" w:space="0" w:color="auto"/>
              <w:right w:val="nil"/>
            </w:tcBorders>
            <w:shd w:val="clear" w:color="auto" w:fill="FFFFFF"/>
            <w:tcMar>
              <w:top w:w="110" w:type="dxa"/>
            </w:tcMar>
          </w:tcPr>
          <w:p w:rsidR="00466D38" w:rsidRPr="00526311" w:rsidRDefault="00466D38" w:rsidP="008761B9">
            <w:pPr>
              <w:rPr>
                <w:sz w:val="16"/>
                <w:szCs w:val="16"/>
              </w:rPr>
            </w:pPr>
            <w:r w:rsidRPr="00526311">
              <w:rPr>
                <w:sz w:val="16"/>
                <w:szCs w:val="16"/>
              </w:rPr>
              <w:t>No se dispone de datos para 2014;  en 2015 se dispondrá de un sistema de seguimiento (OOB)</w:t>
            </w:r>
          </w:p>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94% (OOJ).</w:t>
            </w:r>
          </w:p>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97% de participantes en seminarios realizados en 2014 en el marco del memorando de entendimiento OMPI-Singapur consideran que se trata de un valor añadido (OOS)</w:t>
            </w:r>
          </w:p>
        </w:tc>
        <w:tc>
          <w:tcPr>
            <w:tcW w:w="604" w:type="pct"/>
            <w:gridSpan w:val="2"/>
            <w:tcBorders>
              <w:top w:val="nil"/>
              <w:left w:val="nil"/>
              <w:bottom w:val="single" w:sz="4" w:space="0" w:color="auto"/>
              <w:right w:val="single" w:sz="4" w:space="0" w:color="auto"/>
            </w:tcBorders>
            <w:shd w:val="clear" w:color="auto" w:fill="auto"/>
            <w:tcMar>
              <w:top w:w="110" w:type="dxa"/>
            </w:tcMar>
          </w:tcPr>
          <w:p w:rsidR="00466D38" w:rsidRPr="00526311" w:rsidRDefault="00466D38" w:rsidP="008761B9">
            <w:pPr>
              <w:keepNext/>
              <w:keepLines/>
              <w:ind w:left="-108"/>
              <w:jc w:val="center"/>
              <w:rPr>
                <w:b/>
                <w:bCs/>
                <w:color w:val="0070C0"/>
                <w:sz w:val="16"/>
                <w:szCs w:val="16"/>
              </w:rPr>
            </w:pPr>
            <w:r w:rsidRPr="00526311">
              <w:rPr>
                <w:b/>
                <w:bCs/>
                <w:color w:val="0070C0"/>
                <w:sz w:val="16"/>
                <w:szCs w:val="16"/>
              </w:rPr>
              <w:t>N</w:t>
            </w:r>
            <w:r w:rsidR="00681E0B" w:rsidRPr="00526311">
              <w:rPr>
                <w:b/>
                <w:bCs/>
                <w:color w:val="0070C0"/>
                <w:sz w:val="16"/>
                <w:szCs w:val="16"/>
              </w:rPr>
              <w:t>.d.</w:t>
            </w:r>
            <w:r w:rsidRPr="00526311">
              <w:rPr>
                <w:b/>
                <w:bCs/>
                <w:color w:val="0070C0"/>
                <w:sz w:val="16"/>
                <w:szCs w:val="16"/>
              </w:rPr>
              <w:t xml:space="preserve"> para 2014</w:t>
            </w:r>
          </w:p>
          <w:p w:rsidR="00466D38" w:rsidRPr="00526311" w:rsidRDefault="00466D38" w:rsidP="008761B9">
            <w:pPr>
              <w:keepNext/>
              <w:keepLines/>
              <w:jc w:val="center"/>
              <w:rPr>
                <w:b/>
                <w:bCs/>
                <w:color w:val="00B050"/>
                <w:sz w:val="16"/>
                <w:szCs w:val="16"/>
              </w:rPr>
            </w:pPr>
          </w:p>
          <w:p w:rsidR="00466D38" w:rsidRPr="00526311" w:rsidRDefault="00466D38" w:rsidP="008761B9">
            <w:pPr>
              <w:keepNext/>
              <w:keepLines/>
              <w:jc w:val="center"/>
              <w:rPr>
                <w:b/>
                <w:bCs/>
                <w:color w:val="00B050"/>
                <w:sz w:val="16"/>
                <w:szCs w:val="16"/>
              </w:rPr>
            </w:pPr>
          </w:p>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jc w:val="center"/>
              <w:rPr>
                <w:b/>
                <w:bCs/>
                <w:color w:val="00B050"/>
                <w:sz w:val="16"/>
                <w:szCs w:val="16"/>
              </w:rPr>
            </w:pPr>
          </w:p>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rPr>
                <w:bCs/>
                <w:color w:val="808080"/>
                <w:sz w:val="16"/>
                <w:szCs w:val="16"/>
              </w:rPr>
            </w:pPr>
          </w:p>
        </w:tc>
      </w:tr>
    </w:tbl>
    <w:p w:rsidR="00466D38" w:rsidRPr="00526311" w:rsidRDefault="00466D38">
      <w:r w:rsidRPr="00526311">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7"/>
        <w:gridCol w:w="1562"/>
        <w:gridCol w:w="1849"/>
        <w:gridCol w:w="2927"/>
        <w:gridCol w:w="1156"/>
      </w:tblGrid>
      <w:tr w:rsidR="00466D38" w:rsidRPr="00526311" w:rsidTr="008761B9">
        <w:tc>
          <w:tcPr>
            <w:tcW w:w="5000" w:type="pct"/>
            <w:gridSpan w:val="5"/>
            <w:tcBorders>
              <w:top w:val="single" w:sz="4" w:space="0" w:color="auto"/>
              <w:bottom w:val="single" w:sz="4" w:space="0" w:color="auto"/>
            </w:tcBorders>
            <w:shd w:val="clear" w:color="auto" w:fill="CCFFFF"/>
          </w:tcPr>
          <w:p w:rsidR="00466D38" w:rsidRPr="00526311" w:rsidRDefault="00466D38" w:rsidP="008761B9">
            <w:pPr>
              <w:keepNext/>
              <w:keepLines/>
              <w:tabs>
                <w:tab w:val="left" w:pos="-817"/>
              </w:tabs>
              <w:spacing w:before="120" w:after="120"/>
              <w:ind w:left="1735" w:hanging="1735"/>
              <w:rPr>
                <w:bCs/>
                <w:color w:val="808080"/>
                <w:sz w:val="16"/>
                <w:szCs w:val="16"/>
              </w:rPr>
            </w:pPr>
            <w:r w:rsidRPr="00526311">
              <w:rPr>
                <w:b/>
                <w:bCs/>
                <w:sz w:val="16"/>
                <w:szCs w:val="16"/>
              </w:rPr>
              <w:lastRenderedPageBreak/>
              <w:t>Resultado previsto:</w:t>
            </w:r>
            <w:r w:rsidRPr="00526311">
              <w:rPr>
                <w:b/>
                <w:bCs/>
                <w:sz w:val="16"/>
                <w:szCs w:val="16"/>
              </w:rPr>
              <w:tab/>
            </w:r>
            <w:r w:rsidRPr="00526311">
              <w:rPr>
                <w:bCs/>
                <w:sz w:val="16"/>
                <w:szCs w:val="16"/>
              </w:rPr>
              <w:t>VIII.2 Mejora en la prestación de servicios y la atención de consultas</w:t>
            </w:r>
          </w:p>
        </w:tc>
      </w:tr>
      <w:tr w:rsidR="00466D38" w:rsidRPr="00526311" w:rsidTr="008761B9">
        <w:tc>
          <w:tcPr>
            <w:tcW w:w="1085" w:type="pct"/>
            <w:tcBorders>
              <w:top w:val="single" w:sz="4" w:space="0" w:color="auto"/>
              <w:left w:val="single" w:sz="4" w:space="0" w:color="auto"/>
              <w:bottom w:val="nil"/>
              <w:right w:val="nil"/>
            </w:tcBorders>
            <w:shd w:val="clear" w:color="auto" w:fill="auto"/>
          </w:tcPr>
          <w:p w:rsidR="00466D38" w:rsidRPr="00526311" w:rsidRDefault="00466D38" w:rsidP="008761B9">
            <w:pPr>
              <w:rPr>
                <w:color w:val="000000"/>
                <w:sz w:val="16"/>
                <w:szCs w:val="16"/>
              </w:rPr>
            </w:pPr>
            <w:r w:rsidRPr="00526311">
              <w:rPr>
                <w:b/>
                <w:color w:val="000000"/>
                <w:sz w:val="16"/>
                <w:szCs w:val="16"/>
              </w:rPr>
              <w:t>Indicadores de rendimiento</w:t>
            </w:r>
          </w:p>
        </w:tc>
        <w:tc>
          <w:tcPr>
            <w:tcW w:w="816" w:type="pct"/>
            <w:tcBorders>
              <w:top w:val="single" w:sz="4" w:space="0" w:color="auto"/>
              <w:left w:val="nil"/>
              <w:bottom w:val="nil"/>
              <w:right w:val="nil"/>
            </w:tcBorders>
            <w:shd w:val="clear" w:color="auto" w:fill="auto"/>
          </w:tcPr>
          <w:p w:rsidR="00466D38" w:rsidRPr="00526311" w:rsidRDefault="00466D38" w:rsidP="008761B9">
            <w:pPr>
              <w:rPr>
                <w:color w:val="002060"/>
                <w:sz w:val="16"/>
                <w:szCs w:val="16"/>
              </w:rPr>
            </w:pPr>
            <w:r w:rsidRPr="00526311">
              <w:rPr>
                <w:b/>
                <w:color w:val="000000"/>
                <w:sz w:val="16"/>
                <w:szCs w:val="16"/>
              </w:rPr>
              <w:t>Referencia</w:t>
            </w:r>
          </w:p>
        </w:tc>
        <w:tc>
          <w:tcPr>
            <w:tcW w:w="966" w:type="pct"/>
            <w:tcBorders>
              <w:top w:val="single" w:sz="4" w:space="0" w:color="auto"/>
              <w:left w:val="nil"/>
              <w:bottom w:val="nil"/>
              <w:right w:val="nil"/>
            </w:tcBorders>
            <w:shd w:val="clear" w:color="auto" w:fill="auto"/>
            <w:tcMar>
              <w:top w:w="110" w:type="dxa"/>
            </w:tcMar>
          </w:tcPr>
          <w:p w:rsidR="00466D38" w:rsidRPr="00526311" w:rsidRDefault="00466D38" w:rsidP="008761B9">
            <w:pPr>
              <w:rPr>
                <w:sz w:val="16"/>
                <w:szCs w:val="16"/>
              </w:rPr>
            </w:pPr>
            <w:r w:rsidRPr="00526311">
              <w:rPr>
                <w:b/>
                <w:color w:val="000000"/>
                <w:sz w:val="16"/>
                <w:szCs w:val="16"/>
              </w:rPr>
              <w:t>Objetivos</w:t>
            </w:r>
          </w:p>
        </w:tc>
        <w:tc>
          <w:tcPr>
            <w:tcW w:w="1529" w:type="pct"/>
            <w:tcBorders>
              <w:top w:val="single" w:sz="4" w:space="0" w:color="auto"/>
              <w:left w:val="nil"/>
              <w:bottom w:val="nil"/>
              <w:right w:val="nil"/>
            </w:tcBorders>
            <w:shd w:val="clear" w:color="auto" w:fill="FFFFFF"/>
            <w:tcMar>
              <w:top w:w="110" w:type="dxa"/>
            </w:tcMar>
          </w:tcPr>
          <w:p w:rsidR="00466D38" w:rsidRPr="00526311" w:rsidRDefault="00466D38" w:rsidP="008761B9">
            <w:pPr>
              <w:rPr>
                <w:sz w:val="16"/>
                <w:szCs w:val="16"/>
              </w:rPr>
            </w:pPr>
            <w:r w:rsidRPr="00526311">
              <w:rPr>
                <w:b/>
                <w:color w:val="000000"/>
                <w:sz w:val="16"/>
                <w:szCs w:val="16"/>
              </w:rPr>
              <w:t>Datos sobre el rendimiento</w:t>
            </w:r>
          </w:p>
        </w:tc>
        <w:tc>
          <w:tcPr>
            <w:tcW w:w="604" w:type="pct"/>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
                <w:bCs/>
                <w:color w:val="808080"/>
                <w:sz w:val="16"/>
                <w:szCs w:val="16"/>
              </w:rPr>
            </w:pPr>
            <w:r w:rsidRPr="00526311">
              <w:rPr>
                <w:b/>
                <w:bCs/>
                <w:color w:val="000000"/>
                <w:sz w:val="16"/>
                <w:szCs w:val="16"/>
              </w:rPr>
              <w:t>Clave de colores</w:t>
            </w:r>
          </w:p>
        </w:tc>
      </w:tr>
      <w:tr w:rsidR="00466D38" w:rsidRPr="00526311" w:rsidTr="008761B9">
        <w:trPr>
          <w:trHeight w:val="1510"/>
        </w:trPr>
        <w:tc>
          <w:tcPr>
            <w:tcW w:w="1085" w:type="pct"/>
            <w:tcBorders>
              <w:top w:val="nil"/>
              <w:left w:val="single" w:sz="4" w:space="0" w:color="auto"/>
              <w:bottom w:val="nil"/>
              <w:right w:val="nil"/>
            </w:tcBorders>
            <w:shd w:val="clear" w:color="auto" w:fill="auto"/>
          </w:tcPr>
          <w:p w:rsidR="00466D38" w:rsidRPr="00526311" w:rsidRDefault="00466D38" w:rsidP="008761B9">
            <w:pPr>
              <w:rPr>
                <w:sz w:val="16"/>
                <w:szCs w:val="16"/>
              </w:rPr>
            </w:pPr>
            <w:r w:rsidRPr="00526311">
              <w:rPr>
                <w:sz w:val="16"/>
                <w:szCs w:val="16"/>
              </w:rPr>
              <w:t>Índice de satisfacción de los clientes y partes interesadas.</w:t>
            </w:r>
          </w:p>
        </w:tc>
        <w:tc>
          <w:tcPr>
            <w:tcW w:w="816" w:type="pct"/>
            <w:tcBorders>
              <w:top w:val="nil"/>
              <w:left w:val="nil"/>
              <w:bottom w:val="nil"/>
              <w:right w:val="nil"/>
            </w:tcBorders>
            <w:shd w:val="clear" w:color="auto" w:fill="auto"/>
          </w:tcPr>
          <w:p w:rsidR="00466D38" w:rsidRPr="00526311" w:rsidRDefault="00466D38" w:rsidP="008761B9">
            <w:pPr>
              <w:rPr>
                <w:sz w:val="16"/>
                <w:szCs w:val="16"/>
              </w:rPr>
            </w:pPr>
            <w:r w:rsidRPr="00526311">
              <w:rPr>
                <w:sz w:val="16"/>
                <w:szCs w:val="16"/>
              </w:rPr>
              <w:t>N.d. (OOB)</w:t>
            </w:r>
          </w:p>
          <w:p w:rsidR="00466D38" w:rsidRPr="00526311" w:rsidRDefault="00466D38" w:rsidP="008761B9">
            <w:pPr>
              <w:rPr>
                <w:sz w:val="16"/>
                <w:szCs w:val="16"/>
              </w:rPr>
            </w:pPr>
            <w:r w:rsidRPr="00526311">
              <w:rPr>
                <w:sz w:val="16"/>
                <w:szCs w:val="16"/>
              </w:rPr>
              <w:t>N.d. (OOJ)</w:t>
            </w:r>
          </w:p>
          <w:p w:rsidR="00466D38" w:rsidRPr="00526311" w:rsidRDefault="00466D38" w:rsidP="008761B9">
            <w:pPr>
              <w:rPr>
                <w:sz w:val="16"/>
                <w:szCs w:val="16"/>
              </w:rPr>
            </w:pPr>
            <w:r w:rsidRPr="00526311">
              <w:rPr>
                <w:sz w:val="16"/>
                <w:szCs w:val="16"/>
              </w:rPr>
              <w:t>N.d. (OOS)</w:t>
            </w:r>
          </w:p>
        </w:tc>
        <w:tc>
          <w:tcPr>
            <w:tcW w:w="966" w:type="pct"/>
            <w:tcBorders>
              <w:top w:val="nil"/>
              <w:left w:val="nil"/>
              <w:bottom w:val="nil"/>
              <w:right w:val="nil"/>
            </w:tcBorders>
            <w:shd w:val="clear" w:color="auto" w:fill="auto"/>
            <w:tcMar>
              <w:top w:w="110" w:type="dxa"/>
            </w:tcMar>
          </w:tcPr>
          <w:p w:rsidR="00466D38" w:rsidRPr="00526311" w:rsidRDefault="00466D38" w:rsidP="008761B9">
            <w:pPr>
              <w:rPr>
                <w:sz w:val="16"/>
                <w:szCs w:val="16"/>
              </w:rPr>
            </w:pPr>
            <w:r w:rsidRPr="00526311">
              <w:rPr>
                <w:sz w:val="16"/>
                <w:szCs w:val="16"/>
              </w:rPr>
              <w:t>Por determinar (OOB)</w:t>
            </w:r>
          </w:p>
          <w:p w:rsidR="00466D38" w:rsidRPr="00526311" w:rsidRDefault="00466D38" w:rsidP="008761B9">
            <w:pPr>
              <w:rPr>
                <w:sz w:val="16"/>
                <w:szCs w:val="16"/>
              </w:rPr>
            </w:pPr>
            <w:r w:rsidRPr="00526311">
              <w:rPr>
                <w:sz w:val="16"/>
                <w:szCs w:val="16"/>
              </w:rPr>
              <w:t>Por determinar (OOJ)</w:t>
            </w:r>
          </w:p>
          <w:p w:rsidR="00466D38" w:rsidRPr="00526311" w:rsidRDefault="00466D38" w:rsidP="008761B9">
            <w:pPr>
              <w:rPr>
                <w:sz w:val="16"/>
                <w:szCs w:val="16"/>
              </w:rPr>
            </w:pPr>
            <w:r w:rsidRPr="00526311">
              <w:rPr>
                <w:sz w:val="16"/>
                <w:szCs w:val="16"/>
              </w:rPr>
              <w:t>&gt; 90% de personas que llaman están satisfechas con el servicio que proporciona la OOS (OOS)</w:t>
            </w:r>
          </w:p>
        </w:tc>
        <w:tc>
          <w:tcPr>
            <w:tcW w:w="1529" w:type="pct"/>
            <w:tcBorders>
              <w:top w:val="nil"/>
              <w:left w:val="nil"/>
              <w:bottom w:val="nil"/>
              <w:right w:val="nil"/>
            </w:tcBorders>
            <w:shd w:val="clear" w:color="auto" w:fill="FFFFFF"/>
            <w:tcMar>
              <w:top w:w="110" w:type="dxa"/>
            </w:tcMar>
          </w:tcPr>
          <w:p w:rsidR="00466D38" w:rsidRPr="00526311" w:rsidRDefault="00466D38" w:rsidP="008761B9">
            <w:pPr>
              <w:rPr>
                <w:sz w:val="16"/>
                <w:szCs w:val="16"/>
              </w:rPr>
            </w:pPr>
            <w:r w:rsidRPr="00526311">
              <w:rPr>
                <w:sz w:val="16"/>
                <w:szCs w:val="16"/>
              </w:rPr>
              <w:t>En 2015 se creará un mecanismo de supervisión uniforme de la satisfacción del cliente</w:t>
            </w:r>
            <w:r w:rsidRPr="00526311" w:rsidDel="001234DE">
              <w:rPr>
                <w:sz w:val="16"/>
                <w:szCs w:val="16"/>
              </w:rPr>
              <w:t xml:space="preserve"> </w:t>
            </w:r>
            <w:r w:rsidRPr="00526311">
              <w:rPr>
                <w:sz w:val="16"/>
                <w:szCs w:val="16"/>
              </w:rPr>
              <w:t>(OOB, OOJ, OOS)</w:t>
            </w:r>
          </w:p>
        </w:tc>
        <w:tc>
          <w:tcPr>
            <w:tcW w:w="604" w:type="pct"/>
            <w:tcBorders>
              <w:top w:val="nil"/>
              <w:left w:val="nil"/>
              <w:bottom w:val="nil"/>
              <w:right w:val="single" w:sz="4" w:space="0" w:color="auto"/>
            </w:tcBorders>
            <w:shd w:val="clear" w:color="auto" w:fill="auto"/>
            <w:tcMar>
              <w:top w:w="110" w:type="dxa"/>
            </w:tcMar>
          </w:tcPr>
          <w:p w:rsidR="00466D38" w:rsidRPr="00526311" w:rsidRDefault="00466D38" w:rsidP="00681E0B">
            <w:pPr>
              <w:keepNext/>
              <w:keepLines/>
              <w:ind w:left="-108"/>
              <w:jc w:val="center"/>
              <w:rPr>
                <w:b/>
                <w:bCs/>
                <w:sz w:val="16"/>
                <w:szCs w:val="16"/>
              </w:rPr>
            </w:pPr>
            <w:r w:rsidRPr="00526311">
              <w:rPr>
                <w:b/>
                <w:bCs/>
                <w:color w:val="0070C0"/>
                <w:sz w:val="16"/>
                <w:szCs w:val="16"/>
              </w:rPr>
              <w:t>N</w:t>
            </w:r>
            <w:r w:rsidR="00681E0B" w:rsidRPr="00526311">
              <w:rPr>
                <w:b/>
                <w:bCs/>
                <w:color w:val="0070C0"/>
                <w:sz w:val="16"/>
                <w:szCs w:val="16"/>
              </w:rPr>
              <w:t>.d.</w:t>
            </w:r>
            <w:r w:rsidRPr="00526311">
              <w:rPr>
                <w:b/>
                <w:bCs/>
                <w:color w:val="0070C0"/>
                <w:sz w:val="16"/>
                <w:szCs w:val="16"/>
              </w:rPr>
              <w:t xml:space="preserve"> para 2014</w:t>
            </w:r>
          </w:p>
        </w:tc>
      </w:tr>
      <w:tr w:rsidR="00466D38" w:rsidRPr="00526311" w:rsidTr="008761B9">
        <w:trPr>
          <w:trHeight w:val="1678"/>
        </w:trPr>
        <w:tc>
          <w:tcPr>
            <w:tcW w:w="1085" w:type="pct"/>
            <w:tcBorders>
              <w:top w:val="nil"/>
              <w:left w:val="single" w:sz="4" w:space="0" w:color="auto"/>
              <w:bottom w:val="single" w:sz="4" w:space="0" w:color="auto"/>
              <w:right w:val="nil"/>
            </w:tcBorders>
            <w:shd w:val="clear" w:color="auto" w:fill="auto"/>
          </w:tcPr>
          <w:p w:rsidR="00466D38" w:rsidRPr="00526311" w:rsidRDefault="00466D38" w:rsidP="008761B9">
            <w:pPr>
              <w:rPr>
                <w:sz w:val="16"/>
                <w:szCs w:val="16"/>
              </w:rPr>
            </w:pPr>
            <w:r w:rsidRPr="00526311">
              <w:rPr>
                <w:sz w:val="16"/>
                <w:szCs w:val="16"/>
              </w:rPr>
              <w:t>Duración de la tramitación de las peticiones de información.</w:t>
            </w:r>
          </w:p>
        </w:tc>
        <w:tc>
          <w:tcPr>
            <w:tcW w:w="816" w:type="pct"/>
            <w:tcBorders>
              <w:top w:val="nil"/>
              <w:left w:val="nil"/>
              <w:bottom w:val="single" w:sz="4" w:space="0" w:color="auto"/>
              <w:right w:val="nil"/>
            </w:tcBorders>
            <w:shd w:val="clear" w:color="auto" w:fill="auto"/>
          </w:tcPr>
          <w:p w:rsidR="00466D38" w:rsidRPr="00526311" w:rsidRDefault="00466D38" w:rsidP="008761B9">
            <w:pPr>
              <w:spacing w:after="120"/>
              <w:rPr>
                <w:sz w:val="16"/>
                <w:szCs w:val="16"/>
              </w:rPr>
            </w:pPr>
            <w:r w:rsidRPr="00526311">
              <w:rPr>
                <w:sz w:val="16"/>
                <w:szCs w:val="16"/>
              </w:rPr>
              <w:t>N.d. (OOB)</w:t>
            </w:r>
          </w:p>
          <w:p w:rsidR="00466D38" w:rsidRPr="00526311" w:rsidRDefault="00466D38" w:rsidP="008761B9">
            <w:pPr>
              <w:spacing w:after="120"/>
              <w:rPr>
                <w:sz w:val="16"/>
                <w:szCs w:val="16"/>
              </w:rPr>
            </w:pPr>
            <w:r w:rsidRPr="00526311">
              <w:rPr>
                <w:sz w:val="16"/>
                <w:szCs w:val="16"/>
              </w:rPr>
              <w:t>N.d. (OOJ)</w:t>
            </w:r>
          </w:p>
          <w:p w:rsidR="00466D38" w:rsidRPr="00526311" w:rsidRDefault="00466D38" w:rsidP="008761B9">
            <w:pPr>
              <w:spacing w:after="120"/>
              <w:rPr>
                <w:sz w:val="16"/>
                <w:szCs w:val="16"/>
              </w:rPr>
            </w:pPr>
            <w:r w:rsidRPr="00526311">
              <w:rPr>
                <w:sz w:val="16"/>
                <w:szCs w:val="16"/>
              </w:rPr>
              <w:t>N.d. (OOS)</w:t>
            </w:r>
          </w:p>
        </w:tc>
        <w:tc>
          <w:tcPr>
            <w:tcW w:w="966" w:type="pct"/>
            <w:tcBorders>
              <w:top w:val="nil"/>
              <w:left w:val="nil"/>
              <w:bottom w:val="single" w:sz="4" w:space="0" w:color="auto"/>
              <w:right w:val="nil"/>
            </w:tcBorders>
            <w:shd w:val="clear" w:color="auto" w:fill="auto"/>
            <w:tcMar>
              <w:top w:w="110" w:type="dxa"/>
            </w:tcMar>
          </w:tcPr>
          <w:p w:rsidR="00466D38" w:rsidRPr="00526311" w:rsidRDefault="00466D38" w:rsidP="008761B9">
            <w:pPr>
              <w:spacing w:after="120"/>
              <w:rPr>
                <w:sz w:val="16"/>
                <w:szCs w:val="16"/>
              </w:rPr>
            </w:pPr>
            <w:r w:rsidRPr="00526311">
              <w:rPr>
                <w:sz w:val="16"/>
                <w:szCs w:val="16"/>
              </w:rPr>
              <w:t>Por determinar (OOB)</w:t>
            </w:r>
          </w:p>
          <w:p w:rsidR="00466D38" w:rsidRPr="00526311" w:rsidRDefault="00466D38" w:rsidP="008761B9">
            <w:pPr>
              <w:spacing w:after="120"/>
              <w:rPr>
                <w:sz w:val="16"/>
                <w:szCs w:val="16"/>
              </w:rPr>
            </w:pPr>
            <w:r w:rsidRPr="00526311">
              <w:rPr>
                <w:sz w:val="16"/>
                <w:szCs w:val="16"/>
              </w:rPr>
              <w:t>Por determinar (OOJ)</w:t>
            </w:r>
          </w:p>
          <w:p w:rsidR="00466D38" w:rsidRPr="00526311" w:rsidRDefault="00466D38" w:rsidP="008761B9">
            <w:pPr>
              <w:spacing w:after="120"/>
              <w:rPr>
                <w:sz w:val="16"/>
                <w:szCs w:val="16"/>
              </w:rPr>
            </w:pPr>
            <w:r w:rsidRPr="00526311">
              <w:rPr>
                <w:sz w:val="16"/>
                <w:szCs w:val="16"/>
              </w:rPr>
              <w:t>En el 95% de los casos se responde en un plazo de tres días laborables (OOS)</w:t>
            </w:r>
          </w:p>
        </w:tc>
        <w:tc>
          <w:tcPr>
            <w:tcW w:w="1529" w:type="pct"/>
            <w:tcBorders>
              <w:top w:val="nil"/>
              <w:left w:val="nil"/>
              <w:bottom w:val="single" w:sz="4" w:space="0" w:color="auto"/>
              <w:right w:val="nil"/>
            </w:tcBorders>
            <w:shd w:val="clear" w:color="auto" w:fill="FFFFFF"/>
            <w:tcMar>
              <w:top w:w="110" w:type="dxa"/>
            </w:tcMar>
          </w:tcPr>
          <w:p w:rsidR="00466D38" w:rsidRPr="00526311" w:rsidRDefault="00466D38" w:rsidP="008761B9">
            <w:pPr>
              <w:rPr>
                <w:sz w:val="16"/>
                <w:szCs w:val="16"/>
              </w:rPr>
            </w:pPr>
            <w:r w:rsidRPr="00526311">
              <w:rPr>
                <w:sz w:val="16"/>
                <w:szCs w:val="16"/>
              </w:rPr>
              <w:t>No se dispone de datos para 2014;  en 2015 se dispondrá de un sistema de seguimiento (OOB)</w:t>
            </w:r>
          </w:p>
          <w:p w:rsidR="00466D38" w:rsidRPr="00526311" w:rsidRDefault="00466D38" w:rsidP="008761B9">
            <w:pPr>
              <w:spacing w:after="120"/>
              <w:rPr>
                <w:sz w:val="16"/>
                <w:szCs w:val="16"/>
              </w:rPr>
            </w:pPr>
          </w:p>
          <w:p w:rsidR="00466D38" w:rsidRPr="00526311" w:rsidRDefault="00466D38" w:rsidP="008761B9">
            <w:pPr>
              <w:spacing w:after="120"/>
              <w:rPr>
                <w:sz w:val="16"/>
                <w:szCs w:val="16"/>
              </w:rPr>
            </w:pPr>
            <w:r w:rsidRPr="00526311">
              <w:rPr>
                <w:sz w:val="16"/>
                <w:szCs w:val="16"/>
              </w:rPr>
              <w:t>En el 94% de los casos se responde en un plazo de 3 días laborables (OOJ)</w:t>
            </w:r>
          </w:p>
          <w:p w:rsidR="00466D38" w:rsidRPr="00526311" w:rsidRDefault="00466D38" w:rsidP="008761B9">
            <w:pPr>
              <w:spacing w:after="120"/>
              <w:rPr>
                <w:sz w:val="16"/>
                <w:szCs w:val="16"/>
              </w:rPr>
            </w:pPr>
            <w:r w:rsidRPr="00526311">
              <w:rPr>
                <w:sz w:val="16"/>
                <w:szCs w:val="16"/>
              </w:rPr>
              <w:t>En el 94% de los casos se respondió en un plazo de 3 días laborables (OOS)</w:t>
            </w:r>
          </w:p>
        </w:tc>
        <w:tc>
          <w:tcPr>
            <w:tcW w:w="604" w:type="pct"/>
            <w:tcBorders>
              <w:top w:val="nil"/>
              <w:left w:val="nil"/>
              <w:bottom w:val="single" w:sz="4" w:space="0" w:color="auto"/>
              <w:right w:val="single" w:sz="4" w:space="0" w:color="auto"/>
            </w:tcBorders>
            <w:shd w:val="clear" w:color="auto" w:fill="auto"/>
            <w:tcMar>
              <w:top w:w="110" w:type="dxa"/>
            </w:tcMar>
          </w:tcPr>
          <w:p w:rsidR="00466D38" w:rsidRPr="00526311" w:rsidRDefault="00466D38" w:rsidP="008761B9">
            <w:pPr>
              <w:keepNext/>
              <w:keepLines/>
              <w:jc w:val="center"/>
              <w:rPr>
                <w:b/>
                <w:bCs/>
                <w:color w:val="808080" w:themeColor="background1" w:themeShade="80"/>
                <w:sz w:val="16"/>
                <w:szCs w:val="16"/>
              </w:rPr>
            </w:pPr>
            <w:r w:rsidRPr="00526311">
              <w:rPr>
                <w:b/>
                <w:bCs/>
                <w:color w:val="808080" w:themeColor="background1" w:themeShade="80"/>
                <w:sz w:val="16"/>
                <w:szCs w:val="16"/>
              </w:rPr>
              <w:t>No mensurable</w:t>
            </w:r>
          </w:p>
          <w:p w:rsidR="00466D38" w:rsidRPr="00526311" w:rsidRDefault="00466D38" w:rsidP="008761B9">
            <w:pPr>
              <w:keepNext/>
              <w:keepLines/>
              <w:jc w:val="center"/>
              <w:rPr>
                <w:b/>
                <w:bCs/>
                <w:color w:val="808080" w:themeColor="background1" w:themeShade="80"/>
                <w:sz w:val="16"/>
                <w:szCs w:val="16"/>
              </w:rPr>
            </w:pPr>
          </w:p>
          <w:p w:rsidR="00466D38" w:rsidRPr="00526311" w:rsidRDefault="00466D38" w:rsidP="008761B9">
            <w:pPr>
              <w:keepNext/>
              <w:keepLines/>
              <w:jc w:val="center"/>
              <w:rPr>
                <w:b/>
                <w:bCs/>
                <w:color w:val="808080" w:themeColor="background1" w:themeShade="80"/>
                <w:sz w:val="16"/>
                <w:szCs w:val="16"/>
              </w:rPr>
            </w:pPr>
          </w:p>
          <w:p w:rsidR="00466D38" w:rsidRPr="00526311" w:rsidRDefault="00466D38" w:rsidP="008761B9">
            <w:pPr>
              <w:keepNext/>
              <w:keepLines/>
              <w:jc w:val="center"/>
              <w:rPr>
                <w:b/>
                <w:bCs/>
                <w:color w:val="808080" w:themeColor="background1" w:themeShade="80"/>
                <w:sz w:val="16"/>
                <w:szCs w:val="16"/>
              </w:rPr>
            </w:pPr>
          </w:p>
          <w:p w:rsidR="00466D38" w:rsidRPr="00526311" w:rsidRDefault="00466D38" w:rsidP="008761B9">
            <w:pPr>
              <w:keepNext/>
              <w:keepLines/>
              <w:jc w:val="center"/>
              <w:rPr>
                <w:b/>
                <w:bCs/>
                <w:color w:val="808080" w:themeColor="background1" w:themeShade="80"/>
                <w:sz w:val="16"/>
                <w:szCs w:val="16"/>
              </w:rPr>
            </w:pPr>
            <w:r w:rsidRPr="00526311">
              <w:rPr>
                <w:b/>
                <w:bCs/>
                <w:color w:val="808080" w:themeColor="background1" w:themeShade="80"/>
                <w:sz w:val="16"/>
                <w:szCs w:val="16"/>
              </w:rPr>
              <w:t>No mensurable</w:t>
            </w:r>
          </w:p>
          <w:p w:rsidR="00466D38" w:rsidRPr="00526311" w:rsidRDefault="00466D38" w:rsidP="008761B9">
            <w:pPr>
              <w:keepNext/>
              <w:keepLines/>
              <w:jc w:val="center"/>
              <w:rPr>
                <w:b/>
                <w:bCs/>
                <w:color w:val="808080" w:themeColor="background1" w:themeShade="80"/>
                <w:sz w:val="16"/>
                <w:szCs w:val="16"/>
              </w:rPr>
            </w:pPr>
          </w:p>
          <w:p w:rsidR="00466D38" w:rsidRPr="00526311" w:rsidRDefault="00466D38" w:rsidP="008761B9">
            <w:pPr>
              <w:keepNext/>
              <w:keepLines/>
              <w:jc w:val="center"/>
              <w:rPr>
                <w:b/>
                <w:bCs/>
                <w:color w:val="808080" w:themeColor="background1" w:themeShade="80"/>
                <w:sz w:val="16"/>
                <w:szCs w:val="16"/>
              </w:rPr>
            </w:pPr>
          </w:p>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rPr>
                <w:bCs/>
                <w:color w:val="808080"/>
                <w:sz w:val="16"/>
                <w:szCs w:val="16"/>
              </w:rPr>
            </w:pPr>
          </w:p>
        </w:tc>
      </w:tr>
      <w:tr w:rsidR="00466D38" w:rsidRPr="00526311" w:rsidTr="008761B9">
        <w:tc>
          <w:tcPr>
            <w:tcW w:w="5000" w:type="pct"/>
            <w:gridSpan w:val="5"/>
            <w:tcBorders>
              <w:top w:val="single" w:sz="4" w:space="0" w:color="auto"/>
              <w:bottom w:val="single" w:sz="4" w:space="0" w:color="auto"/>
            </w:tcBorders>
            <w:shd w:val="clear" w:color="auto" w:fill="CCFFFF"/>
          </w:tcPr>
          <w:p w:rsidR="00466D38" w:rsidRPr="00526311" w:rsidRDefault="00466D38" w:rsidP="008761B9">
            <w:pPr>
              <w:keepNext/>
              <w:keepLines/>
              <w:tabs>
                <w:tab w:val="left" w:pos="-1809"/>
              </w:tabs>
              <w:spacing w:before="120" w:after="120"/>
              <w:ind w:left="1735" w:hanging="1735"/>
              <w:rPr>
                <w:bCs/>
                <w:color w:val="808080"/>
                <w:sz w:val="16"/>
                <w:szCs w:val="16"/>
              </w:rPr>
            </w:pPr>
            <w:r w:rsidRPr="00526311">
              <w:rPr>
                <w:b/>
                <w:bCs/>
                <w:sz w:val="16"/>
                <w:szCs w:val="16"/>
              </w:rPr>
              <w:t>Resultado previsto:</w:t>
            </w:r>
            <w:r w:rsidRPr="00526311">
              <w:rPr>
                <w:b/>
                <w:bCs/>
                <w:sz w:val="16"/>
                <w:szCs w:val="16"/>
              </w:rPr>
              <w:tab/>
            </w:r>
            <w:r w:rsidRPr="00526311">
              <w:rPr>
                <w:bCs/>
                <w:sz w:val="16"/>
                <w:szCs w:val="16"/>
              </w:rPr>
              <w:t>VIII.4 Intercambios abiertos, transparentes y dinámicos con las organizaciones no gubernamentales</w:t>
            </w:r>
          </w:p>
        </w:tc>
      </w:tr>
      <w:tr w:rsidR="00466D38" w:rsidRPr="00526311" w:rsidTr="008761B9">
        <w:tc>
          <w:tcPr>
            <w:tcW w:w="1085" w:type="pct"/>
            <w:tcBorders>
              <w:top w:val="single" w:sz="4" w:space="0" w:color="auto"/>
              <w:left w:val="single" w:sz="4" w:space="0" w:color="auto"/>
              <w:bottom w:val="nil"/>
              <w:right w:val="nil"/>
            </w:tcBorders>
            <w:shd w:val="clear" w:color="auto" w:fill="auto"/>
          </w:tcPr>
          <w:p w:rsidR="00466D38" w:rsidRPr="00526311" w:rsidRDefault="00466D38" w:rsidP="008761B9">
            <w:pPr>
              <w:rPr>
                <w:color w:val="000000"/>
                <w:sz w:val="16"/>
                <w:szCs w:val="16"/>
              </w:rPr>
            </w:pPr>
            <w:r w:rsidRPr="00526311">
              <w:rPr>
                <w:b/>
                <w:color w:val="000000"/>
                <w:sz w:val="16"/>
                <w:szCs w:val="16"/>
              </w:rPr>
              <w:t>Indicadores de rendimiento</w:t>
            </w:r>
          </w:p>
        </w:tc>
        <w:tc>
          <w:tcPr>
            <w:tcW w:w="816" w:type="pct"/>
            <w:tcBorders>
              <w:top w:val="single" w:sz="4" w:space="0" w:color="auto"/>
              <w:left w:val="nil"/>
              <w:bottom w:val="nil"/>
              <w:right w:val="nil"/>
            </w:tcBorders>
            <w:shd w:val="clear" w:color="auto" w:fill="auto"/>
          </w:tcPr>
          <w:p w:rsidR="00466D38" w:rsidRPr="00526311" w:rsidRDefault="00466D38" w:rsidP="008761B9">
            <w:pPr>
              <w:rPr>
                <w:color w:val="002060"/>
                <w:sz w:val="16"/>
                <w:szCs w:val="16"/>
              </w:rPr>
            </w:pPr>
            <w:r w:rsidRPr="00526311">
              <w:rPr>
                <w:b/>
                <w:color w:val="000000"/>
                <w:sz w:val="16"/>
                <w:szCs w:val="16"/>
              </w:rPr>
              <w:t>Referencia</w:t>
            </w:r>
          </w:p>
        </w:tc>
        <w:tc>
          <w:tcPr>
            <w:tcW w:w="966" w:type="pct"/>
            <w:tcBorders>
              <w:top w:val="single" w:sz="4" w:space="0" w:color="auto"/>
              <w:left w:val="nil"/>
              <w:bottom w:val="nil"/>
              <w:right w:val="nil"/>
            </w:tcBorders>
            <w:shd w:val="clear" w:color="auto" w:fill="auto"/>
            <w:tcMar>
              <w:top w:w="110" w:type="dxa"/>
            </w:tcMar>
          </w:tcPr>
          <w:p w:rsidR="00466D38" w:rsidRPr="00526311" w:rsidRDefault="00466D38" w:rsidP="008761B9">
            <w:pPr>
              <w:rPr>
                <w:sz w:val="16"/>
                <w:szCs w:val="16"/>
              </w:rPr>
            </w:pPr>
            <w:r w:rsidRPr="00526311">
              <w:rPr>
                <w:b/>
                <w:color w:val="000000"/>
                <w:sz w:val="16"/>
                <w:szCs w:val="16"/>
              </w:rPr>
              <w:t>Objetivos</w:t>
            </w:r>
          </w:p>
        </w:tc>
        <w:tc>
          <w:tcPr>
            <w:tcW w:w="1529" w:type="pct"/>
            <w:tcBorders>
              <w:top w:val="single" w:sz="4" w:space="0" w:color="auto"/>
              <w:left w:val="nil"/>
              <w:bottom w:val="nil"/>
              <w:right w:val="nil"/>
            </w:tcBorders>
            <w:shd w:val="clear" w:color="auto" w:fill="FFFFFF"/>
            <w:tcMar>
              <w:top w:w="110" w:type="dxa"/>
            </w:tcMar>
          </w:tcPr>
          <w:p w:rsidR="00466D38" w:rsidRPr="00526311" w:rsidRDefault="00466D38" w:rsidP="008761B9">
            <w:pPr>
              <w:rPr>
                <w:sz w:val="16"/>
                <w:szCs w:val="16"/>
              </w:rPr>
            </w:pPr>
            <w:r w:rsidRPr="00526311">
              <w:rPr>
                <w:b/>
                <w:color w:val="000000"/>
                <w:sz w:val="16"/>
                <w:szCs w:val="16"/>
              </w:rPr>
              <w:t>Datos sobre el rendimiento</w:t>
            </w:r>
          </w:p>
        </w:tc>
        <w:tc>
          <w:tcPr>
            <w:tcW w:w="604" w:type="pct"/>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Cs/>
                <w:color w:val="808080"/>
                <w:sz w:val="16"/>
                <w:szCs w:val="16"/>
              </w:rPr>
            </w:pPr>
            <w:r w:rsidRPr="00526311">
              <w:rPr>
                <w:b/>
                <w:bCs/>
                <w:color w:val="000000"/>
                <w:sz w:val="16"/>
                <w:szCs w:val="16"/>
              </w:rPr>
              <w:t>Clave de colores</w:t>
            </w:r>
          </w:p>
        </w:tc>
      </w:tr>
      <w:tr w:rsidR="00466D38" w:rsidRPr="00526311" w:rsidTr="008761B9">
        <w:trPr>
          <w:trHeight w:val="3367"/>
        </w:trPr>
        <w:tc>
          <w:tcPr>
            <w:tcW w:w="1085" w:type="pct"/>
            <w:tcBorders>
              <w:top w:val="nil"/>
              <w:left w:val="single" w:sz="4" w:space="0" w:color="auto"/>
              <w:bottom w:val="single" w:sz="4" w:space="0" w:color="auto"/>
              <w:right w:val="nil"/>
            </w:tcBorders>
            <w:shd w:val="clear" w:color="auto" w:fill="auto"/>
          </w:tcPr>
          <w:p w:rsidR="00466D38" w:rsidRPr="00526311" w:rsidRDefault="00466D38" w:rsidP="008761B9">
            <w:pPr>
              <w:rPr>
                <w:color w:val="000000"/>
                <w:sz w:val="16"/>
                <w:szCs w:val="16"/>
              </w:rPr>
            </w:pPr>
            <w:r w:rsidRPr="00526311">
              <w:rPr>
                <w:sz w:val="16"/>
                <w:szCs w:val="16"/>
              </w:rPr>
              <w:t>Participación eficaz y en mayor grado de las partes interesadas no gubernamentales en las actividades de la OMPI y viceversa</w:t>
            </w:r>
          </w:p>
        </w:tc>
        <w:tc>
          <w:tcPr>
            <w:tcW w:w="816" w:type="pct"/>
            <w:tcBorders>
              <w:top w:val="nil"/>
              <w:left w:val="nil"/>
              <w:bottom w:val="single" w:sz="4" w:space="0" w:color="auto"/>
              <w:right w:val="nil"/>
            </w:tcBorders>
            <w:shd w:val="clear" w:color="auto" w:fill="auto"/>
          </w:tcPr>
          <w:p w:rsidR="00466D38" w:rsidRPr="00526311" w:rsidRDefault="00466D38" w:rsidP="008761B9">
            <w:pPr>
              <w:spacing w:after="160"/>
              <w:rPr>
                <w:color w:val="002060"/>
                <w:sz w:val="16"/>
                <w:szCs w:val="16"/>
              </w:rPr>
            </w:pPr>
            <w:r w:rsidRPr="00526311">
              <w:rPr>
                <w:i/>
                <w:color w:val="002060"/>
                <w:sz w:val="16"/>
                <w:szCs w:val="16"/>
              </w:rPr>
              <w:t>Referencia actualizada a fines de 2013:</w:t>
            </w:r>
            <w:r w:rsidRPr="00526311">
              <w:rPr>
                <w:color w:val="002060"/>
                <w:sz w:val="16"/>
                <w:szCs w:val="16"/>
              </w:rPr>
              <w:t xml:space="preserve">  </w:t>
            </w:r>
          </w:p>
          <w:p w:rsidR="00466D38" w:rsidRPr="00526311" w:rsidRDefault="00466D38" w:rsidP="008761B9">
            <w:pPr>
              <w:spacing w:after="160"/>
              <w:rPr>
                <w:color w:val="002060"/>
                <w:sz w:val="16"/>
                <w:szCs w:val="16"/>
              </w:rPr>
            </w:pPr>
            <w:r w:rsidRPr="00526311">
              <w:rPr>
                <w:color w:val="002060"/>
                <w:sz w:val="16"/>
                <w:szCs w:val="16"/>
              </w:rPr>
              <w:t>Al 31 de diciembre de 2013 habían asistido a sesiones de comités de la OMPI 227 representantes de ONG que gozan de la condición de observador permanente</w:t>
            </w:r>
          </w:p>
          <w:p w:rsidR="00466D38" w:rsidRPr="00526311" w:rsidRDefault="00466D38" w:rsidP="008761B9">
            <w:pPr>
              <w:rPr>
                <w:i/>
                <w:color w:val="002060"/>
                <w:sz w:val="16"/>
                <w:szCs w:val="16"/>
              </w:rPr>
            </w:pPr>
            <w:r w:rsidRPr="00526311">
              <w:rPr>
                <w:i/>
                <w:sz w:val="16"/>
                <w:szCs w:val="16"/>
              </w:rPr>
              <w:t>Referencia original en el presupuesto de 2014/15:  por determinar</w:t>
            </w:r>
          </w:p>
        </w:tc>
        <w:tc>
          <w:tcPr>
            <w:tcW w:w="966" w:type="pct"/>
            <w:tcBorders>
              <w:top w:val="nil"/>
              <w:left w:val="nil"/>
              <w:bottom w:val="single" w:sz="4" w:space="0" w:color="auto"/>
              <w:right w:val="nil"/>
            </w:tcBorders>
            <w:shd w:val="clear" w:color="auto" w:fill="auto"/>
            <w:tcMar>
              <w:top w:w="110" w:type="dxa"/>
            </w:tcMar>
          </w:tcPr>
          <w:p w:rsidR="00466D38" w:rsidRPr="00526311" w:rsidRDefault="00466D38" w:rsidP="008761B9">
            <w:pPr>
              <w:rPr>
                <w:sz w:val="16"/>
                <w:szCs w:val="16"/>
              </w:rPr>
            </w:pPr>
            <w:r w:rsidRPr="00526311">
              <w:rPr>
                <w:sz w:val="16"/>
                <w:szCs w:val="16"/>
              </w:rPr>
              <w:t>Aumento del 10% en la participación de diversas partes interesadas</w:t>
            </w:r>
          </w:p>
          <w:p w:rsidR="00466D38" w:rsidRPr="00526311" w:rsidRDefault="00466D38" w:rsidP="008761B9">
            <w:pPr>
              <w:rPr>
                <w:sz w:val="16"/>
                <w:szCs w:val="16"/>
              </w:rPr>
            </w:pPr>
          </w:p>
        </w:tc>
        <w:tc>
          <w:tcPr>
            <w:tcW w:w="1529" w:type="pct"/>
            <w:tcBorders>
              <w:top w:val="nil"/>
              <w:left w:val="nil"/>
              <w:bottom w:val="single" w:sz="4" w:space="0" w:color="auto"/>
              <w:right w:val="nil"/>
            </w:tcBorders>
            <w:shd w:val="clear" w:color="auto" w:fill="FFFFFF"/>
            <w:tcMar>
              <w:top w:w="110" w:type="dxa"/>
            </w:tcMar>
          </w:tcPr>
          <w:p w:rsidR="00466D38" w:rsidRPr="00526311" w:rsidRDefault="00466D38" w:rsidP="008761B9">
            <w:pPr>
              <w:rPr>
                <w:sz w:val="16"/>
                <w:szCs w:val="16"/>
              </w:rPr>
            </w:pPr>
            <w:r w:rsidRPr="00526311">
              <w:rPr>
                <w:sz w:val="16"/>
                <w:szCs w:val="16"/>
              </w:rPr>
              <w:t>Al 31 de diciembre de 2014 habían asistido a sesiones de comités de la OMPI 292 representantes de ONG que gozan de la condición de observador permanente (aumento del 29%)</w:t>
            </w:r>
          </w:p>
        </w:tc>
        <w:tc>
          <w:tcPr>
            <w:tcW w:w="604" w:type="pct"/>
            <w:tcBorders>
              <w:top w:val="nil"/>
              <w:left w:val="nil"/>
              <w:bottom w:val="single" w:sz="4" w:space="0" w:color="auto"/>
              <w:right w:val="single" w:sz="4" w:space="0" w:color="auto"/>
            </w:tcBorders>
            <w:shd w:val="clear" w:color="auto" w:fill="auto"/>
            <w:tcMar>
              <w:top w:w="110" w:type="dxa"/>
            </w:tcMar>
          </w:tcPr>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tc>
      </w:tr>
      <w:tr w:rsidR="00466D38" w:rsidRPr="00526311" w:rsidTr="008761B9">
        <w:tc>
          <w:tcPr>
            <w:tcW w:w="5000" w:type="pct"/>
            <w:gridSpan w:val="5"/>
            <w:tcBorders>
              <w:top w:val="single" w:sz="4" w:space="0" w:color="auto"/>
              <w:bottom w:val="single" w:sz="4" w:space="0" w:color="auto"/>
            </w:tcBorders>
            <w:shd w:val="clear" w:color="auto" w:fill="CCFFFF"/>
          </w:tcPr>
          <w:p w:rsidR="00466D38" w:rsidRPr="00526311" w:rsidRDefault="00466D38" w:rsidP="008761B9">
            <w:pPr>
              <w:keepNext/>
              <w:keepLines/>
              <w:tabs>
                <w:tab w:val="left" w:pos="-1526"/>
              </w:tabs>
              <w:spacing w:before="120" w:after="120"/>
              <w:ind w:left="1735" w:hanging="1735"/>
              <w:rPr>
                <w:bCs/>
                <w:color w:val="808080"/>
                <w:sz w:val="16"/>
                <w:szCs w:val="16"/>
              </w:rPr>
            </w:pPr>
            <w:r w:rsidRPr="00526311">
              <w:rPr>
                <w:b/>
                <w:bCs/>
                <w:sz w:val="16"/>
                <w:szCs w:val="16"/>
              </w:rPr>
              <w:t>Resultado previsto:</w:t>
            </w:r>
            <w:r w:rsidRPr="00526311">
              <w:rPr>
                <w:b/>
                <w:bCs/>
                <w:sz w:val="16"/>
                <w:szCs w:val="16"/>
              </w:rPr>
              <w:tab/>
            </w:r>
            <w:r w:rsidRPr="00526311">
              <w:rPr>
                <w:bCs/>
                <w:sz w:val="16"/>
                <w:szCs w:val="16"/>
              </w:rPr>
              <w:t>VIII.5 La OMPI participa y colabora eficazmente en los procesos y negociaciones de las NN.UU. y otras OIG</w:t>
            </w:r>
          </w:p>
        </w:tc>
      </w:tr>
      <w:tr w:rsidR="00466D38" w:rsidRPr="00526311" w:rsidTr="00466D38">
        <w:tc>
          <w:tcPr>
            <w:tcW w:w="1085" w:type="pct"/>
            <w:tcBorders>
              <w:top w:val="single" w:sz="4" w:space="0" w:color="auto"/>
              <w:left w:val="single" w:sz="4" w:space="0" w:color="auto"/>
              <w:bottom w:val="nil"/>
              <w:right w:val="nil"/>
            </w:tcBorders>
            <w:shd w:val="clear" w:color="auto" w:fill="auto"/>
          </w:tcPr>
          <w:p w:rsidR="00466D38" w:rsidRPr="00526311" w:rsidRDefault="00466D38" w:rsidP="008761B9">
            <w:pPr>
              <w:rPr>
                <w:sz w:val="16"/>
                <w:szCs w:val="16"/>
              </w:rPr>
            </w:pPr>
            <w:r w:rsidRPr="00526311">
              <w:rPr>
                <w:b/>
                <w:sz w:val="16"/>
                <w:szCs w:val="16"/>
              </w:rPr>
              <w:t>Indicadores de rendimiento</w:t>
            </w:r>
          </w:p>
        </w:tc>
        <w:tc>
          <w:tcPr>
            <w:tcW w:w="816" w:type="pct"/>
            <w:tcBorders>
              <w:top w:val="single" w:sz="4" w:space="0" w:color="auto"/>
              <w:left w:val="nil"/>
              <w:bottom w:val="nil"/>
              <w:right w:val="nil"/>
            </w:tcBorders>
            <w:shd w:val="clear" w:color="auto" w:fill="auto"/>
          </w:tcPr>
          <w:p w:rsidR="00466D38" w:rsidRPr="00526311" w:rsidRDefault="00466D38" w:rsidP="008761B9">
            <w:pPr>
              <w:rPr>
                <w:sz w:val="16"/>
                <w:szCs w:val="16"/>
              </w:rPr>
            </w:pPr>
            <w:r w:rsidRPr="00526311">
              <w:rPr>
                <w:b/>
                <w:sz w:val="16"/>
                <w:szCs w:val="16"/>
              </w:rPr>
              <w:t>Referencia</w:t>
            </w:r>
          </w:p>
        </w:tc>
        <w:tc>
          <w:tcPr>
            <w:tcW w:w="966" w:type="pct"/>
            <w:tcBorders>
              <w:top w:val="single" w:sz="4" w:space="0" w:color="auto"/>
              <w:left w:val="nil"/>
              <w:bottom w:val="nil"/>
              <w:right w:val="nil"/>
            </w:tcBorders>
            <w:shd w:val="clear" w:color="auto" w:fill="auto"/>
            <w:tcMar>
              <w:top w:w="110" w:type="dxa"/>
            </w:tcMar>
          </w:tcPr>
          <w:p w:rsidR="00466D38" w:rsidRPr="00526311" w:rsidRDefault="00466D38" w:rsidP="008761B9">
            <w:pPr>
              <w:rPr>
                <w:sz w:val="16"/>
                <w:szCs w:val="16"/>
              </w:rPr>
            </w:pPr>
            <w:r w:rsidRPr="00526311">
              <w:rPr>
                <w:b/>
                <w:sz w:val="16"/>
                <w:szCs w:val="16"/>
              </w:rPr>
              <w:t>Objetivos</w:t>
            </w:r>
          </w:p>
        </w:tc>
        <w:tc>
          <w:tcPr>
            <w:tcW w:w="1529" w:type="pct"/>
            <w:tcBorders>
              <w:top w:val="single" w:sz="4" w:space="0" w:color="auto"/>
              <w:left w:val="nil"/>
              <w:bottom w:val="nil"/>
              <w:right w:val="nil"/>
            </w:tcBorders>
            <w:shd w:val="clear" w:color="auto" w:fill="FFFFFF"/>
            <w:tcMar>
              <w:top w:w="110" w:type="dxa"/>
            </w:tcMar>
          </w:tcPr>
          <w:p w:rsidR="00466D38" w:rsidRPr="00526311" w:rsidRDefault="00466D38" w:rsidP="008761B9">
            <w:pPr>
              <w:rPr>
                <w:sz w:val="16"/>
                <w:szCs w:val="16"/>
              </w:rPr>
            </w:pPr>
            <w:r w:rsidRPr="00526311">
              <w:rPr>
                <w:b/>
                <w:sz w:val="16"/>
                <w:szCs w:val="16"/>
              </w:rPr>
              <w:t>Datos sobre el rendimiento</w:t>
            </w:r>
          </w:p>
        </w:tc>
        <w:tc>
          <w:tcPr>
            <w:tcW w:w="604" w:type="pct"/>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Cs/>
                <w:sz w:val="16"/>
                <w:szCs w:val="16"/>
              </w:rPr>
            </w:pPr>
            <w:r w:rsidRPr="00526311">
              <w:rPr>
                <w:b/>
                <w:bCs/>
                <w:sz w:val="16"/>
                <w:szCs w:val="16"/>
              </w:rPr>
              <w:t>Clave de colores</w:t>
            </w:r>
          </w:p>
        </w:tc>
      </w:tr>
      <w:tr w:rsidR="00466D38" w:rsidRPr="00526311" w:rsidTr="00466D38">
        <w:trPr>
          <w:trHeight w:val="2654"/>
        </w:trPr>
        <w:tc>
          <w:tcPr>
            <w:tcW w:w="1085" w:type="pct"/>
            <w:tcBorders>
              <w:top w:val="nil"/>
              <w:left w:val="single" w:sz="4" w:space="0" w:color="auto"/>
              <w:bottom w:val="single" w:sz="4" w:space="0" w:color="auto"/>
              <w:right w:val="nil"/>
            </w:tcBorders>
            <w:shd w:val="clear" w:color="auto" w:fill="auto"/>
          </w:tcPr>
          <w:p w:rsidR="00466D38" w:rsidRPr="00526311" w:rsidRDefault="00466D38" w:rsidP="008761B9">
            <w:pPr>
              <w:rPr>
                <w:sz w:val="16"/>
                <w:szCs w:val="16"/>
              </w:rPr>
            </w:pPr>
            <w:r w:rsidRPr="00526311">
              <w:rPr>
                <w:sz w:val="16"/>
                <w:szCs w:val="16"/>
              </w:rPr>
              <w:t>Utilización de las aportaciones de la OMPI en informes, resoluciones y documentos de procesos de las partes interesadas</w:t>
            </w:r>
          </w:p>
        </w:tc>
        <w:tc>
          <w:tcPr>
            <w:tcW w:w="816" w:type="pct"/>
            <w:tcBorders>
              <w:top w:val="nil"/>
              <w:left w:val="nil"/>
              <w:bottom w:val="single" w:sz="4" w:space="0" w:color="auto"/>
              <w:right w:val="nil"/>
            </w:tcBorders>
            <w:shd w:val="clear" w:color="auto" w:fill="auto"/>
          </w:tcPr>
          <w:p w:rsidR="00466D38" w:rsidRPr="00526311" w:rsidRDefault="00466D38" w:rsidP="008761B9">
            <w:pPr>
              <w:spacing w:after="120"/>
              <w:rPr>
                <w:i/>
                <w:color w:val="002060"/>
                <w:sz w:val="16"/>
                <w:szCs w:val="16"/>
              </w:rPr>
            </w:pPr>
            <w:r w:rsidRPr="00526311">
              <w:rPr>
                <w:i/>
                <w:color w:val="002060"/>
                <w:sz w:val="16"/>
                <w:szCs w:val="16"/>
              </w:rPr>
              <w:t xml:space="preserve">Referencia actualizada a fines de 2013:  </w:t>
            </w:r>
          </w:p>
          <w:p w:rsidR="00466D38" w:rsidRPr="00526311" w:rsidRDefault="00466D38" w:rsidP="008761B9">
            <w:pPr>
              <w:spacing w:after="120"/>
              <w:rPr>
                <w:color w:val="002060"/>
                <w:sz w:val="16"/>
                <w:szCs w:val="16"/>
              </w:rPr>
            </w:pPr>
            <w:r w:rsidRPr="00526311">
              <w:rPr>
                <w:color w:val="002060"/>
                <w:sz w:val="16"/>
                <w:szCs w:val="16"/>
              </w:rPr>
              <w:t>38 aportaciones en 2012/13, todas las cuales se reflejaron satisfactoriamente</w:t>
            </w:r>
          </w:p>
          <w:p w:rsidR="00466D38" w:rsidRPr="00526311" w:rsidRDefault="00466D38" w:rsidP="008761B9">
            <w:pPr>
              <w:spacing w:after="120"/>
              <w:rPr>
                <w:i/>
                <w:sz w:val="16"/>
                <w:szCs w:val="16"/>
              </w:rPr>
            </w:pPr>
            <w:r w:rsidRPr="00526311">
              <w:rPr>
                <w:i/>
                <w:sz w:val="16"/>
                <w:szCs w:val="16"/>
              </w:rPr>
              <w:t xml:space="preserve">Referencia original en el presupuesto de 2014/15: </w:t>
            </w:r>
          </w:p>
          <w:p w:rsidR="00466D38" w:rsidRPr="00526311" w:rsidRDefault="00466D38" w:rsidP="008761B9">
            <w:pPr>
              <w:spacing w:after="120"/>
              <w:rPr>
                <w:color w:val="002060"/>
                <w:sz w:val="16"/>
                <w:szCs w:val="16"/>
              </w:rPr>
            </w:pPr>
            <w:r w:rsidRPr="00526311">
              <w:rPr>
                <w:sz w:val="16"/>
                <w:szCs w:val="16"/>
              </w:rPr>
              <w:t>20 de 24 (a fines de 2011)</w:t>
            </w:r>
          </w:p>
        </w:tc>
        <w:tc>
          <w:tcPr>
            <w:tcW w:w="966" w:type="pct"/>
            <w:tcBorders>
              <w:top w:val="nil"/>
              <w:left w:val="nil"/>
              <w:bottom w:val="single" w:sz="4" w:space="0" w:color="auto"/>
              <w:right w:val="nil"/>
            </w:tcBorders>
            <w:shd w:val="clear" w:color="auto" w:fill="auto"/>
            <w:tcMar>
              <w:top w:w="110" w:type="dxa"/>
            </w:tcMar>
          </w:tcPr>
          <w:p w:rsidR="00466D38" w:rsidRPr="00526311" w:rsidRDefault="00466D38" w:rsidP="008761B9">
            <w:pPr>
              <w:rPr>
                <w:sz w:val="16"/>
                <w:szCs w:val="16"/>
              </w:rPr>
            </w:pPr>
            <w:r w:rsidRPr="00526311">
              <w:rPr>
                <w:sz w:val="16"/>
                <w:szCs w:val="16"/>
              </w:rPr>
              <w:t xml:space="preserve">Uso al 100% </w:t>
            </w:r>
          </w:p>
        </w:tc>
        <w:tc>
          <w:tcPr>
            <w:tcW w:w="1529" w:type="pct"/>
            <w:tcBorders>
              <w:top w:val="nil"/>
              <w:left w:val="nil"/>
              <w:bottom w:val="single" w:sz="4" w:space="0" w:color="auto"/>
              <w:right w:val="nil"/>
            </w:tcBorders>
            <w:shd w:val="clear" w:color="auto" w:fill="FFFFFF"/>
            <w:tcMar>
              <w:top w:w="110" w:type="dxa"/>
            </w:tcMar>
          </w:tcPr>
          <w:p w:rsidR="00466D38" w:rsidRPr="00526311" w:rsidRDefault="00466D38" w:rsidP="008761B9">
            <w:pPr>
              <w:rPr>
                <w:sz w:val="16"/>
                <w:szCs w:val="16"/>
              </w:rPr>
            </w:pPr>
            <w:r w:rsidRPr="00526311">
              <w:rPr>
                <w:sz w:val="16"/>
                <w:szCs w:val="16"/>
              </w:rPr>
              <w:t>Utilización de 12 de 15 aportaciones (80%), 3 en curso</w:t>
            </w:r>
          </w:p>
        </w:tc>
        <w:tc>
          <w:tcPr>
            <w:tcW w:w="604" w:type="pct"/>
            <w:tcBorders>
              <w:top w:val="nil"/>
              <w:left w:val="nil"/>
              <w:bottom w:val="single" w:sz="4" w:space="0" w:color="auto"/>
              <w:right w:val="single" w:sz="4" w:space="0" w:color="auto"/>
            </w:tcBorders>
            <w:shd w:val="clear" w:color="auto" w:fill="auto"/>
            <w:tcMar>
              <w:top w:w="110" w:type="dxa"/>
            </w:tcMar>
          </w:tcPr>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rPr>
                <w:b/>
                <w:bCs/>
                <w:color w:val="00B050"/>
                <w:sz w:val="16"/>
                <w:szCs w:val="16"/>
              </w:rPr>
            </w:pPr>
          </w:p>
        </w:tc>
      </w:tr>
    </w:tbl>
    <w:p w:rsidR="00466D38" w:rsidRPr="00526311" w:rsidRDefault="00466D38">
      <w:r w:rsidRPr="00526311">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7"/>
        <w:gridCol w:w="1562"/>
        <w:gridCol w:w="1849"/>
        <w:gridCol w:w="2927"/>
        <w:gridCol w:w="1156"/>
      </w:tblGrid>
      <w:tr w:rsidR="00466D38" w:rsidRPr="00526311" w:rsidTr="00681E0B">
        <w:tc>
          <w:tcPr>
            <w:tcW w:w="1085" w:type="pct"/>
            <w:tcBorders>
              <w:top w:val="single" w:sz="4" w:space="0" w:color="auto"/>
              <w:left w:val="single" w:sz="4" w:space="0" w:color="auto"/>
              <w:bottom w:val="nil"/>
              <w:right w:val="nil"/>
            </w:tcBorders>
            <w:shd w:val="clear" w:color="auto" w:fill="auto"/>
          </w:tcPr>
          <w:p w:rsidR="00466D38" w:rsidRPr="00526311" w:rsidRDefault="00466D38" w:rsidP="008761B9">
            <w:pPr>
              <w:rPr>
                <w:sz w:val="16"/>
                <w:szCs w:val="16"/>
              </w:rPr>
            </w:pPr>
            <w:r w:rsidRPr="00526311">
              <w:rPr>
                <w:b/>
                <w:sz w:val="16"/>
                <w:szCs w:val="16"/>
              </w:rPr>
              <w:lastRenderedPageBreak/>
              <w:t>Indicadores de rendimiento</w:t>
            </w:r>
          </w:p>
        </w:tc>
        <w:tc>
          <w:tcPr>
            <w:tcW w:w="816" w:type="pct"/>
            <w:tcBorders>
              <w:top w:val="single" w:sz="4" w:space="0" w:color="auto"/>
              <w:left w:val="nil"/>
              <w:bottom w:val="nil"/>
              <w:right w:val="nil"/>
            </w:tcBorders>
            <w:shd w:val="clear" w:color="auto" w:fill="auto"/>
          </w:tcPr>
          <w:p w:rsidR="00466D38" w:rsidRPr="00526311" w:rsidRDefault="00466D38" w:rsidP="008761B9">
            <w:pPr>
              <w:rPr>
                <w:sz w:val="16"/>
                <w:szCs w:val="16"/>
              </w:rPr>
            </w:pPr>
            <w:r w:rsidRPr="00526311">
              <w:rPr>
                <w:b/>
                <w:sz w:val="16"/>
                <w:szCs w:val="16"/>
              </w:rPr>
              <w:t>Referencia</w:t>
            </w:r>
          </w:p>
        </w:tc>
        <w:tc>
          <w:tcPr>
            <w:tcW w:w="966" w:type="pct"/>
            <w:tcBorders>
              <w:top w:val="single" w:sz="4" w:space="0" w:color="auto"/>
              <w:left w:val="nil"/>
              <w:bottom w:val="nil"/>
              <w:right w:val="nil"/>
            </w:tcBorders>
            <w:shd w:val="clear" w:color="auto" w:fill="auto"/>
            <w:tcMar>
              <w:top w:w="110" w:type="dxa"/>
            </w:tcMar>
          </w:tcPr>
          <w:p w:rsidR="00466D38" w:rsidRPr="00526311" w:rsidRDefault="00466D38" w:rsidP="008761B9">
            <w:pPr>
              <w:rPr>
                <w:sz w:val="16"/>
                <w:szCs w:val="16"/>
              </w:rPr>
            </w:pPr>
            <w:r w:rsidRPr="00526311">
              <w:rPr>
                <w:b/>
                <w:sz w:val="16"/>
                <w:szCs w:val="16"/>
              </w:rPr>
              <w:t>Objetivos</w:t>
            </w:r>
          </w:p>
        </w:tc>
        <w:tc>
          <w:tcPr>
            <w:tcW w:w="1529" w:type="pct"/>
            <w:tcBorders>
              <w:top w:val="single" w:sz="4" w:space="0" w:color="auto"/>
              <w:left w:val="nil"/>
              <w:bottom w:val="nil"/>
              <w:right w:val="nil"/>
            </w:tcBorders>
            <w:shd w:val="clear" w:color="auto" w:fill="FFFFFF"/>
            <w:tcMar>
              <w:top w:w="110" w:type="dxa"/>
            </w:tcMar>
          </w:tcPr>
          <w:p w:rsidR="00466D38" w:rsidRPr="00526311" w:rsidRDefault="00466D38" w:rsidP="008761B9">
            <w:pPr>
              <w:rPr>
                <w:sz w:val="16"/>
                <w:szCs w:val="16"/>
              </w:rPr>
            </w:pPr>
            <w:r w:rsidRPr="00526311">
              <w:rPr>
                <w:b/>
                <w:sz w:val="16"/>
                <w:szCs w:val="16"/>
              </w:rPr>
              <w:t>Datos sobre el rendimiento</w:t>
            </w:r>
          </w:p>
        </w:tc>
        <w:tc>
          <w:tcPr>
            <w:tcW w:w="604" w:type="pct"/>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Cs/>
                <w:sz w:val="16"/>
                <w:szCs w:val="16"/>
              </w:rPr>
            </w:pPr>
            <w:r w:rsidRPr="00526311">
              <w:rPr>
                <w:b/>
                <w:bCs/>
                <w:sz w:val="16"/>
                <w:szCs w:val="16"/>
              </w:rPr>
              <w:t>Clave de colores</w:t>
            </w:r>
          </w:p>
        </w:tc>
      </w:tr>
      <w:tr w:rsidR="00681E0B" w:rsidRPr="00526311" w:rsidTr="007D4926">
        <w:trPr>
          <w:trHeight w:val="2235"/>
        </w:trPr>
        <w:tc>
          <w:tcPr>
            <w:tcW w:w="1085" w:type="pct"/>
            <w:tcBorders>
              <w:top w:val="nil"/>
              <w:left w:val="single" w:sz="4" w:space="0" w:color="auto"/>
              <w:bottom w:val="nil"/>
              <w:right w:val="nil"/>
            </w:tcBorders>
            <w:shd w:val="clear" w:color="auto" w:fill="auto"/>
          </w:tcPr>
          <w:p w:rsidR="00681E0B" w:rsidRPr="00526311" w:rsidRDefault="00681E0B" w:rsidP="008761B9">
            <w:pPr>
              <w:rPr>
                <w:sz w:val="16"/>
                <w:szCs w:val="16"/>
              </w:rPr>
            </w:pPr>
            <w:r w:rsidRPr="00526311">
              <w:rPr>
                <w:sz w:val="16"/>
                <w:szCs w:val="16"/>
              </w:rPr>
              <w:t>Porcentaje de respuestas cursadas puntualmente atendiendo a peticiones externas de aportación por parte de las NN.UU., OIG, etc.</w:t>
            </w:r>
          </w:p>
        </w:tc>
        <w:tc>
          <w:tcPr>
            <w:tcW w:w="816" w:type="pct"/>
            <w:tcBorders>
              <w:top w:val="nil"/>
              <w:left w:val="nil"/>
              <w:bottom w:val="nil"/>
              <w:right w:val="nil"/>
            </w:tcBorders>
            <w:shd w:val="clear" w:color="auto" w:fill="auto"/>
          </w:tcPr>
          <w:p w:rsidR="00681E0B" w:rsidRPr="00526311" w:rsidRDefault="00681E0B" w:rsidP="00681E0B">
            <w:pPr>
              <w:spacing w:after="120"/>
              <w:rPr>
                <w:i/>
                <w:color w:val="002060"/>
                <w:sz w:val="16"/>
                <w:szCs w:val="16"/>
              </w:rPr>
            </w:pPr>
            <w:r w:rsidRPr="00526311">
              <w:rPr>
                <w:i/>
                <w:color w:val="002060"/>
                <w:sz w:val="16"/>
                <w:szCs w:val="16"/>
              </w:rPr>
              <w:t xml:space="preserve">Referencia actualizada a fines de 2013:  </w:t>
            </w:r>
          </w:p>
          <w:p w:rsidR="00681E0B" w:rsidRPr="00526311" w:rsidRDefault="00681E0B" w:rsidP="00681E0B">
            <w:pPr>
              <w:spacing w:after="120"/>
              <w:rPr>
                <w:color w:val="002060"/>
                <w:sz w:val="16"/>
                <w:szCs w:val="16"/>
              </w:rPr>
            </w:pPr>
            <w:r w:rsidRPr="00526311">
              <w:rPr>
                <w:color w:val="002060"/>
                <w:sz w:val="16"/>
                <w:szCs w:val="16"/>
              </w:rPr>
              <w:t>90,5% tramitado en un plazo de 5 días hábiles</w:t>
            </w:r>
          </w:p>
          <w:p w:rsidR="00681E0B" w:rsidRPr="00526311" w:rsidRDefault="00681E0B" w:rsidP="007D4926">
            <w:pPr>
              <w:spacing w:after="120"/>
              <w:rPr>
                <w:sz w:val="16"/>
                <w:szCs w:val="16"/>
              </w:rPr>
            </w:pPr>
            <w:r w:rsidRPr="00526311">
              <w:rPr>
                <w:i/>
                <w:sz w:val="16"/>
                <w:szCs w:val="16"/>
              </w:rPr>
              <w:t xml:space="preserve">Referencia original en el presupuesto de 2014/15: </w:t>
            </w:r>
            <w:r w:rsidR="007D4926">
              <w:rPr>
                <w:i/>
                <w:sz w:val="16"/>
                <w:szCs w:val="16"/>
              </w:rPr>
              <w:t xml:space="preserve"> </w:t>
            </w:r>
            <w:r w:rsidRPr="00526311">
              <w:rPr>
                <w:sz w:val="16"/>
                <w:szCs w:val="16"/>
              </w:rPr>
              <w:t>Por determinar (datos de 2012)</w:t>
            </w:r>
          </w:p>
        </w:tc>
        <w:tc>
          <w:tcPr>
            <w:tcW w:w="966" w:type="pct"/>
            <w:tcBorders>
              <w:top w:val="nil"/>
              <w:left w:val="nil"/>
              <w:bottom w:val="nil"/>
              <w:right w:val="nil"/>
            </w:tcBorders>
            <w:shd w:val="clear" w:color="auto" w:fill="auto"/>
            <w:tcMar>
              <w:top w:w="110" w:type="dxa"/>
            </w:tcMar>
          </w:tcPr>
          <w:p w:rsidR="00681E0B" w:rsidRPr="00526311" w:rsidRDefault="00681E0B" w:rsidP="008761B9">
            <w:pPr>
              <w:rPr>
                <w:sz w:val="16"/>
                <w:szCs w:val="16"/>
              </w:rPr>
            </w:pPr>
            <w:r w:rsidRPr="00526311">
              <w:rPr>
                <w:sz w:val="16"/>
                <w:szCs w:val="16"/>
              </w:rPr>
              <w:t>100%</w:t>
            </w:r>
          </w:p>
        </w:tc>
        <w:tc>
          <w:tcPr>
            <w:tcW w:w="1529" w:type="pct"/>
            <w:tcBorders>
              <w:top w:val="nil"/>
              <w:left w:val="nil"/>
              <w:bottom w:val="nil"/>
              <w:right w:val="nil"/>
            </w:tcBorders>
            <w:shd w:val="clear" w:color="auto" w:fill="FFFFFF"/>
            <w:tcMar>
              <w:top w:w="110" w:type="dxa"/>
            </w:tcMar>
          </w:tcPr>
          <w:p w:rsidR="00681E0B" w:rsidRPr="00526311" w:rsidRDefault="00681E0B" w:rsidP="00681E0B">
            <w:pPr>
              <w:pStyle w:val="ListParagraph"/>
              <w:spacing w:after="200"/>
              <w:ind w:left="-16"/>
              <w:contextualSpacing/>
              <w:rPr>
                <w:rFonts w:eastAsia="SimSun" w:cs="Arial"/>
                <w:sz w:val="16"/>
                <w:szCs w:val="16"/>
                <w:lang w:val="es-ES" w:eastAsia="zh-CN"/>
              </w:rPr>
            </w:pPr>
            <w:r w:rsidRPr="00526311">
              <w:rPr>
                <w:rFonts w:eastAsia="SimSun" w:cs="Arial"/>
                <w:sz w:val="16"/>
                <w:szCs w:val="16"/>
                <w:lang w:val="es-ES" w:eastAsia="zh-CN"/>
              </w:rPr>
              <w:t>174 de 185 (94%) respuestas cursadas a tiempo (en un plazo de 5 días hábiles)</w:t>
            </w:r>
          </w:p>
        </w:tc>
        <w:tc>
          <w:tcPr>
            <w:tcW w:w="604" w:type="pct"/>
            <w:tcBorders>
              <w:top w:val="nil"/>
              <w:left w:val="nil"/>
              <w:bottom w:val="nil"/>
              <w:right w:val="single" w:sz="4" w:space="0" w:color="auto"/>
            </w:tcBorders>
            <w:shd w:val="clear" w:color="auto" w:fill="auto"/>
            <w:tcMar>
              <w:top w:w="110" w:type="dxa"/>
            </w:tcMar>
          </w:tcPr>
          <w:p w:rsidR="00681E0B" w:rsidRPr="00526311" w:rsidRDefault="00681E0B" w:rsidP="008761B9">
            <w:pPr>
              <w:keepNext/>
              <w:keepLines/>
              <w:ind w:left="-108"/>
              <w:jc w:val="center"/>
              <w:rPr>
                <w:b/>
                <w:bCs/>
                <w:color w:val="00B050"/>
                <w:sz w:val="16"/>
                <w:szCs w:val="16"/>
              </w:rPr>
            </w:pPr>
            <w:r w:rsidRPr="00526311">
              <w:rPr>
                <w:b/>
                <w:bCs/>
                <w:color w:val="00B050"/>
                <w:sz w:val="16"/>
                <w:szCs w:val="16"/>
              </w:rPr>
              <w:t>Avanza</w:t>
            </w:r>
          </w:p>
        </w:tc>
      </w:tr>
      <w:tr w:rsidR="00466D38" w:rsidRPr="00526311" w:rsidTr="007D4926">
        <w:trPr>
          <w:trHeight w:val="2867"/>
        </w:trPr>
        <w:tc>
          <w:tcPr>
            <w:tcW w:w="1085" w:type="pct"/>
            <w:tcBorders>
              <w:top w:val="nil"/>
              <w:left w:val="single" w:sz="4" w:space="0" w:color="auto"/>
              <w:bottom w:val="single" w:sz="4" w:space="0" w:color="auto"/>
              <w:right w:val="nil"/>
            </w:tcBorders>
            <w:shd w:val="clear" w:color="auto" w:fill="auto"/>
          </w:tcPr>
          <w:p w:rsidR="00466D38" w:rsidRPr="00526311" w:rsidRDefault="00466D38" w:rsidP="008761B9">
            <w:pPr>
              <w:rPr>
                <w:sz w:val="16"/>
                <w:szCs w:val="16"/>
              </w:rPr>
            </w:pPr>
            <w:r w:rsidRPr="00526311">
              <w:rPr>
                <w:sz w:val="16"/>
                <w:szCs w:val="16"/>
              </w:rPr>
              <w:t>Número de programas de P.I. ejecutados conjuntamente con otros organismos de NN.UU. y otras OIG.</w:t>
            </w:r>
          </w:p>
        </w:tc>
        <w:tc>
          <w:tcPr>
            <w:tcW w:w="816" w:type="pct"/>
            <w:tcBorders>
              <w:top w:val="nil"/>
              <w:left w:val="nil"/>
              <w:bottom w:val="single" w:sz="4" w:space="0" w:color="auto"/>
              <w:right w:val="nil"/>
            </w:tcBorders>
            <w:shd w:val="clear" w:color="auto" w:fill="auto"/>
          </w:tcPr>
          <w:p w:rsidR="00466D38" w:rsidRPr="00526311" w:rsidRDefault="00466D38" w:rsidP="008761B9">
            <w:pPr>
              <w:rPr>
                <w:sz w:val="16"/>
                <w:szCs w:val="16"/>
              </w:rPr>
            </w:pPr>
            <w:r w:rsidRPr="00526311">
              <w:rPr>
                <w:sz w:val="16"/>
                <w:szCs w:val="16"/>
              </w:rPr>
              <w:t>0 (cero) (OOS)</w:t>
            </w:r>
          </w:p>
        </w:tc>
        <w:tc>
          <w:tcPr>
            <w:tcW w:w="966" w:type="pct"/>
            <w:tcBorders>
              <w:top w:val="nil"/>
              <w:left w:val="nil"/>
              <w:bottom w:val="single" w:sz="4" w:space="0" w:color="auto"/>
              <w:right w:val="nil"/>
            </w:tcBorders>
            <w:shd w:val="clear" w:color="auto" w:fill="auto"/>
            <w:tcMar>
              <w:top w:w="110" w:type="dxa"/>
            </w:tcMar>
          </w:tcPr>
          <w:p w:rsidR="00466D38" w:rsidRPr="00526311" w:rsidRDefault="00466D38" w:rsidP="008761B9">
            <w:pPr>
              <w:rPr>
                <w:sz w:val="16"/>
                <w:szCs w:val="16"/>
              </w:rPr>
            </w:pPr>
            <w:r w:rsidRPr="00526311">
              <w:rPr>
                <w:sz w:val="16"/>
                <w:szCs w:val="16"/>
              </w:rPr>
              <w:t>2 (OOS)</w:t>
            </w:r>
          </w:p>
        </w:tc>
        <w:tc>
          <w:tcPr>
            <w:tcW w:w="1529" w:type="pct"/>
            <w:tcBorders>
              <w:top w:val="nil"/>
              <w:left w:val="nil"/>
              <w:bottom w:val="single" w:sz="4" w:space="0" w:color="auto"/>
              <w:right w:val="nil"/>
            </w:tcBorders>
            <w:shd w:val="clear" w:color="auto" w:fill="FFFFFF"/>
            <w:tcMar>
              <w:top w:w="110" w:type="dxa"/>
            </w:tcMar>
          </w:tcPr>
          <w:p w:rsidR="00466D38" w:rsidRPr="00526311" w:rsidRDefault="00466D38" w:rsidP="007D4926">
            <w:pPr>
              <w:pStyle w:val="ListParagraph"/>
              <w:numPr>
                <w:ilvl w:val="0"/>
                <w:numId w:val="76"/>
              </w:numPr>
              <w:spacing w:after="200"/>
              <w:ind w:left="74" w:hanging="141"/>
              <w:contextualSpacing/>
              <w:rPr>
                <w:rFonts w:eastAsia="SimSun" w:cs="Arial"/>
                <w:sz w:val="16"/>
                <w:szCs w:val="16"/>
                <w:lang w:val="es-ES" w:eastAsia="zh-CN"/>
              </w:rPr>
            </w:pPr>
            <w:r w:rsidRPr="00526311">
              <w:rPr>
                <w:rFonts w:eastAsia="SimSun" w:cs="Arial"/>
                <w:sz w:val="16"/>
                <w:szCs w:val="16"/>
                <w:lang w:val="es-ES" w:eastAsia="zh-CN"/>
              </w:rPr>
              <w:t>2 eventos con organismos especializados de las NN.UU.  (PNUMA y ONUDI) en 2014</w:t>
            </w:r>
          </w:p>
          <w:p w:rsidR="00466D38" w:rsidRPr="00526311" w:rsidRDefault="00466D38" w:rsidP="007D4926">
            <w:pPr>
              <w:pStyle w:val="ListParagraph"/>
              <w:numPr>
                <w:ilvl w:val="0"/>
                <w:numId w:val="76"/>
              </w:numPr>
              <w:spacing w:after="200"/>
              <w:ind w:left="74" w:hanging="141"/>
              <w:contextualSpacing/>
              <w:rPr>
                <w:rFonts w:eastAsia="SimSun" w:cs="Arial"/>
                <w:sz w:val="16"/>
                <w:szCs w:val="16"/>
                <w:lang w:val="es-ES" w:eastAsia="zh-CN"/>
              </w:rPr>
            </w:pPr>
            <w:r w:rsidRPr="00526311">
              <w:rPr>
                <w:rFonts w:eastAsia="SimSun" w:cs="Arial"/>
                <w:sz w:val="16"/>
                <w:szCs w:val="16"/>
                <w:lang w:val="es-ES" w:eastAsia="zh-CN"/>
              </w:rPr>
              <w:t>Varios eventos junto con el equipo del Acuerdo de Libre Comercio ASEAN-Australia-Nueva Zelandia (AANZFTA), Secretaría de la ASEAN, Cooperación Económica Asia-Pacífico (APEC) y proyecto de protección de los derechos de propiedad intelectual de la Oficina de Armonización del Mercado Interior /UE-ASEAN (OAMI/ECAP) III</w:t>
            </w:r>
          </w:p>
          <w:p w:rsidR="00466D38" w:rsidRPr="00526311" w:rsidRDefault="00466D38" w:rsidP="007D4926">
            <w:pPr>
              <w:pStyle w:val="ListParagraph"/>
              <w:numPr>
                <w:ilvl w:val="0"/>
                <w:numId w:val="76"/>
              </w:numPr>
              <w:spacing w:after="200"/>
              <w:ind w:left="74" w:hanging="141"/>
              <w:contextualSpacing/>
              <w:rPr>
                <w:rFonts w:eastAsia="SimSun" w:cs="Arial"/>
                <w:sz w:val="16"/>
                <w:szCs w:val="16"/>
                <w:lang w:val="es-ES" w:eastAsia="zh-CN"/>
              </w:rPr>
            </w:pPr>
            <w:r w:rsidRPr="00526311">
              <w:rPr>
                <w:rFonts w:eastAsia="SimSun" w:cs="Arial"/>
                <w:sz w:val="16"/>
                <w:szCs w:val="16"/>
                <w:lang w:val="es-ES" w:eastAsia="zh-CN"/>
              </w:rPr>
              <w:t>1 reunión de proveedores de asistencia técnica en P.I. (OOS)</w:t>
            </w:r>
          </w:p>
        </w:tc>
        <w:tc>
          <w:tcPr>
            <w:tcW w:w="604" w:type="pct"/>
            <w:tcBorders>
              <w:top w:val="nil"/>
              <w:left w:val="nil"/>
              <w:bottom w:val="single" w:sz="4" w:space="0" w:color="auto"/>
              <w:right w:val="single" w:sz="4" w:space="0" w:color="auto"/>
            </w:tcBorders>
            <w:shd w:val="clear" w:color="auto" w:fill="auto"/>
            <w:tcMar>
              <w:top w:w="110" w:type="dxa"/>
            </w:tcMar>
          </w:tcPr>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tc>
      </w:tr>
    </w:tbl>
    <w:p w:rsidR="00466D38" w:rsidRPr="007D4926" w:rsidRDefault="00466D38" w:rsidP="00466D38">
      <w:pPr>
        <w:rPr>
          <w:color w:val="000000"/>
          <w:sz w:val="16"/>
          <w:szCs w:val="16"/>
        </w:rPr>
      </w:pPr>
    </w:p>
    <w:p w:rsidR="00466D38" w:rsidRPr="007D4926" w:rsidRDefault="00466D38" w:rsidP="007D4926">
      <w:pPr>
        <w:rPr>
          <w:color w:val="000000"/>
          <w:sz w:val="16"/>
          <w:szCs w:val="16"/>
        </w:rPr>
      </w:pPr>
    </w:p>
    <w:p w:rsidR="00466D38" w:rsidRPr="00526311" w:rsidRDefault="00466D38" w:rsidP="007D4926">
      <w:r w:rsidRPr="00526311">
        <w:t>UTILIZACIÓN DE LOS RECURSOS</w:t>
      </w:r>
    </w:p>
    <w:p w:rsidR="00466D38" w:rsidRPr="007D4926" w:rsidRDefault="00466D38" w:rsidP="007D4926">
      <w:pPr>
        <w:rPr>
          <w:b/>
          <w:sz w:val="12"/>
          <w:szCs w:val="12"/>
        </w:rPr>
      </w:pPr>
    </w:p>
    <w:p w:rsidR="00466D38" w:rsidRPr="00526311" w:rsidRDefault="00466D38" w:rsidP="007D4926">
      <w:pPr>
        <w:pStyle w:val="NormalWeb"/>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466D38" w:rsidRPr="00526311" w:rsidRDefault="00466D38" w:rsidP="007D4926">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466D38" w:rsidRPr="00526311" w:rsidRDefault="00466D38" w:rsidP="007D4926">
      <w:pPr>
        <w:pStyle w:val="NormalWeb"/>
        <w:spacing w:before="0" w:beforeAutospacing="0" w:after="0" w:afterAutospacing="0"/>
        <w:jc w:val="center"/>
        <w:rPr>
          <w:sz w:val="16"/>
          <w:szCs w:val="16"/>
          <w:lang w:val="es-ES"/>
        </w:rPr>
      </w:pPr>
    </w:p>
    <w:p w:rsidR="00466D38" w:rsidRPr="007D4926" w:rsidRDefault="00466D38" w:rsidP="007D4926">
      <w:pPr>
        <w:jc w:val="center"/>
        <w:rPr>
          <w:sz w:val="20"/>
        </w:rPr>
      </w:pPr>
      <w:r w:rsidRPr="00526311">
        <w:rPr>
          <w:noProof/>
          <w:lang w:val="en-US" w:eastAsia="en-US"/>
        </w:rPr>
        <w:drawing>
          <wp:inline distT="0" distB="0" distL="0" distR="0" wp14:anchorId="6989AC34" wp14:editId="61A03C00">
            <wp:extent cx="5242145" cy="43920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42145" cy="4392000"/>
                    </a:xfrm>
                    <a:prstGeom prst="rect">
                      <a:avLst/>
                    </a:prstGeom>
                    <a:noFill/>
                    <a:ln>
                      <a:noFill/>
                    </a:ln>
                  </pic:spPr>
                </pic:pic>
              </a:graphicData>
            </a:graphic>
          </wp:inline>
        </w:drawing>
      </w:r>
    </w:p>
    <w:p w:rsidR="00466D38" w:rsidRPr="00526311" w:rsidRDefault="00466D38" w:rsidP="00466D38">
      <w:pPr>
        <w:jc w:val="center"/>
      </w:pPr>
    </w:p>
    <w:p w:rsidR="00466D38" w:rsidRPr="00526311" w:rsidRDefault="00466D38" w:rsidP="00466D38">
      <w:pPr>
        <w:jc w:val="center"/>
      </w:pPr>
    </w:p>
    <w:p w:rsidR="00466D38" w:rsidRPr="00526311" w:rsidRDefault="00466D38" w:rsidP="007D4926">
      <w:pPr>
        <w:pStyle w:val="NormalWeb"/>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466D38" w:rsidRPr="00526311" w:rsidRDefault="00466D38" w:rsidP="007D4926">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466D38" w:rsidRPr="00526311" w:rsidRDefault="00466D38" w:rsidP="00466D38">
      <w:pPr>
        <w:pStyle w:val="NormalWeb"/>
        <w:keepNext/>
        <w:keepLines/>
        <w:spacing w:before="0" w:beforeAutospacing="0" w:after="0" w:afterAutospacing="0"/>
        <w:jc w:val="center"/>
        <w:rPr>
          <w:lang w:val="es-ES"/>
        </w:rPr>
      </w:pPr>
    </w:p>
    <w:p w:rsidR="00466D38" w:rsidRPr="00526311" w:rsidRDefault="00466D38" w:rsidP="00466D38">
      <w:pPr>
        <w:jc w:val="center"/>
        <w:rPr>
          <w:i/>
          <w:sz w:val="16"/>
          <w:szCs w:val="16"/>
        </w:rPr>
      </w:pPr>
      <w:r w:rsidRPr="00526311">
        <w:rPr>
          <w:noProof/>
          <w:lang w:val="en-US" w:eastAsia="en-US"/>
        </w:rPr>
        <w:drawing>
          <wp:inline distT="0" distB="0" distL="0" distR="0" wp14:anchorId="5B2AC888" wp14:editId="135BDEE7">
            <wp:extent cx="5986131" cy="1240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81880" cy="1239144"/>
                    </a:xfrm>
                    <a:prstGeom prst="rect">
                      <a:avLst/>
                    </a:prstGeom>
                    <a:noFill/>
                    <a:ln>
                      <a:noFill/>
                    </a:ln>
                  </pic:spPr>
                </pic:pic>
              </a:graphicData>
            </a:graphic>
          </wp:inline>
        </w:drawing>
      </w:r>
    </w:p>
    <w:p w:rsidR="00466D38" w:rsidRPr="00526311" w:rsidRDefault="00466D38" w:rsidP="00466D38">
      <w:pPr>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466D38" w:rsidRPr="00526311" w:rsidRDefault="00466D38" w:rsidP="00466D38">
      <w:pPr>
        <w:rPr>
          <w:i/>
          <w:sz w:val="20"/>
          <w:szCs w:val="16"/>
        </w:rPr>
      </w:pPr>
    </w:p>
    <w:p w:rsidR="00466D38" w:rsidRPr="00526311" w:rsidRDefault="00466D38" w:rsidP="00466D38">
      <w:pPr>
        <w:rPr>
          <w:i/>
          <w:sz w:val="20"/>
          <w:szCs w:val="16"/>
        </w:rPr>
      </w:pPr>
    </w:p>
    <w:p w:rsidR="00466D38" w:rsidRPr="00526311" w:rsidRDefault="00466D38" w:rsidP="00681E0B">
      <w:pPr>
        <w:pStyle w:val="ListParagraph"/>
        <w:keepNext/>
        <w:keepLines/>
        <w:numPr>
          <w:ilvl w:val="0"/>
          <w:numId w:val="82"/>
        </w:numPr>
        <w:ind w:left="567" w:hanging="567"/>
        <w:contextualSpacing/>
        <w:rPr>
          <w:rFonts w:cs="Arial"/>
          <w:u w:val="single"/>
          <w:lang w:val="es-ES"/>
        </w:rPr>
      </w:pPr>
      <w:r w:rsidRPr="00526311">
        <w:rPr>
          <w:rFonts w:cs="Arial"/>
          <w:u w:val="single"/>
          <w:lang w:val="es-ES"/>
        </w:rPr>
        <w:t>Presupuesto 2014/15 tras las transferencias</w:t>
      </w:r>
    </w:p>
    <w:p w:rsidR="00466D38" w:rsidRPr="00526311" w:rsidRDefault="00466D38" w:rsidP="00681E0B">
      <w:pPr>
        <w:pStyle w:val="ListParagraph"/>
        <w:keepNext/>
        <w:keepLines/>
        <w:ind w:left="0"/>
        <w:rPr>
          <w:rFonts w:cs="Arial"/>
          <w:u w:val="single"/>
          <w:lang w:val="es-ES"/>
        </w:rPr>
      </w:pPr>
    </w:p>
    <w:p w:rsidR="00466D38" w:rsidRPr="00526311" w:rsidRDefault="00466D38" w:rsidP="00681E0B">
      <w:pPr>
        <w:pStyle w:val="ListParagraph"/>
        <w:keepNext/>
        <w:keepLines/>
        <w:numPr>
          <w:ilvl w:val="0"/>
          <w:numId w:val="81"/>
        </w:numPr>
        <w:tabs>
          <w:tab w:val="left" w:pos="709"/>
        </w:tabs>
        <w:ind w:left="0" w:firstLine="0"/>
        <w:contextualSpacing/>
        <w:jc w:val="both"/>
        <w:rPr>
          <w:rFonts w:cs="Arial"/>
          <w:u w:val="single"/>
          <w:lang w:val="es-ES"/>
        </w:rPr>
      </w:pPr>
      <w:r w:rsidRPr="00526311">
        <w:rPr>
          <w:rFonts w:cs="Arial"/>
          <w:lang w:val="es-ES"/>
        </w:rPr>
        <w:t>El aumento neto del presupuesto </w:t>
      </w:r>
      <w:r w:rsidR="00011744" w:rsidRPr="00526311">
        <w:rPr>
          <w:rFonts w:cs="Arial"/>
          <w:lang w:val="es-ES"/>
        </w:rPr>
        <w:t xml:space="preserve">de </w:t>
      </w:r>
      <w:r w:rsidRPr="00526311">
        <w:rPr>
          <w:rFonts w:cs="Arial"/>
          <w:lang w:val="es-ES"/>
        </w:rPr>
        <w:t xml:space="preserve">2014/15 tras las transferencias refleja, por un lado, la transferencia de recursos de personal a la OOC y la OOR, incluida la transferencia temporal de un miembro del personal del programa 10 para ayudar en el establecimiento inicial de las Oficinas y, por otro, la transferencia de recursos de personal al programa 9 para reforzar las actividades de la Oficina para África (que se refleja como disminución en el resultado </w:t>
      </w:r>
      <w:r w:rsidRPr="00526311">
        <w:rPr>
          <w:rFonts w:cs="Arial"/>
          <w:lang w:val="es-ES" w:eastAsia="ko-KR"/>
        </w:rPr>
        <w:t>VIII.4 (Intercambios abiertos, transparentes y dinámicos con las organizaciones no gubernamentales).</w:t>
      </w:r>
    </w:p>
    <w:p w:rsidR="00466D38" w:rsidRPr="00526311" w:rsidRDefault="00466D38" w:rsidP="00466D38">
      <w:pPr>
        <w:pStyle w:val="ListParagraph"/>
        <w:tabs>
          <w:tab w:val="left" w:pos="709"/>
        </w:tabs>
        <w:ind w:left="0"/>
        <w:jc w:val="both"/>
        <w:rPr>
          <w:rFonts w:cs="Arial"/>
          <w:u w:val="single"/>
          <w:lang w:val="es-ES"/>
        </w:rPr>
      </w:pPr>
    </w:p>
    <w:p w:rsidR="00466D38" w:rsidRPr="00526311" w:rsidRDefault="00466D38" w:rsidP="00466D38">
      <w:pPr>
        <w:pStyle w:val="ListParagraph"/>
        <w:numPr>
          <w:ilvl w:val="0"/>
          <w:numId w:val="81"/>
        </w:numPr>
        <w:tabs>
          <w:tab w:val="left" w:pos="709"/>
        </w:tabs>
        <w:ind w:left="0" w:firstLine="0"/>
        <w:contextualSpacing/>
        <w:jc w:val="both"/>
        <w:rPr>
          <w:rFonts w:cs="Arial"/>
          <w:u w:val="single"/>
          <w:lang w:val="es-ES"/>
        </w:rPr>
      </w:pPr>
      <w:r w:rsidRPr="00526311">
        <w:rPr>
          <w:rFonts w:cs="Arial"/>
          <w:lang w:val="es-ES"/>
        </w:rPr>
        <w:t>Los ajustes entre resultados previstos se deben principalmente a:  i) la asignación inicial de recursos para la OOC y la OOR, que se reflejan, en particular, en los resultados previstos</w:t>
      </w:r>
      <w:r w:rsidRPr="00526311">
        <w:rPr>
          <w:rFonts w:cs="Arial"/>
          <w:lang w:val="es-ES" w:eastAsia="ko-KR"/>
        </w:rPr>
        <w:t xml:space="preserve"> II.1 (Fomento del uso de la vía del PCT) y II.6 (Mayor y más eficaz utilización de los </w:t>
      </w:r>
      <w:r w:rsidR="006147F4" w:rsidRPr="00526311">
        <w:rPr>
          <w:rFonts w:cs="Arial"/>
          <w:lang w:val="es-ES" w:eastAsia="ko-KR"/>
        </w:rPr>
        <w:t>Sistemas de Madrid</w:t>
      </w:r>
      <w:r w:rsidRPr="00526311">
        <w:rPr>
          <w:rFonts w:cs="Arial"/>
          <w:lang w:val="es-ES" w:eastAsia="ko-KR"/>
        </w:rPr>
        <w:t xml:space="preserve"> y de Lisboa;  ii) la importancia cada vez mayor que atribuyen las Oficinas en el exterior a la comunicación más eficaz acerca de los servicios mundiales de P.I. de la OMPI, que se refleja en el resultado previsto VIII.1 (Comunicación más eficaz con el público en general) y mejor servicio al cliente, que se refleja en el resultado previsto VIII.2 (Mejora en la prestación de servicios y la atención de consultas);  y iii) la redistribución de recursos del resultado VIII.4 (Intercambios abiertos, transparentes y dinámicos con las </w:t>
      </w:r>
      <w:r w:rsidR="0015655A" w:rsidRPr="00526311">
        <w:rPr>
          <w:rFonts w:cs="Arial"/>
          <w:lang w:val="es-ES" w:eastAsia="ko-KR"/>
        </w:rPr>
        <w:t>organizaciones no gubernamentales</w:t>
      </w:r>
      <w:r w:rsidRPr="00526311">
        <w:rPr>
          <w:rFonts w:cs="Arial"/>
          <w:lang w:val="es-ES" w:eastAsia="ko-KR"/>
        </w:rPr>
        <w:t>) al resultado VIII.5 (La OMPI participa y colabora eficazmente en los procesos y negociaciones de las NN.UU. y otras OIG) a raíz de la reorganización interna del programa.</w:t>
      </w:r>
    </w:p>
    <w:p w:rsidR="00466D38" w:rsidRPr="00526311" w:rsidRDefault="00466D38" w:rsidP="00466D38">
      <w:pPr>
        <w:rPr>
          <w:sz w:val="20"/>
          <w:lang w:eastAsia="ko-KR"/>
        </w:rPr>
      </w:pPr>
    </w:p>
    <w:p w:rsidR="00466D38" w:rsidRPr="00526311" w:rsidRDefault="00466D38" w:rsidP="00466D38">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466D38" w:rsidRPr="00526311" w:rsidRDefault="00466D38" w:rsidP="00466D38">
      <w:pPr>
        <w:jc w:val="both"/>
        <w:rPr>
          <w:sz w:val="20"/>
          <w:u w:val="single"/>
          <w:lang w:eastAsia="ko-KR"/>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eastAsia="ko-KR"/>
        </w:rPr>
      </w:pPr>
      <w:r w:rsidRPr="00526311">
        <w:rPr>
          <w:rFonts w:cs="Arial"/>
          <w:lang w:val="es-ES" w:eastAsia="ko-KR"/>
        </w:rPr>
        <w:t xml:space="preserve">El bajo nivel de utilización del presupuesto se debe a:  i) la apertura de la OOC y la OOR en julio de 2014, es decir, a mitad de año, y se refleja en particular en los resultados II.1 (Fomento del uso de la vía del PCT), II.6 (Mayor y más eficaz utilización de los Sistemas de Madrid y </w:t>
      </w:r>
      <w:r w:rsidR="006147F4" w:rsidRPr="00526311">
        <w:rPr>
          <w:rFonts w:cs="Arial"/>
          <w:lang w:val="es-ES" w:eastAsia="ko-KR"/>
        </w:rPr>
        <w:t xml:space="preserve">de </w:t>
      </w:r>
      <w:r w:rsidRPr="00526311">
        <w:rPr>
          <w:rFonts w:cs="Arial"/>
          <w:lang w:val="es-ES" w:eastAsia="ko-KR"/>
        </w:rPr>
        <w:t>Lisboa) y III.2 (Aumento de las capacidades en recursos humanos);  ii) el aplazamiento de las actividades relacionadas con el proyecto de uso de servicios extrajudiciales de solución de controversias acerca de transacciones de propiedad intelectual en la OOB, que se refleja en el resultado II.8 (controversias nacionales e internacionales en materia de P.I.);  iii) la puesta en práctica de determinadas actividades de creación de capacidad, que se reflejan en el resultado III.2 (Aumento de las capacidades en recursos humanos) por parte de otros programas directamente en los países /regiones;  y iv) la aplicación de medidas de costoeficacia en las misiones del personal, en particular, en lo que se refiere al resultado VIII.5 (La OMPI participa y colabora eficazmente en los procesos y negociaciones de las NN.UU. y otras OIG).</w:t>
      </w:r>
    </w:p>
    <w:p w:rsidR="00466D38" w:rsidRPr="00526311" w:rsidRDefault="00466D38" w:rsidP="00466D38">
      <w:pPr>
        <w:pStyle w:val="ListParagraph"/>
        <w:tabs>
          <w:tab w:val="left" w:pos="709"/>
        </w:tabs>
        <w:ind w:left="0"/>
        <w:jc w:val="both"/>
        <w:rPr>
          <w:rFonts w:cs="Arial"/>
          <w:lang w:val="es-ES" w:eastAsia="ko-KR"/>
        </w:rPr>
      </w:pPr>
    </w:p>
    <w:p w:rsidR="00466D38" w:rsidRPr="00526311" w:rsidRDefault="00466D38" w:rsidP="00466D38">
      <w:pPr>
        <w:pStyle w:val="ListParagraph"/>
        <w:tabs>
          <w:tab w:val="left" w:pos="709"/>
        </w:tabs>
        <w:ind w:left="0"/>
        <w:jc w:val="both"/>
        <w:rPr>
          <w:rFonts w:cs="Arial"/>
          <w:lang w:val="es-ES" w:eastAsia="ko-KR"/>
        </w:rPr>
      </w:pPr>
    </w:p>
    <w:p w:rsidR="00466D38" w:rsidRPr="00526311" w:rsidRDefault="00466D38" w:rsidP="00466D38">
      <w:pPr>
        <w:pStyle w:val="ListParagraph"/>
        <w:tabs>
          <w:tab w:val="left" w:pos="709"/>
        </w:tabs>
        <w:ind w:left="0"/>
        <w:jc w:val="both"/>
        <w:rPr>
          <w:rFonts w:cs="Arial"/>
          <w:lang w:val="es-ES" w:eastAsia="ko-KR"/>
        </w:rPr>
      </w:pPr>
    </w:p>
    <w:p w:rsidR="00794E04" w:rsidRPr="00526311" w:rsidRDefault="00794E04">
      <w:pPr>
        <w:rPr>
          <w:rFonts w:eastAsia="Times New Roman"/>
          <w:b/>
          <w:bCs/>
          <w:iCs/>
          <w:caps/>
          <w:color w:val="000000"/>
          <w:sz w:val="20"/>
          <w:lang w:eastAsia="da-DK"/>
        </w:rPr>
      </w:pPr>
      <w:r w:rsidRPr="00526311">
        <w:rPr>
          <w:color w:val="000000"/>
          <w:sz w:val="20"/>
        </w:rPr>
        <w:br w:type="page"/>
      </w:r>
    </w:p>
    <w:p w:rsidR="00794E04" w:rsidRPr="00526311" w:rsidRDefault="00794E04" w:rsidP="0063039A">
      <w:pPr>
        <w:pStyle w:val="StyleHeading214ptAuto"/>
        <w:rPr>
          <w:rFonts w:ascii="Arial" w:hAnsi="Arial" w:cs="Arial"/>
          <w:sz w:val="20"/>
          <w:szCs w:val="20"/>
          <w:lang w:val="es-ES"/>
        </w:rPr>
      </w:pPr>
      <w:bookmarkStart w:id="76" w:name="_Toc422927434"/>
      <w:r w:rsidRPr="00526311">
        <w:rPr>
          <w:rFonts w:ascii="Arial" w:hAnsi="Arial" w:cs="Arial"/>
          <w:color w:val="000000"/>
          <w:sz w:val="20"/>
          <w:szCs w:val="20"/>
          <w:lang w:val="es-ES"/>
        </w:rPr>
        <w:lastRenderedPageBreak/>
        <w:t>META ESTRATÉGICA IX</w:t>
      </w:r>
      <w:bookmarkEnd w:id="76"/>
    </w:p>
    <w:p w:rsidR="00794E04" w:rsidRPr="00526311" w:rsidRDefault="00794E04" w:rsidP="0063039A">
      <w:pPr>
        <w:rPr>
          <w:sz w:val="20"/>
        </w:rPr>
      </w:pPr>
    </w:p>
    <w:bookmarkEnd w:id="75"/>
    <w:p w:rsidR="00794E04" w:rsidRPr="00526311" w:rsidRDefault="00794E04" w:rsidP="0063039A">
      <w:pPr>
        <w:jc w:val="center"/>
        <w:rPr>
          <w:b/>
          <w:sz w:val="20"/>
          <w:highlight w:val="cyan"/>
        </w:rPr>
      </w:pPr>
      <w:r w:rsidRPr="00526311">
        <w:rPr>
          <w:b/>
          <w:sz w:val="20"/>
        </w:rPr>
        <w:t>APOYO ADMINISTRATIVO Y FINANCIERO EFICIENTE</w:t>
      </w:r>
    </w:p>
    <w:p w:rsidR="00794E04" w:rsidRPr="00526311" w:rsidRDefault="00794E04" w:rsidP="0063039A">
      <w:pPr>
        <w:jc w:val="center"/>
        <w:rPr>
          <w:b/>
          <w:sz w:val="20"/>
        </w:rPr>
      </w:pPr>
    </w:p>
    <w:p w:rsidR="00794E04" w:rsidRPr="00526311" w:rsidRDefault="00794E04" w:rsidP="0063039A">
      <w:pPr>
        <w:jc w:val="center"/>
        <w:rPr>
          <w:b/>
          <w:sz w:val="20"/>
          <w:szCs w:val="24"/>
        </w:rPr>
      </w:pPr>
      <w:r w:rsidRPr="00526311">
        <w:rPr>
          <w:b/>
          <w:sz w:val="20"/>
        </w:rPr>
        <w:t>Tablero de control del rendimiento a mediano plazo (2014)</w:t>
      </w:r>
    </w:p>
    <w:p w:rsidR="00794E04" w:rsidRPr="00526311" w:rsidRDefault="00794E04" w:rsidP="0063039A">
      <w:pPr>
        <w:rPr>
          <w:sz w:val="20"/>
        </w:rPr>
      </w:pPr>
    </w:p>
    <w:p w:rsidR="00794E04" w:rsidRPr="00526311" w:rsidRDefault="00794E04" w:rsidP="005C46C4">
      <w:pPr>
        <w:jc w:val="both"/>
        <w:rPr>
          <w:sz w:val="20"/>
        </w:rPr>
      </w:pPr>
      <w:r w:rsidRPr="00526311">
        <w:rPr>
          <w:sz w:val="20"/>
        </w:rPr>
        <w:t>En el siguiente tablero de control se reseñan los avances realizados hacia la consecución de los resultados en 2014, medidos con arreglo a los indicadores del programa o programas que contribuyen al logro de esta meta estratégica.</w:t>
      </w:r>
    </w:p>
    <w:p w:rsidR="00794E04" w:rsidRPr="00526311" w:rsidRDefault="00794E04" w:rsidP="0063039A">
      <w:pPr>
        <w:rPr>
          <w:sz w:val="20"/>
        </w:rPr>
      </w:pPr>
    </w:p>
    <w:p w:rsidR="00794E04" w:rsidRPr="00526311" w:rsidRDefault="005C46C4" w:rsidP="0063039A">
      <w:pPr>
        <w:rPr>
          <w:sz w:val="20"/>
        </w:rPr>
      </w:pPr>
      <w:r w:rsidRPr="00526311">
        <w:rPr>
          <w:noProof/>
          <w:lang w:val="en-US" w:eastAsia="en-US"/>
        </w:rPr>
        <w:drawing>
          <wp:inline distT="0" distB="0" distL="0" distR="0" wp14:anchorId="4683010F" wp14:editId="2ACC7EAF">
            <wp:extent cx="5762625" cy="284670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762625" cy="2846705"/>
                    </a:xfrm>
                    <a:prstGeom prst="rect">
                      <a:avLst/>
                    </a:prstGeom>
                    <a:noFill/>
                    <a:ln>
                      <a:noFill/>
                    </a:ln>
                  </pic:spPr>
                </pic:pic>
              </a:graphicData>
            </a:graphic>
          </wp:inline>
        </w:drawing>
      </w:r>
    </w:p>
    <w:p w:rsidR="00794E04" w:rsidRPr="00526311" w:rsidRDefault="00794E04" w:rsidP="0063039A">
      <w:pPr>
        <w:rPr>
          <w:sz w:val="20"/>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62"/>
        <w:gridCol w:w="4032"/>
        <w:gridCol w:w="1693"/>
        <w:gridCol w:w="873"/>
      </w:tblGrid>
      <w:tr w:rsidR="00794E04" w:rsidRPr="00526311" w:rsidTr="0063039A">
        <w:trPr>
          <w:cantSplit/>
          <w:trHeight w:val="317"/>
          <w:tblHeader/>
        </w:trPr>
        <w:tc>
          <w:tcPr>
            <w:tcW w:w="1544" w:type="pct"/>
            <w:tcBorders>
              <w:top w:val="single" w:sz="4" w:space="0" w:color="auto"/>
              <w:bottom w:val="single" w:sz="4" w:space="0" w:color="auto"/>
            </w:tcBorders>
            <w:shd w:val="clear" w:color="auto" w:fill="CCFFFF"/>
            <w:tcMar>
              <w:top w:w="113" w:type="dxa"/>
              <w:bottom w:w="85" w:type="dxa"/>
            </w:tcMar>
            <w:vAlign w:val="center"/>
          </w:tcPr>
          <w:p w:rsidR="00794E04" w:rsidRPr="00526311" w:rsidRDefault="00794E04" w:rsidP="0063039A">
            <w:pPr>
              <w:spacing w:after="120"/>
              <w:jc w:val="center"/>
              <w:rPr>
                <w:b/>
                <w:bCs/>
                <w:sz w:val="18"/>
                <w:szCs w:val="18"/>
              </w:rPr>
            </w:pPr>
            <w:r w:rsidRPr="00526311">
              <w:rPr>
                <w:b/>
                <w:bCs/>
                <w:sz w:val="18"/>
                <w:szCs w:val="18"/>
              </w:rPr>
              <w:t>Resultados previstos</w:t>
            </w:r>
          </w:p>
        </w:tc>
        <w:tc>
          <w:tcPr>
            <w:tcW w:w="2162" w:type="pct"/>
            <w:tcBorders>
              <w:top w:val="single" w:sz="4" w:space="0" w:color="auto"/>
              <w:bottom w:val="single" w:sz="4" w:space="0" w:color="auto"/>
            </w:tcBorders>
            <w:shd w:val="clear" w:color="auto" w:fill="CCFFFF"/>
            <w:tcMar>
              <w:top w:w="113" w:type="dxa"/>
              <w:bottom w:w="85" w:type="dxa"/>
            </w:tcMar>
            <w:vAlign w:val="center"/>
          </w:tcPr>
          <w:p w:rsidR="00794E04" w:rsidRPr="00526311" w:rsidRDefault="00794E04" w:rsidP="0063039A">
            <w:pPr>
              <w:spacing w:after="120"/>
              <w:jc w:val="center"/>
              <w:rPr>
                <w:b/>
                <w:sz w:val="18"/>
                <w:szCs w:val="18"/>
              </w:rPr>
            </w:pPr>
            <w:r w:rsidRPr="00526311">
              <w:rPr>
                <w:b/>
                <w:sz w:val="18"/>
                <w:szCs w:val="18"/>
              </w:rPr>
              <w:t>Indicadores de rendimiento</w:t>
            </w:r>
          </w:p>
        </w:tc>
        <w:tc>
          <w:tcPr>
            <w:tcW w:w="926" w:type="pct"/>
            <w:tcBorders>
              <w:top w:val="single" w:sz="4" w:space="0" w:color="auto"/>
              <w:bottom w:val="single" w:sz="4" w:space="0" w:color="auto"/>
            </w:tcBorders>
            <w:shd w:val="clear" w:color="auto" w:fill="CCFFFF"/>
            <w:tcMar>
              <w:top w:w="113" w:type="dxa"/>
              <w:bottom w:w="85" w:type="dxa"/>
            </w:tcMar>
            <w:vAlign w:val="center"/>
          </w:tcPr>
          <w:p w:rsidR="00794E04" w:rsidRPr="00526311" w:rsidRDefault="00794E04" w:rsidP="0063039A">
            <w:pPr>
              <w:spacing w:after="120"/>
              <w:ind w:left="85"/>
              <w:rPr>
                <w:sz w:val="18"/>
                <w:szCs w:val="18"/>
              </w:rPr>
            </w:pPr>
            <w:r w:rsidRPr="00526311">
              <w:rPr>
                <w:b/>
                <w:sz w:val="18"/>
                <w:szCs w:val="18"/>
              </w:rPr>
              <w:t>Programas responsables</w:t>
            </w:r>
          </w:p>
        </w:tc>
        <w:tc>
          <w:tcPr>
            <w:tcW w:w="368" w:type="pct"/>
            <w:tcBorders>
              <w:top w:val="single" w:sz="4" w:space="0" w:color="auto"/>
              <w:bottom w:val="single" w:sz="4" w:space="0" w:color="auto"/>
            </w:tcBorders>
            <w:shd w:val="clear" w:color="auto" w:fill="CCFFFF"/>
            <w:vAlign w:val="center"/>
          </w:tcPr>
          <w:p w:rsidR="00794E04" w:rsidRPr="00526311" w:rsidRDefault="00794E04" w:rsidP="0063039A">
            <w:pPr>
              <w:spacing w:after="120"/>
              <w:ind w:left="-125"/>
              <w:jc w:val="center"/>
              <w:rPr>
                <w:b/>
                <w:bCs/>
                <w:sz w:val="18"/>
                <w:szCs w:val="18"/>
              </w:rPr>
            </w:pPr>
            <w:r w:rsidRPr="00526311">
              <w:rPr>
                <w:b/>
                <w:bCs/>
                <w:color w:val="000000"/>
                <w:sz w:val="18"/>
                <w:szCs w:val="18"/>
              </w:rPr>
              <w:t>Clave de colores</w:t>
            </w:r>
          </w:p>
        </w:tc>
      </w:tr>
      <w:tr w:rsidR="00794E04" w:rsidRPr="00526311" w:rsidTr="0063039A">
        <w:trPr>
          <w:cantSplit/>
          <w:trHeight w:val="704"/>
        </w:trPr>
        <w:tc>
          <w:tcPr>
            <w:tcW w:w="1544" w:type="pct"/>
            <w:tcBorders>
              <w:top w:val="single" w:sz="4" w:space="0" w:color="auto"/>
            </w:tcBorders>
            <w:shd w:val="clear" w:color="auto" w:fill="auto"/>
            <w:tcMar>
              <w:top w:w="113" w:type="dxa"/>
              <w:bottom w:w="85" w:type="dxa"/>
            </w:tcMar>
          </w:tcPr>
          <w:p w:rsidR="00794E04" w:rsidRPr="00526311" w:rsidRDefault="00794E04" w:rsidP="0063039A">
            <w:pPr>
              <w:rPr>
                <w:sz w:val="16"/>
                <w:szCs w:val="16"/>
              </w:rPr>
            </w:pPr>
            <w:r w:rsidRPr="00526311">
              <w:rPr>
                <w:sz w:val="16"/>
                <w:szCs w:val="16"/>
              </w:rPr>
              <w:t>IX.1 Servicios de apoyo eficaces, eficientes, de calidad y orientados al cliente, tanto a los clientes internos como a las partes interesadas externas</w:t>
            </w:r>
          </w:p>
        </w:tc>
        <w:tc>
          <w:tcPr>
            <w:tcW w:w="2162" w:type="pct"/>
            <w:tcBorders>
              <w:top w:val="single" w:sz="4" w:space="0" w:color="auto"/>
            </w:tcBorders>
            <w:shd w:val="clear" w:color="auto" w:fill="auto"/>
            <w:tcMar>
              <w:top w:w="113" w:type="dxa"/>
              <w:bottom w:w="85" w:type="dxa"/>
            </w:tcMar>
          </w:tcPr>
          <w:p w:rsidR="00794E04" w:rsidRPr="00526311" w:rsidRDefault="00794E04" w:rsidP="0063039A">
            <w:pPr>
              <w:rPr>
                <w:sz w:val="16"/>
                <w:szCs w:val="16"/>
              </w:rPr>
            </w:pPr>
            <w:r w:rsidRPr="00526311">
              <w:rPr>
                <w:sz w:val="16"/>
                <w:szCs w:val="16"/>
              </w:rPr>
              <w:t>Suministro de informes y análisis financieros y de gestión solicitados por el personal directivo superior, los directores de programa y los Estados miembros con arreglo a los plazos acordados</w:t>
            </w:r>
          </w:p>
        </w:tc>
        <w:tc>
          <w:tcPr>
            <w:tcW w:w="926" w:type="pct"/>
            <w:tcBorders>
              <w:top w:val="single" w:sz="4" w:space="0" w:color="auto"/>
            </w:tcBorders>
            <w:shd w:val="clear" w:color="auto" w:fill="FFFFFF"/>
            <w:tcMar>
              <w:top w:w="113" w:type="dxa"/>
              <w:bottom w:w="85" w:type="dxa"/>
            </w:tcMar>
          </w:tcPr>
          <w:p w:rsidR="00794E04" w:rsidRPr="00526311" w:rsidRDefault="00794E04" w:rsidP="0063039A">
            <w:pPr>
              <w:jc w:val="center"/>
              <w:rPr>
                <w:sz w:val="16"/>
                <w:szCs w:val="16"/>
              </w:rPr>
            </w:pPr>
            <w:r w:rsidRPr="00526311">
              <w:rPr>
                <w:sz w:val="16"/>
                <w:szCs w:val="16"/>
              </w:rPr>
              <w:t>Programa 22</w:t>
            </w:r>
          </w:p>
        </w:tc>
        <w:tc>
          <w:tcPr>
            <w:tcW w:w="368" w:type="pct"/>
            <w:tcBorders>
              <w:top w:val="single" w:sz="4" w:space="0" w:color="auto"/>
            </w:tcBorders>
            <w:shd w:val="clear" w:color="auto" w:fill="FFFFFF"/>
          </w:tcPr>
          <w:p w:rsidR="00794E04" w:rsidRPr="00526311" w:rsidRDefault="00794E04" w:rsidP="0063039A">
            <w:pPr>
              <w:jc w:val="center"/>
            </w:pP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r w:rsidRPr="00526311">
              <w:rPr>
                <w:color w:val="FF0000"/>
                <w:szCs w:val="22"/>
              </w:rPr>
              <w:sym w:font="Wingdings" w:char="F06C"/>
            </w:r>
          </w:p>
        </w:tc>
      </w:tr>
      <w:tr w:rsidR="00794E04" w:rsidRPr="00526311" w:rsidTr="0063039A">
        <w:trPr>
          <w:cantSplit/>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Atención de consultas recibidas a nivel interno y externo con arreglo a los plazos establecidos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22</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472"/>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bCs/>
                <w:sz w:val="16"/>
                <w:szCs w:val="16"/>
              </w:rPr>
            </w:pPr>
            <w:r w:rsidRPr="00526311">
              <w:rPr>
                <w:bCs/>
                <w:sz w:val="16"/>
                <w:szCs w:val="16"/>
              </w:rPr>
              <w:t>Porcentaje de miembros del personal satisfechos de los servicios de recursos humanos</w:t>
            </w:r>
          </w:p>
        </w:tc>
        <w:tc>
          <w:tcPr>
            <w:tcW w:w="926" w:type="pct"/>
            <w:shd w:val="clear" w:color="auto" w:fill="FFFFFF"/>
            <w:tcMar>
              <w:top w:w="113" w:type="dxa"/>
              <w:bottom w:w="85" w:type="dxa"/>
            </w:tcMar>
          </w:tcPr>
          <w:p w:rsidR="00794E04" w:rsidRPr="00526311" w:rsidRDefault="00794E04" w:rsidP="0063039A">
            <w:pPr>
              <w:jc w:val="center"/>
              <w:rPr>
                <w:sz w:val="16"/>
                <w:szCs w:val="16"/>
              </w:rPr>
            </w:pPr>
            <w:r w:rsidRPr="00526311">
              <w:rPr>
                <w:sz w:val="16"/>
                <w:szCs w:val="16"/>
              </w:rPr>
              <w:t>Programa 23</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472"/>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Prestación puntual, precisa y eficaz de servicios de operaciones en materia de recursos humanos</w:t>
            </w:r>
          </w:p>
        </w:tc>
        <w:tc>
          <w:tcPr>
            <w:tcW w:w="926" w:type="pct"/>
            <w:shd w:val="clear" w:color="auto" w:fill="FFFFFF"/>
            <w:tcMar>
              <w:top w:w="113" w:type="dxa"/>
              <w:bottom w:w="85" w:type="dxa"/>
            </w:tcMar>
          </w:tcPr>
          <w:p w:rsidR="00794E04" w:rsidRPr="00526311" w:rsidRDefault="00794E04" w:rsidP="0063039A">
            <w:pPr>
              <w:jc w:val="center"/>
              <w:rPr>
                <w:sz w:val="16"/>
                <w:szCs w:val="16"/>
              </w:rPr>
            </w:pPr>
            <w:r w:rsidRPr="00526311">
              <w:rPr>
                <w:sz w:val="16"/>
                <w:szCs w:val="16"/>
              </w:rPr>
              <w:t>Programa 23</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472"/>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Finalización del proyecto de construcción de la nueva sala de conferencias atendiendo a los requisitos de calidad, de manera puntual y dentro de los límites presupuestarios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29</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617"/>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Uso de la sala de conferencias como lugar preferido para las reuniones y actividades de los Estados miembros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29</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70C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bCs/>
                <w:sz w:val="16"/>
                <w:szCs w:val="16"/>
              </w:rPr>
            </w:pPr>
            <w:r w:rsidRPr="00526311">
              <w:rPr>
                <w:bCs/>
                <w:sz w:val="16"/>
                <w:szCs w:val="16"/>
              </w:rPr>
              <w:t>Disminución de los costos de adquisición de productos y servicios por la OMPI (derivada de solicitudes de ofertas o negociaciones directas)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usuarios internos satisfechos con los servicios de adquisiciones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Tiempo de tramitación de peticiones relativas a los viajes (autorizaciones electrónicas de viaje (e-TA), peticiones electrónicas de actividades (e-ER), visados)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368" w:type="pct"/>
            <w:shd w:val="clear" w:color="auto" w:fill="FFFFFF"/>
          </w:tcPr>
          <w:p w:rsidR="00794E04" w:rsidRPr="00526311" w:rsidRDefault="00794E04" w:rsidP="0063039A">
            <w:pPr>
              <w:jc w:val="center"/>
            </w:pP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Costo medio de los billetes (billetes de la empresa de gestión de viajes y del PNUD)</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Se administran eficazmente todos los tipos de espacio del recinto de la OMPI (espacios de trabajo, almacenamiento y archivo)</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Se renuevan, modernizan o transforman los edificios del recinto de la OMPI para que sigan sirviendo a los fines establecidos</w:t>
            </w:r>
          </w:p>
          <w:p w:rsidR="00794E04" w:rsidRPr="00526311" w:rsidRDefault="00794E04" w:rsidP="0063039A">
            <w:pPr>
              <w:rPr>
                <w:sz w:val="16"/>
                <w:szCs w:val="16"/>
                <w:highlight w:val="yellow"/>
              </w:rPr>
            </w:pP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Todos los tipos de instalaciones técnicas esenciales cumplen las normas técnicas aplicables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Los sistemas de TIC se alojan y se administran económicamente en concordancia con las necesidades operativas</w:t>
            </w:r>
          </w:p>
          <w:p w:rsidR="00794E04" w:rsidRPr="00526311" w:rsidRDefault="00794E04" w:rsidP="0063039A">
            <w:pPr>
              <w:rPr>
                <w:bCs/>
                <w:sz w:val="16"/>
                <w:szCs w:val="16"/>
              </w:rPr>
            </w:pP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25</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Número de acuerdos de prestación de servicios para el alojamiento de sistemas y servicios que cumplen con el marco de acuerdos de prestación de servicios para las TIC</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25</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Continuidad de los servicios de TIC de los sistemas esenciales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25</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usuarios y sectores de actividades que están satisfechos con los servicios de TIC</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25</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El personal tiene fácil acceso a tecnologías de las comunicaciones integradas y de amplio alcance</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25</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bCs/>
                <w:sz w:val="16"/>
                <w:szCs w:val="16"/>
              </w:rPr>
            </w:pPr>
            <w:r w:rsidRPr="00526311">
              <w:rPr>
                <w:bCs/>
                <w:sz w:val="16"/>
                <w:szCs w:val="16"/>
              </w:rPr>
              <w:t>Porcentaje de usuarios internos y externos satisfechos de los Servicios de Conferencias de la OMPI</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27</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Aplicación eficaz de la Política Lingüística de la OMPI</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27</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r w:rsidRPr="00526311">
              <w:rPr>
                <w:color w:val="FF0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Costo por palabra traducida</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27</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Calidad de las traducciones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27</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A6A6A6" w:themeColor="background1" w:themeShade="A6"/>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Disminución de los costos de impresión (por página)</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27</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Publicación a tiempo de los documentos para los comités y grupos de trabajo</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27</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FF0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IX.2 Funcionamiento sin contratiempos de la Secretaría, provista de un personal bien dirigido, dotado de las competencias adecuadas y capaz de conseguir resultados</w:t>
            </w: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peticiones de asesoramiento y servicios jurídicos que reciben respuestas rápidas, independientes y fiables de la Oficina del Consejero Jurídico</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21</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Informe financiero satisfactorio de los auditores externos que confirma la conformidad de las operaciones contables con los convenios y tratados aplicables de la OMPI, el Reglamento Financiero y la Reglamentación Financiera de la OMPI y las IPSAS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22</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Rendimiento del capital invertido en concordancia con los parámetros establecidos por el Comité Asesor en materia de Inversiones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22</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 xml:space="preserve">Los pagos (incluidas las tasas correspondientes a los </w:t>
            </w:r>
            <w:r w:rsidR="006147F4" w:rsidRPr="00526311">
              <w:rPr>
                <w:sz w:val="16"/>
                <w:szCs w:val="16"/>
              </w:rPr>
              <w:t>Sistemas de Madrid</w:t>
            </w:r>
            <w:r w:rsidRPr="00526311">
              <w:rPr>
                <w:sz w:val="16"/>
                <w:szCs w:val="16"/>
              </w:rPr>
              <w:t xml:space="preserve"> y de La Haya) se efectúan en el plazo estipulado</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22</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miembros del personal que expresan satisfacción con la formación recibida (cursos de iniciación, formación sobre el sistema de PRI, formación relacionada con la gestión por resultados)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22</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encuestados (OMPI) que estiman que la OMPI debe rendir cuentas sobre sus resultados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22</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70C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programas de la OMPI que utilizan los datos sobre el rendimiento para gestionar el rendimiento del programa</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22</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Duración del proceso de contratación</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23</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dependencias de la Organización cuyos planes de recursos humanos están vinculados a los planes de trabajo anuales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23</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miembros del personal recién contratados que satisfacen las necesidades de la Organización</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23</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miembros del personal cuyo desempeño se evalúa en función de objetivos y competencias específicos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23</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necesidades de formación esenciales que se han satisfecho a nivel individual y colectivo</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23</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Número promedio de días de ausencia por enfermedad por empleado (ausentismo)</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23</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mujeres en cargos de la categoría profesional y superior</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23</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FF0000"/>
                <w:szCs w:val="22"/>
              </w:rPr>
              <w:sym w:font="Wingdings" w:char="F06C"/>
            </w:r>
            <w:r w:rsidRPr="00526311">
              <w:rPr>
                <w:color w:val="008000"/>
                <w:szCs w:val="22"/>
              </w:rPr>
              <w:sym w:font="Wingdings" w:char="F06C"/>
            </w:r>
            <w:r w:rsidRPr="00526311">
              <w:rPr>
                <w:color w:val="FF0000"/>
                <w:szCs w:val="22"/>
              </w:rPr>
              <w:sym w:font="Wingdings" w:char="F06C"/>
            </w:r>
            <w:r w:rsidRPr="00526311">
              <w:rPr>
                <w:color w:val="FF0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Diversidad geográfica – porcentaje de Estados miembros representados</w:t>
            </w:r>
          </w:p>
          <w:p w:rsidR="00794E04" w:rsidRPr="00526311" w:rsidRDefault="00794E04" w:rsidP="0063039A">
            <w:pPr>
              <w:rPr>
                <w:sz w:val="16"/>
                <w:szCs w:val="16"/>
                <w:highlight w:val="cyan"/>
              </w:rPr>
            </w:pPr>
          </w:p>
          <w:p w:rsidR="00794E04" w:rsidRPr="00526311" w:rsidRDefault="00794E04" w:rsidP="0063039A">
            <w:pPr>
              <w:rPr>
                <w:sz w:val="16"/>
                <w:szCs w:val="16"/>
              </w:rPr>
            </w:pP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23</w:t>
            </w:r>
          </w:p>
        </w:tc>
        <w:tc>
          <w:tcPr>
            <w:tcW w:w="368" w:type="pct"/>
            <w:shd w:val="clear" w:color="auto" w:fill="FFFFFF"/>
          </w:tcPr>
          <w:p w:rsidR="00794E04" w:rsidRPr="00526311" w:rsidRDefault="00794E04" w:rsidP="0063039A">
            <w:pPr>
              <w:jc w:val="center"/>
              <w:rPr>
                <w:color w:val="A6A6A6"/>
              </w:rPr>
            </w:pPr>
            <w:r w:rsidRPr="00526311">
              <w:rPr>
                <w:color w:val="A6A6A6" w:themeColor="background1" w:themeShade="A6"/>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IX.3 Entorno de trabajo propicio basado en un marco regulador eficaz y medios adecuados para atender los temas de interés del personal</w:t>
            </w: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miembros del personal de la OMPI conscientes de los servicios disponibles en la Oficina del Mediador y del mecanismo informal de solución de conflictos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21</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70C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encuestados que afirman ser conscientes de los principios y políticas de la OMPI en material de ética profesional</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21</w:t>
            </w:r>
          </w:p>
        </w:tc>
        <w:tc>
          <w:tcPr>
            <w:tcW w:w="368" w:type="pct"/>
            <w:shd w:val="clear" w:color="auto" w:fill="FFFFFF"/>
          </w:tcPr>
          <w:p w:rsidR="00794E04" w:rsidRPr="00526311" w:rsidRDefault="00794E04" w:rsidP="0063039A">
            <w:pPr>
              <w:jc w:val="center"/>
            </w:pPr>
            <w:r w:rsidRPr="00526311">
              <w:rPr>
                <w:color w:val="0070C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El Reglamento Financiero y la Reglamentación Financiera y las órdenes de servicio pertinentes están actualizados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22</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692"/>
        </w:trPr>
        <w:tc>
          <w:tcPr>
            <w:tcW w:w="1544" w:type="pct"/>
            <w:shd w:val="clear" w:color="auto" w:fill="auto"/>
            <w:tcMar>
              <w:top w:w="113" w:type="dxa"/>
              <w:bottom w:w="85" w:type="dxa"/>
            </w:tcMar>
          </w:tcPr>
          <w:p w:rsidR="00794E04" w:rsidRPr="00526311" w:rsidRDefault="00794E04" w:rsidP="0063039A">
            <w:pPr>
              <w:rPr>
                <w:sz w:val="16"/>
                <w:szCs w:val="16"/>
              </w:rPr>
            </w:pPr>
            <w:r w:rsidRPr="00526311">
              <w:rPr>
                <w:sz w:val="16"/>
                <w:szCs w:val="16"/>
              </w:rPr>
              <w:lastRenderedPageBreak/>
              <w:t>IX.4 Una organización responsable con el medio ambiente y la sociedad en la que se garantiza la seguridad de su personal, los delegados, los visitantes, la información y los activos físicos</w:t>
            </w: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Mejora de la accesibilidad al recinto de la OMPI</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368" w:type="pct"/>
            <w:shd w:val="clear" w:color="auto" w:fill="FFFFFF"/>
          </w:tcPr>
          <w:p w:rsidR="00794E04" w:rsidRPr="00526311" w:rsidRDefault="00794E04" w:rsidP="0063039A">
            <w:pPr>
              <w:jc w:val="center"/>
            </w:pPr>
            <w:r w:rsidRPr="00526311">
              <w:rPr>
                <w:color w:val="FF0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Menor repercusión de los edificios de la OMPI en el medio ambiente</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Los locales de la OMPI satisfacen las recomendaciones efectuadas en 2009 por el Instituto de Seguridad y Vigilancia (Neuchatel) y las medidas de seguridad y vigilancia del perímetro con arreglo a las normas mínimas operativas de seguridad y vigilancia para las sedes de NN.UU.</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Se refuerza la seguridad de la información para protegerse contra los ataques cada vez más frecuentes en Internet</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25</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Situación de la certificación con arreglo a la norma ISO 27001 de los procedimientos de gestión de riesgos para la seguridad de la información</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25</w:t>
            </w:r>
          </w:p>
        </w:tc>
        <w:tc>
          <w:tcPr>
            <w:tcW w:w="368" w:type="pct"/>
            <w:shd w:val="clear" w:color="auto" w:fill="FFFFFF"/>
          </w:tcPr>
          <w:p w:rsidR="00794E04" w:rsidRPr="00526311" w:rsidRDefault="00794E04" w:rsidP="0063039A">
            <w:pPr>
              <w:jc w:val="center"/>
            </w:pP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Eficacia de los controles de seguridad de la información (a nivel interno y externo)</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25</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miembros del personal, delegados y visitantes que notifican lesiones o incidentes relacionados con el entorno laboral</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28</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peticiones de asistencia relativa a la seguridad atendidas puntualmente en las conferencias o actividades organizadas en Ginebra o en otros lugares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28</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Supervisión de las medidas de acceso físico para velar por que se cumplan plenamente las normas aplicables durante el período de construcción de la nueva sala de conferencias y las instalaciones conexas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29</w:t>
            </w:r>
          </w:p>
        </w:tc>
        <w:tc>
          <w:tcPr>
            <w:tcW w:w="368" w:type="pct"/>
            <w:shd w:val="clear" w:color="auto" w:fill="FFFFFF"/>
          </w:tcPr>
          <w:p w:rsidR="00794E04" w:rsidRPr="00526311" w:rsidRDefault="00794E04" w:rsidP="0063039A">
            <w:pPr>
              <w:jc w:val="center"/>
            </w:pPr>
            <w:r w:rsidRPr="00526311">
              <w:rPr>
                <w:color w:val="A6A6A6"/>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Supervisión de las medidas aplicadas durante el período de construcción con el fin de respetar el medio ambiente y reducir el consumo de energía</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29</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A6A6A6"/>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Finalización de la aplicación de las medidas de seguridad y vigilancia del perímetro de la nueva sala de conferencias con arreglo a las normas mínimas operativas de seguridad y vigilancia para las sedes de NN.UU.</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29</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IX.8 Mejor rendición de cuentas, aprendizaje institucional, uso óptimo de los recursos, administración, control interno y buen gobierno gracias a la asistencia que proporciona una supervisión eficaz e independiente</w:t>
            </w: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Número de interferencias y grado de independencia percibido por las principales partes interesadas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26</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EFICACIA de la labor de la DASI que abarca esferas de alto riesgo y gran pertinencia</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26</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EFICIENCIA:  a) Finalización puntual y de calidad de los informes de supervisión;  b) Número de auditorías y evaluaciones ejecutadas en relación con el plan de trabajo en materia de supervisión;  c) Número de denuncias/notificaciones de posible conducta indebida que se han tramitado</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26</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PERTINENCIA, VALOR AÑADIDO Y ADMINISTRACIÓN:  Ahorros o mejoras tangibles en los procedimientos y sistemas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26</w:t>
            </w:r>
          </w:p>
        </w:tc>
        <w:tc>
          <w:tcPr>
            <w:tcW w:w="368" w:type="pct"/>
            <w:shd w:val="clear" w:color="auto" w:fill="FFFFFF"/>
          </w:tcPr>
          <w:p w:rsidR="00794E04" w:rsidRPr="00526311" w:rsidRDefault="00794E04" w:rsidP="0063039A">
            <w:pPr>
              <w:jc w:val="center"/>
              <w:rPr>
                <w:color w:val="0070C0"/>
              </w:rPr>
            </w:pPr>
            <w:r w:rsidRPr="00526311">
              <w:rPr>
                <w:color w:val="0070C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APRENDIZAJE INSTITUCIONAL:   Adopción de enseñanzas y recomendaciones extraídas de los procesos de supervisión</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26</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bl>
    <w:p w:rsidR="00794E04" w:rsidRPr="00526311" w:rsidRDefault="00794E04" w:rsidP="0063039A">
      <w:pPr>
        <w:rPr>
          <w:sz w:val="20"/>
        </w:rPr>
      </w:pPr>
    </w:p>
    <w:p w:rsidR="00794E04" w:rsidRPr="00526311" w:rsidRDefault="00794E04" w:rsidP="0063039A">
      <w:pPr>
        <w:rPr>
          <w:sz w:val="20"/>
        </w:rPr>
      </w:pPr>
    </w:p>
    <w:p w:rsidR="00794E04" w:rsidRPr="00526311" w:rsidRDefault="00794E04">
      <w:pPr>
        <w:rPr>
          <w:bCs/>
          <w:iCs/>
          <w:caps/>
          <w:szCs w:val="28"/>
        </w:rPr>
      </w:pPr>
      <w:r w:rsidRPr="00526311">
        <w:br w:type="page"/>
      </w:r>
    </w:p>
    <w:p w:rsidR="00794E04" w:rsidRPr="00526311" w:rsidRDefault="00794E04" w:rsidP="0063039A">
      <w:pPr>
        <w:pStyle w:val="Heading2"/>
        <w:keepNext w:val="0"/>
        <w:tabs>
          <w:tab w:val="left" w:pos="2268"/>
        </w:tabs>
        <w:ind w:left="2268" w:hanging="2268"/>
        <w:rPr>
          <w:b/>
        </w:rPr>
      </w:pPr>
      <w:bookmarkStart w:id="77" w:name="_Toc422927435"/>
      <w:r w:rsidRPr="00526311">
        <w:rPr>
          <w:b/>
        </w:rPr>
        <w:lastRenderedPageBreak/>
        <w:t>PROGRAMA 21</w:t>
      </w:r>
      <w:r w:rsidRPr="00526311">
        <w:rPr>
          <w:b/>
        </w:rPr>
        <w:tab/>
        <w:t>GESTIÓN EJECUTIVA</w:t>
      </w:r>
      <w:bookmarkEnd w:id="77"/>
    </w:p>
    <w:p w:rsidR="00794E04" w:rsidRPr="00526311" w:rsidRDefault="00794E04" w:rsidP="0063039A">
      <w:pPr>
        <w:rPr>
          <w:sz w:val="20"/>
        </w:rPr>
      </w:pPr>
    </w:p>
    <w:p w:rsidR="00794E04" w:rsidRPr="00526311" w:rsidRDefault="00794E04" w:rsidP="0063039A">
      <w:pPr>
        <w:tabs>
          <w:tab w:val="left" w:pos="1985"/>
        </w:tabs>
        <w:rPr>
          <w:b/>
          <w:sz w:val="20"/>
        </w:rPr>
      </w:pPr>
      <w:r w:rsidRPr="00526311">
        <w:rPr>
          <w:b/>
          <w:sz w:val="20"/>
        </w:rPr>
        <w:t>Director de programa</w:t>
      </w:r>
      <w:r w:rsidRPr="00526311">
        <w:rPr>
          <w:b/>
          <w:sz w:val="20"/>
        </w:rPr>
        <w:tab/>
      </w:r>
      <w:r w:rsidR="00040286" w:rsidRPr="00526311">
        <w:rPr>
          <w:b/>
          <w:sz w:val="20"/>
        </w:rPr>
        <w:t>Director General</w:t>
      </w:r>
    </w:p>
    <w:p w:rsidR="00794E04" w:rsidRPr="00526311" w:rsidRDefault="00794E04" w:rsidP="0063039A">
      <w:pPr>
        <w:rPr>
          <w:sz w:val="20"/>
        </w:rPr>
      </w:pPr>
    </w:p>
    <w:p w:rsidR="00794E04" w:rsidRPr="00526311" w:rsidRDefault="00794E04" w:rsidP="0063039A">
      <w:pPr>
        <w:rPr>
          <w:sz w:val="20"/>
        </w:rPr>
      </w:pPr>
    </w:p>
    <w:p w:rsidR="00794E04" w:rsidRPr="00526311" w:rsidRDefault="00794E04" w:rsidP="0063039A">
      <w:pPr>
        <w:rPr>
          <w:bCs/>
          <w:szCs w:val="22"/>
        </w:rPr>
      </w:pPr>
      <w:r w:rsidRPr="00526311">
        <w:rPr>
          <w:bCs/>
          <w:szCs w:val="22"/>
        </w:rPr>
        <w:t>RESEÑA DE LOS AVANCES LOGRADOS EN 2014</w:t>
      </w:r>
    </w:p>
    <w:p w:rsidR="00794E04" w:rsidRPr="00526311" w:rsidRDefault="00794E04" w:rsidP="0063039A">
      <w:pPr>
        <w:rPr>
          <w:sz w:val="20"/>
        </w:rPr>
      </w:pPr>
    </w:p>
    <w:p w:rsidR="00794E04" w:rsidRPr="00526311" w:rsidRDefault="00794E04" w:rsidP="00794E04">
      <w:pPr>
        <w:numPr>
          <w:ilvl w:val="0"/>
          <w:numId w:val="83"/>
        </w:numPr>
        <w:autoSpaceDE w:val="0"/>
        <w:autoSpaceDN w:val="0"/>
        <w:adjustRightInd w:val="0"/>
        <w:jc w:val="both"/>
        <w:rPr>
          <w:sz w:val="20"/>
        </w:rPr>
      </w:pPr>
      <w:r w:rsidRPr="00526311">
        <w:rPr>
          <w:sz w:val="20"/>
        </w:rPr>
        <w:t xml:space="preserve">El programa 21 abarca la Oficina del Director General (ODG), la Oficina del Consejero Jurídico, la División de Asuntos de las Asambleas y Documentación, la Oficina de Ética Profesional, la Oficina del Mediador y la Sección de Protocolo y Gestión de Eventos. </w:t>
      </w:r>
    </w:p>
    <w:p w:rsidR="00794E04" w:rsidRPr="00526311" w:rsidRDefault="00794E04" w:rsidP="0063039A">
      <w:pPr>
        <w:autoSpaceDE w:val="0"/>
        <w:autoSpaceDN w:val="0"/>
        <w:adjustRightInd w:val="0"/>
        <w:jc w:val="both"/>
        <w:rPr>
          <w:bCs/>
          <w:sz w:val="20"/>
        </w:rPr>
      </w:pPr>
    </w:p>
    <w:p w:rsidR="00794E04" w:rsidRPr="00526311" w:rsidRDefault="00794E04" w:rsidP="00794E04">
      <w:pPr>
        <w:numPr>
          <w:ilvl w:val="0"/>
          <w:numId w:val="83"/>
        </w:numPr>
        <w:autoSpaceDE w:val="0"/>
        <w:autoSpaceDN w:val="0"/>
        <w:adjustRightInd w:val="0"/>
        <w:jc w:val="both"/>
        <w:rPr>
          <w:bCs/>
          <w:color w:val="000000"/>
          <w:sz w:val="20"/>
        </w:rPr>
      </w:pPr>
      <w:r w:rsidRPr="00526311">
        <w:rPr>
          <w:bCs/>
          <w:sz w:val="20"/>
        </w:rPr>
        <w:t xml:space="preserve">La atención eficaz a los Estados miembros sigue siendo un elemento esencial para avanzar en el logro de las nueve metas estratégicas de la Organización. En el año 2014 salieron a relucir dificultades en diversas áreas cuando los Estados miembros intentaron alcanzar un consenso en torno a las metas estratégicas.  A este respecto, el Director General celebró debates centrados en el tema con los Estados miembros en distintos foros a fin de prestar asistencia y brindar un espacio propicio para alcanzar un consenso.  Antes de fin de año resultó claro que, si bien los Estados miembros habían </w:t>
      </w:r>
      <w:r w:rsidRPr="00526311">
        <w:rPr>
          <w:bCs/>
          <w:color w:val="000000"/>
          <w:sz w:val="20"/>
        </w:rPr>
        <w:t xml:space="preserve">avanzado en sus debates, todavía quedaba un largo camino por recorrer para resolver ciertas cuestiones.  Los esfuerzos por proporcionar un espacio de confianza para el debate continuarán durante el segundo año del bienio.  Mientras tanto, los mismos mecanismos de comunicación, como las sesiones informativas con los Embajadores, siguieron siendo muy valiosas como medio para obtener comentarios y consejos adecuados a fin de impulsar el progreso en numerosos aspectos.  </w:t>
      </w:r>
    </w:p>
    <w:p w:rsidR="00794E04" w:rsidRPr="00526311" w:rsidRDefault="00794E04" w:rsidP="0063039A">
      <w:pPr>
        <w:autoSpaceDE w:val="0"/>
        <w:autoSpaceDN w:val="0"/>
        <w:adjustRightInd w:val="0"/>
        <w:jc w:val="both"/>
        <w:rPr>
          <w:bCs/>
          <w:color w:val="000000"/>
          <w:sz w:val="20"/>
        </w:rPr>
      </w:pPr>
    </w:p>
    <w:p w:rsidR="00794E04" w:rsidRPr="00526311" w:rsidRDefault="00794E04" w:rsidP="00794E04">
      <w:pPr>
        <w:numPr>
          <w:ilvl w:val="0"/>
          <w:numId w:val="83"/>
        </w:numPr>
        <w:autoSpaceDE w:val="0"/>
        <w:autoSpaceDN w:val="0"/>
        <w:adjustRightInd w:val="0"/>
        <w:jc w:val="both"/>
        <w:rPr>
          <w:bCs/>
          <w:color w:val="000000"/>
          <w:sz w:val="20"/>
        </w:rPr>
      </w:pPr>
      <w:r w:rsidRPr="00526311">
        <w:rPr>
          <w:bCs/>
          <w:color w:val="000000"/>
          <w:sz w:val="20"/>
        </w:rPr>
        <w:t xml:space="preserve">La colaboración interna también desempeñó una función importante en la ejecución de los programas y en el progreso hacia la consecución de las </w:t>
      </w:r>
      <w:r w:rsidRPr="00526311">
        <w:rPr>
          <w:bCs/>
          <w:sz w:val="20"/>
        </w:rPr>
        <w:t xml:space="preserve">metas estratégicas.  La comunicación con el personal, a través de sesiones informativas periódicas a cargo del Director General y en otros foros, siguieron siendo fundamentales para explicar los cambios necesarios y buscar apoyo al respecto.  Al mismo tiempo, las reuniones periódicas del Equipo Directivo Superior proporcionaron orientación a las dependencias de la Organización, convirtiendo las decisiones estratégicas en realidades prácticas.  El inicio del segundo mandato del Director General supuso una oportunidad para aportar nuevas ideas y dotar de energías renovadas al Equipo Directivo Superior con la suma de cuatro nuevos miembros a la experiencia de los cuatro miembros del Equipo anterior. Además, se amplió ligeramente el equipo con la llegada de directores de programa encargados de recursos humanos y asuntos jurídicos, elementos intersectoriales importantes para la adopción de decisiones estratégicas en todas las esferas.  De hecho, con la conclusión satisfactoria del Programa de Alineación Estratégica (PAE) en 2013, el Equipo Directivo Superior desempeñó una labor importante durante el año en velar por que se mantuvieran los resultados obtenidos en el marco del PAE en términos de cultura y valores, eficiencia en los distintos </w:t>
      </w:r>
      <w:r w:rsidRPr="00526311">
        <w:rPr>
          <w:bCs/>
          <w:color w:val="000000"/>
          <w:sz w:val="20"/>
        </w:rPr>
        <w:t>procesos y una armonización más adecuada de los programas, las estructuras y los recursos en relación con las nueve metas estratégicas.</w:t>
      </w:r>
    </w:p>
    <w:p w:rsidR="00794E04" w:rsidRPr="00526311" w:rsidRDefault="00794E04" w:rsidP="0063039A">
      <w:pPr>
        <w:jc w:val="both"/>
        <w:rPr>
          <w:bCs/>
          <w:color w:val="000000"/>
          <w:sz w:val="20"/>
        </w:rPr>
      </w:pPr>
    </w:p>
    <w:p w:rsidR="00794E04" w:rsidRPr="00526311" w:rsidRDefault="00794E04" w:rsidP="00794E04">
      <w:pPr>
        <w:numPr>
          <w:ilvl w:val="0"/>
          <w:numId w:val="83"/>
        </w:numPr>
        <w:autoSpaceDE w:val="0"/>
        <w:autoSpaceDN w:val="0"/>
        <w:adjustRightInd w:val="0"/>
        <w:jc w:val="both"/>
        <w:rPr>
          <w:bCs/>
          <w:sz w:val="20"/>
        </w:rPr>
      </w:pPr>
      <w:r w:rsidRPr="00526311">
        <w:rPr>
          <w:bCs/>
          <w:color w:val="000000"/>
          <w:sz w:val="20"/>
        </w:rPr>
        <w:t xml:space="preserve">La </w:t>
      </w:r>
      <w:r w:rsidRPr="00526311">
        <w:rPr>
          <w:bCs/>
          <w:sz w:val="20"/>
        </w:rPr>
        <w:t xml:space="preserve">Oficina del Consejero Jurídico, con su diligencia y fiabilidad acostumbradas, siguió facilitando asesoramiento y servicios jurídicos, en consonancia con las obligaciones reglamentarias y la legislación aplicable, al Director General, a la Secretaría y a los Estados miembros sobre asuntos constitucionales, contratos, Derecho de tratados y asuntos relacionados con la administración y los recursos humanos, en un clima de fuerte y, en algunas áreas, creciente demanda. El comienzo del nuevo sistema de administración de justicia que entró en vigor el 1 de enero de 2014 fue uno de los retos más importantes.  </w:t>
      </w:r>
      <w:r w:rsidRPr="00526311">
        <w:rPr>
          <w:sz w:val="20"/>
        </w:rPr>
        <w:t xml:space="preserve">La Oficina del Consejero Jurídico logró adaptarse perfectamente al nuevo sistema en lo que se refiere a la representación de la Administración ante reclamaciones y quejas por parte del personal.  La Oficina del Consejero Jurídico continuó desempeñando de manera eficiente las funciones de depositario de los tratados administrados por la OMPI, a pesar del creciente número de peticiones de asesoramiento.  Resultó alentador que la base de datos WIPO Lex con información jurídica relativa a la propiedad intelectual siguiera siendo el recurso abierto más importante de Internet con más de 1,5 millones de usuarios  anuales procedentes de todo el mundo.  Al mismo tiempo, la Oficina del Consejero Jurídico consagró un tiempo considerable durante el año a la atención dedicada a las partes interesadas no gubernamentales.  Sobre todo, se realizaron esfuerzos y se organizaron actividades para celebrar debates más eficaces con los representantes de la sociedad civil y para fomentar intercambios abiertos, transparentes y dinámicos sobre una variedad de temas, entre ellos, la Agenda para el Desarrollo de la OMPI.  Cabe citar como ejemplo, la tercera reunión anual de organizaciones no gubernamentales acreditadas con el Director General. </w:t>
      </w:r>
    </w:p>
    <w:p w:rsidR="00794E04" w:rsidRPr="00526311" w:rsidRDefault="00794E04" w:rsidP="0063039A">
      <w:pPr>
        <w:jc w:val="both"/>
        <w:rPr>
          <w:bCs/>
          <w:sz w:val="20"/>
        </w:rPr>
      </w:pPr>
    </w:p>
    <w:p w:rsidR="00794E04" w:rsidRPr="00526311" w:rsidRDefault="00794E04" w:rsidP="00794E04">
      <w:pPr>
        <w:numPr>
          <w:ilvl w:val="0"/>
          <w:numId w:val="83"/>
        </w:numPr>
        <w:autoSpaceDE w:val="0"/>
        <w:autoSpaceDN w:val="0"/>
        <w:adjustRightInd w:val="0"/>
        <w:jc w:val="both"/>
        <w:rPr>
          <w:sz w:val="20"/>
        </w:rPr>
      </w:pPr>
      <w:r w:rsidRPr="00526311">
        <w:rPr>
          <w:color w:val="000000"/>
          <w:sz w:val="20"/>
        </w:rPr>
        <w:t xml:space="preserve">Pudieron apreciarse plenamente las ventajas de contar con una unidad central, la División de Asuntos de las Asambleas y Documentación, exclusivamente dedicada a gestionar los preparativos para </w:t>
      </w:r>
      <w:r w:rsidRPr="00526311">
        <w:rPr>
          <w:color w:val="000000"/>
          <w:sz w:val="20"/>
        </w:rPr>
        <w:lastRenderedPageBreak/>
        <w:t>las Asambleas.  Además de la habitual sesión de otoño de las Asambleas, se organizaron dos sesiones extraordinarias: una en marzo (</w:t>
      </w:r>
      <w:r w:rsidRPr="00526311">
        <w:rPr>
          <w:sz w:val="20"/>
        </w:rPr>
        <w:t>Comité de Coordinación) y otra en mayo (Asamblea General de la OMPI).  Se mantuvieron y perfeccionaron varias innovaciones y medidas de racionalización en el ámbito institucional como la retransmisión por Internet de las reuniones, la inscripción electrónica y los nuevos procedimientos de viaje.  La documentación fue entregada con sobrada antelación.  El afán de extremar la eficiencia y de proporcionar a los Estados miembros una experiencia positiva de las Asambleas se reflejó en los elevados niveles de satisfacción registrados en una encuesta hecha entre los delegados.</w:t>
      </w:r>
    </w:p>
    <w:p w:rsidR="00794E04" w:rsidRPr="00526311" w:rsidRDefault="00794E04" w:rsidP="0063039A">
      <w:pPr>
        <w:jc w:val="both"/>
        <w:rPr>
          <w:bCs/>
          <w:sz w:val="20"/>
        </w:rPr>
      </w:pPr>
    </w:p>
    <w:p w:rsidR="00794E04" w:rsidRPr="00526311" w:rsidRDefault="00794E04" w:rsidP="00794E04">
      <w:pPr>
        <w:numPr>
          <w:ilvl w:val="0"/>
          <w:numId w:val="83"/>
        </w:numPr>
        <w:autoSpaceDE w:val="0"/>
        <w:autoSpaceDN w:val="0"/>
        <w:adjustRightInd w:val="0"/>
        <w:jc w:val="both"/>
        <w:rPr>
          <w:sz w:val="20"/>
        </w:rPr>
      </w:pPr>
      <w:r w:rsidRPr="00526311">
        <w:rPr>
          <w:sz w:val="20"/>
        </w:rPr>
        <w:t xml:space="preserve">La OMPI continuó participando activamente en el sistema de las Naciones Unidas, incluida la Junta de los </w:t>
      </w:r>
      <w:r w:rsidR="005C46C4" w:rsidRPr="00526311">
        <w:rPr>
          <w:sz w:val="20"/>
        </w:rPr>
        <w:t xml:space="preserve">Jefes Ejecutivos </w:t>
      </w:r>
      <w:r w:rsidRPr="00526311">
        <w:rPr>
          <w:sz w:val="20"/>
        </w:rPr>
        <w:t xml:space="preserve">del </w:t>
      </w:r>
      <w:r w:rsidR="005C46C4" w:rsidRPr="00526311">
        <w:rPr>
          <w:sz w:val="20"/>
        </w:rPr>
        <w:t xml:space="preserve">Sistema </w:t>
      </w:r>
      <w:r w:rsidRPr="00526311">
        <w:rPr>
          <w:sz w:val="20"/>
        </w:rPr>
        <w:t xml:space="preserve">de las Naciones Unidas para la </w:t>
      </w:r>
      <w:r w:rsidR="005C46C4" w:rsidRPr="00526311">
        <w:rPr>
          <w:sz w:val="20"/>
        </w:rPr>
        <w:t xml:space="preserve">Coordinación </w:t>
      </w:r>
      <w:r w:rsidRPr="00526311">
        <w:rPr>
          <w:sz w:val="20"/>
        </w:rPr>
        <w:t xml:space="preserve">(JJE) con sus dos comités: el Comité de Alto Nivel sobre Gestión (HLCM) y el Comité de Alto Nivel sobre Programas (HLCP).  Nuestra colaboración con dichos mecanismos supuso una importante oportunidad para que la OMPI destacara sus perspectivas en el marco de los debates del Sistema de las Naciones Unidas </w:t>
      </w:r>
      <w:r w:rsidRPr="00526311">
        <w:rPr>
          <w:color w:val="000000"/>
          <w:sz w:val="20"/>
        </w:rPr>
        <w:t xml:space="preserve">e intercambiara buenas prácticas administrativas y operativas; también fue una buena oportunidad para que la Organización ayudara a establecer un entorno coherente en el Sistema de las Naciones Unidas. </w:t>
      </w:r>
    </w:p>
    <w:p w:rsidR="00794E04" w:rsidRPr="00526311" w:rsidRDefault="00794E04" w:rsidP="0063039A">
      <w:pPr>
        <w:jc w:val="both"/>
        <w:rPr>
          <w:sz w:val="20"/>
        </w:rPr>
      </w:pPr>
    </w:p>
    <w:p w:rsidR="00794E04" w:rsidRPr="00526311" w:rsidRDefault="00794E04" w:rsidP="00794E04">
      <w:pPr>
        <w:numPr>
          <w:ilvl w:val="0"/>
          <w:numId w:val="83"/>
        </w:numPr>
        <w:autoSpaceDE w:val="0"/>
        <w:autoSpaceDN w:val="0"/>
        <w:adjustRightInd w:val="0"/>
        <w:jc w:val="both"/>
        <w:rPr>
          <w:sz w:val="20"/>
        </w:rPr>
      </w:pPr>
      <w:r w:rsidRPr="00526311">
        <w:rPr>
          <w:sz w:val="20"/>
        </w:rPr>
        <w:t xml:space="preserve">En 2014, el rendimiento de la Oficina de Ética Profesional sufrió un revés al no contar con un Oficial Jefe de Ética Profesional de abril a julio.  Se designó un Oficial Jefe de Ética Profesional con carácter interino a principios de agosto; el procedimiento para cubrir este importante puesto de manera continua seguía en curso a fines del período reseñado.  A raíz de estas circunstancias, se aplazó hasta el </w:t>
      </w:r>
      <w:r w:rsidR="005C46C4" w:rsidRPr="00526311">
        <w:rPr>
          <w:sz w:val="20"/>
        </w:rPr>
        <w:t xml:space="preserve">bienio </w:t>
      </w:r>
      <w:r w:rsidRPr="00526311">
        <w:rPr>
          <w:sz w:val="20"/>
        </w:rPr>
        <w:t>2015</w:t>
      </w:r>
      <w:r w:rsidR="005C46C4" w:rsidRPr="00526311">
        <w:rPr>
          <w:sz w:val="20"/>
        </w:rPr>
        <w:t>-2016</w:t>
      </w:r>
      <w:r w:rsidRPr="00526311">
        <w:rPr>
          <w:sz w:val="20"/>
        </w:rPr>
        <w:t xml:space="preserve"> el establecimiento del programa completo relativo a la declaración de la situación financiera.  Sin embargo, la Oficina de Ética Profesional continuó aplicando su política sobre declaración de intereses, que incluye, entre otras cosas, revelar los intereses financieros de conformidad con las IPSAS.  Asimismo, las políticas vigentes siguieron orientando los esfuerzos de la Oficina y respaldando el sistema de ética e integridad de la Organización.  La Oficina de Ética Profesional supervisó la Política de protección de los denunciantes de irregularidades que articula el valor que atribuye la OMPI a la participación de los miembros de su personal en las actividades de vigilancia de la Organización mediante la concesión de protección contra represalias.  El Código de Ética Profesional de la OMPI continuó proporcionando una plataforma común de principios rectores y de valores que el personal de la OMPI debe observar en el desempeño </w:t>
      </w:r>
      <w:r w:rsidRPr="00526311">
        <w:rPr>
          <w:color w:val="000000"/>
          <w:sz w:val="20"/>
        </w:rPr>
        <w:t>de sus funciones, y la Oficina prestó servicios de asesoramiento a miembros del personal de todos los niveles acerca de su aplicación.</w:t>
      </w:r>
    </w:p>
    <w:p w:rsidR="00794E04" w:rsidRPr="00526311" w:rsidRDefault="00794E04" w:rsidP="0063039A">
      <w:pPr>
        <w:jc w:val="both"/>
        <w:rPr>
          <w:sz w:val="20"/>
        </w:rPr>
      </w:pPr>
    </w:p>
    <w:p w:rsidR="00794E04" w:rsidRPr="00526311" w:rsidRDefault="00794E04" w:rsidP="00794E04">
      <w:pPr>
        <w:numPr>
          <w:ilvl w:val="0"/>
          <w:numId w:val="83"/>
        </w:numPr>
        <w:autoSpaceDE w:val="0"/>
        <w:autoSpaceDN w:val="0"/>
        <w:adjustRightInd w:val="0"/>
        <w:jc w:val="both"/>
        <w:rPr>
          <w:sz w:val="20"/>
        </w:rPr>
      </w:pPr>
      <w:r w:rsidRPr="00526311">
        <w:rPr>
          <w:sz w:val="20"/>
        </w:rPr>
        <w:t>Con el comienzo del nuevo sistema de administración de justicia, que entró en vigor el 1 de enero de 2014, se consolidó la posición de la Oficina del Mediador como parte integrante del marco de rendición de cuentas e integridad de la OMPI.  Un aspecto clave de esta reforma fue el reconocimiento de la importancia de la prevención de conflictos mediante la inclusión de la solución informal de conflictos en el Estatuto y Reglamento del Personal.  Para acompañar este cambio, la Oficina del Mediador se centró en sensibilizar al personal y mejorar su capacidad de manejo de conflictos mediante programas piloto de formación que se espera impartir a un mayor número de participantes en el futuro.  Mientras tanto, la Oficina continuó su labor de recibir visitantes y prestar servicios de asesoramiento y mediación en manejo de conflictos de manera independiente y confidencial a niveles similares a los de años anteriores, lo que refleja una actitud favorable a los servicios de solución informal de conflictos.</w:t>
      </w:r>
    </w:p>
    <w:p w:rsidR="00794E04" w:rsidRPr="00526311" w:rsidRDefault="00794E04" w:rsidP="0063039A">
      <w:pPr>
        <w:jc w:val="both"/>
        <w:rPr>
          <w:bCs/>
          <w:sz w:val="20"/>
        </w:rPr>
      </w:pPr>
    </w:p>
    <w:p w:rsidR="00794E04" w:rsidRPr="00526311" w:rsidRDefault="00794E04" w:rsidP="00794E04">
      <w:pPr>
        <w:numPr>
          <w:ilvl w:val="0"/>
          <w:numId w:val="83"/>
        </w:numPr>
        <w:autoSpaceDE w:val="0"/>
        <w:autoSpaceDN w:val="0"/>
        <w:adjustRightInd w:val="0"/>
        <w:jc w:val="both"/>
        <w:rPr>
          <w:sz w:val="20"/>
        </w:rPr>
      </w:pPr>
      <w:r w:rsidRPr="00526311">
        <w:rPr>
          <w:color w:val="000000"/>
          <w:sz w:val="20"/>
        </w:rPr>
        <w:t>En mayo se estableció la función de coordinador de</w:t>
      </w:r>
      <w:r w:rsidRPr="00526311">
        <w:rPr>
          <w:color w:val="0000FF"/>
          <w:sz w:val="20"/>
        </w:rPr>
        <w:t xml:space="preserve"> </w:t>
      </w:r>
      <w:r w:rsidRPr="00526311">
        <w:rPr>
          <w:sz w:val="20"/>
        </w:rPr>
        <w:t>continuidad de las operaciones en la ODG</w:t>
      </w:r>
      <w:r w:rsidRPr="00526311">
        <w:rPr>
          <w:color w:val="000000"/>
          <w:sz w:val="20"/>
        </w:rPr>
        <w:t xml:space="preserve">. En los meses que siguieron, se consiguieron progresos importantes en la puesta en marcha de elementos necesarios para un sistema institucional de reacción y recuperación, como la publicación de una estrategia y política institucional de reacción y recuperación y la puesta en aplicación del primer sistema de notificación de emergencia de la Organización.  </w:t>
      </w:r>
      <w:r w:rsidRPr="00526311">
        <w:rPr>
          <w:sz w:val="20"/>
        </w:rPr>
        <w:t xml:space="preserve">Se sentarán así sólidos cimientos a la par de la evolución de los elementos del sistema en los meses y años por venir.  </w:t>
      </w:r>
    </w:p>
    <w:p w:rsidR="00794E04" w:rsidRPr="00526311" w:rsidRDefault="00794E04" w:rsidP="0063039A">
      <w:pPr>
        <w:jc w:val="both"/>
        <w:rPr>
          <w:sz w:val="20"/>
        </w:rPr>
      </w:pPr>
    </w:p>
    <w:p w:rsidR="00794E04" w:rsidRPr="00526311" w:rsidRDefault="00794E04" w:rsidP="00794E04">
      <w:pPr>
        <w:numPr>
          <w:ilvl w:val="0"/>
          <w:numId w:val="83"/>
        </w:numPr>
        <w:autoSpaceDE w:val="0"/>
        <w:autoSpaceDN w:val="0"/>
        <w:adjustRightInd w:val="0"/>
        <w:jc w:val="both"/>
        <w:rPr>
          <w:sz w:val="20"/>
        </w:rPr>
      </w:pPr>
      <w:r w:rsidRPr="00526311">
        <w:rPr>
          <w:color w:val="000000"/>
          <w:sz w:val="20"/>
        </w:rPr>
        <w:t xml:space="preserve">En febrero de 2014, con el nombramiento del </w:t>
      </w:r>
      <w:r w:rsidRPr="00526311">
        <w:rPr>
          <w:sz w:val="20"/>
        </w:rPr>
        <w:t xml:space="preserve">Jefe de Protocolo y Gestión de Eventos, las </w:t>
      </w:r>
      <w:r w:rsidRPr="00526311">
        <w:rPr>
          <w:color w:val="000000"/>
          <w:sz w:val="20"/>
        </w:rPr>
        <w:t xml:space="preserve">actividades y los eventos se fusionaron con el protocolo para mejorar y optimizar la atención a los </w:t>
      </w:r>
      <w:r w:rsidRPr="00526311">
        <w:rPr>
          <w:sz w:val="20"/>
        </w:rPr>
        <w:t>Estados miembros y otras partes interesadas</w:t>
      </w:r>
      <w:r w:rsidRPr="00526311">
        <w:rPr>
          <w:color w:val="000000"/>
          <w:sz w:val="20"/>
        </w:rPr>
        <w:t xml:space="preserve">. La 54ª serie de reuniones de las Asambleas de los Estados miembros de la OMPI, que se celebró en septiembre de 2014, registró un aumento considerable del número de eventos y actos paralelos solicitados y organizados, incluida la inauguración de </w:t>
      </w:r>
      <w:r w:rsidRPr="00526311">
        <w:rPr>
          <w:sz w:val="20"/>
        </w:rPr>
        <w:t>la nueva sala de conferencias</w:t>
      </w:r>
      <w:r w:rsidR="005C46C4" w:rsidRPr="00526311">
        <w:rPr>
          <w:sz w:val="20"/>
        </w:rPr>
        <w:t xml:space="preserve"> de la OMPI</w:t>
      </w:r>
      <w:r w:rsidRPr="00526311">
        <w:rPr>
          <w:sz w:val="20"/>
        </w:rPr>
        <w:t xml:space="preserve">.  </w:t>
      </w:r>
      <w:r w:rsidRPr="00526311">
        <w:rPr>
          <w:color w:val="000000"/>
          <w:sz w:val="20"/>
        </w:rPr>
        <w:t xml:space="preserve">Estos eventos recibieron una respuesta favorable como quedó reflejado en el nivel de satisfacción de los delegados: 91% de delegados satisfechos con la inauguración y 82%, con los actos paralelos. </w:t>
      </w:r>
    </w:p>
    <w:p w:rsidR="00794E04" w:rsidRPr="00526311" w:rsidRDefault="00794E04" w:rsidP="0063039A">
      <w:pPr>
        <w:jc w:val="both"/>
        <w:rPr>
          <w:sz w:val="20"/>
        </w:rPr>
      </w:pPr>
    </w:p>
    <w:p w:rsidR="00794E04" w:rsidRPr="00526311" w:rsidRDefault="00794E04" w:rsidP="00794E04">
      <w:pPr>
        <w:numPr>
          <w:ilvl w:val="0"/>
          <w:numId w:val="83"/>
        </w:numPr>
        <w:autoSpaceDE w:val="0"/>
        <w:autoSpaceDN w:val="0"/>
        <w:adjustRightInd w:val="0"/>
        <w:jc w:val="both"/>
        <w:rPr>
          <w:sz w:val="20"/>
        </w:rPr>
      </w:pPr>
      <w:r w:rsidRPr="00526311">
        <w:rPr>
          <w:sz w:val="20"/>
        </w:rPr>
        <w:t xml:space="preserve">El programa 21, que incluye el trabajo de la Oficina del Director General, siguió desempeñando un papel fundamental al proporcionar la orientación estratégica y la supervisión global necesaria para </w:t>
      </w:r>
      <w:r w:rsidRPr="00526311">
        <w:rPr>
          <w:sz w:val="20"/>
        </w:rPr>
        <w:lastRenderedPageBreak/>
        <w:t xml:space="preserve">facilitar la integración y la aplicación de la Agenda de la OMPI para el Desarrollo por parte de todos los sectores pertinentes de la Organización.  </w:t>
      </w:r>
    </w:p>
    <w:p w:rsidR="00794E04" w:rsidRPr="00526311" w:rsidRDefault="00794E04" w:rsidP="0063039A">
      <w:pPr>
        <w:jc w:val="both"/>
        <w:rPr>
          <w:sz w:val="20"/>
        </w:rPr>
      </w:pPr>
    </w:p>
    <w:p w:rsidR="00794E04" w:rsidRPr="00526311" w:rsidRDefault="00794E04" w:rsidP="0063039A">
      <w:pPr>
        <w:jc w:val="both"/>
        <w:rPr>
          <w:sz w:val="20"/>
        </w:rPr>
      </w:pPr>
    </w:p>
    <w:p w:rsidR="00794E04" w:rsidRPr="00526311" w:rsidRDefault="00794E04" w:rsidP="0063039A">
      <w:pPr>
        <w:rPr>
          <w:iCs/>
        </w:rPr>
      </w:pPr>
      <w:r w:rsidRPr="00526311">
        <w:rPr>
          <w:iCs/>
        </w:rPr>
        <w:t>DATOS SOBRE EL RENDIMIENTO</w:t>
      </w:r>
    </w:p>
    <w:p w:rsidR="00794E04" w:rsidRPr="00526311" w:rsidRDefault="00794E04"/>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410"/>
        <w:gridCol w:w="1417"/>
        <w:gridCol w:w="1986"/>
        <w:gridCol w:w="142"/>
        <w:gridCol w:w="140"/>
        <w:gridCol w:w="994"/>
      </w:tblGrid>
      <w:tr w:rsidR="00794E04" w:rsidRPr="00526311" w:rsidTr="0063039A">
        <w:trPr>
          <w:trHeight w:val="488"/>
        </w:trPr>
        <w:tc>
          <w:tcPr>
            <w:tcW w:w="5000" w:type="pct"/>
            <w:gridSpan w:val="7"/>
            <w:tcBorders>
              <w:top w:val="single" w:sz="4" w:space="0" w:color="auto"/>
              <w:bottom w:val="single" w:sz="4" w:space="0" w:color="auto"/>
            </w:tcBorders>
            <w:shd w:val="clear" w:color="auto" w:fill="CCFFFF"/>
            <w:vAlign w:val="center"/>
          </w:tcPr>
          <w:p w:rsidR="00794E04" w:rsidRPr="00526311" w:rsidRDefault="00794E04" w:rsidP="0063039A">
            <w:pPr>
              <w:keepNext/>
              <w:keepLines/>
              <w:tabs>
                <w:tab w:val="left" w:pos="1735"/>
              </w:tabs>
              <w:ind w:left="1735" w:hanging="1735"/>
              <w:rPr>
                <w:b/>
                <w:bCs/>
                <w:sz w:val="16"/>
                <w:szCs w:val="16"/>
              </w:rPr>
            </w:pPr>
            <w:r w:rsidRPr="00526311">
              <w:rPr>
                <w:b/>
                <w:bCs/>
                <w:sz w:val="16"/>
                <w:szCs w:val="16"/>
              </w:rPr>
              <w:t>Resultado previsto:</w:t>
            </w:r>
            <w:r w:rsidRPr="00526311">
              <w:rPr>
                <w:b/>
                <w:bCs/>
                <w:sz w:val="16"/>
                <w:szCs w:val="16"/>
              </w:rPr>
              <w:tab/>
            </w:r>
            <w:r w:rsidRPr="00526311">
              <w:rPr>
                <w:bCs/>
                <w:sz w:val="16"/>
                <w:szCs w:val="16"/>
              </w:rPr>
              <w:t>IV.2 Mejora del acceso y uso de información de P.I. por parte de instituciones de P.I. y el público para fomentar la innovación y la creatividad</w:t>
            </w:r>
          </w:p>
        </w:tc>
      </w:tr>
      <w:tr w:rsidR="00794E04" w:rsidRPr="00526311" w:rsidTr="0063039A">
        <w:tc>
          <w:tcPr>
            <w:tcW w:w="1212" w:type="pct"/>
            <w:tcBorders>
              <w:top w:val="single" w:sz="4" w:space="0" w:color="auto"/>
            </w:tcBorders>
            <w:shd w:val="clear" w:color="auto" w:fill="auto"/>
            <w:vAlign w:val="center"/>
          </w:tcPr>
          <w:p w:rsidR="00794E04" w:rsidRPr="00526311" w:rsidRDefault="00794E04" w:rsidP="0063039A">
            <w:pPr>
              <w:rPr>
                <w:sz w:val="16"/>
                <w:szCs w:val="16"/>
              </w:rPr>
            </w:pPr>
            <w:r w:rsidRPr="00526311">
              <w:rPr>
                <w:b/>
                <w:sz w:val="16"/>
                <w:szCs w:val="16"/>
              </w:rPr>
              <w:t>Indicadores de rendimiento</w:t>
            </w:r>
          </w:p>
        </w:tc>
        <w:tc>
          <w:tcPr>
            <w:tcW w:w="1288" w:type="pct"/>
            <w:tcBorders>
              <w:top w:val="single" w:sz="4" w:space="0" w:color="auto"/>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757" w:type="pct"/>
            <w:tcBorders>
              <w:top w:val="single" w:sz="4" w:space="0" w:color="auto"/>
            </w:tcBorders>
            <w:shd w:val="clear" w:color="auto" w:fill="auto"/>
            <w:tcMar>
              <w:top w:w="110" w:type="dxa"/>
            </w:tcMar>
            <w:vAlign w:val="center"/>
          </w:tcPr>
          <w:p w:rsidR="00794E04" w:rsidRPr="00526311" w:rsidRDefault="00794E04" w:rsidP="0063039A">
            <w:pPr>
              <w:rPr>
                <w:b/>
                <w:sz w:val="16"/>
                <w:szCs w:val="16"/>
              </w:rPr>
            </w:pPr>
            <w:r w:rsidRPr="00526311">
              <w:rPr>
                <w:b/>
                <w:sz w:val="16"/>
                <w:szCs w:val="16"/>
              </w:rPr>
              <w:t>Objetivos</w:t>
            </w:r>
          </w:p>
        </w:tc>
        <w:tc>
          <w:tcPr>
            <w:tcW w:w="1212" w:type="pct"/>
            <w:gridSpan w:val="3"/>
            <w:tcBorders>
              <w:top w:val="single" w:sz="4" w:space="0" w:color="auto"/>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531" w:type="pct"/>
            <w:tcBorders>
              <w:top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c>
          <w:tcPr>
            <w:tcW w:w="1212" w:type="pct"/>
            <w:shd w:val="clear" w:color="auto" w:fill="auto"/>
          </w:tcPr>
          <w:p w:rsidR="00794E04" w:rsidRPr="00526311" w:rsidRDefault="00794E04" w:rsidP="0063039A">
            <w:pPr>
              <w:rPr>
                <w:color w:val="000000"/>
                <w:sz w:val="16"/>
                <w:szCs w:val="16"/>
              </w:rPr>
            </w:pPr>
            <w:r w:rsidRPr="00526311">
              <w:rPr>
                <w:sz w:val="16"/>
                <w:szCs w:val="16"/>
              </w:rPr>
              <w:t>Aumento del número de usuarios de WIPO Lex</w:t>
            </w:r>
          </w:p>
        </w:tc>
        <w:tc>
          <w:tcPr>
            <w:tcW w:w="1288" w:type="pct"/>
            <w:shd w:val="clear" w:color="auto" w:fill="auto"/>
          </w:tcPr>
          <w:p w:rsidR="00794E04" w:rsidRPr="00526311" w:rsidRDefault="00794E04" w:rsidP="0063039A">
            <w:pPr>
              <w:rPr>
                <w:rFonts w:eastAsiaTheme="minorHAnsi"/>
                <w:i/>
                <w:color w:val="002060"/>
                <w:sz w:val="16"/>
                <w:szCs w:val="16"/>
              </w:rPr>
            </w:pPr>
            <w:r w:rsidRPr="00526311">
              <w:rPr>
                <w:rFonts w:eastAsiaTheme="minorHAnsi"/>
                <w:i/>
                <w:color w:val="002060"/>
                <w:sz w:val="16"/>
                <w:szCs w:val="16"/>
              </w:rPr>
              <w:t>Referencia actualizada a fines de 2013</w:t>
            </w:r>
            <w:r w:rsidRPr="00526311">
              <w:rPr>
                <w:rFonts w:eastAsiaTheme="minorHAnsi"/>
                <w:color w:val="002060"/>
                <w:sz w:val="16"/>
                <w:szCs w:val="16"/>
              </w:rPr>
              <w:t>: 2.236.486 usuarios (1.461.841 en 2013; 774.645 en 2012)</w:t>
            </w:r>
          </w:p>
          <w:p w:rsidR="00794E04" w:rsidRPr="00526311" w:rsidRDefault="00794E04">
            <w:pPr>
              <w:rPr>
                <w:i/>
                <w:color w:val="002060"/>
                <w:sz w:val="8"/>
                <w:szCs w:val="8"/>
              </w:rPr>
            </w:pPr>
          </w:p>
          <w:p w:rsidR="00794E04" w:rsidRPr="00526311" w:rsidRDefault="00B56D3B" w:rsidP="005C46C4">
            <w:pPr>
              <w:rPr>
                <w:color w:val="000000"/>
                <w:sz w:val="16"/>
                <w:szCs w:val="16"/>
              </w:rPr>
            </w:pPr>
            <w:r w:rsidRPr="00526311">
              <w:rPr>
                <w:i/>
                <w:color w:val="000000"/>
                <w:sz w:val="16"/>
                <w:szCs w:val="16"/>
              </w:rPr>
              <w:t>Referencia original en el presupuesto de 2014/15</w:t>
            </w:r>
            <w:r w:rsidR="00794E04" w:rsidRPr="00526311">
              <w:rPr>
                <w:i/>
                <w:color w:val="000000"/>
                <w:sz w:val="16"/>
                <w:szCs w:val="16"/>
              </w:rPr>
              <w:t xml:space="preserve">: </w:t>
            </w:r>
            <w:r w:rsidR="00794E04" w:rsidRPr="00526311">
              <w:rPr>
                <w:color w:val="000000"/>
                <w:sz w:val="16"/>
                <w:szCs w:val="16"/>
              </w:rPr>
              <w:t>1.123.930</w:t>
            </w:r>
            <w:r w:rsidR="00794E04" w:rsidRPr="00526311">
              <w:rPr>
                <w:rStyle w:val="FootnoteReference"/>
                <w:color w:val="000000"/>
                <w:sz w:val="16"/>
                <w:szCs w:val="16"/>
              </w:rPr>
              <w:footnoteReference w:id="53"/>
            </w:r>
          </w:p>
        </w:tc>
        <w:tc>
          <w:tcPr>
            <w:tcW w:w="757" w:type="pct"/>
            <w:shd w:val="clear" w:color="auto" w:fill="auto"/>
            <w:tcMar>
              <w:top w:w="110" w:type="dxa"/>
            </w:tcMar>
          </w:tcPr>
          <w:p w:rsidR="00794E04" w:rsidRPr="00526311" w:rsidRDefault="00794E04">
            <w:pPr>
              <w:rPr>
                <w:sz w:val="16"/>
                <w:szCs w:val="16"/>
              </w:rPr>
            </w:pPr>
            <w:r w:rsidRPr="00526311">
              <w:rPr>
                <w:sz w:val="16"/>
                <w:szCs w:val="16"/>
              </w:rPr>
              <w:t>20%</w:t>
            </w:r>
          </w:p>
          <w:p w:rsidR="00794E04" w:rsidRPr="00526311" w:rsidRDefault="00794E04">
            <w:pPr>
              <w:rPr>
                <w:sz w:val="16"/>
                <w:szCs w:val="16"/>
                <w:lang w:bidi="th-TH"/>
              </w:rPr>
            </w:pPr>
          </w:p>
        </w:tc>
        <w:tc>
          <w:tcPr>
            <w:tcW w:w="1137" w:type="pct"/>
            <w:gridSpan w:val="2"/>
            <w:shd w:val="clear" w:color="auto" w:fill="FFFFFF"/>
            <w:tcMar>
              <w:top w:w="110" w:type="dxa"/>
            </w:tcMar>
          </w:tcPr>
          <w:p w:rsidR="00794E04" w:rsidRPr="00526311" w:rsidRDefault="00794E04" w:rsidP="0063039A">
            <w:pPr>
              <w:rPr>
                <w:sz w:val="16"/>
                <w:szCs w:val="16"/>
              </w:rPr>
            </w:pPr>
            <w:r w:rsidRPr="00526311">
              <w:rPr>
                <w:sz w:val="16"/>
                <w:szCs w:val="16"/>
                <w:lang w:bidi="th-TH"/>
              </w:rPr>
              <w:t>1.506.508 usuarios en 2014</w:t>
            </w:r>
          </w:p>
        </w:tc>
        <w:tc>
          <w:tcPr>
            <w:tcW w:w="606" w:type="pct"/>
            <w:gridSpan w:val="2"/>
            <w:shd w:val="clear" w:color="auto" w:fill="auto"/>
            <w:tcMar>
              <w:top w:w="110" w:type="dxa"/>
            </w:tcMar>
          </w:tcPr>
          <w:p w:rsidR="00794E04" w:rsidRPr="00526311" w:rsidRDefault="005C46C4" w:rsidP="0063039A">
            <w:pPr>
              <w:keepNext/>
              <w:keepLines/>
              <w:ind w:left="-108" w:right="-107"/>
              <w:jc w:val="center"/>
              <w:rPr>
                <w:b/>
                <w:bCs/>
                <w:color w:val="00B050"/>
                <w:sz w:val="16"/>
                <w:szCs w:val="16"/>
              </w:rPr>
            </w:pPr>
            <w:r w:rsidRPr="00526311">
              <w:rPr>
                <w:b/>
                <w:color w:val="00B050"/>
                <w:sz w:val="16"/>
                <w:szCs w:val="16"/>
              </w:rPr>
              <w:t>Avanza</w:t>
            </w:r>
          </w:p>
        </w:tc>
      </w:tr>
      <w:tr w:rsidR="00794E04" w:rsidRPr="00526311" w:rsidTr="0063039A">
        <w:trPr>
          <w:trHeight w:val="396"/>
        </w:trPr>
        <w:tc>
          <w:tcPr>
            <w:tcW w:w="5000" w:type="pct"/>
            <w:gridSpan w:val="7"/>
            <w:tcBorders>
              <w:top w:val="single" w:sz="4" w:space="0" w:color="auto"/>
              <w:bottom w:val="single" w:sz="4" w:space="0" w:color="auto"/>
            </w:tcBorders>
            <w:shd w:val="clear" w:color="auto" w:fill="CCFFFF"/>
            <w:vAlign w:val="center"/>
          </w:tcPr>
          <w:p w:rsidR="00794E04" w:rsidRPr="00526311" w:rsidRDefault="00794E04" w:rsidP="0063039A">
            <w:pPr>
              <w:keepNext/>
              <w:keepLines/>
              <w:tabs>
                <w:tab w:val="left" w:pos="1452"/>
              </w:tabs>
              <w:ind w:left="1452" w:hanging="1452"/>
              <w:rPr>
                <w:b/>
                <w:bCs/>
                <w:sz w:val="16"/>
                <w:szCs w:val="16"/>
              </w:rPr>
            </w:pPr>
            <w:r w:rsidRPr="00526311">
              <w:rPr>
                <w:b/>
                <w:bCs/>
                <w:color w:val="000000"/>
                <w:sz w:val="16"/>
                <w:szCs w:val="16"/>
              </w:rPr>
              <w:t xml:space="preserve">Resultado previsto: </w:t>
            </w:r>
            <w:r w:rsidRPr="00526311">
              <w:rPr>
                <w:b/>
                <w:bCs/>
                <w:color w:val="000000"/>
                <w:sz w:val="16"/>
                <w:szCs w:val="16"/>
              </w:rPr>
              <w:tab/>
            </w:r>
            <w:r w:rsidRPr="00526311">
              <w:rPr>
                <w:bCs/>
                <w:color w:val="000000"/>
                <w:sz w:val="16"/>
                <w:szCs w:val="16"/>
              </w:rPr>
              <w:t>VIII.3 Atención eficaz a los Estados miembros</w:t>
            </w:r>
            <w:r w:rsidRPr="00526311">
              <w:rPr>
                <w:b/>
                <w:bCs/>
                <w:color w:val="000000"/>
                <w:sz w:val="16"/>
                <w:szCs w:val="16"/>
              </w:rPr>
              <w:t xml:space="preserve"> </w:t>
            </w:r>
          </w:p>
        </w:tc>
      </w:tr>
      <w:tr w:rsidR="00794E04" w:rsidRPr="00526311" w:rsidTr="0063039A">
        <w:tc>
          <w:tcPr>
            <w:tcW w:w="1212" w:type="pct"/>
            <w:tcBorders>
              <w:top w:val="single" w:sz="4" w:space="0" w:color="auto"/>
              <w:left w:val="single" w:sz="4" w:space="0" w:color="auto"/>
              <w:bottom w:val="nil"/>
            </w:tcBorders>
            <w:shd w:val="clear" w:color="auto" w:fill="auto"/>
            <w:vAlign w:val="center"/>
          </w:tcPr>
          <w:p w:rsidR="00794E04" w:rsidRPr="00526311" w:rsidRDefault="00794E04" w:rsidP="000A3534">
            <w:pPr>
              <w:keepNext/>
              <w:keepLines/>
              <w:rPr>
                <w:sz w:val="16"/>
                <w:szCs w:val="16"/>
              </w:rPr>
            </w:pPr>
            <w:r w:rsidRPr="00526311">
              <w:rPr>
                <w:b/>
                <w:sz w:val="16"/>
                <w:szCs w:val="16"/>
              </w:rPr>
              <w:t>Indicadores de rendimiento</w:t>
            </w:r>
          </w:p>
        </w:tc>
        <w:tc>
          <w:tcPr>
            <w:tcW w:w="1288" w:type="pct"/>
            <w:tcBorders>
              <w:top w:val="single" w:sz="4" w:space="0" w:color="auto"/>
              <w:bottom w:val="nil"/>
            </w:tcBorders>
            <w:shd w:val="clear" w:color="auto" w:fill="auto"/>
            <w:vAlign w:val="center"/>
          </w:tcPr>
          <w:p w:rsidR="00794E04" w:rsidRPr="00526311" w:rsidRDefault="00794E04" w:rsidP="0063039A">
            <w:pPr>
              <w:keepNext/>
              <w:keepLines/>
              <w:rPr>
                <w:b/>
                <w:bCs/>
                <w:sz w:val="16"/>
                <w:szCs w:val="16"/>
              </w:rPr>
            </w:pPr>
            <w:r w:rsidRPr="00526311">
              <w:rPr>
                <w:b/>
                <w:bCs/>
                <w:sz w:val="16"/>
                <w:szCs w:val="16"/>
              </w:rPr>
              <w:t>Referencia</w:t>
            </w:r>
          </w:p>
        </w:tc>
        <w:tc>
          <w:tcPr>
            <w:tcW w:w="757" w:type="pct"/>
            <w:tcBorders>
              <w:top w:val="single" w:sz="4" w:space="0" w:color="auto"/>
              <w:bottom w:val="nil"/>
            </w:tcBorders>
            <w:shd w:val="clear" w:color="auto" w:fill="auto"/>
            <w:tcMar>
              <w:top w:w="110" w:type="dxa"/>
            </w:tcMar>
            <w:vAlign w:val="center"/>
          </w:tcPr>
          <w:p w:rsidR="00794E04" w:rsidRPr="00526311" w:rsidRDefault="00794E04" w:rsidP="0063039A">
            <w:pPr>
              <w:keepNext/>
              <w:keepLines/>
              <w:rPr>
                <w:b/>
                <w:sz w:val="16"/>
                <w:szCs w:val="16"/>
              </w:rPr>
            </w:pPr>
            <w:r w:rsidRPr="00526311">
              <w:rPr>
                <w:b/>
                <w:sz w:val="16"/>
                <w:szCs w:val="16"/>
              </w:rPr>
              <w:t>Objetivos</w:t>
            </w:r>
          </w:p>
        </w:tc>
        <w:tc>
          <w:tcPr>
            <w:tcW w:w="1137" w:type="pct"/>
            <w:gridSpan w:val="2"/>
            <w:tcBorders>
              <w:top w:val="single" w:sz="4" w:space="0" w:color="auto"/>
              <w:bottom w:val="nil"/>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06" w:type="pct"/>
            <w:gridSpan w:val="2"/>
            <w:tcBorders>
              <w:top w:val="single" w:sz="4" w:space="0" w:color="auto"/>
              <w:bottom w:val="nil"/>
              <w:right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c>
          <w:tcPr>
            <w:tcW w:w="1212" w:type="pct"/>
            <w:tcBorders>
              <w:top w:val="nil"/>
              <w:left w:val="single" w:sz="4" w:space="0" w:color="auto"/>
              <w:bottom w:val="nil"/>
            </w:tcBorders>
            <w:shd w:val="clear" w:color="auto" w:fill="auto"/>
          </w:tcPr>
          <w:p w:rsidR="00794E04" w:rsidRPr="00526311" w:rsidRDefault="00794E04" w:rsidP="0063039A">
            <w:pPr>
              <w:keepNext/>
              <w:keepLines/>
              <w:rPr>
                <w:sz w:val="16"/>
                <w:szCs w:val="16"/>
              </w:rPr>
            </w:pPr>
            <w:r w:rsidRPr="00526311">
              <w:rPr>
                <w:sz w:val="16"/>
                <w:szCs w:val="16"/>
              </w:rPr>
              <w:t>Porcentaje de sesiones de Comités precedidas de reuniones informativas para los Estados miembros</w:t>
            </w:r>
          </w:p>
        </w:tc>
        <w:tc>
          <w:tcPr>
            <w:tcW w:w="1288" w:type="pct"/>
            <w:tcBorders>
              <w:top w:val="nil"/>
              <w:bottom w:val="nil"/>
            </w:tcBorders>
            <w:shd w:val="clear" w:color="auto" w:fill="auto"/>
          </w:tcPr>
          <w:p w:rsidR="00794E04" w:rsidRPr="00526311" w:rsidRDefault="00794E04" w:rsidP="0063039A">
            <w:pPr>
              <w:rPr>
                <w:rFonts w:eastAsiaTheme="minorHAnsi"/>
                <w:i/>
                <w:color w:val="002060"/>
                <w:sz w:val="16"/>
                <w:szCs w:val="16"/>
              </w:rPr>
            </w:pPr>
            <w:r w:rsidRPr="00526311">
              <w:rPr>
                <w:rFonts w:eastAsiaTheme="minorHAnsi"/>
                <w:i/>
                <w:color w:val="002060"/>
                <w:sz w:val="16"/>
                <w:szCs w:val="16"/>
              </w:rPr>
              <w:t xml:space="preserve">Referencia actualizada a fines de 2013: </w:t>
            </w:r>
            <w:r w:rsidRPr="00526311">
              <w:rPr>
                <w:rFonts w:eastAsiaTheme="minorHAnsi"/>
                <w:color w:val="002060"/>
                <w:sz w:val="16"/>
                <w:szCs w:val="16"/>
              </w:rPr>
              <w:t>81% según una encuesta de los secretarios de los comités</w:t>
            </w:r>
          </w:p>
          <w:p w:rsidR="00794E04" w:rsidRPr="00526311" w:rsidRDefault="00794E04">
            <w:pPr>
              <w:rPr>
                <w:i/>
                <w:sz w:val="8"/>
                <w:szCs w:val="8"/>
              </w:rPr>
            </w:pPr>
          </w:p>
          <w:p w:rsidR="00794E04" w:rsidRPr="00526311" w:rsidRDefault="007B705E" w:rsidP="000A3534">
            <w:pPr>
              <w:keepNext/>
              <w:keepLines/>
              <w:rPr>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80%</w:t>
            </w:r>
          </w:p>
        </w:tc>
        <w:tc>
          <w:tcPr>
            <w:tcW w:w="757" w:type="pct"/>
            <w:tcBorders>
              <w:top w:val="nil"/>
              <w:bottom w:val="nil"/>
            </w:tcBorders>
            <w:shd w:val="clear" w:color="auto" w:fill="auto"/>
            <w:tcMar>
              <w:top w:w="110" w:type="dxa"/>
            </w:tcMar>
          </w:tcPr>
          <w:p w:rsidR="00794E04" w:rsidRPr="00526311" w:rsidRDefault="00794E04">
            <w:pPr>
              <w:keepNext/>
              <w:keepLines/>
              <w:rPr>
                <w:sz w:val="16"/>
                <w:szCs w:val="16"/>
              </w:rPr>
            </w:pPr>
            <w:r w:rsidRPr="00526311">
              <w:rPr>
                <w:sz w:val="16"/>
                <w:szCs w:val="16"/>
              </w:rPr>
              <w:t>90%</w:t>
            </w:r>
          </w:p>
        </w:tc>
        <w:tc>
          <w:tcPr>
            <w:tcW w:w="1137" w:type="pct"/>
            <w:gridSpan w:val="2"/>
            <w:tcBorders>
              <w:top w:val="nil"/>
              <w:bottom w:val="nil"/>
            </w:tcBorders>
            <w:shd w:val="clear" w:color="auto" w:fill="FFFFFF"/>
            <w:tcMar>
              <w:top w:w="110" w:type="dxa"/>
            </w:tcMar>
          </w:tcPr>
          <w:p w:rsidR="00794E04" w:rsidRPr="00526311" w:rsidRDefault="00794E04">
            <w:pPr>
              <w:rPr>
                <w:sz w:val="16"/>
                <w:szCs w:val="16"/>
              </w:rPr>
            </w:pPr>
            <w:r w:rsidRPr="00526311">
              <w:rPr>
                <w:sz w:val="16"/>
                <w:szCs w:val="16"/>
              </w:rPr>
              <w:t>93%</w:t>
            </w:r>
          </w:p>
        </w:tc>
        <w:tc>
          <w:tcPr>
            <w:tcW w:w="606" w:type="pct"/>
            <w:gridSpan w:val="2"/>
            <w:tcBorders>
              <w:top w:val="nil"/>
              <w:bottom w:val="nil"/>
              <w:right w:val="single" w:sz="4" w:space="0" w:color="auto"/>
            </w:tcBorders>
            <w:shd w:val="clear" w:color="auto" w:fill="auto"/>
            <w:tcMar>
              <w:top w:w="110" w:type="dxa"/>
            </w:tcMar>
          </w:tcPr>
          <w:p w:rsidR="00794E04" w:rsidRPr="00526311" w:rsidRDefault="005C46C4" w:rsidP="0063039A">
            <w:pPr>
              <w:keepNext/>
              <w:keepLines/>
              <w:ind w:left="-108" w:right="-107"/>
              <w:jc w:val="center"/>
              <w:rPr>
                <w:b/>
                <w:color w:val="00B050"/>
                <w:sz w:val="16"/>
                <w:szCs w:val="16"/>
              </w:rPr>
            </w:pPr>
            <w:r w:rsidRPr="00526311">
              <w:rPr>
                <w:b/>
                <w:color w:val="00B050"/>
                <w:sz w:val="16"/>
                <w:szCs w:val="16"/>
              </w:rPr>
              <w:t>Avanza</w:t>
            </w:r>
          </w:p>
        </w:tc>
      </w:tr>
      <w:tr w:rsidR="00794E04" w:rsidRPr="00526311" w:rsidTr="0063039A">
        <w:tc>
          <w:tcPr>
            <w:tcW w:w="1212" w:type="pct"/>
            <w:tcBorders>
              <w:top w:val="nil"/>
              <w:left w:val="single" w:sz="4" w:space="0" w:color="auto"/>
              <w:bottom w:val="nil"/>
            </w:tcBorders>
            <w:shd w:val="clear" w:color="auto" w:fill="auto"/>
          </w:tcPr>
          <w:p w:rsidR="00794E04" w:rsidRPr="00526311" w:rsidRDefault="00794E04" w:rsidP="0063039A">
            <w:pPr>
              <w:autoSpaceDE w:val="0"/>
              <w:autoSpaceDN w:val="0"/>
              <w:adjustRightInd w:val="0"/>
              <w:rPr>
                <w:sz w:val="16"/>
                <w:szCs w:val="16"/>
              </w:rPr>
            </w:pPr>
            <w:r w:rsidRPr="00526311">
              <w:rPr>
                <w:sz w:val="16"/>
                <w:szCs w:val="16"/>
              </w:rPr>
              <w:t>Porcentaje de cartas dirigidas al Director General por los Estados miembros a las que se da respuesta en un plazo de dos semanas</w:t>
            </w:r>
          </w:p>
        </w:tc>
        <w:tc>
          <w:tcPr>
            <w:tcW w:w="1288" w:type="pct"/>
            <w:tcBorders>
              <w:top w:val="nil"/>
              <w:bottom w:val="nil"/>
            </w:tcBorders>
            <w:shd w:val="clear" w:color="auto" w:fill="auto"/>
          </w:tcPr>
          <w:p w:rsidR="00794E04" w:rsidRPr="00526311" w:rsidRDefault="00794E04" w:rsidP="0063039A">
            <w:pPr>
              <w:rPr>
                <w:rFonts w:eastAsiaTheme="minorHAnsi"/>
                <w:i/>
                <w:color w:val="002060"/>
                <w:sz w:val="16"/>
                <w:szCs w:val="16"/>
              </w:rPr>
            </w:pPr>
            <w:r w:rsidRPr="00526311">
              <w:rPr>
                <w:i/>
                <w:color w:val="002060"/>
                <w:sz w:val="16"/>
                <w:szCs w:val="16"/>
              </w:rPr>
              <w:t xml:space="preserve">Referencia actualizada a fines de 2013: </w:t>
            </w:r>
            <w:r w:rsidRPr="00526311">
              <w:rPr>
                <w:color w:val="002060"/>
                <w:sz w:val="16"/>
                <w:szCs w:val="16"/>
              </w:rPr>
              <w:t>81% según una evaluación de la correspondencia recibida y enviada</w:t>
            </w:r>
          </w:p>
          <w:p w:rsidR="00794E04" w:rsidRPr="00526311" w:rsidRDefault="00794E04">
            <w:pPr>
              <w:rPr>
                <w:i/>
                <w:sz w:val="8"/>
                <w:szCs w:val="8"/>
              </w:rPr>
            </w:pPr>
          </w:p>
          <w:p w:rsidR="00794E04" w:rsidRPr="00526311" w:rsidRDefault="007B705E" w:rsidP="000A3534">
            <w:pPr>
              <w:rPr>
                <w:i/>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80%</w:t>
            </w:r>
          </w:p>
        </w:tc>
        <w:tc>
          <w:tcPr>
            <w:tcW w:w="757" w:type="pct"/>
            <w:tcBorders>
              <w:top w:val="nil"/>
              <w:bottom w:val="nil"/>
            </w:tcBorders>
            <w:shd w:val="clear" w:color="auto" w:fill="auto"/>
            <w:tcMar>
              <w:top w:w="110" w:type="dxa"/>
            </w:tcMar>
          </w:tcPr>
          <w:p w:rsidR="00794E04" w:rsidRPr="00526311" w:rsidRDefault="00794E04">
            <w:pPr>
              <w:rPr>
                <w:sz w:val="16"/>
                <w:szCs w:val="16"/>
              </w:rPr>
            </w:pPr>
            <w:r w:rsidRPr="00526311">
              <w:rPr>
                <w:sz w:val="16"/>
                <w:szCs w:val="16"/>
              </w:rPr>
              <w:t>80%</w:t>
            </w:r>
          </w:p>
        </w:tc>
        <w:tc>
          <w:tcPr>
            <w:tcW w:w="1137" w:type="pct"/>
            <w:gridSpan w:val="2"/>
            <w:tcBorders>
              <w:top w:val="nil"/>
              <w:bottom w:val="nil"/>
            </w:tcBorders>
            <w:shd w:val="clear" w:color="auto" w:fill="FFFFFF"/>
            <w:tcMar>
              <w:top w:w="110" w:type="dxa"/>
            </w:tcMar>
          </w:tcPr>
          <w:p w:rsidR="00794E04" w:rsidRPr="00526311" w:rsidRDefault="00794E04">
            <w:pPr>
              <w:rPr>
                <w:sz w:val="16"/>
                <w:szCs w:val="16"/>
              </w:rPr>
            </w:pPr>
            <w:r w:rsidRPr="00526311">
              <w:rPr>
                <w:sz w:val="16"/>
                <w:szCs w:val="16"/>
              </w:rPr>
              <w:t>80%</w:t>
            </w:r>
          </w:p>
        </w:tc>
        <w:tc>
          <w:tcPr>
            <w:tcW w:w="606" w:type="pct"/>
            <w:gridSpan w:val="2"/>
            <w:tcBorders>
              <w:top w:val="nil"/>
              <w:bottom w:val="nil"/>
              <w:right w:val="single" w:sz="4" w:space="0" w:color="auto"/>
            </w:tcBorders>
            <w:shd w:val="clear" w:color="auto" w:fill="auto"/>
            <w:tcMar>
              <w:top w:w="110" w:type="dxa"/>
            </w:tcMar>
          </w:tcPr>
          <w:p w:rsidR="00794E04" w:rsidRPr="00526311" w:rsidRDefault="005C46C4" w:rsidP="0063039A">
            <w:pPr>
              <w:keepNext/>
              <w:keepLines/>
              <w:ind w:left="-108" w:right="-107"/>
              <w:jc w:val="center"/>
              <w:rPr>
                <w:b/>
                <w:color w:val="00B050"/>
                <w:sz w:val="16"/>
                <w:szCs w:val="16"/>
              </w:rPr>
            </w:pPr>
            <w:r w:rsidRPr="00526311">
              <w:rPr>
                <w:b/>
                <w:color w:val="00B050"/>
                <w:sz w:val="16"/>
                <w:szCs w:val="16"/>
              </w:rPr>
              <w:t>Avanza</w:t>
            </w:r>
          </w:p>
        </w:tc>
      </w:tr>
      <w:tr w:rsidR="00794E04" w:rsidRPr="00526311" w:rsidTr="000A3534">
        <w:tc>
          <w:tcPr>
            <w:tcW w:w="1212" w:type="pct"/>
            <w:tcBorders>
              <w:top w:val="nil"/>
              <w:left w:val="single" w:sz="4" w:space="0" w:color="auto"/>
              <w:bottom w:val="nil"/>
            </w:tcBorders>
            <w:shd w:val="clear" w:color="auto" w:fill="auto"/>
          </w:tcPr>
          <w:p w:rsidR="00794E04" w:rsidRPr="00526311" w:rsidRDefault="00794E04" w:rsidP="0063039A">
            <w:pPr>
              <w:rPr>
                <w:sz w:val="16"/>
                <w:szCs w:val="16"/>
              </w:rPr>
            </w:pPr>
            <w:r w:rsidRPr="00526311">
              <w:rPr>
                <w:sz w:val="16"/>
                <w:szCs w:val="16"/>
              </w:rPr>
              <w:t>Porcentaje de notificaciones de adhesión y otras medidas relacionadas con los tratados tramitadas de manera puntual</w:t>
            </w:r>
          </w:p>
        </w:tc>
        <w:tc>
          <w:tcPr>
            <w:tcW w:w="1288" w:type="pct"/>
            <w:tcBorders>
              <w:top w:val="nil"/>
              <w:bottom w:val="nil"/>
            </w:tcBorders>
            <w:shd w:val="clear" w:color="auto" w:fill="auto"/>
          </w:tcPr>
          <w:p w:rsidR="00794E04" w:rsidRPr="00526311" w:rsidRDefault="00794E04" w:rsidP="0063039A">
            <w:pPr>
              <w:rPr>
                <w:rFonts w:eastAsiaTheme="minorHAnsi"/>
                <w:sz w:val="16"/>
                <w:szCs w:val="16"/>
              </w:rPr>
            </w:pPr>
            <w:r w:rsidRPr="00526311">
              <w:rPr>
                <w:i/>
                <w:color w:val="002060"/>
                <w:sz w:val="16"/>
                <w:szCs w:val="16"/>
              </w:rPr>
              <w:t xml:space="preserve">Referencia actualizada a fines de 2013: </w:t>
            </w:r>
            <w:r w:rsidRPr="00526311">
              <w:rPr>
                <w:color w:val="002060"/>
                <w:sz w:val="16"/>
                <w:szCs w:val="16"/>
              </w:rPr>
              <w:t>98%</w:t>
            </w:r>
            <w:r w:rsidRPr="00526311">
              <w:rPr>
                <w:sz w:val="16"/>
                <w:szCs w:val="16"/>
              </w:rPr>
              <w:t xml:space="preserve"> de las notificaciones de adhesión y otras medidas relacionadas con los tratados tramitadas en un plazo de tres días</w:t>
            </w:r>
          </w:p>
          <w:p w:rsidR="00794E04" w:rsidRPr="00526311" w:rsidRDefault="00794E04">
            <w:pPr>
              <w:rPr>
                <w:i/>
                <w:sz w:val="8"/>
                <w:szCs w:val="8"/>
              </w:rPr>
            </w:pPr>
          </w:p>
          <w:p w:rsidR="00794E04" w:rsidRPr="00526311" w:rsidRDefault="007B705E" w:rsidP="000A3534">
            <w:pPr>
              <w:rPr>
                <w:sz w:val="16"/>
                <w:szCs w:val="16"/>
              </w:rPr>
            </w:pPr>
            <w:r w:rsidRPr="00526311">
              <w:rPr>
                <w:i/>
                <w:sz w:val="16"/>
                <w:szCs w:val="16"/>
              </w:rPr>
              <w:t>Referencia original en el presupuesto de 2014/15</w:t>
            </w:r>
            <w:r w:rsidR="00794E04" w:rsidRPr="00526311">
              <w:rPr>
                <w:sz w:val="16"/>
                <w:szCs w:val="16"/>
              </w:rPr>
              <w:t>: 95% tramitadas en un plazo de tres días (fines de 2012)</w:t>
            </w:r>
          </w:p>
        </w:tc>
        <w:tc>
          <w:tcPr>
            <w:tcW w:w="757" w:type="pct"/>
            <w:tcBorders>
              <w:top w:val="nil"/>
              <w:bottom w:val="nil"/>
            </w:tcBorders>
            <w:shd w:val="clear" w:color="auto" w:fill="auto"/>
            <w:tcMar>
              <w:top w:w="110" w:type="dxa"/>
            </w:tcMar>
          </w:tcPr>
          <w:p w:rsidR="00794E04" w:rsidRPr="00526311" w:rsidRDefault="00794E04" w:rsidP="0063039A">
            <w:pPr>
              <w:rPr>
                <w:sz w:val="16"/>
                <w:szCs w:val="16"/>
              </w:rPr>
            </w:pPr>
            <w:r w:rsidRPr="00526311">
              <w:rPr>
                <w:sz w:val="16"/>
                <w:szCs w:val="16"/>
              </w:rPr>
              <w:t>90% tramitadas en un plazo de tres días</w:t>
            </w:r>
          </w:p>
        </w:tc>
        <w:tc>
          <w:tcPr>
            <w:tcW w:w="1137" w:type="pct"/>
            <w:gridSpan w:val="2"/>
            <w:tcBorders>
              <w:top w:val="nil"/>
              <w:bottom w:val="nil"/>
            </w:tcBorders>
            <w:shd w:val="clear" w:color="auto" w:fill="FFFFFF"/>
            <w:tcMar>
              <w:top w:w="110" w:type="dxa"/>
            </w:tcMar>
          </w:tcPr>
          <w:p w:rsidR="00794E04" w:rsidRPr="00526311" w:rsidRDefault="00794E04" w:rsidP="0063039A">
            <w:pPr>
              <w:rPr>
                <w:rFonts w:eastAsiaTheme="minorHAnsi"/>
                <w:sz w:val="16"/>
                <w:szCs w:val="16"/>
              </w:rPr>
            </w:pPr>
            <w:r w:rsidRPr="00526311">
              <w:rPr>
                <w:rFonts w:eastAsiaTheme="minorHAnsi"/>
                <w:sz w:val="16"/>
                <w:szCs w:val="16"/>
              </w:rPr>
              <w:t>El 95% de las notificaciones de adhesión y otras medidas relacionadas con los tratados se tramitaron en un plazo de tres días</w:t>
            </w:r>
          </w:p>
          <w:p w:rsidR="00794E04" w:rsidRPr="00526311" w:rsidRDefault="00794E04">
            <w:pPr>
              <w:rPr>
                <w:sz w:val="16"/>
                <w:szCs w:val="16"/>
              </w:rPr>
            </w:pPr>
          </w:p>
        </w:tc>
        <w:tc>
          <w:tcPr>
            <w:tcW w:w="606" w:type="pct"/>
            <w:gridSpan w:val="2"/>
            <w:tcBorders>
              <w:top w:val="nil"/>
              <w:bottom w:val="nil"/>
              <w:right w:val="single" w:sz="4" w:space="0" w:color="auto"/>
            </w:tcBorders>
            <w:shd w:val="clear" w:color="auto" w:fill="auto"/>
            <w:tcMar>
              <w:top w:w="110" w:type="dxa"/>
            </w:tcMar>
          </w:tcPr>
          <w:p w:rsidR="00794E04" w:rsidRPr="00526311" w:rsidRDefault="005C46C4" w:rsidP="0063039A">
            <w:pPr>
              <w:keepNext/>
              <w:keepLines/>
              <w:ind w:left="-108" w:right="-107"/>
              <w:jc w:val="center"/>
              <w:rPr>
                <w:b/>
                <w:color w:val="00B050"/>
                <w:sz w:val="16"/>
                <w:szCs w:val="16"/>
              </w:rPr>
            </w:pPr>
            <w:r w:rsidRPr="00526311">
              <w:rPr>
                <w:b/>
                <w:color w:val="00B050"/>
                <w:sz w:val="16"/>
                <w:szCs w:val="16"/>
              </w:rPr>
              <w:t>Avanza</w:t>
            </w:r>
          </w:p>
        </w:tc>
      </w:tr>
      <w:tr w:rsidR="00794E04" w:rsidRPr="00526311" w:rsidTr="000A3534">
        <w:tc>
          <w:tcPr>
            <w:tcW w:w="1212" w:type="pct"/>
            <w:tcBorders>
              <w:top w:val="nil"/>
              <w:left w:val="single" w:sz="4" w:space="0" w:color="auto"/>
              <w:bottom w:val="single" w:sz="4" w:space="0" w:color="auto"/>
            </w:tcBorders>
            <w:shd w:val="clear" w:color="auto" w:fill="auto"/>
          </w:tcPr>
          <w:p w:rsidR="00794E04" w:rsidRPr="00526311" w:rsidRDefault="00794E04" w:rsidP="0063039A">
            <w:pPr>
              <w:rPr>
                <w:color w:val="000000"/>
                <w:sz w:val="16"/>
                <w:szCs w:val="16"/>
              </w:rPr>
            </w:pPr>
            <w:r w:rsidRPr="00526311">
              <w:rPr>
                <w:sz w:val="16"/>
                <w:szCs w:val="16"/>
              </w:rPr>
              <w:t>Índice de satisfacción de los Estados miembros respecto de la preparación y funcionamiento de las Asambleas</w:t>
            </w:r>
          </w:p>
        </w:tc>
        <w:tc>
          <w:tcPr>
            <w:tcW w:w="1288" w:type="pct"/>
            <w:tcBorders>
              <w:top w:val="nil"/>
              <w:bottom w:val="single" w:sz="4" w:space="0" w:color="auto"/>
            </w:tcBorders>
            <w:shd w:val="clear" w:color="auto" w:fill="auto"/>
          </w:tcPr>
          <w:p w:rsidR="00794E04" w:rsidRPr="00526311" w:rsidRDefault="00794E04" w:rsidP="0063039A">
            <w:pPr>
              <w:rPr>
                <w:i/>
                <w:sz w:val="16"/>
                <w:szCs w:val="16"/>
              </w:rPr>
            </w:pPr>
            <w:r w:rsidRPr="00526311">
              <w:rPr>
                <w:i/>
                <w:color w:val="002060"/>
                <w:sz w:val="16"/>
                <w:szCs w:val="16"/>
              </w:rPr>
              <w:t>Referencia actualizada a fines de 2013:</w:t>
            </w:r>
            <w:r w:rsidRPr="00526311">
              <w:rPr>
                <w:i/>
                <w:sz w:val="16"/>
                <w:szCs w:val="16"/>
              </w:rPr>
              <w:t xml:space="preserve">  </w:t>
            </w:r>
            <w:r w:rsidRPr="00526311">
              <w:rPr>
                <w:sz w:val="16"/>
                <w:szCs w:val="16"/>
              </w:rPr>
              <w:t>88% según la encuesta de las Asambleas de la OMPI de 2012 (en 2013 no pudo llevarse a cabo una encuesta por circunstancias excepcionales;  volverá a realizarse en 2014)</w:t>
            </w:r>
          </w:p>
          <w:p w:rsidR="00794E04" w:rsidRPr="00526311" w:rsidRDefault="00794E04">
            <w:pPr>
              <w:rPr>
                <w:i/>
                <w:sz w:val="16"/>
                <w:szCs w:val="16"/>
              </w:rPr>
            </w:pPr>
          </w:p>
          <w:p w:rsidR="00794E04" w:rsidRPr="00526311" w:rsidRDefault="007B705E" w:rsidP="000A3534">
            <w:pPr>
              <w:rPr>
                <w:i/>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88% satisfecho con las disposiciones adoptadas</w:t>
            </w:r>
            <w:r w:rsidR="000A3534" w:rsidRPr="00526311">
              <w:rPr>
                <w:sz w:val="16"/>
                <w:szCs w:val="16"/>
              </w:rPr>
              <w:br/>
            </w:r>
          </w:p>
        </w:tc>
        <w:tc>
          <w:tcPr>
            <w:tcW w:w="757" w:type="pct"/>
            <w:tcBorders>
              <w:top w:val="nil"/>
              <w:bottom w:val="single" w:sz="4" w:space="0" w:color="auto"/>
            </w:tcBorders>
            <w:shd w:val="clear" w:color="auto" w:fill="auto"/>
            <w:tcMar>
              <w:top w:w="110" w:type="dxa"/>
            </w:tcMar>
          </w:tcPr>
          <w:p w:rsidR="00794E04" w:rsidRPr="00526311" w:rsidRDefault="00794E04" w:rsidP="0063039A">
            <w:pPr>
              <w:rPr>
                <w:sz w:val="16"/>
                <w:szCs w:val="16"/>
              </w:rPr>
            </w:pPr>
            <w:r w:rsidRPr="00526311">
              <w:rPr>
                <w:sz w:val="16"/>
                <w:szCs w:val="16"/>
              </w:rPr>
              <w:t>85% satisfecho con las disposiciones adoptadas</w:t>
            </w:r>
          </w:p>
        </w:tc>
        <w:tc>
          <w:tcPr>
            <w:tcW w:w="1137" w:type="pct"/>
            <w:gridSpan w:val="2"/>
            <w:tcBorders>
              <w:top w:val="nil"/>
              <w:bottom w:val="single" w:sz="4" w:space="0" w:color="auto"/>
            </w:tcBorders>
            <w:shd w:val="clear" w:color="auto" w:fill="FFFFFF"/>
            <w:tcMar>
              <w:top w:w="110" w:type="dxa"/>
            </w:tcMar>
          </w:tcPr>
          <w:p w:rsidR="00794E04" w:rsidRPr="00526311" w:rsidRDefault="00794E04" w:rsidP="0063039A">
            <w:pPr>
              <w:rPr>
                <w:sz w:val="16"/>
                <w:szCs w:val="16"/>
              </w:rPr>
            </w:pPr>
            <w:r w:rsidRPr="00526311">
              <w:rPr>
                <w:sz w:val="16"/>
                <w:szCs w:val="16"/>
              </w:rPr>
              <w:t>87% (según la encuesta de las Asambleas de la OMPI de 2014</w:t>
            </w:r>
            <w:r w:rsidRPr="00526311">
              <w:rPr>
                <w:rStyle w:val="FootnoteReference"/>
                <w:sz w:val="16"/>
                <w:szCs w:val="16"/>
              </w:rPr>
              <w:footnoteReference w:id="54"/>
            </w:r>
            <w:r w:rsidRPr="00526311">
              <w:rPr>
                <w:sz w:val="16"/>
                <w:szCs w:val="16"/>
              </w:rPr>
              <w:t>)</w:t>
            </w:r>
          </w:p>
        </w:tc>
        <w:tc>
          <w:tcPr>
            <w:tcW w:w="606" w:type="pct"/>
            <w:gridSpan w:val="2"/>
            <w:tcBorders>
              <w:top w:val="nil"/>
              <w:bottom w:val="single" w:sz="4" w:space="0" w:color="auto"/>
              <w:right w:val="single" w:sz="4" w:space="0" w:color="auto"/>
            </w:tcBorders>
            <w:shd w:val="clear" w:color="auto" w:fill="auto"/>
            <w:tcMar>
              <w:top w:w="110" w:type="dxa"/>
            </w:tcMar>
          </w:tcPr>
          <w:p w:rsidR="00794E04" w:rsidRPr="00526311" w:rsidRDefault="005C46C4" w:rsidP="0063039A">
            <w:pPr>
              <w:keepNext/>
              <w:keepLines/>
              <w:ind w:left="-108" w:right="-107"/>
              <w:jc w:val="center"/>
              <w:rPr>
                <w:b/>
                <w:color w:val="00B050"/>
                <w:sz w:val="16"/>
                <w:szCs w:val="16"/>
              </w:rPr>
            </w:pPr>
            <w:r w:rsidRPr="00526311">
              <w:rPr>
                <w:b/>
                <w:color w:val="00B050"/>
                <w:sz w:val="16"/>
                <w:szCs w:val="16"/>
              </w:rPr>
              <w:t>Avanza</w:t>
            </w:r>
          </w:p>
        </w:tc>
      </w:tr>
      <w:tr w:rsidR="000A3534" w:rsidRPr="00526311" w:rsidTr="000A3534">
        <w:tc>
          <w:tcPr>
            <w:tcW w:w="1212" w:type="pct"/>
            <w:tcBorders>
              <w:top w:val="single" w:sz="4" w:space="0" w:color="auto"/>
              <w:left w:val="single" w:sz="4" w:space="0" w:color="auto"/>
              <w:bottom w:val="nil"/>
            </w:tcBorders>
            <w:shd w:val="clear" w:color="auto" w:fill="auto"/>
            <w:vAlign w:val="center"/>
          </w:tcPr>
          <w:p w:rsidR="000A3534" w:rsidRPr="00526311" w:rsidRDefault="000A3534" w:rsidP="000A3534">
            <w:pPr>
              <w:keepNext/>
              <w:keepLines/>
              <w:rPr>
                <w:sz w:val="16"/>
                <w:szCs w:val="16"/>
              </w:rPr>
            </w:pPr>
            <w:r w:rsidRPr="00526311">
              <w:rPr>
                <w:b/>
                <w:sz w:val="16"/>
                <w:szCs w:val="16"/>
              </w:rPr>
              <w:lastRenderedPageBreak/>
              <w:t>Indicadores de rendimiento</w:t>
            </w:r>
          </w:p>
        </w:tc>
        <w:tc>
          <w:tcPr>
            <w:tcW w:w="1288" w:type="pct"/>
            <w:tcBorders>
              <w:top w:val="single" w:sz="4" w:space="0" w:color="auto"/>
              <w:bottom w:val="nil"/>
            </w:tcBorders>
            <w:shd w:val="clear" w:color="auto" w:fill="auto"/>
            <w:vAlign w:val="center"/>
          </w:tcPr>
          <w:p w:rsidR="000A3534" w:rsidRPr="00526311" w:rsidRDefault="000A3534" w:rsidP="000A3534">
            <w:pPr>
              <w:keepNext/>
              <w:keepLines/>
              <w:rPr>
                <w:b/>
                <w:bCs/>
                <w:sz w:val="16"/>
                <w:szCs w:val="16"/>
              </w:rPr>
            </w:pPr>
            <w:r w:rsidRPr="00526311">
              <w:rPr>
                <w:b/>
                <w:bCs/>
                <w:sz w:val="16"/>
                <w:szCs w:val="16"/>
              </w:rPr>
              <w:t>Referencia</w:t>
            </w:r>
          </w:p>
        </w:tc>
        <w:tc>
          <w:tcPr>
            <w:tcW w:w="757" w:type="pct"/>
            <w:tcBorders>
              <w:top w:val="single" w:sz="4" w:space="0" w:color="auto"/>
              <w:bottom w:val="nil"/>
            </w:tcBorders>
            <w:shd w:val="clear" w:color="auto" w:fill="auto"/>
            <w:tcMar>
              <w:top w:w="110" w:type="dxa"/>
            </w:tcMar>
            <w:vAlign w:val="center"/>
          </w:tcPr>
          <w:p w:rsidR="000A3534" w:rsidRPr="00526311" w:rsidRDefault="000A3534" w:rsidP="000A3534">
            <w:pPr>
              <w:keepNext/>
              <w:keepLines/>
              <w:rPr>
                <w:b/>
                <w:sz w:val="16"/>
                <w:szCs w:val="16"/>
              </w:rPr>
            </w:pPr>
            <w:r w:rsidRPr="00526311">
              <w:rPr>
                <w:b/>
                <w:sz w:val="16"/>
                <w:szCs w:val="16"/>
              </w:rPr>
              <w:t>Objetivos</w:t>
            </w:r>
          </w:p>
        </w:tc>
        <w:tc>
          <w:tcPr>
            <w:tcW w:w="1137" w:type="pct"/>
            <w:gridSpan w:val="2"/>
            <w:tcBorders>
              <w:top w:val="single" w:sz="4" w:space="0" w:color="auto"/>
              <w:bottom w:val="nil"/>
            </w:tcBorders>
            <w:shd w:val="clear" w:color="auto" w:fill="FFFFFF"/>
            <w:tcMar>
              <w:top w:w="110" w:type="dxa"/>
            </w:tcMar>
            <w:vAlign w:val="center"/>
          </w:tcPr>
          <w:p w:rsidR="000A3534" w:rsidRPr="00526311" w:rsidRDefault="000A3534" w:rsidP="000A3534">
            <w:pPr>
              <w:rPr>
                <w:sz w:val="16"/>
                <w:szCs w:val="16"/>
              </w:rPr>
            </w:pPr>
            <w:r w:rsidRPr="00526311">
              <w:rPr>
                <w:b/>
                <w:sz w:val="16"/>
                <w:szCs w:val="16"/>
              </w:rPr>
              <w:t>Datos sobre el rendimiento</w:t>
            </w:r>
          </w:p>
        </w:tc>
        <w:tc>
          <w:tcPr>
            <w:tcW w:w="606" w:type="pct"/>
            <w:gridSpan w:val="2"/>
            <w:tcBorders>
              <w:top w:val="single" w:sz="4" w:space="0" w:color="auto"/>
              <w:bottom w:val="nil"/>
              <w:right w:val="single" w:sz="4" w:space="0" w:color="auto"/>
            </w:tcBorders>
            <w:shd w:val="clear" w:color="auto" w:fill="auto"/>
            <w:tcMar>
              <w:top w:w="110" w:type="dxa"/>
            </w:tcMar>
            <w:vAlign w:val="center"/>
          </w:tcPr>
          <w:p w:rsidR="000A3534" w:rsidRPr="00526311" w:rsidRDefault="000A3534" w:rsidP="000A3534">
            <w:pPr>
              <w:keepNext/>
              <w:keepLines/>
              <w:jc w:val="center"/>
              <w:rPr>
                <w:b/>
                <w:bCs/>
                <w:sz w:val="16"/>
                <w:szCs w:val="16"/>
              </w:rPr>
            </w:pPr>
            <w:r w:rsidRPr="00526311">
              <w:rPr>
                <w:b/>
                <w:bCs/>
                <w:sz w:val="16"/>
                <w:szCs w:val="16"/>
              </w:rPr>
              <w:t>Clave de colores</w:t>
            </w:r>
          </w:p>
        </w:tc>
      </w:tr>
      <w:tr w:rsidR="00794E04" w:rsidRPr="00526311" w:rsidTr="000A3534">
        <w:tc>
          <w:tcPr>
            <w:tcW w:w="1212" w:type="pct"/>
            <w:tcBorders>
              <w:top w:val="nil"/>
              <w:left w:val="single" w:sz="4" w:space="0" w:color="auto"/>
              <w:bottom w:val="single" w:sz="4" w:space="0" w:color="auto"/>
            </w:tcBorders>
            <w:shd w:val="clear" w:color="auto" w:fill="auto"/>
          </w:tcPr>
          <w:p w:rsidR="00794E04" w:rsidRPr="00526311" w:rsidRDefault="00794E04" w:rsidP="000A3534">
            <w:pPr>
              <w:keepNext/>
              <w:keepLines/>
              <w:rPr>
                <w:color w:val="000000"/>
                <w:sz w:val="16"/>
                <w:szCs w:val="16"/>
              </w:rPr>
            </w:pPr>
            <w:r w:rsidRPr="00526311">
              <w:rPr>
                <w:sz w:val="16"/>
                <w:szCs w:val="16"/>
              </w:rPr>
              <w:t>Publicación puntual de los documentos de las Asambleas</w:t>
            </w:r>
          </w:p>
        </w:tc>
        <w:tc>
          <w:tcPr>
            <w:tcW w:w="1288" w:type="pct"/>
            <w:tcBorders>
              <w:top w:val="nil"/>
              <w:bottom w:val="single" w:sz="4" w:space="0" w:color="auto"/>
            </w:tcBorders>
            <w:shd w:val="clear" w:color="auto" w:fill="auto"/>
          </w:tcPr>
          <w:p w:rsidR="00794E04" w:rsidRPr="00526311" w:rsidRDefault="00794E04" w:rsidP="000A3534">
            <w:pPr>
              <w:keepNext/>
              <w:keepLines/>
              <w:rPr>
                <w:sz w:val="16"/>
                <w:szCs w:val="16"/>
              </w:rPr>
            </w:pPr>
            <w:r w:rsidRPr="00526311">
              <w:rPr>
                <w:i/>
                <w:color w:val="002060"/>
                <w:sz w:val="16"/>
                <w:szCs w:val="16"/>
              </w:rPr>
              <w:t>Referencia actualizada a fines de 2013</w:t>
            </w:r>
            <w:r w:rsidRPr="00526311">
              <w:rPr>
                <w:i/>
                <w:sz w:val="16"/>
                <w:szCs w:val="16"/>
              </w:rPr>
              <w:t xml:space="preserve">:  </w:t>
            </w:r>
            <w:r w:rsidRPr="00526311">
              <w:rPr>
                <w:sz w:val="16"/>
                <w:szCs w:val="16"/>
              </w:rPr>
              <w:t xml:space="preserve">Para los períodos ordinarios de las Asambleas, el 95% de los documentos se publicaron por lo menos dos meses antes de su celebración  </w:t>
            </w:r>
          </w:p>
          <w:p w:rsidR="00794E04" w:rsidRPr="00526311" w:rsidRDefault="00794E04" w:rsidP="000A3534">
            <w:pPr>
              <w:keepNext/>
              <w:keepLines/>
              <w:rPr>
                <w:i/>
                <w:sz w:val="16"/>
                <w:szCs w:val="16"/>
              </w:rPr>
            </w:pPr>
          </w:p>
          <w:p w:rsidR="00794E04" w:rsidRPr="00526311" w:rsidRDefault="007B705E" w:rsidP="000A3534">
            <w:pPr>
              <w:keepNext/>
              <w:keepLines/>
              <w:rPr>
                <w:sz w:val="16"/>
                <w:szCs w:val="16"/>
              </w:rPr>
            </w:pPr>
            <w:r w:rsidRPr="00526311">
              <w:rPr>
                <w:i/>
                <w:sz w:val="16"/>
                <w:szCs w:val="16"/>
              </w:rPr>
              <w:t>Referencia original en el presupuesto de 2014/15</w:t>
            </w:r>
            <w:r w:rsidR="00794E04" w:rsidRPr="00526311">
              <w:rPr>
                <w:sz w:val="16"/>
                <w:szCs w:val="16"/>
              </w:rPr>
              <w:t xml:space="preserve">: 100% de los documentos pertinentes publicados al menos dos meses antes de las </w:t>
            </w:r>
            <w:r w:rsidR="00794E04" w:rsidRPr="00526311">
              <w:rPr>
                <w:color w:val="000000"/>
                <w:sz w:val="16"/>
                <w:szCs w:val="16"/>
              </w:rPr>
              <w:t>Asambleas</w:t>
            </w:r>
            <w:r w:rsidR="000A3534" w:rsidRPr="00526311">
              <w:rPr>
                <w:color w:val="000000"/>
                <w:sz w:val="16"/>
                <w:szCs w:val="16"/>
              </w:rPr>
              <w:br/>
            </w:r>
          </w:p>
        </w:tc>
        <w:tc>
          <w:tcPr>
            <w:tcW w:w="757" w:type="pct"/>
            <w:tcBorders>
              <w:top w:val="nil"/>
              <w:bottom w:val="single" w:sz="4" w:space="0" w:color="auto"/>
            </w:tcBorders>
            <w:shd w:val="clear" w:color="auto" w:fill="auto"/>
            <w:tcMar>
              <w:top w:w="110" w:type="dxa"/>
            </w:tcMar>
          </w:tcPr>
          <w:p w:rsidR="00794E04" w:rsidRPr="00526311" w:rsidRDefault="00794E04" w:rsidP="000A3534">
            <w:pPr>
              <w:keepNext/>
              <w:keepLines/>
              <w:rPr>
                <w:color w:val="000000"/>
                <w:sz w:val="16"/>
                <w:szCs w:val="16"/>
              </w:rPr>
            </w:pPr>
            <w:r w:rsidRPr="00526311">
              <w:rPr>
                <w:color w:val="000000"/>
                <w:sz w:val="16"/>
                <w:szCs w:val="16"/>
              </w:rPr>
              <w:t>100% de los documentos pertinentes publicados al menos dos meses antes de las Asambleas</w:t>
            </w:r>
          </w:p>
        </w:tc>
        <w:tc>
          <w:tcPr>
            <w:tcW w:w="1137" w:type="pct"/>
            <w:gridSpan w:val="2"/>
            <w:tcBorders>
              <w:top w:val="nil"/>
              <w:bottom w:val="single" w:sz="4" w:space="0" w:color="auto"/>
            </w:tcBorders>
            <w:shd w:val="clear" w:color="auto" w:fill="FFFFFF"/>
            <w:tcMar>
              <w:top w:w="110" w:type="dxa"/>
            </w:tcMar>
          </w:tcPr>
          <w:p w:rsidR="00794E04" w:rsidRPr="00526311" w:rsidRDefault="00794E04" w:rsidP="005C46C4">
            <w:pPr>
              <w:rPr>
                <w:sz w:val="16"/>
                <w:szCs w:val="16"/>
              </w:rPr>
            </w:pPr>
            <w:r w:rsidRPr="00526311">
              <w:rPr>
                <w:color w:val="000000"/>
                <w:sz w:val="16"/>
                <w:szCs w:val="16"/>
              </w:rPr>
              <w:t>9</w:t>
            </w:r>
            <w:r w:rsidR="005C46C4" w:rsidRPr="00526311">
              <w:rPr>
                <w:color w:val="000000"/>
                <w:sz w:val="16"/>
                <w:szCs w:val="16"/>
              </w:rPr>
              <w:t>5</w:t>
            </w:r>
            <w:r w:rsidRPr="00526311">
              <w:rPr>
                <w:color w:val="000000"/>
                <w:sz w:val="16"/>
                <w:szCs w:val="16"/>
              </w:rPr>
              <w:t xml:space="preserve">% de los documentos pertinentes publicados al menos dos meses antes de las Asambleas </w:t>
            </w:r>
            <w:r w:rsidRPr="00526311" w:rsidDel="00BB1305">
              <w:rPr>
                <w:sz w:val="16"/>
                <w:szCs w:val="16"/>
              </w:rPr>
              <w:t xml:space="preserve"> </w:t>
            </w:r>
          </w:p>
        </w:tc>
        <w:tc>
          <w:tcPr>
            <w:tcW w:w="606" w:type="pct"/>
            <w:gridSpan w:val="2"/>
            <w:tcBorders>
              <w:top w:val="nil"/>
              <w:bottom w:val="single" w:sz="4" w:space="0" w:color="auto"/>
              <w:right w:val="single" w:sz="4" w:space="0" w:color="auto"/>
            </w:tcBorders>
            <w:shd w:val="clear" w:color="auto" w:fill="auto"/>
            <w:tcMar>
              <w:top w:w="110" w:type="dxa"/>
            </w:tcMar>
          </w:tcPr>
          <w:p w:rsidR="00794E04" w:rsidRPr="00526311" w:rsidRDefault="005C46C4" w:rsidP="0063039A">
            <w:pPr>
              <w:keepNext/>
              <w:keepLines/>
              <w:ind w:left="-108" w:right="-107"/>
              <w:jc w:val="center"/>
              <w:rPr>
                <w:b/>
                <w:sz w:val="16"/>
                <w:szCs w:val="16"/>
              </w:rPr>
            </w:pPr>
            <w:r w:rsidRPr="00526311">
              <w:rPr>
                <w:b/>
                <w:color w:val="00B050"/>
                <w:sz w:val="16"/>
                <w:szCs w:val="16"/>
              </w:rPr>
              <w:t>Avanza</w:t>
            </w:r>
          </w:p>
        </w:tc>
      </w:tr>
      <w:tr w:rsidR="00794E04" w:rsidRPr="00526311" w:rsidTr="0063039A">
        <w:trPr>
          <w:trHeight w:val="430"/>
        </w:trPr>
        <w:tc>
          <w:tcPr>
            <w:tcW w:w="5000" w:type="pct"/>
            <w:gridSpan w:val="7"/>
            <w:tcBorders>
              <w:top w:val="single" w:sz="4" w:space="0" w:color="auto"/>
              <w:bottom w:val="single" w:sz="4" w:space="0" w:color="auto"/>
            </w:tcBorders>
            <w:shd w:val="clear" w:color="auto" w:fill="CCFFFF"/>
            <w:vAlign w:val="center"/>
          </w:tcPr>
          <w:p w:rsidR="00794E04" w:rsidRPr="00526311" w:rsidRDefault="00794E04" w:rsidP="0063039A">
            <w:pPr>
              <w:keepLines/>
              <w:ind w:left="1735" w:hanging="1735"/>
              <w:rPr>
                <w:b/>
                <w:bCs/>
                <w:sz w:val="16"/>
                <w:szCs w:val="16"/>
              </w:rPr>
            </w:pPr>
            <w:r w:rsidRPr="00526311">
              <w:rPr>
                <w:b/>
                <w:bCs/>
                <w:sz w:val="16"/>
                <w:szCs w:val="16"/>
              </w:rPr>
              <w:t>Resultado previsto:</w:t>
            </w:r>
            <w:r w:rsidRPr="00526311">
              <w:rPr>
                <w:b/>
                <w:bCs/>
                <w:color w:val="808080"/>
                <w:sz w:val="16"/>
                <w:szCs w:val="16"/>
              </w:rPr>
              <w:tab/>
            </w:r>
            <w:r w:rsidRPr="00526311">
              <w:rPr>
                <w:bCs/>
                <w:sz w:val="16"/>
                <w:szCs w:val="16"/>
              </w:rPr>
              <w:t>VIII.5 La OMPI participa y colabora eficazmente en los procesos y negociaciones de las NN.UU. y otras OIG</w:t>
            </w:r>
          </w:p>
        </w:tc>
      </w:tr>
      <w:tr w:rsidR="00794E04" w:rsidRPr="00526311" w:rsidTr="0063039A">
        <w:tc>
          <w:tcPr>
            <w:tcW w:w="1212" w:type="pct"/>
            <w:tcBorders>
              <w:top w:val="single" w:sz="4" w:space="0" w:color="auto"/>
            </w:tcBorders>
            <w:shd w:val="clear" w:color="auto" w:fill="auto"/>
            <w:vAlign w:val="center"/>
          </w:tcPr>
          <w:p w:rsidR="00794E04" w:rsidRPr="00526311" w:rsidRDefault="00794E04" w:rsidP="0063039A">
            <w:pPr>
              <w:keepNext/>
              <w:keepLines/>
              <w:rPr>
                <w:sz w:val="16"/>
                <w:szCs w:val="16"/>
              </w:rPr>
            </w:pPr>
          </w:p>
        </w:tc>
        <w:tc>
          <w:tcPr>
            <w:tcW w:w="1288" w:type="pct"/>
            <w:tcBorders>
              <w:top w:val="single" w:sz="4" w:space="0" w:color="auto"/>
            </w:tcBorders>
            <w:shd w:val="clear" w:color="auto" w:fill="auto"/>
            <w:vAlign w:val="center"/>
          </w:tcPr>
          <w:p w:rsidR="00794E04" w:rsidRPr="00526311" w:rsidRDefault="00794E04" w:rsidP="0063039A">
            <w:pPr>
              <w:keepNext/>
              <w:keepLines/>
              <w:rPr>
                <w:b/>
                <w:bCs/>
                <w:sz w:val="16"/>
                <w:szCs w:val="16"/>
              </w:rPr>
            </w:pPr>
          </w:p>
        </w:tc>
        <w:tc>
          <w:tcPr>
            <w:tcW w:w="757" w:type="pct"/>
            <w:tcBorders>
              <w:top w:val="single" w:sz="4" w:space="0" w:color="auto"/>
            </w:tcBorders>
            <w:shd w:val="clear" w:color="auto" w:fill="auto"/>
            <w:tcMar>
              <w:top w:w="110" w:type="dxa"/>
            </w:tcMar>
            <w:vAlign w:val="center"/>
          </w:tcPr>
          <w:p w:rsidR="00794E04" w:rsidRPr="00526311" w:rsidRDefault="00794E04" w:rsidP="0063039A">
            <w:pPr>
              <w:keepNext/>
              <w:keepLines/>
              <w:rPr>
                <w:b/>
                <w:sz w:val="16"/>
                <w:szCs w:val="16"/>
              </w:rPr>
            </w:pPr>
          </w:p>
        </w:tc>
        <w:tc>
          <w:tcPr>
            <w:tcW w:w="1137" w:type="pct"/>
            <w:gridSpan w:val="2"/>
            <w:tcBorders>
              <w:top w:val="single" w:sz="4" w:space="0" w:color="auto"/>
            </w:tcBorders>
            <w:shd w:val="clear" w:color="auto" w:fill="FFFFFF"/>
            <w:tcMar>
              <w:top w:w="110" w:type="dxa"/>
            </w:tcMar>
            <w:vAlign w:val="center"/>
          </w:tcPr>
          <w:p w:rsidR="00794E04" w:rsidRPr="00526311" w:rsidRDefault="00794E04" w:rsidP="0063039A">
            <w:pPr>
              <w:keepNext/>
              <w:keepLines/>
              <w:rPr>
                <w:sz w:val="16"/>
                <w:szCs w:val="16"/>
              </w:rPr>
            </w:pPr>
          </w:p>
        </w:tc>
        <w:tc>
          <w:tcPr>
            <w:tcW w:w="606" w:type="pct"/>
            <w:gridSpan w:val="2"/>
            <w:tcBorders>
              <w:top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p>
        </w:tc>
      </w:tr>
      <w:tr w:rsidR="00794E04" w:rsidRPr="00526311" w:rsidTr="0063039A">
        <w:tc>
          <w:tcPr>
            <w:tcW w:w="1212" w:type="pct"/>
            <w:shd w:val="clear" w:color="auto" w:fill="auto"/>
          </w:tcPr>
          <w:p w:rsidR="00794E04" w:rsidRPr="00526311" w:rsidRDefault="00794E04" w:rsidP="0063039A">
            <w:pPr>
              <w:keepNext/>
              <w:keepLines/>
              <w:rPr>
                <w:color w:val="000000"/>
                <w:sz w:val="16"/>
                <w:szCs w:val="16"/>
              </w:rPr>
            </w:pPr>
            <w:r w:rsidRPr="00526311">
              <w:rPr>
                <w:sz w:val="16"/>
                <w:szCs w:val="16"/>
              </w:rPr>
              <w:t xml:space="preserve">Nuevas iniciativas conjuntas con otros organismos de las Naciones Unidas </w:t>
            </w:r>
          </w:p>
        </w:tc>
        <w:tc>
          <w:tcPr>
            <w:tcW w:w="1288" w:type="pct"/>
            <w:shd w:val="clear" w:color="auto" w:fill="auto"/>
          </w:tcPr>
          <w:p w:rsidR="00794E04" w:rsidRPr="00526311" w:rsidRDefault="00794E04" w:rsidP="0063039A">
            <w:pPr>
              <w:rPr>
                <w:rFonts w:eastAsiaTheme="minorHAnsi"/>
                <w:i/>
                <w:sz w:val="16"/>
                <w:szCs w:val="16"/>
              </w:rPr>
            </w:pPr>
            <w:r w:rsidRPr="00526311">
              <w:rPr>
                <w:rFonts w:eastAsiaTheme="minorHAnsi"/>
                <w:i/>
                <w:color w:val="002060"/>
                <w:sz w:val="16"/>
                <w:szCs w:val="16"/>
              </w:rPr>
              <w:t>Referencia actualizada a fines de 2013</w:t>
            </w:r>
            <w:r w:rsidRPr="00526311">
              <w:rPr>
                <w:rFonts w:eastAsiaTheme="minorHAnsi"/>
                <w:color w:val="002060"/>
                <w:sz w:val="16"/>
                <w:szCs w:val="16"/>
              </w:rPr>
              <w:t>:</w:t>
            </w:r>
            <w:r w:rsidRPr="00526311">
              <w:rPr>
                <w:rFonts w:eastAsiaTheme="minorHAnsi"/>
                <w:sz w:val="16"/>
                <w:szCs w:val="16"/>
              </w:rPr>
              <w:t xml:space="preserve">  Dos nuevas iniciativas a cargo del Director General (presidió el HLCP en 2012 y asistió al lanzamiento en 2013 del Índice Mundial de Innovación en el ECOSOC en Ginebra)</w:t>
            </w:r>
          </w:p>
          <w:p w:rsidR="00794E04" w:rsidRPr="00526311" w:rsidRDefault="00794E04">
            <w:pPr>
              <w:rPr>
                <w:i/>
                <w:sz w:val="8"/>
                <w:szCs w:val="8"/>
              </w:rPr>
            </w:pPr>
          </w:p>
          <w:p w:rsidR="00794E04" w:rsidRPr="00526311" w:rsidRDefault="00B56D3B" w:rsidP="0063039A">
            <w:pPr>
              <w:keepNext/>
              <w:keepLines/>
              <w:rPr>
                <w:sz w:val="16"/>
                <w:szCs w:val="16"/>
              </w:rPr>
            </w:pPr>
            <w:r w:rsidRPr="00526311">
              <w:rPr>
                <w:i/>
                <w:sz w:val="16"/>
                <w:szCs w:val="16"/>
              </w:rPr>
              <w:t>Referencia original en el presupuesto de 2014/15</w:t>
            </w:r>
            <w:r w:rsidR="00794E04" w:rsidRPr="00526311">
              <w:rPr>
                <w:sz w:val="16"/>
                <w:szCs w:val="16"/>
              </w:rPr>
              <w:t xml:space="preserve">: Dos </w:t>
            </w:r>
          </w:p>
          <w:p w:rsidR="00794E04" w:rsidRPr="00526311" w:rsidRDefault="00794E04">
            <w:pPr>
              <w:keepNext/>
              <w:keepLines/>
              <w:rPr>
                <w:color w:val="000000"/>
                <w:sz w:val="16"/>
                <w:szCs w:val="16"/>
              </w:rPr>
            </w:pPr>
          </w:p>
        </w:tc>
        <w:tc>
          <w:tcPr>
            <w:tcW w:w="757" w:type="pct"/>
            <w:shd w:val="clear" w:color="auto" w:fill="auto"/>
            <w:tcMar>
              <w:top w:w="110" w:type="dxa"/>
            </w:tcMar>
          </w:tcPr>
          <w:p w:rsidR="00794E04" w:rsidRPr="00526311" w:rsidRDefault="00794E04" w:rsidP="0063039A">
            <w:pPr>
              <w:keepNext/>
              <w:keepLines/>
              <w:rPr>
                <w:color w:val="808080"/>
                <w:sz w:val="16"/>
                <w:szCs w:val="16"/>
              </w:rPr>
            </w:pPr>
            <w:r w:rsidRPr="00526311">
              <w:rPr>
                <w:sz w:val="16"/>
                <w:szCs w:val="16"/>
              </w:rPr>
              <w:t>Dos</w:t>
            </w:r>
          </w:p>
        </w:tc>
        <w:tc>
          <w:tcPr>
            <w:tcW w:w="1137" w:type="pct"/>
            <w:gridSpan w:val="2"/>
            <w:shd w:val="clear" w:color="auto" w:fill="FFFFFF"/>
            <w:tcMar>
              <w:top w:w="110" w:type="dxa"/>
            </w:tcMar>
          </w:tcPr>
          <w:p w:rsidR="00794E04" w:rsidRPr="00526311" w:rsidRDefault="000A3534" w:rsidP="000A3534">
            <w:pPr>
              <w:keepNext/>
              <w:keepLines/>
              <w:rPr>
                <w:sz w:val="16"/>
                <w:szCs w:val="16"/>
              </w:rPr>
            </w:pPr>
            <w:r w:rsidRPr="00526311">
              <w:rPr>
                <w:color w:val="000000"/>
                <w:sz w:val="16"/>
                <w:szCs w:val="16"/>
              </w:rPr>
              <w:t>Se ha emprendido u</w:t>
            </w:r>
            <w:r w:rsidR="00794E04" w:rsidRPr="00526311">
              <w:rPr>
                <w:color w:val="000000"/>
                <w:sz w:val="16"/>
                <w:szCs w:val="16"/>
              </w:rPr>
              <w:t>na  nueva iniciativa: solicitud de condición de observador a</w:t>
            </w:r>
            <w:r w:rsidRPr="00526311">
              <w:rPr>
                <w:color w:val="000000"/>
                <w:sz w:val="16"/>
                <w:szCs w:val="16"/>
              </w:rPr>
              <w:t>nte</w:t>
            </w:r>
            <w:r w:rsidR="00794E04" w:rsidRPr="00526311">
              <w:rPr>
                <w:color w:val="000000"/>
                <w:sz w:val="16"/>
                <w:szCs w:val="16"/>
              </w:rPr>
              <w:t xml:space="preserve"> la Organización Internacional para las Migraciones (OIM) </w:t>
            </w:r>
          </w:p>
        </w:tc>
        <w:tc>
          <w:tcPr>
            <w:tcW w:w="606" w:type="pct"/>
            <w:gridSpan w:val="2"/>
            <w:shd w:val="clear" w:color="auto" w:fill="auto"/>
            <w:tcMar>
              <w:top w:w="110" w:type="dxa"/>
            </w:tcMar>
          </w:tcPr>
          <w:p w:rsidR="00794E04" w:rsidRPr="00526311" w:rsidRDefault="005C46C4" w:rsidP="0063039A">
            <w:pPr>
              <w:keepNext/>
              <w:keepLines/>
              <w:ind w:left="-108" w:right="-107"/>
              <w:jc w:val="center"/>
              <w:rPr>
                <w:bCs/>
                <w:color w:val="00B050"/>
                <w:sz w:val="16"/>
                <w:szCs w:val="16"/>
              </w:rPr>
            </w:pPr>
            <w:r w:rsidRPr="00526311">
              <w:rPr>
                <w:b/>
                <w:bCs/>
                <w:color w:val="00B050"/>
                <w:sz w:val="16"/>
                <w:szCs w:val="16"/>
              </w:rPr>
              <w:t>Avanza</w:t>
            </w:r>
          </w:p>
        </w:tc>
      </w:tr>
      <w:tr w:rsidR="00794E04" w:rsidRPr="00526311" w:rsidTr="0063039A">
        <w:trPr>
          <w:trHeight w:val="429"/>
        </w:trPr>
        <w:tc>
          <w:tcPr>
            <w:tcW w:w="5000" w:type="pct"/>
            <w:gridSpan w:val="7"/>
            <w:tcBorders>
              <w:top w:val="single" w:sz="4" w:space="0" w:color="auto"/>
              <w:bottom w:val="single" w:sz="4" w:space="0" w:color="auto"/>
            </w:tcBorders>
            <w:shd w:val="clear" w:color="auto" w:fill="CCFFFF"/>
            <w:vAlign w:val="center"/>
          </w:tcPr>
          <w:p w:rsidR="00794E04" w:rsidRPr="00526311" w:rsidRDefault="00794E04" w:rsidP="0063039A">
            <w:pPr>
              <w:keepNext/>
              <w:keepLines/>
              <w:tabs>
                <w:tab w:val="left" w:pos="1735"/>
              </w:tabs>
              <w:ind w:left="1735" w:hanging="1735"/>
              <w:rPr>
                <w:b/>
                <w:bCs/>
                <w:sz w:val="16"/>
                <w:szCs w:val="16"/>
              </w:rPr>
            </w:pPr>
            <w:r w:rsidRPr="00526311">
              <w:rPr>
                <w:b/>
                <w:bCs/>
                <w:color w:val="000000"/>
                <w:sz w:val="16"/>
                <w:szCs w:val="16"/>
              </w:rPr>
              <w:t>Resultado previsto</w:t>
            </w:r>
            <w:r w:rsidRPr="00526311">
              <w:rPr>
                <w:bCs/>
                <w:sz w:val="16"/>
                <w:szCs w:val="16"/>
              </w:rPr>
              <w:t>:</w:t>
            </w:r>
            <w:r w:rsidRPr="00526311">
              <w:rPr>
                <w:b/>
                <w:bCs/>
                <w:color w:val="808080"/>
                <w:sz w:val="16"/>
                <w:szCs w:val="16"/>
              </w:rPr>
              <w:tab/>
            </w:r>
            <w:r w:rsidRPr="00526311">
              <w:rPr>
                <w:bCs/>
                <w:sz w:val="16"/>
                <w:szCs w:val="16"/>
              </w:rPr>
              <w:t>IX.2 Funcionamiento sin contratiempos de la Secretaría, provista de un personal bien dirigido, dotado de las competencias adecuadas y capaz de conseguir resultados</w:t>
            </w:r>
          </w:p>
        </w:tc>
      </w:tr>
      <w:tr w:rsidR="00794E04" w:rsidRPr="00526311" w:rsidTr="0063039A">
        <w:tc>
          <w:tcPr>
            <w:tcW w:w="1212" w:type="pct"/>
            <w:tcBorders>
              <w:top w:val="single" w:sz="4" w:space="0" w:color="auto"/>
              <w:bottom w:val="single" w:sz="4" w:space="0" w:color="auto"/>
            </w:tcBorders>
            <w:shd w:val="clear" w:color="auto" w:fill="auto"/>
          </w:tcPr>
          <w:p w:rsidR="00794E04" w:rsidRPr="00526311" w:rsidRDefault="00794E04" w:rsidP="0063039A">
            <w:pPr>
              <w:rPr>
                <w:color w:val="000000"/>
                <w:sz w:val="16"/>
                <w:szCs w:val="16"/>
              </w:rPr>
            </w:pPr>
            <w:r w:rsidRPr="00526311">
              <w:rPr>
                <w:color w:val="000000"/>
                <w:sz w:val="16"/>
                <w:szCs w:val="16"/>
              </w:rPr>
              <w:t>Porcentaje de peticiones de asesoramiento y servicios jurídicos que reciben respuestas rápidas, independientes y fiables de la Oficina del Consejero Jurídico</w:t>
            </w:r>
          </w:p>
        </w:tc>
        <w:tc>
          <w:tcPr>
            <w:tcW w:w="1288" w:type="pct"/>
            <w:tcBorders>
              <w:top w:val="single" w:sz="4" w:space="0" w:color="auto"/>
              <w:bottom w:val="single" w:sz="4" w:space="0" w:color="auto"/>
            </w:tcBorders>
            <w:shd w:val="clear" w:color="auto" w:fill="auto"/>
          </w:tcPr>
          <w:p w:rsidR="00794E04" w:rsidRPr="00526311" w:rsidRDefault="00794E04" w:rsidP="0063039A">
            <w:pPr>
              <w:rPr>
                <w:rFonts w:eastAsiaTheme="minorHAnsi"/>
                <w:i/>
                <w:color w:val="002060"/>
                <w:sz w:val="16"/>
                <w:szCs w:val="16"/>
              </w:rPr>
            </w:pPr>
            <w:r w:rsidRPr="00526311">
              <w:rPr>
                <w:rFonts w:eastAsiaTheme="minorHAnsi"/>
                <w:i/>
                <w:color w:val="002060"/>
                <w:sz w:val="16"/>
                <w:szCs w:val="16"/>
              </w:rPr>
              <w:t>Referencia actualizada a fines de 2013</w:t>
            </w:r>
            <w:r w:rsidRPr="00526311">
              <w:rPr>
                <w:rFonts w:eastAsiaTheme="minorHAnsi"/>
                <w:color w:val="002060"/>
                <w:sz w:val="16"/>
                <w:szCs w:val="16"/>
              </w:rPr>
              <w:t>:  A pesar de un aumento del número de peticiones de asesoramiento, así como de las materias tratadas, el 98% de esas peticiones recibió respuestas rápidas y fiables de la Oficina del Consejero Jurídico</w:t>
            </w:r>
          </w:p>
          <w:p w:rsidR="00794E04" w:rsidRPr="00526311" w:rsidRDefault="00794E04">
            <w:pPr>
              <w:rPr>
                <w:i/>
                <w:sz w:val="16"/>
                <w:szCs w:val="16"/>
              </w:rPr>
            </w:pPr>
          </w:p>
          <w:p w:rsidR="00794E04" w:rsidRPr="00526311" w:rsidRDefault="007B705E" w:rsidP="000A3534">
            <w:pPr>
              <w:rPr>
                <w:sz w:val="16"/>
                <w:szCs w:val="16"/>
              </w:rPr>
            </w:pPr>
            <w:r w:rsidRPr="00526311">
              <w:rPr>
                <w:i/>
                <w:sz w:val="16"/>
                <w:szCs w:val="16"/>
              </w:rPr>
              <w:t>Referencia original en el presupuesto de 2014/15</w:t>
            </w:r>
            <w:r w:rsidR="00794E04" w:rsidRPr="00526311">
              <w:rPr>
                <w:sz w:val="16"/>
                <w:szCs w:val="16"/>
              </w:rPr>
              <w:t>:100%</w:t>
            </w:r>
            <w:r w:rsidR="000A3534" w:rsidRPr="00526311">
              <w:rPr>
                <w:sz w:val="16"/>
                <w:szCs w:val="16"/>
              </w:rPr>
              <w:br/>
            </w:r>
          </w:p>
        </w:tc>
        <w:tc>
          <w:tcPr>
            <w:tcW w:w="757" w:type="pct"/>
            <w:tcBorders>
              <w:top w:val="single" w:sz="4" w:space="0" w:color="auto"/>
              <w:bottom w:val="single" w:sz="4" w:space="0" w:color="auto"/>
            </w:tcBorders>
            <w:shd w:val="clear" w:color="auto" w:fill="auto"/>
            <w:tcMar>
              <w:top w:w="110" w:type="dxa"/>
            </w:tcMar>
          </w:tcPr>
          <w:p w:rsidR="00794E04" w:rsidRPr="00526311" w:rsidRDefault="00794E04">
            <w:pPr>
              <w:rPr>
                <w:sz w:val="16"/>
                <w:szCs w:val="16"/>
              </w:rPr>
            </w:pPr>
            <w:r w:rsidRPr="00526311">
              <w:rPr>
                <w:sz w:val="16"/>
                <w:szCs w:val="16"/>
              </w:rPr>
              <w:t>90%</w:t>
            </w:r>
          </w:p>
        </w:tc>
        <w:tc>
          <w:tcPr>
            <w:tcW w:w="1137" w:type="pct"/>
            <w:gridSpan w:val="2"/>
            <w:tcBorders>
              <w:top w:val="single" w:sz="4" w:space="0" w:color="auto"/>
              <w:bottom w:val="single" w:sz="4" w:space="0" w:color="auto"/>
            </w:tcBorders>
            <w:shd w:val="clear" w:color="auto" w:fill="FFFFFF"/>
            <w:tcMar>
              <w:top w:w="110" w:type="dxa"/>
            </w:tcMar>
          </w:tcPr>
          <w:p w:rsidR="00794E04" w:rsidRPr="00526311" w:rsidRDefault="00794E04">
            <w:pPr>
              <w:rPr>
                <w:sz w:val="16"/>
                <w:szCs w:val="16"/>
              </w:rPr>
            </w:pPr>
            <w:r w:rsidRPr="00526311">
              <w:rPr>
                <w:sz w:val="16"/>
                <w:szCs w:val="16"/>
              </w:rPr>
              <w:t>95%</w:t>
            </w:r>
          </w:p>
        </w:tc>
        <w:tc>
          <w:tcPr>
            <w:tcW w:w="606" w:type="pct"/>
            <w:gridSpan w:val="2"/>
            <w:tcBorders>
              <w:top w:val="single" w:sz="4" w:space="0" w:color="auto"/>
              <w:bottom w:val="single" w:sz="4" w:space="0" w:color="auto"/>
            </w:tcBorders>
            <w:shd w:val="clear" w:color="auto" w:fill="auto"/>
            <w:tcMar>
              <w:top w:w="110" w:type="dxa"/>
            </w:tcMar>
          </w:tcPr>
          <w:p w:rsidR="00794E04" w:rsidRPr="00526311" w:rsidRDefault="005C46C4" w:rsidP="0063039A">
            <w:pPr>
              <w:keepNext/>
              <w:keepLines/>
              <w:ind w:left="-108"/>
              <w:jc w:val="center"/>
              <w:rPr>
                <w:b/>
                <w:color w:val="00B050"/>
                <w:sz w:val="16"/>
                <w:szCs w:val="16"/>
              </w:rPr>
            </w:pPr>
            <w:r w:rsidRPr="00526311">
              <w:rPr>
                <w:b/>
                <w:color w:val="00B050"/>
                <w:sz w:val="16"/>
                <w:szCs w:val="16"/>
              </w:rPr>
              <w:t>Avanza</w:t>
            </w:r>
          </w:p>
        </w:tc>
      </w:tr>
      <w:tr w:rsidR="00794E04" w:rsidRPr="00526311" w:rsidTr="000A3534">
        <w:trPr>
          <w:trHeight w:val="493"/>
        </w:trPr>
        <w:tc>
          <w:tcPr>
            <w:tcW w:w="5000" w:type="pct"/>
            <w:gridSpan w:val="7"/>
            <w:tcBorders>
              <w:top w:val="single" w:sz="4" w:space="0" w:color="auto"/>
              <w:bottom w:val="single" w:sz="4" w:space="0" w:color="auto"/>
            </w:tcBorders>
            <w:shd w:val="clear" w:color="auto" w:fill="CCFFFF"/>
            <w:vAlign w:val="center"/>
          </w:tcPr>
          <w:p w:rsidR="00794E04" w:rsidRPr="00526311" w:rsidRDefault="00794E04" w:rsidP="0063039A">
            <w:pPr>
              <w:keepNext/>
              <w:keepLines/>
              <w:tabs>
                <w:tab w:val="left" w:pos="1735"/>
              </w:tabs>
              <w:ind w:left="1735" w:hanging="1735"/>
              <w:jc w:val="both"/>
              <w:rPr>
                <w:b/>
                <w:bCs/>
                <w:sz w:val="16"/>
                <w:szCs w:val="16"/>
              </w:rPr>
            </w:pPr>
            <w:r w:rsidRPr="00526311">
              <w:rPr>
                <w:b/>
                <w:bCs/>
                <w:color w:val="000000"/>
                <w:sz w:val="16"/>
                <w:szCs w:val="16"/>
              </w:rPr>
              <w:t>Resultado previsto</w:t>
            </w:r>
            <w:r w:rsidRPr="00526311">
              <w:rPr>
                <w:bCs/>
                <w:color w:val="000000"/>
                <w:sz w:val="16"/>
                <w:szCs w:val="16"/>
              </w:rPr>
              <w:t>:</w:t>
            </w:r>
            <w:r w:rsidRPr="00526311">
              <w:rPr>
                <w:b/>
                <w:bCs/>
                <w:color w:val="808080"/>
                <w:sz w:val="16"/>
                <w:szCs w:val="16"/>
              </w:rPr>
              <w:tab/>
            </w:r>
            <w:r w:rsidRPr="00526311">
              <w:rPr>
                <w:bCs/>
                <w:sz w:val="16"/>
                <w:szCs w:val="16"/>
              </w:rPr>
              <w:t xml:space="preserve">IX.3 </w:t>
            </w:r>
            <w:r w:rsidR="00A31611" w:rsidRPr="00526311">
              <w:rPr>
                <w:bCs/>
                <w:sz w:val="16"/>
                <w:szCs w:val="16"/>
              </w:rPr>
              <w:t>Entorno de trabajo propicio basado en un marco regulador eficaz y medios adecuados para atender los temas de interés del personal</w:t>
            </w:r>
          </w:p>
        </w:tc>
      </w:tr>
      <w:tr w:rsidR="00794E04" w:rsidRPr="00526311" w:rsidTr="000A3534">
        <w:tc>
          <w:tcPr>
            <w:tcW w:w="1212" w:type="pct"/>
            <w:tcBorders>
              <w:top w:val="single" w:sz="4" w:space="0" w:color="auto"/>
              <w:bottom w:val="single" w:sz="4" w:space="0" w:color="auto"/>
            </w:tcBorders>
            <w:shd w:val="clear" w:color="auto" w:fill="auto"/>
          </w:tcPr>
          <w:p w:rsidR="00794E04" w:rsidRPr="00526311" w:rsidRDefault="00794E04" w:rsidP="000A3534">
            <w:pPr>
              <w:rPr>
                <w:color w:val="000000"/>
                <w:sz w:val="16"/>
                <w:szCs w:val="16"/>
              </w:rPr>
            </w:pPr>
            <w:r w:rsidRPr="00526311">
              <w:rPr>
                <w:color w:val="000000"/>
                <w:sz w:val="16"/>
                <w:szCs w:val="16"/>
              </w:rPr>
              <w:t>Porcentaje de miembros del personal de la OMPI conscientes de los servicios disponibles en la Oficina del Mediador y del mecanismo informal de solución de conflictos</w:t>
            </w:r>
          </w:p>
        </w:tc>
        <w:tc>
          <w:tcPr>
            <w:tcW w:w="1288" w:type="pct"/>
            <w:tcBorders>
              <w:top w:val="single" w:sz="4" w:space="0" w:color="auto"/>
              <w:bottom w:val="single" w:sz="4" w:space="0" w:color="auto"/>
            </w:tcBorders>
            <w:shd w:val="clear" w:color="auto" w:fill="auto"/>
          </w:tcPr>
          <w:p w:rsidR="00794E04" w:rsidRPr="00526311" w:rsidRDefault="00794E04" w:rsidP="0063039A">
            <w:pPr>
              <w:keepNext/>
              <w:keepLines/>
              <w:rPr>
                <w:color w:val="002060"/>
                <w:sz w:val="16"/>
                <w:szCs w:val="16"/>
              </w:rPr>
            </w:pPr>
            <w:r w:rsidRPr="00526311">
              <w:rPr>
                <w:i/>
                <w:color w:val="002060"/>
                <w:sz w:val="16"/>
                <w:szCs w:val="16"/>
              </w:rPr>
              <w:t>Referencia actualizada a fines de 2013</w:t>
            </w:r>
            <w:r w:rsidRPr="00526311">
              <w:rPr>
                <w:color w:val="002060"/>
                <w:sz w:val="16"/>
                <w:szCs w:val="16"/>
              </w:rPr>
              <w:t xml:space="preserve">: según la encuesta y los comentarios del personal de 2013, el 63% del personal está familiarizado con la función del Mediador y el 32% está más o menos familiarizado con ella </w:t>
            </w:r>
          </w:p>
          <w:p w:rsidR="00794E04" w:rsidRPr="00526311" w:rsidRDefault="00794E04" w:rsidP="0063039A">
            <w:pPr>
              <w:keepNext/>
              <w:keepLines/>
              <w:rPr>
                <w:color w:val="002060"/>
                <w:sz w:val="16"/>
                <w:szCs w:val="16"/>
              </w:rPr>
            </w:pPr>
          </w:p>
          <w:p w:rsidR="00794E04" w:rsidRPr="00526311" w:rsidRDefault="00794E04" w:rsidP="0063039A">
            <w:pPr>
              <w:keepNext/>
              <w:keepLines/>
              <w:rPr>
                <w:rFonts w:eastAsiaTheme="minorHAnsi"/>
                <w:sz w:val="16"/>
                <w:szCs w:val="16"/>
              </w:rPr>
            </w:pPr>
            <w:r w:rsidRPr="00526311">
              <w:rPr>
                <w:rFonts w:eastAsiaTheme="minorHAnsi"/>
                <w:sz w:val="16"/>
                <w:szCs w:val="16"/>
              </w:rPr>
              <w:t>El 77%, según la encuesta de evaluación de los usuarios de 2012 (realizada en marzo de 2013)</w:t>
            </w:r>
          </w:p>
          <w:p w:rsidR="00794E04" w:rsidRPr="00526311" w:rsidRDefault="00794E04" w:rsidP="0063039A">
            <w:pPr>
              <w:keepNext/>
              <w:keepLines/>
              <w:rPr>
                <w:i/>
                <w:color w:val="002060"/>
                <w:sz w:val="8"/>
                <w:szCs w:val="8"/>
              </w:rPr>
            </w:pPr>
          </w:p>
          <w:p w:rsidR="00794E04" w:rsidRPr="00526311" w:rsidRDefault="007B705E" w:rsidP="000A3534">
            <w:pPr>
              <w:keepNext/>
              <w:keepLines/>
              <w:rPr>
                <w:i/>
                <w:color w:val="002060"/>
                <w:sz w:val="16"/>
                <w:szCs w:val="16"/>
              </w:rPr>
            </w:pPr>
            <w:r w:rsidRPr="00526311">
              <w:rPr>
                <w:i/>
                <w:sz w:val="16"/>
                <w:szCs w:val="16"/>
              </w:rPr>
              <w:t>Referencia original en el presupuesto de 2014/15</w:t>
            </w:r>
            <w:r w:rsidR="00794E04" w:rsidRPr="00526311">
              <w:rPr>
                <w:i/>
                <w:sz w:val="16"/>
                <w:szCs w:val="16"/>
              </w:rPr>
              <w:t>: Según la encuesta y co</w:t>
            </w:r>
            <w:r w:rsidR="000A3534" w:rsidRPr="00526311">
              <w:rPr>
                <w:i/>
                <w:sz w:val="16"/>
                <w:szCs w:val="16"/>
              </w:rPr>
              <w:t>mentarios del personal de 2011,</w:t>
            </w:r>
            <w:r w:rsidR="00794E04" w:rsidRPr="00526311">
              <w:rPr>
                <w:i/>
                <w:sz w:val="16"/>
                <w:szCs w:val="16"/>
              </w:rPr>
              <w:t xml:space="preserve"> el 44% del personal está familiarizado con la función del Mediador y el 49% está más o menos familiarizado con ella</w:t>
            </w:r>
            <w:r w:rsidR="000A3534" w:rsidRPr="00526311">
              <w:rPr>
                <w:i/>
                <w:sz w:val="16"/>
                <w:szCs w:val="16"/>
              </w:rPr>
              <w:t>.</w:t>
            </w:r>
            <w:r w:rsidR="000A3534" w:rsidRPr="00526311">
              <w:rPr>
                <w:i/>
                <w:sz w:val="16"/>
                <w:szCs w:val="16"/>
              </w:rPr>
              <w:br/>
            </w:r>
          </w:p>
        </w:tc>
        <w:tc>
          <w:tcPr>
            <w:tcW w:w="757" w:type="pct"/>
            <w:tcBorders>
              <w:top w:val="single" w:sz="4" w:space="0" w:color="auto"/>
              <w:bottom w:val="single" w:sz="4" w:space="0" w:color="auto"/>
            </w:tcBorders>
            <w:shd w:val="clear" w:color="auto" w:fill="auto"/>
            <w:tcMar>
              <w:top w:w="110" w:type="dxa"/>
            </w:tcMar>
          </w:tcPr>
          <w:p w:rsidR="00794E04" w:rsidRPr="00526311" w:rsidRDefault="00794E04" w:rsidP="000A3534">
            <w:pPr>
              <w:keepNext/>
              <w:keepLines/>
              <w:rPr>
                <w:sz w:val="16"/>
                <w:szCs w:val="16"/>
              </w:rPr>
            </w:pPr>
            <w:r w:rsidRPr="00526311">
              <w:rPr>
                <w:sz w:val="16"/>
                <w:szCs w:val="16"/>
              </w:rPr>
              <w:t>Aumento del porcentaje de miembros del personal familiarizados hasta llegar al 60%</w:t>
            </w:r>
          </w:p>
        </w:tc>
        <w:tc>
          <w:tcPr>
            <w:tcW w:w="1061" w:type="pct"/>
            <w:tcBorders>
              <w:top w:val="single" w:sz="4" w:space="0" w:color="auto"/>
              <w:bottom w:val="single" w:sz="4" w:space="0" w:color="auto"/>
            </w:tcBorders>
            <w:shd w:val="clear" w:color="auto" w:fill="FFFFFF"/>
            <w:tcMar>
              <w:top w:w="110" w:type="dxa"/>
            </w:tcMar>
          </w:tcPr>
          <w:p w:rsidR="00794E04" w:rsidRPr="00526311" w:rsidRDefault="00794E04" w:rsidP="0063039A">
            <w:pPr>
              <w:keepNext/>
              <w:keepLines/>
              <w:rPr>
                <w:sz w:val="16"/>
                <w:szCs w:val="16"/>
              </w:rPr>
            </w:pPr>
            <w:r w:rsidRPr="00526311">
              <w:rPr>
                <w:color w:val="000000"/>
                <w:sz w:val="16"/>
                <w:szCs w:val="16"/>
              </w:rPr>
              <w:t xml:space="preserve">Se prevé una encuesta sobre la función del Mediador como parte del examen de la DCI durante el segundo trimestre de 2015 </w:t>
            </w:r>
          </w:p>
        </w:tc>
        <w:tc>
          <w:tcPr>
            <w:tcW w:w="682" w:type="pct"/>
            <w:gridSpan w:val="3"/>
            <w:tcBorders>
              <w:top w:val="single" w:sz="4" w:space="0" w:color="auto"/>
              <w:bottom w:val="single" w:sz="4" w:space="0" w:color="auto"/>
            </w:tcBorders>
            <w:shd w:val="clear" w:color="auto" w:fill="auto"/>
            <w:tcMar>
              <w:top w:w="110" w:type="dxa"/>
            </w:tcMar>
          </w:tcPr>
          <w:p w:rsidR="00794E04" w:rsidRPr="00526311" w:rsidRDefault="00794E04" w:rsidP="005C46C4">
            <w:pPr>
              <w:keepNext/>
              <w:keepLines/>
              <w:jc w:val="center"/>
              <w:rPr>
                <w:b/>
                <w:color w:val="0070C0"/>
                <w:sz w:val="16"/>
                <w:szCs w:val="16"/>
              </w:rPr>
            </w:pPr>
            <w:r w:rsidRPr="00526311">
              <w:rPr>
                <w:b/>
                <w:color w:val="0070C0"/>
                <w:sz w:val="16"/>
                <w:szCs w:val="16"/>
              </w:rPr>
              <w:t>N</w:t>
            </w:r>
            <w:r w:rsidR="005C46C4" w:rsidRPr="00526311">
              <w:rPr>
                <w:b/>
                <w:color w:val="0070C0"/>
                <w:sz w:val="16"/>
                <w:szCs w:val="16"/>
              </w:rPr>
              <w:t>.d.</w:t>
            </w:r>
            <w:r w:rsidRPr="00526311">
              <w:rPr>
                <w:b/>
                <w:color w:val="0070C0"/>
                <w:sz w:val="16"/>
                <w:szCs w:val="16"/>
              </w:rPr>
              <w:t xml:space="preserve"> para 2014</w:t>
            </w:r>
          </w:p>
        </w:tc>
      </w:tr>
      <w:tr w:rsidR="000A3534" w:rsidRPr="00526311" w:rsidTr="000A3534">
        <w:tc>
          <w:tcPr>
            <w:tcW w:w="1212" w:type="pct"/>
            <w:tcBorders>
              <w:top w:val="single" w:sz="4" w:space="0" w:color="auto"/>
            </w:tcBorders>
            <w:shd w:val="clear" w:color="auto" w:fill="auto"/>
            <w:vAlign w:val="center"/>
          </w:tcPr>
          <w:p w:rsidR="000A3534" w:rsidRPr="00526311" w:rsidRDefault="000A3534" w:rsidP="000A3534">
            <w:pPr>
              <w:keepNext/>
              <w:keepLines/>
              <w:rPr>
                <w:sz w:val="16"/>
                <w:szCs w:val="16"/>
              </w:rPr>
            </w:pPr>
            <w:r w:rsidRPr="00526311">
              <w:rPr>
                <w:b/>
                <w:sz w:val="16"/>
                <w:szCs w:val="16"/>
              </w:rPr>
              <w:lastRenderedPageBreak/>
              <w:t>Indicadores de rendimiento</w:t>
            </w:r>
          </w:p>
        </w:tc>
        <w:tc>
          <w:tcPr>
            <w:tcW w:w="1288" w:type="pct"/>
            <w:tcBorders>
              <w:top w:val="single" w:sz="4" w:space="0" w:color="auto"/>
            </w:tcBorders>
            <w:shd w:val="clear" w:color="auto" w:fill="auto"/>
            <w:vAlign w:val="center"/>
          </w:tcPr>
          <w:p w:rsidR="000A3534" w:rsidRPr="00526311" w:rsidRDefault="000A3534" w:rsidP="000A3534">
            <w:pPr>
              <w:keepNext/>
              <w:keepLines/>
              <w:rPr>
                <w:b/>
                <w:bCs/>
                <w:sz w:val="16"/>
                <w:szCs w:val="16"/>
              </w:rPr>
            </w:pPr>
            <w:r w:rsidRPr="00526311">
              <w:rPr>
                <w:b/>
                <w:bCs/>
                <w:sz w:val="16"/>
                <w:szCs w:val="16"/>
              </w:rPr>
              <w:t>Referencia</w:t>
            </w:r>
          </w:p>
        </w:tc>
        <w:tc>
          <w:tcPr>
            <w:tcW w:w="757" w:type="pct"/>
            <w:tcBorders>
              <w:top w:val="single" w:sz="4" w:space="0" w:color="auto"/>
            </w:tcBorders>
            <w:shd w:val="clear" w:color="auto" w:fill="auto"/>
            <w:tcMar>
              <w:top w:w="110" w:type="dxa"/>
            </w:tcMar>
            <w:vAlign w:val="center"/>
          </w:tcPr>
          <w:p w:rsidR="000A3534" w:rsidRPr="00526311" w:rsidRDefault="000A3534" w:rsidP="000A3534">
            <w:pPr>
              <w:keepNext/>
              <w:keepLines/>
              <w:rPr>
                <w:b/>
                <w:sz w:val="16"/>
                <w:szCs w:val="16"/>
              </w:rPr>
            </w:pPr>
            <w:r w:rsidRPr="00526311">
              <w:rPr>
                <w:b/>
                <w:sz w:val="16"/>
                <w:szCs w:val="16"/>
              </w:rPr>
              <w:t>Objetivos</w:t>
            </w:r>
          </w:p>
        </w:tc>
        <w:tc>
          <w:tcPr>
            <w:tcW w:w="1137" w:type="pct"/>
            <w:gridSpan w:val="2"/>
            <w:tcBorders>
              <w:top w:val="single" w:sz="4" w:space="0" w:color="auto"/>
            </w:tcBorders>
            <w:shd w:val="clear" w:color="auto" w:fill="FFFFFF"/>
            <w:tcMar>
              <w:top w:w="110" w:type="dxa"/>
            </w:tcMar>
            <w:vAlign w:val="center"/>
          </w:tcPr>
          <w:p w:rsidR="000A3534" w:rsidRPr="00526311" w:rsidRDefault="000A3534" w:rsidP="000A3534">
            <w:pPr>
              <w:keepNext/>
              <w:keepLines/>
              <w:rPr>
                <w:sz w:val="16"/>
                <w:szCs w:val="16"/>
              </w:rPr>
            </w:pPr>
            <w:r w:rsidRPr="00526311">
              <w:rPr>
                <w:b/>
                <w:sz w:val="16"/>
                <w:szCs w:val="16"/>
              </w:rPr>
              <w:t>Datos sobre el rendimiento</w:t>
            </w:r>
          </w:p>
        </w:tc>
        <w:tc>
          <w:tcPr>
            <w:tcW w:w="606" w:type="pct"/>
            <w:gridSpan w:val="2"/>
            <w:tcBorders>
              <w:top w:val="single" w:sz="4" w:space="0" w:color="auto"/>
            </w:tcBorders>
            <w:shd w:val="clear" w:color="auto" w:fill="auto"/>
            <w:tcMar>
              <w:top w:w="110" w:type="dxa"/>
            </w:tcMar>
            <w:vAlign w:val="center"/>
          </w:tcPr>
          <w:p w:rsidR="000A3534" w:rsidRPr="00526311" w:rsidRDefault="000A3534" w:rsidP="000A3534">
            <w:pPr>
              <w:keepNext/>
              <w:keepLines/>
              <w:jc w:val="center"/>
              <w:rPr>
                <w:b/>
                <w:bCs/>
                <w:sz w:val="16"/>
                <w:szCs w:val="16"/>
              </w:rPr>
            </w:pPr>
            <w:r w:rsidRPr="00526311">
              <w:rPr>
                <w:b/>
                <w:bCs/>
                <w:sz w:val="16"/>
                <w:szCs w:val="16"/>
              </w:rPr>
              <w:t>Clave de colores</w:t>
            </w:r>
          </w:p>
        </w:tc>
      </w:tr>
      <w:tr w:rsidR="00794E04" w:rsidRPr="00526311" w:rsidTr="0063039A">
        <w:tc>
          <w:tcPr>
            <w:tcW w:w="1212" w:type="pct"/>
            <w:tcBorders>
              <w:top w:val="nil"/>
              <w:bottom w:val="single" w:sz="4" w:space="0" w:color="auto"/>
            </w:tcBorders>
            <w:shd w:val="clear" w:color="auto" w:fill="auto"/>
          </w:tcPr>
          <w:p w:rsidR="00794E04" w:rsidRPr="00526311" w:rsidRDefault="00794E04" w:rsidP="000A3534">
            <w:pPr>
              <w:keepNext/>
              <w:keepLines/>
              <w:rPr>
                <w:sz w:val="16"/>
                <w:szCs w:val="16"/>
              </w:rPr>
            </w:pPr>
            <w:r w:rsidRPr="00526311">
              <w:rPr>
                <w:sz w:val="16"/>
                <w:szCs w:val="16"/>
              </w:rPr>
              <w:t>Porcentaje de encuestados que afirman ser conscientes de los principios y políticas de la OMPI en material de ética profesional</w:t>
            </w:r>
          </w:p>
        </w:tc>
        <w:tc>
          <w:tcPr>
            <w:tcW w:w="1288" w:type="pct"/>
            <w:tcBorders>
              <w:top w:val="nil"/>
              <w:bottom w:val="single" w:sz="4" w:space="0" w:color="auto"/>
            </w:tcBorders>
            <w:shd w:val="clear" w:color="auto" w:fill="auto"/>
          </w:tcPr>
          <w:p w:rsidR="00794E04" w:rsidRPr="00526311" w:rsidRDefault="00794E04" w:rsidP="000A3534">
            <w:pPr>
              <w:keepNext/>
              <w:keepLines/>
              <w:rPr>
                <w:rFonts w:eastAsiaTheme="minorHAnsi"/>
                <w:color w:val="002060"/>
                <w:sz w:val="16"/>
                <w:szCs w:val="16"/>
              </w:rPr>
            </w:pPr>
            <w:r w:rsidRPr="00526311">
              <w:rPr>
                <w:rFonts w:eastAsiaTheme="minorHAnsi"/>
                <w:color w:val="002060"/>
                <w:sz w:val="16"/>
                <w:szCs w:val="16"/>
              </w:rPr>
              <w:t>Referencia actualizada a fines de 2013: El 98%, según la encuesta sobre las prioridades centrales del Programa de Alineación Estratégica (realizada entre enero y febrero de 2013)</w:t>
            </w:r>
          </w:p>
          <w:p w:rsidR="00794E04" w:rsidRPr="00526311" w:rsidRDefault="00794E04" w:rsidP="000A3534">
            <w:pPr>
              <w:keepNext/>
              <w:keepLines/>
              <w:rPr>
                <w:i/>
                <w:color w:val="002060"/>
                <w:sz w:val="8"/>
                <w:szCs w:val="8"/>
              </w:rPr>
            </w:pPr>
          </w:p>
          <w:p w:rsidR="00794E04" w:rsidRPr="00526311" w:rsidRDefault="007B705E" w:rsidP="000A3534">
            <w:pPr>
              <w:keepNext/>
              <w:keepLines/>
              <w:rPr>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70%</w:t>
            </w:r>
          </w:p>
          <w:p w:rsidR="00794E04" w:rsidRPr="00526311" w:rsidRDefault="00794E04" w:rsidP="000A3534">
            <w:pPr>
              <w:keepNext/>
              <w:keepLines/>
              <w:rPr>
                <w:i/>
                <w:color w:val="002060"/>
                <w:sz w:val="16"/>
                <w:szCs w:val="16"/>
              </w:rPr>
            </w:pPr>
          </w:p>
        </w:tc>
        <w:tc>
          <w:tcPr>
            <w:tcW w:w="757" w:type="pct"/>
            <w:tcBorders>
              <w:top w:val="nil"/>
              <w:bottom w:val="single" w:sz="4" w:space="0" w:color="auto"/>
            </w:tcBorders>
            <w:shd w:val="clear" w:color="auto" w:fill="auto"/>
            <w:tcMar>
              <w:top w:w="110" w:type="dxa"/>
            </w:tcMar>
          </w:tcPr>
          <w:p w:rsidR="00794E04" w:rsidRPr="00526311" w:rsidRDefault="00794E04" w:rsidP="000A3534">
            <w:pPr>
              <w:keepLines/>
              <w:rPr>
                <w:sz w:val="16"/>
                <w:szCs w:val="16"/>
              </w:rPr>
            </w:pPr>
            <w:r w:rsidRPr="00526311">
              <w:rPr>
                <w:sz w:val="16"/>
                <w:szCs w:val="16"/>
              </w:rPr>
              <w:t>75%</w:t>
            </w:r>
          </w:p>
        </w:tc>
        <w:tc>
          <w:tcPr>
            <w:tcW w:w="1061" w:type="pct"/>
            <w:tcBorders>
              <w:top w:val="nil"/>
              <w:bottom w:val="single" w:sz="4" w:space="0" w:color="auto"/>
            </w:tcBorders>
            <w:shd w:val="clear" w:color="auto" w:fill="FFFFFF"/>
            <w:tcMar>
              <w:top w:w="110" w:type="dxa"/>
            </w:tcMar>
          </w:tcPr>
          <w:p w:rsidR="00794E04" w:rsidRPr="00526311" w:rsidRDefault="00794E04" w:rsidP="000A3534">
            <w:pPr>
              <w:keepLines/>
              <w:autoSpaceDE w:val="0"/>
              <w:autoSpaceDN w:val="0"/>
              <w:adjustRightInd w:val="0"/>
              <w:rPr>
                <w:sz w:val="16"/>
                <w:szCs w:val="16"/>
              </w:rPr>
            </w:pPr>
            <w:r w:rsidRPr="00526311">
              <w:rPr>
                <w:sz w:val="16"/>
                <w:szCs w:val="16"/>
              </w:rPr>
              <w:t>La encuesta se llevará a cabo en 2015</w:t>
            </w:r>
          </w:p>
        </w:tc>
        <w:tc>
          <w:tcPr>
            <w:tcW w:w="682" w:type="pct"/>
            <w:gridSpan w:val="3"/>
            <w:tcBorders>
              <w:top w:val="nil"/>
              <w:bottom w:val="single" w:sz="4" w:space="0" w:color="auto"/>
            </w:tcBorders>
            <w:shd w:val="clear" w:color="auto" w:fill="auto"/>
            <w:tcMar>
              <w:top w:w="110" w:type="dxa"/>
            </w:tcMar>
          </w:tcPr>
          <w:p w:rsidR="00794E04" w:rsidRPr="00526311" w:rsidRDefault="00794E04" w:rsidP="000A3534">
            <w:pPr>
              <w:keepNext/>
              <w:keepLines/>
              <w:ind w:left="-108"/>
              <w:jc w:val="center"/>
              <w:rPr>
                <w:b/>
                <w:sz w:val="16"/>
                <w:szCs w:val="16"/>
              </w:rPr>
            </w:pPr>
            <w:r w:rsidRPr="00526311">
              <w:rPr>
                <w:b/>
                <w:color w:val="0070C0"/>
                <w:sz w:val="16"/>
                <w:szCs w:val="16"/>
              </w:rPr>
              <w:t>N</w:t>
            </w:r>
            <w:r w:rsidR="005C46C4" w:rsidRPr="00526311">
              <w:rPr>
                <w:b/>
                <w:color w:val="0070C0"/>
                <w:sz w:val="16"/>
                <w:szCs w:val="16"/>
              </w:rPr>
              <w:t>.d.</w:t>
            </w:r>
            <w:r w:rsidRPr="00526311">
              <w:rPr>
                <w:b/>
                <w:color w:val="0070C0"/>
                <w:sz w:val="16"/>
                <w:szCs w:val="16"/>
              </w:rPr>
              <w:t xml:space="preserve"> para </w:t>
            </w:r>
            <w:r w:rsidR="005C46C4" w:rsidRPr="00526311">
              <w:rPr>
                <w:b/>
                <w:color w:val="0070C0"/>
                <w:sz w:val="16"/>
                <w:szCs w:val="16"/>
              </w:rPr>
              <w:br/>
            </w:r>
            <w:r w:rsidRPr="00526311">
              <w:rPr>
                <w:b/>
                <w:color w:val="0070C0"/>
                <w:sz w:val="16"/>
                <w:szCs w:val="16"/>
              </w:rPr>
              <w:t>2014</w:t>
            </w:r>
          </w:p>
        </w:tc>
      </w:tr>
    </w:tbl>
    <w:p w:rsidR="00794E04" w:rsidRPr="00526311" w:rsidRDefault="00794E04">
      <w:pPr>
        <w:rPr>
          <w:color w:val="000000"/>
          <w:sz w:val="20"/>
        </w:rPr>
      </w:pPr>
    </w:p>
    <w:p w:rsidR="00794E04" w:rsidRPr="00526311" w:rsidRDefault="00794E04">
      <w:pPr>
        <w:rPr>
          <w:sz w:val="20"/>
        </w:rPr>
      </w:pPr>
    </w:p>
    <w:p w:rsidR="00794E04" w:rsidRPr="00526311" w:rsidRDefault="000A3534" w:rsidP="0063039A">
      <w:pPr>
        <w:rPr>
          <w:b/>
          <w:sz w:val="18"/>
          <w:szCs w:val="18"/>
        </w:rPr>
      </w:pPr>
      <w:r w:rsidRPr="00526311">
        <w:rPr>
          <w:szCs w:val="22"/>
        </w:rPr>
        <w:t>UTILIZACIÓN DE LOS RECURSOS</w:t>
      </w:r>
    </w:p>
    <w:p w:rsidR="00794E04" w:rsidRPr="00526311" w:rsidRDefault="00794E04">
      <w:pPr>
        <w:rPr>
          <w:sz w:val="20"/>
        </w:rPr>
      </w:pPr>
    </w:p>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794E04" w:rsidRPr="00526311" w:rsidRDefault="00794E04" w:rsidP="0063039A">
      <w:pPr>
        <w:pStyle w:val="NormalWeb"/>
        <w:spacing w:before="0" w:beforeAutospacing="0" w:after="0" w:afterAutospacing="0"/>
        <w:jc w:val="center"/>
        <w:rPr>
          <w:sz w:val="20"/>
          <w:szCs w:val="20"/>
          <w:lang w:val="es-ES"/>
        </w:rPr>
      </w:pPr>
    </w:p>
    <w:p w:rsidR="00794E04" w:rsidRPr="00526311" w:rsidRDefault="00DD7B62" w:rsidP="0063039A">
      <w:pPr>
        <w:jc w:val="center"/>
      </w:pPr>
      <w:r w:rsidRPr="00526311">
        <w:rPr>
          <w:noProof/>
          <w:lang w:val="en-US" w:eastAsia="en-US"/>
        </w:rPr>
        <w:drawing>
          <wp:inline distT="0" distB="0" distL="0" distR="0" wp14:anchorId="0224B813" wp14:editId="55B662BB">
            <wp:extent cx="5762625" cy="2857500"/>
            <wp:effectExtent l="0" t="0" r="9525"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62625" cy="2857500"/>
                    </a:xfrm>
                    <a:prstGeom prst="rect">
                      <a:avLst/>
                    </a:prstGeom>
                    <a:noFill/>
                    <a:ln>
                      <a:noFill/>
                    </a:ln>
                  </pic:spPr>
                </pic:pic>
              </a:graphicData>
            </a:graphic>
          </wp:inline>
        </w:drawing>
      </w:r>
    </w:p>
    <w:p w:rsidR="00794E04" w:rsidRPr="00526311" w:rsidRDefault="00794E04">
      <w:pPr>
        <w:rPr>
          <w:sz w:val="20"/>
        </w:rPr>
      </w:pPr>
    </w:p>
    <w:p w:rsidR="00794E04" w:rsidRPr="00526311" w:rsidRDefault="00794E04" w:rsidP="0063039A">
      <w:pPr>
        <w:rPr>
          <w:sz w:val="20"/>
        </w:rPr>
      </w:pPr>
    </w:p>
    <w:p w:rsidR="00794E04" w:rsidRPr="00526311" w:rsidRDefault="00794E04"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(de personal y </w:t>
      </w:r>
      <w:r w:rsidR="003D3ED5" w:rsidRPr="00526311">
        <w:rPr>
          <w:sz w:val="20"/>
          <w:szCs w:val="20"/>
          <w:lang w:val="es-ES"/>
        </w:rPr>
        <w:t>no relativos a personal</w:t>
      </w:r>
      <w:r w:rsidRPr="00526311">
        <w:rPr>
          <w:sz w:val="20"/>
          <w:szCs w:val="20"/>
          <w:lang w:val="es-ES"/>
        </w:rPr>
        <w:t xml:space="preserve">) </w:t>
      </w:r>
    </w:p>
    <w:p w:rsidR="00794E04" w:rsidRPr="00526311" w:rsidRDefault="00794E04"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(en miles de francos suizos)</w:t>
      </w:r>
    </w:p>
    <w:p w:rsidR="00794E04" w:rsidRPr="00526311" w:rsidRDefault="00794E04" w:rsidP="0063039A">
      <w:pPr>
        <w:pStyle w:val="NormalWeb"/>
        <w:keepNext/>
        <w:keepLines/>
        <w:spacing w:before="0" w:beforeAutospacing="0" w:after="0" w:afterAutospacing="0"/>
        <w:jc w:val="center"/>
        <w:rPr>
          <w:lang w:val="es-ES"/>
        </w:rPr>
      </w:pPr>
    </w:p>
    <w:p w:rsidR="00794E04" w:rsidRPr="00526311" w:rsidRDefault="00FF6E74" w:rsidP="0063039A">
      <w:pPr>
        <w:jc w:val="center"/>
      </w:pPr>
      <w:bookmarkStart w:id="78" w:name="Punto21"/>
      <w:r w:rsidRPr="00526311">
        <w:rPr>
          <w:noProof/>
          <w:lang w:val="en-US" w:eastAsia="en-US"/>
        </w:rPr>
        <w:drawing>
          <wp:inline distT="0" distB="0" distL="0" distR="0" wp14:anchorId="50F671C2" wp14:editId="1976F772">
            <wp:extent cx="5940425" cy="1269956"/>
            <wp:effectExtent l="0" t="0" r="3175" b="6985"/>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0425" cy="1269956"/>
                    </a:xfrm>
                    <a:prstGeom prst="rect">
                      <a:avLst/>
                    </a:prstGeom>
                    <a:noFill/>
                    <a:ln>
                      <a:noFill/>
                    </a:ln>
                  </pic:spPr>
                </pic:pic>
              </a:graphicData>
            </a:graphic>
          </wp:inline>
        </w:drawing>
      </w:r>
      <w:bookmarkEnd w:id="78"/>
    </w:p>
    <w:p w:rsidR="00794E04" w:rsidRPr="00526311" w:rsidRDefault="00794E04" w:rsidP="0063039A">
      <w:pPr>
        <w:autoSpaceDE w:val="0"/>
        <w:autoSpaceDN w:val="0"/>
        <w:rPr>
          <w:sz w:val="16"/>
          <w:szCs w:val="16"/>
        </w:rPr>
      </w:pPr>
      <w:r w:rsidRPr="00526311">
        <w:rPr>
          <w:i/>
          <w:sz w:val="16"/>
          <w:szCs w:val="16"/>
        </w:rPr>
        <w:t xml:space="preserve">NOTA:  </w:t>
      </w:r>
      <w:r w:rsidRPr="00526311">
        <w:rPr>
          <w:i/>
          <w:iCs/>
          <w:sz w:val="16"/>
          <w:szCs w:val="16"/>
        </w:rPr>
        <w:t>El presupuesto de 2014/15 tras las transferencias refleja las transferencias efectuadas al 31 de marzo de 2015 para hacer frente a las necesidades durante el bienio 2014/15, según lo previsto en el artículo 5.5 del Reglamento Financiero.</w:t>
      </w:r>
    </w:p>
    <w:p w:rsidR="00794E04" w:rsidRPr="00526311" w:rsidRDefault="00794E04" w:rsidP="0063039A">
      <w:pPr>
        <w:widowControl w:val="0"/>
        <w:autoSpaceDE w:val="0"/>
        <w:autoSpaceDN w:val="0"/>
        <w:adjustRightInd w:val="0"/>
        <w:rPr>
          <w:sz w:val="20"/>
        </w:rPr>
      </w:pPr>
    </w:p>
    <w:p w:rsidR="00794E04" w:rsidRPr="00526311" w:rsidRDefault="00794E04"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794E04" w:rsidRPr="00526311" w:rsidRDefault="00794E04" w:rsidP="0063039A">
      <w:pPr>
        <w:rPr>
          <w:sz w:val="20"/>
          <w:u w:val="single"/>
        </w:rPr>
      </w:pPr>
    </w:p>
    <w:p w:rsidR="00794E04" w:rsidRPr="00526311" w:rsidRDefault="00794E04" w:rsidP="00794E04">
      <w:pPr>
        <w:numPr>
          <w:ilvl w:val="0"/>
          <w:numId w:val="83"/>
        </w:numPr>
        <w:autoSpaceDE w:val="0"/>
        <w:autoSpaceDN w:val="0"/>
        <w:adjustRightInd w:val="0"/>
        <w:jc w:val="both"/>
        <w:rPr>
          <w:sz w:val="20"/>
          <w:lang w:eastAsia="ko-KR"/>
        </w:rPr>
      </w:pPr>
      <w:r w:rsidRPr="00526311">
        <w:rPr>
          <w:sz w:val="20"/>
          <w:lang w:eastAsia="ko-KR"/>
        </w:rPr>
        <w:t>El incremento de los recursos relativos al personal se debe fundamentalmente a:  i) la transferencia de puestos al programa tras la fusión de las actividades relacionadas con eventos con la función del protocolo, la creación de la función de coordinador de la continuidad de las operaciones y ii) la regularización de una función continua en la Oficina del Consejero Jurídico para satisfacer la creciente demanda de servicios jurídicos.</w:t>
      </w:r>
    </w:p>
    <w:p w:rsidR="00794E04" w:rsidRPr="00526311" w:rsidRDefault="00794E04" w:rsidP="0063039A">
      <w:pPr>
        <w:autoSpaceDE w:val="0"/>
        <w:autoSpaceDN w:val="0"/>
        <w:jc w:val="both"/>
        <w:rPr>
          <w:sz w:val="20"/>
          <w:lang w:eastAsia="ko-KR"/>
        </w:rPr>
      </w:pPr>
    </w:p>
    <w:p w:rsidR="00794E04" w:rsidRPr="00526311" w:rsidRDefault="00794E04" w:rsidP="0063039A">
      <w:pPr>
        <w:jc w:val="both"/>
        <w:rPr>
          <w:sz w:val="20"/>
          <w:u w:val="single"/>
          <w:lang w:eastAsia="ko-KR"/>
        </w:rPr>
      </w:pPr>
      <w:r w:rsidRPr="00526311">
        <w:rPr>
          <w:sz w:val="20"/>
          <w:lang w:eastAsia="ko-KR"/>
        </w:rPr>
        <w:lastRenderedPageBreak/>
        <w:t>B.</w:t>
      </w:r>
      <w:r w:rsidRPr="00526311">
        <w:rPr>
          <w:sz w:val="20"/>
          <w:lang w:eastAsia="ko-KR"/>
        </w:rPr>
        <w:tab/>
      </w:r>
      <w:r w:rsidRPr="00526311">
        <w:rPr>
          <w:sz w:val="20"/>
          <w:u w:val="single"/>
          <w:lang w:eastAsia="ko-KR"/>
        </w:rPr>
        <w:t xml:space="preserve">Utilización del presupuesto </w:t>
      </w:r>
      <w:r w:rsidR="000A3534" w:rsidRPr="00526311">
        <w:rPr>
          <w:sz w:val="20"/>
          <w:u w:val="single"/>
          <w:lang w:eastAsia="ko-KR"/>
        </w:rPr>
        <w:t xml:space="preserve">en </w:t>
      </w:r>
      <w:r w:rsidRPr="00526311">
        <w:rPr>
          <w:sz w:val="20"/>
          <w:u w:val="single"/>
          <w:lang w:eastAsia="ko-KR"/>
        </w:rPr>
        <w:t>2014</w:t>
      </w:r>
    </w:p>
    <w:p w:rsidR="00794E04" w:rsidRPr="00526311" w:rsidRDefault="00794E04" w:rsidP="0063039A">
      <w:pPr>
        <w:tabs>
          <w:tab w:val="left" w:pos="709"/>
        </w:tabs>
        <w:jc w:val="both"/>
        <w:rPr>
          <w:sz w:val="20"/>
          <w:u w:val="single"/>
          <w:lang w:eastAsia="ko-KR"/>
        </w:rPr>
      </w:pPr>
    </w:p>
    <w:p w:rsidR="00794E04" w:rsidRPr="00526311" w:rsidRDefault="00794E04" w:rsidP="00794E04">
      <w:pPr>
        <w:numPr>
          <w:ilvl w:val="0"/>
          <w:numId w:val="83"/>
        </w:numPr>
        <w:autoSpaceDE w:val="0"/>
        <w:autoSpaceDN w:val="0"/>
        <w:adjustRightInd w:val="0"/>
        <w:jc w:val="both"/>
        <w:rPr>
          <w:sz w:val="20"/>
        </w:rPr>
      </w:pPr>
      <w:r w:rsidRPr="00526311">
        <w:rPr>
          <w:sz w:val="20"/>
        </w:rPr>
        <w:t>La utilización del presupuesto se ha mantenido dentro de los límites establecidos (40-60%) durante el primer año del bienio y está bien encaminada.</w:t>
      </w:r>
    </w:p>
    <w:p w:rsidR="00794E04" w:rsidRPr="00526311" w:rsidRDefault="00794E04" w:rsidP="0063039A">
      <w:pPr>
        <w:autoSpaceDE w:val="0"/>
        <w:autoSpaceDN w:val="0"/>
        <w:adjustRightInd w:val="0"/>
        <w:jc w:val="both"/>
        <w:rPr>
          <w:sz w:val="20"/>
        </w:rPr>
      </w:pPr>
    </w:p>
    <w:p w:rsidR="00794E04" w:rsidRPr="00526311" w:rsidRDefault="00794E04" w:rsidP="0063039A">
      <w:pPr>
        <w:autoSpaceDE w:val="0"/>
        <w:autoSpaceDN w:val="0"/>
        <w:adjustRightInd w:val="0"/>
        <w:jc w:val="both"/>
        <w:rPr>
          <w:sz w:val="20"/>
        </w:rPr>
      </w:pPr>
    </w:p>
    <w:p w:rsidR="00794E04" w:rsidRPr="00526311" w:rsidRDefault="00794E04">
      <w:pPr>
        <w:rPr>
          <w:bCs/>
          <w:iCs/>
          <w:caps/>
          <w:sz w:val="20"/>
        </w:rPr>
      </w:pPr>
      <w:r w:rsidRPr="00526311">
        <w:rPr>
          <w:sz w:val="20"/>
        </w:rPr>
        <w:br w:type="page"/>
      </w:r>
    </w:p>
    <w:p w:rsidR="00794E04" w:rsidRPr="00526311" w:rsidRDefault="00794E04" w:rsidP="0063039A">
      <w:pPr>
        <w:pStyle w:val="Heading2"/>
        <w:tabs>
          <w:tab w:val="left" w:pos="2410"/>
        </w:tabs>
        <w:rPr>
          <w:b/>
        </w:rPr>
      </w:pPr>
      <w:bookmarkStart w:id="79" w:name="_Toc422927436"/>
      <w:r w:rsidRPr="00526311">
        <w:rPr>
          <w:b/>
        </w:rPr>
        <w:lastRenderedPageBreak/>
        <w:t>PROGRAMA 22</w:t>
      </w:r>
      <w:r w:rsidRPr="00526311">
        <w:rPr>
          <w:b/>
        </w:rPr>
        <w:tab/>
        <w:t>GESTIÓN DE PROGRAMAS Y RECURSOS</w:t>
      </w:r>
      <w:bookmarkEnd w:id="79"/>
    </w:p>
    <w:p w:rsidR="00794E04" w:rsidRPr="00526311" w:rsidRDefault="00794E04" w:rsidP="0063039A">
      <w:pPr>
        <w:rPr>
          <w:sz w:val="20"/>
        </w:rPr>
      </w:pPr>
    </w:p>
    <w:p w:rsidR="00794E04" w:rsidRPr="00526311" w:rsidRDefault="00794E04" w:rsidP="0063039A">
      <w:pPr>
        <w:tabs>
          <w:tab w:val="left" w:pos="2410"/>
        </w:tabs>
        <w:rPr>
          <w:b/>
          <w:sz w:val="20"/>
        </w:rPr>
      </w:pPr>
      <w:r w:rsidRPr="00526311">
        <w:rPr>
          <w:b/>
          <w:sz w:val="20"/>
        </w:rPr>
        <w:t>Director de programa</w:t>
      </w:r>
      <w:r w:rsidRPr="00526311">
        <w:rPr>
          <w:b/>
          <w:sz w:val="20"/>
        </w:rPr>
        <w:tab/>
        <w:t>Sr. A. Sundaram</w:t>
      </w:r>
    </w:p>
    <w:p w:rsidR="00794E04" w:rsidRPr="00526311" w:rsidRDefault="00794E04" w:rsidP="0063039A">
      <w:pPr>
        <w:rPr>
          <w:sz w:val="20"/>
        </w:rPr>
      </w:pPr>
    </w:p>
    <w:p w:rsidR="00794E04" w:rsidRPr="00526311" w:rsidRDefault="00794E04" w:rsidP="0063039A">
      <w:pPr>
        <w:rPr>
          <w:sz w:val="20"/>
        </w:rPr>
      </w:pPr>
    </w:p>
    <w:p w:rsidR="00794E04" w:rsidRPr="00526311" w:rsidRDefault="00794E04" w:rsidP="0063039A">
      <w:pPr>
        <w:rPr>
          <w:bCs/>
          <w:szCs w:val="22"/>
        </w:rPr>
      </w:pPr>
      <w:r w:rsidRPr="00526311">
        <w:rPr>
          <w:bCs/>
          <w:szCs w:val="22"/>
        </w:rPr>
        <w:t>RESEÑA DE LOS AVANCES LOGRADOS EN 2014</w:t>
      </w:r>
    </w:p>
    <w:p w:rsidR="00794E04" w:rsidRPr="00526311" w:rsidRDefault="00794E04" w:rsidP="0063039A"/>
    <w:p w:rsidR="00794E04" w:rsidRPr="00526311" w:rsidRDefault="00794E04" w:rsidP="000A3534">
      <w:pPr>
        <w:pStyle w:val="ListParagraph"/>
        <w:numPr>
          <w:ilvl w:val="0"/>
          <w:numId w:val="86"/>
        </w:numPr>
        <w:tabs>
          <w:tab w:val="left" w:pos="709"/>
        </w:tabs>
        <w:ind w:left="0" w:firstLine="0"/>
        <w:jc w:val="both"/>
        <w:rPr>
          <w:bCs/>
          <w:lang w:val="es-ES"/>
        </w:rPr>
      </w:pPr>
      <w:r w:rsidRPr="00526311">
        <w:rPr>
          <w:bCs/>
          <w:lang w:val="es-ES"/>
        </w:rPr>
        <w:t>Tras los avances obtenidos en el bienio 2012/13, en 2014 se siguió consolidando la gestión de programas y recursos de la OMPI.  A fin de utilizar los recursos de manera más eficaz, establecer mejores prácticas en lo que respecta a planificar, gestionar el rendimiento, facilitar y apoyar las actividades operacionales de toda la Organización y fortalecer la "segunda línea de defensa",</w:t>
      </w:r>
      <w:r w:rsidRPr="00526311">
        <w:rPr>
          <w:rStyle w:val="FootnoteReference"/>
          <w:bCs/>
          <w:lang w:val="es-ES"/>
        </w:rPr>
        <w:footnoteReference w:id="55"/>
      </w:r>
      <w:r w:rsidRPr="00526311">
        <w:rPr>
          <w:bCs/>
          <w:lang w:val="es-ES"/>
        </w:rPr>
        <w:t xml:space="preserve"> en noviembre de 2013 se inició un proceso de restructuración estratégica que se afianzó plenamente en 2014.  Esta labor ha entrañado:  i) la creación de la División de Presupuesto y Rendimiento de los Programas a partir de la fusión de la Sección de Gestión y Rendimiento de los Programas y la Sección del Presupuesto, que favoreció un enfoque más integral de la gestión de programas;  ii) el perfeccionamiento de la función de la Oficina del Contralor, que permitió la separación y la asignación clara de responsabilidades relativas a la coordinación de la gestión de riesgos, el cumplimiento y los controles internos, la revisión y el mantenimiento del marco regulador financiero y el seguimiento de las recomendaciones de supervisión;  y iii) la incorporación al programa 22 de las funciones de gestión y apoyo de las aplicaciones administrativas de la Organización, que posibilitan la sinergia y la integración eficaz de los sistemas que se aplican con arreglo a la cartera de proyectos de la PRI.</w:t>
      </w:r>
    </w:p>
    <w:p w:rsidR="00794E04" w:rsidRPr="00526311" w:rsidRDefault="00794E04" w:rsidP="0063039A">
      <w:pPr>
        <w:tabs>
          <w:tab w:val="left" w:pos="709"/>
        </w:tabs>
        <w:rPr>
          <w:bCs/>
        </w:rPr>
      </w:pPr>
    </w:p>
    <w:p w:rsidR="00794E04" w:rsidRPr="00526311" w:rsidRDefault="00794E04" w:rsidP="000A3534">
      <w:pPr>
        <w:pStyle w:val="ListParagraph"/>
        <w:numPr>
          <w:ilvl w:val="0"/>
          <w:numId w:val="86"/>
        </w:numPr>
        <w:tabs>
          <w:tab w:val="left" w:pos="709"/>
        </w:tabs>
        <w:ind w:left="0" w:firstLine="0"/>
        <w:jc w:val="both"/>
        <w:rPr>
          <w:bCs/>
          <w:lang w:val="es-ES"/>
        </w:rPr>
      </w:pPr>
      <w:r w:rsidRPr="00526311">
        <w:rPr>
          <w:bCs/>
          <w:lang w:val="es-ES"/>
        </w:rPr>
        <w:t>En 2014, se lograron positivos avances en el arraigo de una cultura basada en los resultados y en el fortalecimiento del ciclo de gestión del rendimiento de la OMPI.  Asimismo, en 2014, se siguió mejorando el proceso de planificación de la labor con la introducción de una planificación basada en los cargos.  Para respaldar esta mejora, se introdujeron nuevas funciones en el módulo de planificación de la labor de gestión del rendimiento institucional del sistema de planificación de los recursos institucionales (PRI) para posibilitar la asignación de miembros del personal a determinadas actividades de programas, intensificando los vínculos entre los resultados previstos para cada programa y los objetivos de cada miembro del personal.  Además, a raíz de esa mejora aumentaron la transparencia y la precisión en cuanto a la asignación y utilización de recursos relativos a personal.</w:t>
      </w:r>
    </w:p>
    <w:p w:rsidR="00794E04" w:rsidRPr="00526311" w:rsidRDefault="00794E04" w:rsidP="0063039A">
      <w:pPr>
        <w:tabs>
          <w:tab w:val="left" w:pos="709"/>
        </w:tabs>
        <w:rPr>
          <w:bCs/>
        </w:rPr>
      </w:pPr>
    </w:p>
    <w:p w:rsidR="00794E04" w:rsidRPr="00526311" w:rsidRDefault="00794E04" w:rsidP="000A3534">
      <w:pPr>
        <w:pStyle w:val="ListParagraph"/>
        <w:numPr>
          <w:ilvl w:val="0"/>
          <w:numId w:val="86"/>
        </w:numPr>
        <w:tabs>
          <w:tab w:val="left" w:pos="709"/>
        </w:tabs>
        <w:ind w:left="0" w:firstLine="0"/>
        <w:jc w:val="both"/>
        <w:rPr>
          <w:bCs/>
          <w:lang w:val="es-ES"/>
        </w:rPr>
      </w:pPr>
      <w:r w:rsidRPr="00526311">
        <w:rPr>
          <w:bCs/>
          <w:lang w:val="es-ES"/>
        </w:rPr>
        <w:t>La evolución del sistema de PRI y de gestión del rendimiento institucional resultó fundamental para el progreso logrado en 2014.  Con tal fin, en el año 2014 se produjo la puesta en marcha de dos nuevos módulos esenciales para el ciclo de rendimiento de la OMPI, a saber, los módulos de “Ejecución y supervisión” y “Evaluación del rendimiento”.  El primer módulo permite que los directores de programa, por primera vez, cuenten con una herramienta que permite la actualización periódica de los planes de trabajo aprobados, lo que ha mejorado significativamente la capacidad de supervisar su puesta en marcha en cuanto al contenido y al uso de los recursos financieros.  Además, esa herramienta también permite mejorar el análisis comparativo entre los planes de trabajo aprobados y las modificaciones realizadas a lo largo del año, reforzando así la capacidad de gestión de programas y sirviendo de base a los futuros ciclos de planificación.  El segundo módulo ofrece un enfoque más dinámico y uniforme para evaluar el rendimiento, que incluye la realización más frecuente de exámenes intermedios del rendimiento y el seguimiento de los progresos respecto de los objetivos formulados en el presupuesto por programas de 2014/15.</w:t>
      </w:r>
    </w:p>
    <w:p w:rsidR="00794E04" w:rsidRPr="00526311" w:rsidRDefault="00794E04" w:rsidP="0063039A">
      <w:pPr>
        <w:tabs>
          <w:tab w:val="left" w:pos="709"/>
        </w:tabs>
        <w:rPr>
          <w:bCs/>
        </w:rPr>
      </w:pPr>
    </w:p>
    <w:p w:rsidR="00794E04" w:rsidRPr="00526311" w:rsidRDefault="00794E04" w:rsidP="000A3534">
      <w:pPr>
        <w:pStyle w:val="ListParagraph"/>
        <w:numPr>
          <w:ilvl w:val="0"/>
          <w:numId w:val="86"/>
        </w:numPr>
        <w:tabs>
          <w:tab w:val="left" w:pos="709"/>
        </w:tabs>
        <w:ind w:left="0" w:firstLine="0"/>
        <w:jc w:val="both"/>
        <w:rPr>
          <w:bCs/>
          <w:lang w:val="es-ES"/>
        </w:rPr>
      </w:pPr>
      <w:r w:rsidRPr="00526311">
        <w:rPr>
          <w:bCs/>
          <w:lang w:val="es-ES"/>
        </w:rPr>
        <w:t>La integración aún mayor de los componentes del sistema de PRI en 2014 contribuyó a mejorar la presentación de informes y las herramientas analíticas.  Por primera vez en 2014,</w:t>
      </w:r>
      <w:r w:rsidRPr="00526311">
        <w:rPr>
          <w:szCs w:val="24"/>
          <w:lang w:val="es-ES"/>
        </w:rPr>
        <w:t xml:space="preserve"> </w:t>
      </w:r>
      <w:r w:rsidRPr="00526311">
        <w:rPr>
          <w:bCs/>
          <w:lang w:val="es-ES"/>
        </w:rPr>
        <w:t>se integraron conjuntamente los sistemas de planificación de la gestión del rendimiento institucional y los componentes financieros del sistema automatizado de gestión de la información (AIMS), lo que facilitó la presentación de informes comparativos entre el presupuesto y los gastos reales.  Además, en enero de 2014, comenzó a funcionar el sistema de g</w:t>
      </w:r>
      <w:r w:rsidRPr="00526311">
        <w:rPr>
          <w:lang w:val="es-ES"/>
        </w:rPr>
        <w:t>estión de los recursos humanos y de las nóminas</w:t>
      </w:r>
      <w:r w:rsidRPr="00526311">
        <w:rPr>
          <w:bCs/>
          <w:lang w:val="es-ES"/>
        </w:rPr>
        <w:t xml:space="preserve"> en el marco de la PRI y, en abril de 2014, se completó la integración con el sistema de gestión del rendimiento institucional, mejorando considerablemente la capacidad de gestión de los cargos.  Se registraron avances en el módulo de inteligencia institucional, con la creación y la puesta en marcha de tableros de control en los principales sectores administrativos (gestión de recursos humanos, adquisiciones y viajes, planificación de programas y finanzas).  Se prevé su integración en toda la Organización en el segundo semestre de 2015.</w:t>
      </w:r>
    </w:p>
    <w:p w:rsidR="00794E04" w:rsidRPr="00526311" w:rsidRDefault="00794E04" w:rsidP="0063039A">
      <w:pPr>
        <w:rPr>
          <w:bCs/>
        </w:rPr>
      </w:pPr>
    </w:p>
    <w:p w:rsidR="00794E04" w:rsidRPr="00526311" w:rsidRDefault="00794E04" w:rsidP="000A3534">
      <w:pPr>
        <w:pStyle w:val="ListParagraph"/>
        <w:numPr>
          <w:ilvl w:val="0"/>
          <w:numId w:val="86"/>
        </w:numPr>
        <w:tabs>
          <w:tab w:val="left" w:pos="709"/>
        </w:tabs>
        <w:ind w:left="0" w:firstLine="0"/>
        <w:jc w:val="both"/>
        <w:rPr>
          <w:bCs/>
          <w:iCs/>
          <w:lang w:val="es-ES"/>
        </w:rPr>
      </w:pPr>
      <w:r w:rsidRPr="00526311">
        <w:rPr>
          <w:bCs/>
          <w:iCs/>
          <w:lang w:val="es-ES"/>
        </w:rPr>
        <w:t>En consonancia con la hoja de ruta de gestión de riesgos, se elaboró una serie de documentos que establecieron un marco formal y coherente de gestión de riesgos y control interno para la Organización, entre otros, el marco para la rendición de cuentas, la declaración de apetito de riesgo, el establecimiento del Grupo de Gestión de Riesgos, la política de gestión de riesgos, y el manual de gestión de riesgos y control interno.  A fines de 2014, los Estados miembros revisaron y aprobaron el marco de gestión de riesgos y la declaración de apetito de riesgo de la OMPI.</w:t>
      </w:r>
    </w:p>
    <w:p w:rsidR="00794E04" w:rsidRPr="00526311" w:rsidRDefault="00794E04" w:rsidP="0063039A">
      <w:pPr>
        <w:rPr>
          <w:bCs/>
          <w:iCs/>
        </w:rPr>
      </w:pPr>
    </w:p>
    <w:p w:rsidR="00794E04" w:rsidRPr="00526311" w:rsidRDefault="00794E04" w:rsidP="000A3534">
      <w:pPr>
        <w:pStyle w:val="ListParagraph"/>
        <w:numPr>
          <w:ilvl w:val="0"/>
          <w:numId w:val="86"/>
        </w:numPr>
        <w:tabs>
          <w:tab w:val="left" w:pos="709"/>
        </w:tabs>
        <w:ind w:left="0" w:firstLine="0"/>
        <w:jc w:val="both"/>
        <w:rPr>
          <w:bCs/>
          <w:iCs/>
          <w:lang w:val="es-ES"/>
        </w:rPr>
      </w:pPr>
      <w:r w:rsidRPr="00526311">
        <w:rPr>
          <w:bCs/>
          <w:iCs/>
          <w:lang w:val="es-ES"/>
        </w:rPr>
        <w:t>A fin de facilitar el acceso en tiempo real a información sobre riesgos y control, prestar apoyo en materia de gestión proactiva de riesgos y control, y ofrecer respuestas eficaces a los órganos de auditoría, en el segundo semestre de 2014 se creó una herramienta de gestión del riesgo institucional que se utilizó para apoyar el ejercicio de planificación anual de 2015.  También se fortalecieron los procesos de supervisión y presentación de informes en materia de riesgos mediante i) la introducción de exámenes de riesgo semestrales, que constituyen la base para ii) exámenes de gestión de riesgos semestrales revisados por el Grupo de Gestión de Riesgos, y iii) el constante fortalecimiento de la integración de la gestión de riesgos en los procesos de gestión del rendimiento de los programas.</w:t>
      </w:r>
    </w:p>
    <w:p w:rsidR="00794E04" w:rsidRPr="00526311" w:rsidRDefault="00794E04" w:rsidP="0063039A">
      <w:pPr>
        <w:rPr>
          <w:bCs/>
        </w:rPr>
      </w:pPr>
    </w:p>
    <w:p w:rsidR="00794E04" w:rsidRPr="00526311" w:rsidRDefault="00794E04" w:rsidP="000A3534">
      <w:pPr>
        <w:pStyle w:val="ListParagraph"/>
        <w:numPr>
          <w:ilvl w:val="0"/>
          <w:numId w:val="86"/>
        </w:numPr>
        <w:tabs>
          <w:tab w:val="left" w:pos="709"/>
        </w:tabs>
        <w:ind w:left="0" w:firstLine="0"/>
        <w:jc w:val="both"/>
        <w:rPr>
          <w:bCs/>
          <w:lang w:val="es-ES"/>
        </w:rPr>
      </w:pPr>
      <w:r w:rsidRPr="00526311">
        <w:rPr>
          <w:bCs/>
          <w:lang w:val="es-ES"/>
        </w:rPr>
        <w:t>Se siguió actualizando el marco regulador con la revisión y la publicación de órdenes de servicio en materia de adquisiciones, atenciones sociales oficiales, viajes, vacaciones en el país de origen, anticipos de sueldo, directrices relacionadas con el efectivo para oficinas en el exterior, entre otras, y la revisión en curso de otras órdenes en materia de gestión de los activos, contribuciones voluntarias y divulgación de la información financiera.  Se examinó y se revisó el Reglamento Financiero y Reglamentación Financiera de la OMPI (RR.FF.), según lo acordado por los Estados miembros, y se creó una nueva herramienta para apoyar la gestión de la delegación de autoridad programática.</w:t>
      </w:r>
    </w:p>
    <w:p w:rsidR="00794E04" w:rsidRPr="00526311" w:rsidRDefault="00794E04" w:rsidP="0063039A">
      <w:pPr>
        <w:rPr>
          <w:bCs/>
        </w:rPr>
      </w:pPr>
    </w:p>
    <w:p w:rsidR="00794E04" w:rsidRPr="00526311" w:rsidRDefault="00794E04" w:rsidP="000A3534">
      <w:pPr>
        <w:pStyle w:val="ListParagraph"/>
        <w:numPr>
          <w:ilvl w:val="0"/>
          <w:numId w:val="86"/>
        </w:numPr>
        <w:tabs>
          <w:tab w:val="left" w:pos="709"/>
        </w:tabs>
        <w:ind w:left="0" w:firstLine="0"/>
        <w:jc w:val="both"/>
        <w:rPr>
          <w:bCs/>
          <w:lang w:val="es-ES"/>
        </w:rPr>
      </w:pPr>
      <w:r w:rsidRPr="00526311">
        <w:rPr>
          <w:bCs/>
          <w:lang w:val="es-ES"/>
        </w:rPr>
        <w:t>Además, durante el año 2014, se revisaron y se fortalecieron varios controles internos, con el apoyo de iniciativas de gestión, y el seguimiento y la aplicación de recomendaciones de organismos de supervisión.  También se reforzó el proceso de seguimiento de recomendaciones de supervisión, incluidas las recomendaciones de auditores internos o externos y las de la Dependencia Común de Inspección.</w:t>
      </w:r>
    </w:p>
    <w:p w:rsidR="00794E04" w:rsidRPr="00526311" w:rsidRDefault="00794E04" w:rsidP="0063039A">
      <w:pPr>
        <w:tabs>
          <w:tab w:val="num" w:pos="540"/>
        </w:tabs>
        <w:rPr>
          <w:bCs/>
        </w:rPr>
      </w:pPr>
    </w:p>
    <w:p w:rsidR="00794E04" w:rsidRPr="00526311" w:rsidRDefault="00794E04" w:rsidP="000A3534">
      <w:pPr>
        <w:pStyle w:val="ListParagraph"/>
        <w:numPr>
          <w:ilvl w:val="0"/>
          <w:numId w:val="86"/>
        </w:numPr>
        <w:tabs>
          <w:tab w:val="left" w:pos="709"/>
        </w:tabs>
        <w:ind w:left="0" w:firstLine="0"/>
        <w:jc w:val="both"/>
        <w:rPr>
          <w:bCs/>
          <w:lang w:val="es-ES"/>
        </w:rPr>
      </w:pPr>
      <w:r w:rsidRPr="00526311">
        <w:rPr>
          <w:bCs/>
          <w:lang w:val="es-ES"/>
        </w:rPr>
        <w:t>En la primavera de 2014 se completó el exhaustivo estudio sobre prácticas y riesgos de tesorería de la OMPI iniciado en 2013, del que se desprendieron una serie de recomendaciones, entre las que figuraba el empleo de instrumentos de cobertura como medio de reducir la exposición a las fluctuaciones de los tipos de cambio en el PCT.  La Secretaría está revisando actualmente la totalidad de las recomendaciones y definiendo una estrategia de aplicación.  También se aplicaron otras iniciativas en el sector de las finanzas destinadas a:  i) perfeccionar procesos relativos a la gestión y previsión de los ingresos de la OMPI, como preparación a la elaboración del presupuesto por programas para 2016/17;  ii) elaborar directrices financieras y de gestión de efectivo para la administración prudente y eficaz de los recursos financieros de las oficinas en el exterior;  iii) continuar con la conversión de los fondos fiduciarios en divisas en cuentas en francos suizos con el objetivo de seguir reduciendo los riesgos de las fluctuaciones monetarias;  y iv) adoptar ciertos programas del módulo AIMS para facturar suscripciones, extractos y otros servicios prestados por la Oficina Internacional a cambio del pago de una tasa, lo que se tradujo en una gestión de facturas más integrada y eficaz.</w:t>
      </w:r>
    </w:p>
    <w:p w:rsidR="00794E04" w:rsidRPr="00526311" w:rsidRDefault="00794E04" w:rsidP="0063039A">
      <w:pPr>
        <w:tabs>
          <w:tab w:val="num" w:pos="540"/>
        </w:tabs>
        <w:rPr>
          <w:bCs/>
        </w:rPr>
      </w:pPr>
    </w:p>
    <w:p w:rsidR="00794E04" w:rsidRPr="00526311" w:rsidRDefault="00794E04" w:rsidP="000A3534">
      <w:pPr>
        <w:pStyle w:val="ListParagraph"/>
        <w:numPr>
          <w:ilvl w:val="0"/>
          <w:numId w:val="86"/>
        </w:numPr>
        <w:tabs>
          <w:tab w:val="left" w:pos="709"/>
        </w:tabs>
        <w:ind w:left="0" w:firstLine="0"/>
        <w:jc w:val="both"/>
        <w:rPr>
          <w:bCs/>
          <w:lang w:val="es-ES"/>
        </w:rPr>
      </w:pPr>
      <w:r w:rsidRPr="00526311">
        <w:rPr>
          <w:bCs/>
          <w:lang w:val="es-ES"/>
        </w:rPr>
        <w:t>Además, para abordar determinadas cuestiones que se plantean con las principales instituciones financieras asociadas con la OMPI en relación con los pagos que proceden o que se deben a países sensibles, la OMPI colaboró estrechamente con las instituciones financieras para lograr un acuerdo que facilite la tramitación de dichos pagos, sin dejar de lado el pleno cumplimiento de los reglamentos.</w:t>
      </w:r>
    </w:p>
    <w:p w:rsidR="00794E04" w:rsidRPr="00526311" w:rsidRDefault="00794E04" w:rsidP="0063039A">
      <w:pPr>
        <w:tabs>
          <w:tab w:val="num" w:pos="540"/>
        </w:tabs>
        <w:rPr>
          <w:bCs/>
        </w:rPr>
      </w:pPr>
    </w:p>
    <w:p w:rsidR="00794E04" w:rsidRPr="00526311" w:rsidRDefault="00794E04" w:rsidP="000A3534">
      <w:pPr>
        <w:pStyle w:val="ListParagraph"/>
        <w:numPr>
          <w:ilvl w:val="0"/>
          <w:numId w:val="86"/>
        </w:numPr>
        <w:tabs>
          <w:tab w:val="left" w:pos="709"/>
        </w:tabs>
        <w:ind w:left="0" w:firstLine="0"/>
        <w:jc w:val="both"/>
        <w:rPr>
          <w:bCs/>
          <w:lang w:val="es-ES"/>
        </w:rPr>
      </w:pPr>
      <w:r w:rsidRPr="00526311">
        <w:rPr>
          <w:bCs/>
          <w:lang w:val="es-ES"/>
        </w:rPr>
        <w:t xml:space="preserve">Respecto del PCT, en 2014 se </w:t>
      </w:r>
      <w:r w:rsidR="009E2737" w:rsidRPr="00526311">
        <w:rPr>
          <w:bCs/>
          <w:lang w:val="es-ES"/>
        </w:rPr>
        <w:t>designaron</w:t>
      </w:r>
      <w:r w:rsidRPr="00526311">
        <w:rPr>
          <w:bCs/>
          <w:lang w:val="es-ES"/>
        </w:rPr>
        <w:t xml:space="preserve"> dos nuevas Administraciones encargadas de la búsqueda internacional, el Instituto Nacional de Propiedad Industrial de Chile y la Oficina Sueca de Patentes y Registros, </w:t>
      </w:r>
      <w:r w:rsidR="009E2737" w:rsidRPr="00526311">
        <w:rPr>
          <w:bCs/>
          <w:lang w:val="es-ES"/>
        </w:rPr>
        <w:t>lo cual</w:t>
      </w:r>
      <w:r w:rsidRPr="00526311">
        <w:rPr>
          <w:bCs/>
          <w:lang w:val="es-ES"/>
        </w:rPr>
        <w:t xml:space="preserve"> exig</w:t>
      </w:r>
      <w:r w:rsidR="009E2737" w:rsidRPr="00526311">
        <w:rPr>
          <w:bCs/>
          <w:lang w:val="es-ES"/>
        </w:rPr>
        <w:t>ió la introducción de modificaciones</w:t>
      </w:r>
      <w:r w:rsidRPr="00526311">
        <w:rPr>
          <w:bCs/>
          <w:lang w:val="es-ES"/>
        </w:rPr>
        <w:t xml:space="preserve"> en los pagos y sistemas.</w:t>
      </w:r>
    </w:p>
    <w:p w:rsidR="00794E04" w:rsidRPr="00526311" w:rsidRDefault="00794E04" w:rsidP="0063039A">
      <w:pPr>
        <w:tabs>
          <w:tab w:val="num" w:pos="540"/>
        </w:tabs>
        <w:rPr>
          <w:bCs/>
        </w:rPr>
      </w:pPr>
    </w:p>
    <w:p w:rsidR="00794E04" w:rsidRPr="00526311" w:rsidRDefault="00794E04" w:rsidP="000A3534">
      <w:pPr>
        <w:pStyle w:val="ListParagraph"/>
        <w:numPr>
          <w:ilvl w:val="0"/>
          <w:numId w:val="86"/>
        </w:numPr>
        <w:tabs>
          <w:tab w:val="left" w:pos="709"/>
        </w:tabs>
        <w:ind w:left="0" w:firstLine="0"/>
        <w:jc w:val="both"/>
        <w:rPr>
          <w:bCs/>
          <w:lang w:val="es-ES"/>
        </w:rPr>
      </w:pPr>
      <w:r w:rsidRPr="00526311">
        <w:rPr>
          <w:bCs/>
          <w:lang w:val="es-ES"/>
        </w:rPr>
        <w:t>Tras la presentación de las primeras solicitudes de los propietarios de marcas procedentes del Benelux en octubre de 2013 durante la fase piloto, en 2014 continuaron las pruebas del servicio de presentación electrónica del Sistema de Madrid, y se introdujeron las modificaciones necesarias para que el Sistema se ajustara al crecimiento previsto en la base usuarios.  Además, por primera vez en 2014, la Oficina Internacional comenzó a gestionar la recaudación y distribución de tasas de tramitación, velando por que se distribuyeran puntualmente a las partes adecuadas, es decir, dentro del mes que sigue a la recepción de las tasas.</w:t>
      </w:r>
    </w:p>
    <w:p w:rsidR="00794E04" w:rsidRPr="00526311" w:rsidRDefault="00794E04" w:rsidP="0063039A">
      <w:pPr>
        <w:tabs>
          <w:tab w:val="num" w:pos="540"/>
        </w:tabs>
        <w:rPr>
          <w:bCs/>
        </w:rPr>
      </w:pPr>
    </w:p>
    <w:p w:rsidR="00794E04" w:rsidRPr="00526311" w:rsidRDefault="00794E04" w:rsidP="000A3534">
      <w:pPr>
        <w:pStyle w:val="ListParagraph"/>
        <w:numPr>
          <w:ilvl w:val="0"/>
          <w:numId w:val="86"/>
        </w:numPr>
        <w:tabs>
          <w:tab w:val="left" w:pos="709"/>
        </w:tabs>
        <w:ind w:left="0" w:firstLine="0"/>
        <w:jc w:val="both"/>
        <w:rPr>
          <w:bCs/>
          <w:lang w:val="es-ES"/>
        </w:rPr>
      </w:pPr>
      <w:r w:rsidRPr="00526311">
        <w:rPr>
          <w:bCs/>
          <w:lang w:val="es-ES"/>
        </w:rPr>
        <w:t>En el marco de un memorando de entendimiento firmado por la USPTO, la OEP y la Oficina Internacional, se inició un proyecto piloto destinado a determinar si la gestión de los riesgos cambiarios asociados al pago de tasas de búsqueda era susceptible de mejora.  Recientemente se extendió el proyecto durante un año más.  A fines del bienio, se prevé una evaluación del proyecto.</w:t>
      </w:r>
    </w:p>
    <w:p w:rsidR="00794E04" w:rsidRPr="00526311" w:rsidRDefault="00794E04" w:rsidP="0063039A">
      <w:pPr>
        <w:tabs>
          <w:tab w:val="num" w:pos="540"/>
        </w:tabs>
        <w:rPr>
          <w:bCs/>
          <w:sz w:val="20"/>
        </w:rPr>
      </w:pPr>
    </w:p>
    <w:p w:rsidR="00794E04" w:rsidRPr="00526311" w:rsidRDefault="00794E04" w:rsidP="0063039A">
      <w:pPr>
        <w:tabs>
          <w:tab w:val="num" w:pos="540"/>
        </w:tabs>
        <w:rPr>
          <w:bCs/>
          <w:sz w:val="20"/>
        </w:rPr>
      </w:pPr>
    </w:p>
    <w:p w:rsidR="00794E04" w:rsidRPr="00526311" w:rsidRDefault="00794E04" w:rsidP="0063039A">
      <w:pPr>
        <w:rPr>
          <w:szCs w:val="22"/>
        </w:rPr>
      </w:pPr>
      <w:r w:rsidRPr="00526311">
        <w:rPr>
          <w:szCs w:val="22"/>
        </w:rPr>
        <w:t>DATOS SOBRE EL RENDIMIENTO</w:t>
      </w:r>
    </w:p>
    <w:p w:rsidR="00794E04" w:rsidRPr="00526311" w:rsidRDefault="00794E04" w:rsidP="0063039A">
      <w:pPr>
        <w:rPr>
          <w:color w:val="000000"/>
          <w:sz w:val="20"/>
        </w:rPr>
      </w:pPr>
    </w:p>
    <w:tbl>
      <w:tblPr>
        <w:tblW w:w="488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6"/>
        <w:gridCol w:w="75"/>
        <w:gridCol w:w="1624"/>
        <w:gridCol w:w="174"/>
        <w:gridCol w:w="1490"/>
        <w:gridCol w:w="2773"/>
        <w:gridCol w:w="1235"/>
      </w:tblGrid>
      <w:tr w:rsidR="00794E04" w:rsidRPr="00526311" w:rsidTr="0063039A">
        <w:trPr>
          <w:cantSplit/>
        </w:trPr>
        <w:tc>
          <w:tcPr>
            <w:tcW w:w="5000" w:type="pct"/>
            <w:gridSpan w:val="7"/>
            <w:tcBorders>
              <w:top w:val="single" w:sz="4" w:space="0" w:color="auto"/>
              <w:bottom w:val="single" w:sz="4" w:space="0" w:color="auto"/>
            </w:tcBorders>
            <w:shd w:val="clear" w:color="auto" w:fill="CCFFFF"/>
            <w:vAlign w:val="center"/>
            <w:hideMark/>
          </w:tcPr>
          <w:p w:rsidR="00794E04" w:rsidRPr="00526311" w:rsidRDefault="00794E04" w:rsidP="0063039A">
            <w:pPr>
              <w:keepNext/>
              <w:keepLine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bCs/>
                <w:sz w:val="16"/>
                <w:szCs w:val="16"/>
              </w:rPr>
              <w:t>IX.1 Servicios de apoyo eficaces, eficientes, de calidad y orientados al cliente, tanto a los clientes internos como a las partes interesadas externas</w:t>
            </w:r>
          </w:p>
        </w:tc>
      </w:tr>
      <w:tr w:rsidR="00794E04" w:rsidRPr="00526311" w:rsidTr="0063039A">
        <w:trPr>
          <w:cantSplit/>
        </w:trPr>
        <w:tc>
          <w:tcPr>
            <w:tcW w:w="1061" w:type="pct"/>
            <w:tcBorders>
              <w:top w:val="single" w:sz="4" w:space="0" w:color="auto"/>
            </w:tcBorders>
            <w:vAlign w:val="center"/>
            <w:hideMark/>
          </w:tcPr>
          <w:p w:rsidR="00794E04" w:rsidRPr="00526311" w:rsidRDefault="00794E04" w:rsidP="0063039A">
            <w:pPr>
              <w:rPr>
                <w:sz w:val="16"/>
                <w:szCs w:val="16"/>
              </w:rPr>
            </w:pPr>
            <w:r w:rsidRPr="00526311">
              <w:rPr>
                <w:b/>
                <w:sz w:val="16"/>
                <w:szCs w:val="16"/>
              </w:rPr>
              <w:t>Indicadores de rendimiento</w:t>
            </w:r>
          </w:p>
        </w:tc>
        <w:tc>
          <w:tcPr>
            <w:tcW w:w="908" w:type="pct"/>
            <w:gridSpan w:val="2"/>
            <w:tcBorders>
              <w:top w:val="single" w:sz="4" w:space="0" w:color="auto"/>
            </w:tcBorders>
            <w:vAlign w:val="center"/>
            <w:hideMark/>
          </w:tcPr>
          <w:p w:rsidR="00794E04" w:rsidRPr="00526311" w:rsidRDefault="00794E04" w:rsidP="0063039A">
            <w:pPr>
              <w:rPr>
                <w:b/>
                <w:bCs/>
                <w:sz w:val="16"/>
                <w:szCs w:val="16"/>
              </w:rPr>
            </w:pPr>
            <w:r w:rsidRPr="00526311">
              <w:rPr>
                <w:b/>
                <w:bCs/>
                <w:sz w:val="16"/>
                <w:szCs w:val="16"/>
              </w:rPr>
              <w:t>Referencia</w:t>
            </w:r>
          </w:p>
        </w:tc>
        <w:tc>
          <w:tcPr>
            <w:tcW w:w="889" w:type="pct"/>
            <w:gridSpan w:val="2"/>
            <w:tcBorders>
              <w:top w:val="single" w:sz="4" w:space="0" w:color="auto"/>
            </w:tcBorders>
            <w:tcMar>
              <w:top w:w="110" w:type="dxa"/>
              <w:left w:w="108" w:type="dxa"/>
              <w:bottom w:w="0" w:type="dxa"/>
              <w:right w:w="108" w:type="dxa"/>
            </w:tcMar>
            <w:vAlign w:val="center"/>
            <w:hideMark/>
          </w:tcPr>
          <w:p w:rsidR="00794E04" w:rsidRPr="00526311" w:rsidRDefault="00794E04" w:rsidP="0063039A">
            <w:pPr>
              <w:rPr>
                <w:b/>
                <w:sz w:val="16"/>
                <w:szCs w:val="16"/>
              </w:rPr>
            </w:pPr>
            <w:r w:rsidRPr="00526311">
              <w:rPr>
                <w:b/>
                <w:sz w:val="16"/>
                <w:szCs w:val="16"/>
              </w:rPr>
              <w:t>Objetivos</w:t>
            </w:r>
          </w:p>
        </w:tc>
        <w:tc>
          <w:tcPr>
            <w:tcW w:w="1482" w:type="pct"/>
            <w:tcBorders>
              <w:top w:val="single" w:sz="4" w:space="0" w:color="auto"/>
            </w:tcBorders>
            <w:shd w:val="clear" w:color="auto" w:fill="FFFFFF"/>
            <w:tcMar>
              <w:top w:w="110" w:type="dxa"/>
              <w:left w:w="108" w:type="dxa"/>
              <w:bottom w:w="0" w:type="dxa"/>
              <w:right w:w="108" w:type="dxa"/>
            </w:tcMar>
            <w:vAlign w:val="center"/>
            <w:hideMark/>
          </w:tcPr>
          <w:p w:rsidR="00794E04" w:rsidRPr="00526311" w:rsidRDefault="00794E04" w:rsidP="0063039A">
            <w:pPr>
              <w:rPr>
                <w:sz w:val="16"/>
                <w:szCs w:val="16"/>
              </w:rPr>
            </w:pPr>
            <w:r w:rsidRPr="00526311">
              <w:rPr>
                <w:b/>
                <w:sz w:val="16"/>
                <w:szCs w:val="16"/>
              </w:rPr>
              <w:t>Datos sobre el rendimiento</w:t>
            </w:r>
          </w:p>
        </w:tc>
        <w:tc>
          <w:tcPr>
            <w:tcW w:w="660" w:type="pct"/>
            <w:tcBorders>
              <w:top w:val="single" w:sz="4" w:space="0" w:color="auto"/>
            </w:tcBorders>
            <w:tcMar>
              <w:top w:w="110" w:type="dxa"/>
              <w:left w:w="108" w:type="dxa"/>
              <w:bottom w:w="0" w:type="dxa"/>
              <w:right w:w="108" w:type="dxa"/>
            </w:tcMar>
            <w:vAlign w:val="center"/>
            <w:hideMark/>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rPr>
          <w:cantSplit/>
        </w:trPr>
        <w:tc>
          <w:tcPr>
            <w:tcW w:w="1061" w:type="pct"/>
            <w:hideMark/>
          </w:tcPr>
          <w:p w:rsidR="00794E04" w:rsidRPr="00526311" w:rsidRDefault="00794E04" w:rsidP="0063039A">
            <w:pPr>
              <w:rPr>
                <w:sz w:val="16"/>
                <w:szCs w:val="16"/>
                <w:lang w:bidi="th-TH"/>
              </w:rPr>
            </w:pPr>
            <w:r w:rsidRPr="00526311">
              <w:rPr>
                <w:sz w:val="16"/>
                <w:szCs w:val="16"/>
                <w:lang w:bidi="th-TH"/>
              </w:rPr>
              <w:t>Suministro de informes y análisis financieros y de gestión solicitados por el personal directivo superior, los directores de programa y los Estados miembros con arreglo a los plazos acordados</w:t>
            </w:r>
          </w:p>
        </w:tc>
        <w:tc>
          <w:tcPr>
            <w:tcW w:w="908" w:type="pct"/>
            <w:gridSpan w:val="2"/>
            <w:hideMark/>
          </w:tcPr>
          <w:p w:rsidR="00794E04" w:rsidRPr="00526311" w:rsidRDefault="00794E04" w:rsidP="0063039A">
            <w:pPr>
              <w:rPr>
                <w:sz w:val="16"/>
                <w:szCs w:val="16"/>
              </w:rPr>
            </w:pPr>
            <w:r w:rsidRPr="00526311">
              <w:rPr>
                <w:sz w:val="16"/>
                <w:szCs w:val="16"/>
              </w:rPr>
              <w:t>El cierre mensual finaliza 10 días laborables después del final de mes (salvo en enero, cuando el cierre se determina por los avances en el cierre anual)</w:t>
            </w:r>
          </w:p>
          <w:p w:rsidR="00794E04" w:rsidRPr="00526311" w:rsidRDefault="00794E04" w:rsidP="0063039A">
            <w:pPr>
              <w:rPr>
                <w:sz w:val="16"/>
                <w:szCs w:val="16"/>
              </w:rPr>
            </w:pPr>
          </w:p>
          <w:p w:rsidR="00794E04" w:rsidRPr="00526311" w:rsidRDefault="00794E04" w:rsidP="009E2737">
            <w:pPr>
              <w:rPr>
                <w:sz w:val="16"/>
                <w:szCs w:val="16"/>
                <w:lang w:bidi="th-TH"/>
              </w:rPr>
            </w:pPr>
            <w:r w:rsidRPr="00526311">
              <w:rPr>
                <w:sz w:val="16"/>
                <w:szCs w:val="16"/>
                <w:lang w:bidi="th-TH"/>
              </w:rPr>
              <w:t xml:space="preserve">Los informes estáticos que se publican en Internet están disponibles de un día para otro; los informes del Observatorio Financiero, en un plazo de </w:t>
            </w:r>
            <w:r w:rsidR="009E2737" w:rsidRPr="00526311">
              <w:rPr>
                <w:sz w:val="16"/>
                <w:szCs w:val="16"/>
                <w:lang w:bidi="th-TH"/>
              </w:rPr>
              <w:t>dos</w:t>
            </w:r>
            <w:r w:rsidRPr="00526311">
              <w:rPr>
                <w:sz w:val="16"/>
                <w:szCs w:val="16"/>
                <w:lang w:bidi="th-TH"/>
              </w:rPr>
              <w:t xml:space="preserve"> semana</w:t>
            </w:r>
            <w:r w:rsidR="009E2737" w:rsidRPr="00526311">
              <w:rPr>
                <w:sz w:val="16"/>
                <w:szCs w:val="16"/>
                <w:lang w:bidi="th-TH"/>
              </w:rPr>
              <w:t>s</w:t>
            </w:r>
            <w:r w:rsidRPr="00526311">
              <w:rPr>
                <w:sz w:val="16"/>
                <w:szCs w:val="16"/>
                <w:lang w:bidi="th-TH"/>
              </w:rPr>
              <w:t xml:space="preserve"> a partir del cierre;  los informes oficiales mensuales, en un plazo de una semana después del cierre</w:t>
            </w:r>
            <w:r w:rsidR="009E2737" w:rsidRPr="00526311">
              <w:rPr>
                <w:sz w:val="16"/>
                <w:szCs w:val="16"/>
                <w:lang w:bidi="th-TH"/>
              </w:rPr>
              <w:t>.</w:t>
            </w:r>
          </w:p>
        </w:tc>
        <w:tc>
          <w:tcPr>
            <w:tcW w:w="889" w:type="pct"/>
            <w:gridSpan w:val="2"/>
            <w:tcMar>
              <w:top w:w="110" w:type="dxa"/>
              <w:left w:w="108" w:type="dxa"/>
              <w:bottom w:w="0" w:type="dxa"/>
              <w:right w:w="108" w:type="dxa"/>
            </w:tcMar>
            <w:hideMark/>
          </w:tcPr>
          <w:p w:rsidR="009E2737" w:rsidRPr="00526311" w:rsidRDefault="009E2737" w:rsidP="009E2737">
            <w:pPr>
              <w:ind w:left="-103" w:right="-69"/>
              <w:rPr>
                <w:sz w:val="16"/>
                <w:szCs w:val="16"/>
              </w:rPr>
            </w:pPr>
            <w:r w:rsidRPr="00526311">
              <w:rPr>
                <w:sz w:val="16"/>
                <w:szCs w:val="16"/>
              </w:rPr>
              <w:t>Idénticos a la referencia</w:t>
            </w:r>
          </w:p>
          <w:p w:rsidR="009E2737" w:rsidRPr="00526311" w:rsidRDefault="009E2737" w:rsidP="009E2737">
            <w:pPr>
              <w:ind w:left="-103" w:right="-69"/>
              <w:rPr>
                <w:sz w:val="16"/>
                <w:szCs w:val="16"/>
              </w:rPr>
            </w:pPr>
          </w:p>
          <w:p w:rsidR="00794E04" w:rsidRPr="00526311" w:rsidRDefault="00794E04" w:rsidP="009E2737">
            <w:pPr>
              <w:ind w:left="-103" w:right="-69"/>
              <w:rPr>
                <w:sz w:val="16"/>
                <w:szCs w:val="16"/>
                <w:lang w:bidi="th-TH"/>
              </w:rPr>
            </w:pPr>
            <w:r w:rsidRPr="00526311">
              <w:rPr>
                <w:sz w:val="16"/>
                <w:szCs w:val="16"/>
              </w:rPr>
              <w:t>Se dispone de informes parametrizados interactivos en Internet como consecuencia de la labor en materia de inteligencia institucional en el marco de la PRI a lo largo de 2014/15;  los informes trimestrales del Observatorio Financiero están disponibles en un plazo de dos semanas después del cierre; los informes oficiales mensuales, en un plazo de una semana después del cierre</w:t>
            </w:r>
          </w:p>
        </w:tc>
        <w:tc>
          <w:tcPr>
            <w:tcW w:w="1482" w:type="pct"/>
            <w:shd w:val="clear" w:color="auto" w:fill="FFFFFF"/>
            <w:tcMar>
              <w:top w:w="110" w:type="dxa"/>
              <w:left w:w="108" w:type="dxa"/>
              <w:bottom w:w="0" w:type="dxa"/>
              <w:right w:w="108" w:type="dxa"/>
            </w:tcMar>
            <w:hideMark/>
          </w:tcPr>
          <w:p w:rsidR="00794E04" w:rsidRPr="00526311" w:rsidRDefault="00794E04" w:rsidP="0063039A">
            <w:pPr>
              <w:rPr>
                <w:sz w:val="16"/>
                <w:szCs w:val="16"/>
                <w:lang w:bidi="th-TH"/>
              </w:rPr>
            </w:pPr>
            <w:r w:rsidRPr="00526311">
              <w:rPr>
                <w:sz w:val="16"/>
                <w:szCs w:val="16"/>
                <w:lang w:bidi="th-TH"/>
              </w:rPr>
              <w:t>El cierre anual incidió en las fechas de cierre para enero y febrero. Un mes cerró el décimo día laborable, y todos los demás meses cerraron el octavo o noveno día laborable</w:t>
            </w:r>
            <w:r w:rsidR="009E2737" w:rsidRPr="00526311">
              <w:rPr>
                <w:sz w:val="16"/>
                <w:szCs w:val="16"/>
                <w:lang w:bidi="th-TH"/>
              </w:rPr>
              <w:t>.</w:t>
            </w:r>
          </w:p>
          <w:p w:rsidR="00794E04" w:rsidRPr="00526311" w:rsidRDefault="00794E04" w:rsidP="0063039A">
            <w:pPr>
              <w:rPr>
                <w:sz w:val="16"/>
                <w:szCs w:val="16"/>
                <w:lang w:bidi="th-TH"/>
              </w:rPr>
            </w:pPr>
          </w:p>
          <w:p w:rsidR="00794E04" w:rsidRPr="00526311" w:rsidRDefault="00794E04" w:rsidP="0063039A">
            <w:pPr>
              <w:rPr>
                <w:bCs/>
                <w:sz w:val="16"/>
                <w:szCs w:val="16"/>
              </w:rPr>
            </w:pPr>
            <w:r w:rsidRPr="00526311">
              <w:rPr>
                <w:bCs/>
                <w:sz w:val="16"/>
                <w:szCs w:val="16"/>
              </w:rPr>
              <w:t>Se crearon y pusieron en aplicación tableros de control en los principales sectores administrativos (gestión de recursos humanos, adquisiciones y viajes, planificación de programas y finanzas). Se prevé su integración en toda la Organización en el segundo semestre de 2015</w:t>
            </w:r>
            <w:r w:rsidR="009E2737" w:rsidRPr="00526311">
              <w:rPr>
                <w:bCs/>
                <w:sz w:val="16"/>
                <w:szCs w:val="16"/>
              </w:rPr>
              <w:t>.</w:t>
            </w:r>
          </w:p>
          <w:p w:rsidR="00794E04" w:rsidRPr="00526311" w:rsidRDefault="00794E04" w:rsidP="0063039A">
            <w:pPr>
              <w:rPr>
                <w:bCs/>
                <w:sz w:val="16"/>
                <w:szCs w:val="16"/>
              </w:rPr>
            </w:pPr>
          </w:p>
          <w:p w:rsidR="00794E04" w:rsidRPr="00526311" w:rsidRDefault="00794E04" w:rsidP="0063039A">
            <w:pPr>
              <w:rPr>
                <w:bCs/>
                <w:sz w:val="16"/>
                <w:szCs w:val="16"/>
              </w:rPr>
            </w:pPr>
            <w:r w:rsidRPr="00526311">
              <w:rPr>
                <w:bCs/>
                <w:sz w:val="16"/>
                <w:szCs w:val="16"/>
              </w:rPr>
              <w:t>Los informes oficiales mensuales y trimestrales están disponibles en un plazo de 10 días laborales después del cierre</w:t>
            </w:r>
            <w:r w:rsidR="009E2737" w:rsidRPr="00526311">
              <w:rPr>
                <w:bCs/>
                <w:sz w:val="16"/>
                <w:szCs w:val="16"/>
              </w:rPr>
              <w:t>.</w:t>
            </w:r>
          </w:p>
          <w:p w:rsidR="00794E04" w:rsidRPr="00526311" w:rsidRDefault="00794E04" w:rsidP="0063039A">
            <w:pPr>
              <w:rPr>
                <w:bCs/>
                <w:sz w:val="16"/>
                <w:szCs w:val="16"/>
              </w:rPr>
            </w:pPr>
          </w:p>
          <w:p w:rsidR="00794E04" w:rsidRPr="00526311" w:rsidRDefault="00794E04" w:rsidP="0063039A">
            <w:pPr>
              <w:rPr>
                <w:sz w:val="16"/>
                <w:szCs w:val="16"/>
                <w:lang w:bidi="th-TH"/>
              </w:rPr>
            </w:pPr>
            <w:r w:rsidRPr="00526311">
              <w:rPr>
                <w:bCs/>
                <w:sz w:val="16"/>
                <w:szCs w:val="16"/>
              </w:rPr>
              <w:t>Los informes del Observatorio Financiero están disponibles en un plazo de un mes después del cierre</w:t>
            </w:r>
            <w:r w:rsidR="009E2737" w:rsidRPr="00526311">
              <w:rPr>
                <w:bCs/>
                <w:sz w:val="16"/>
                <w:szCs w:val="16"/>
              </w:rPr>
              <w:t>.</w:t>
            </w:r>
          </w:p>
        </w:tc>
        <w:tc>
          <w:tcPr>
            <w:tcW w:w="660" w:type="pct"/>
            <w:tcMar>
              <w:top w:w="110" w:type="dxa"/>
              <w:left w:w="108" w:type="dxa"/>
              <w:bottom w:w="0" w:type="dxa"/>
              <w:right w:w="108" w:type="dxa"/>
            </w:tcMar>
            <w:hideMark/>
          </w:tcPr>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p w:rsidR="00794E04" w:rsidRPr="00526311" w:rsidRDefault="00794E04" w:rsidP="009E2737">
            <w:pPr>
              <w:keepNext/>
              <w:keepLines/>
              <w:ind w:left="140"/>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r w:rsidRPr="00526311">
              <w:rPr>
                <w:b/>
                <w:bCs/>
                <w:sz w:val="16"/>
                <w:szCs w:val="16"/>
              </w:rPr>
              <w:br/>
            </w:r>
            <w:r w:rsidRPr="00526311">
              <w:rPr>
                <w:b/>
                <w:bCs/>
                <w:sz w:val="16"/>
                <w:szCs w:val="16"/>
              </w:rPr>
              <w:br/>
            </w:r>
            <w:r w:rsidRPr="00526311">
              <w:rPr>
                <w:b/>
                <w:bCs/>
                <w:sz w:val="16"/>
                <w:szCs w:val="16"/>
              </w:rPr>
              <w:br/>
            </w: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p w:rsidR="00794E04" w:rsidRPr="00526311" w:rsidRDefault="00794E04" w:rsidP="0063039A">
            <w:pPr>
              <w:keepNext/>
              <w:keepLines/>
              <w:jc w:val="center"/>
              <w:rPr>
                <w:b/>
                <w:bCs/>
                <w:sz w:val="16"/>
                <w:szCs w:val="16"/>
              </w:rPr>
            </w:pPr>
            <w:r w:rsidRPr="00526311">
              <w:rPr>
                <w:b/>
                <w:bCs/>
                <w:sz w:val="16"/>
                <w:szCs w:val="16"/>
              </w:rPr>
              <w:br/>
            </w:r>
            <w:r w:rsidRPr="00526311">
              <w:rPr>
                <w:b/>
                <w:bCs/>
                <w:sz w:val="16"/>
                <w:szCs w:val="16"/>
              </w:rPr>
              <w:br/>
            </w:r>
          </w:p>
          <w:p w:rsidR="00794E04" w:rsidRPr="00526311" w:rsidRDefault="00794E04" w:rsidP="0063039A">
            <w:pPr>
              <w:keepNext/>
              <w:keepLines/>
              <w:jc w:val="center"/>
              <w:rPr>
                <w:b/>
                <w:bCs/>
                <w:sz w:val="16"/>
                <w:szCs w:val="16"/>
              </w:rPr>
            </w:pPr>
          </w:p>
          <w:p w:rsidR="00794E04" w:rsidRPr="00526311" w:rsidRDefault="00794E04" w:rsidP="009E2737">
            <w:pPr>
              <w:keepNext/>
              <w:keepLines/>
              <w:ind w:left="140"/>
              <w:jc w:val="center"/>
              <w:rPr>
                <w:bCs/>
                <w:sz w:val="16"/>
                <w:szCs w:val="16"/>
              </w:rPr>
            </w:pPr>
            <w:r w:rsidRPr="00526311">
              <w:rPr>
                <w:b/>
                <w:bCs/>
                <w:color w:val="FF0000"/>
                <w:sz w:val="16"/>
                <w:szCs w:val="16"/>
              </w:rPr>
              <w:t>No avanza</w:t>
            </w:r>
          </w:p>
        </w:tc>
      </w:tr>
      <w:tr w:rsidR="00794E04" w:rsidRPr="00526311" w:rsidTr="0063039A">
        <w:trPr>
          <w:cantSplit/>
          <w:trHeight w:val="2653"/>
        </w:trPr>
        <w:tc>
          <w:tcPr>
            <w:tcW w:w="1061" w:type="pct"/>
            <w:hideMark/>
          </w:tcPr>
          <w:p w:rsidR="00794E04" w:rsidRPr="00526311" w:rsidRDefault="00794E04" w:rsidP="0063039A">
            <w:pPr>
              <w:rPr>
                <w:sz w:val="16"/>
                <w:szCs w:val="16"/>
                <w:lang w:bidi="th-TH"/>
              </w:rPr>
            </w:pPr>
            <w:r w:rsidRPr="00526311">
              <w:rPr>
                <w:sz w:val="16"/>
                <w:szCs w:val="16"/>
                <w:lang w:bidi="th-TH"/>
              </w:rPr>
              <w:t>Atención de consultas recibidas a nivel interno y externo con arreglo a los plazos establecidos</w:t>
            </w:r>
          </w:p>
        </w:tc>
        <w:tc>
          <w:tcPr>
            <w:tcW w:w="908" w:type="pct"/>
            <w:gridSpan w:val="2"/>
            <w:hideMark/>
          </w:tcPr>
          <w:p w:rsidR="00794E04" w:rsidRPr="00526311" w:rsidRDefault="00794E04" w:rsidP="0063039A">
            <w:pPr>
              <w:rPr>
                <w:sz w:val="16"/>
                <w:szCs w:val="16"/>
                <w:lang w:bidi="th-TH"/>
              </w:rPr>
            </w:pPr>
            <w:r w:rsidRPr="00526311">
              <w:rPr>
                <w:sz w:val="16"/>
                <w:szCs w:val="16"/>
                <w:lang w:bidi="th-TH"/>
              </w:rPr>
              <w:t>El 75% de las consultas han de ser resueltas en un plazo de tres días a partir de la recepción</w:t>
            </w:r>
          </w:p>
          <w:p w:rsidR="00794E04" w:rsidRPr="00526311" w:rsidRDefault="00794E04" w:rsidP="0063039A">
            <w:pPr>
              <w:rPr>
                <w:sz w:val="16"/>
                <w:szCs w:val="16"/>
                <w:lang w:bidi="th-TH"/>
              </w:rPr>
            </w:pPr>
          </w:p>
          <w:p w:rsidR="00794E04" w:rsidRPr="00526311" w:rsidRDefault="00794E04" w:rsidP="0063039A">
            <w:pPr>
              <w:rPr>
                <w:sz w:val="16"/>
                <w:szCs w:val="16"/>
                <w:lang w:bidi="th-TH"/>
              </w:rPr>
            </w:pPr>
            <w:r w:rsidRPr="00526311">
              <w:rPr>
                <w:sz w:val="16"/>
                <w:szCs w:val="16"/>
                <w:lang w:bidi="th-TH"/>
              </w:rPr>
              <w:t>Proporcionar asesoramiento o responder a consultas en relación con expedientes presupuestarios en un plazo de 72 horas</w:t>
            </w:r>
          </w:p>
        </w:tc>
        <w:tc>
          <w:tcPr>
            <w:tcW w:w="889" w:type="pct"/>
            <w:gridSpan w:val="2"/>
            <w:tcMar>
              <w:top w:w="110" w:type="dxa"/>
              <w:left w:w="108" w:type="dxa"/>
              <w:bottom w:w="0" w:type="dxa"/>
              <w:right w:w="108" w:type="dxa"/>
            </w:tcMar>
            <w:hideMark/>
          </w:tcPr>
          <w:p w:rsidR="00794E04" w:rsidRPr="00526311" w:rsidRDefault="009E2737" w:rsidP="009E2737">
            <w:pPr>
              <w:ind w:left="-103" w:right="-69"/>
              <w:rPr>
                <w:sz w:val="16"/>
                <w:szCs w:val="16"/>
              </w:rPr>
            </w:pPr>
            <w:r w:rsidRPr="00526311">
              <w:rPr>
                <w:sz w:val="16"/>
                <w:szCs w:val="16"/>
              </w:rPr>
              <w:t>Idénticos a</w:t>
            </w:r>
            <w:r w:rsidR="00794E04" w:rsidRPr="00526311">
              <w:rPr>
                <w:sz w:val="16"/>
                <w:szCs w:val="16"/>
              </w:rPr>
              <w:t xml:space="preserve"> la referencia</w:t>
            </w:r>
          </w:p>
          <w:p w:rsidR="00794E04" w:rsidRPr="00526311" w:rsidRDefault="00794E04" w:rsidP="0063039A">
            <w:pPr>
              <w:rPr>
                <w:sz w:val="16"/>
                <w:szCs w:val="16"/>
              </w:rPr>
            </w:pPr>
          </w:p>
          <w:p w:rsidR="00794E04" w:rsidRPr="00526311" w:rsidRDefault="00794E04" w:rsidP="009E2737">
            <w:pPr>
              <w:ind w:left="-103" w:right="-69"/>
              <w:rPr>
                <w:sz w:val="16"/>
                <w:szCs w:val="16"/>
                <w:lang w:bidi="th-TH"/>
              </w:rPr>
            </w:pPr>
            <w:r w:rsidRPr="00526311">
              <w:rPr>
                <w:sz w:val="16"/>
                <w:szCs w:val="16"/>
                <w:lang w:bidi="th-TH"/>
              </w:rPr>
              <w:t xml:space="preserve">Proporcionar asesoramiento o </w:t>
            </w:r>
            <w:r w:rsidRPr="00526311">
              <w:rPr>
                <w:sz w:val="16"/>
                <w:szCs w:val="16"/>
              </w:rPr>
              <w:t>responder</w:t>
            </w:r>
            <w:r w:rsidRPr="00526311">
              <w:rPr>
                <w:sz w:val="16"/>
                <w:szCs w:val="16"/>
                <w:lang w:bidi="th-TH"/>
              </w:rPr>
              <w:t xml:space="preserve"> a consultas en relación con expedientes presupuestarios en un plazo de 48 horas</w:t>
            </w:r>
          </w:p>
        </w:tc>
        <w:tc>
          <w:tcPr>
            <w:tcW w:w="1482" w:type="pct"/>
            <w:shd w:val="clear" w:color="auto" w:fill="FFFFFF"/>
            <w:tcMar>
              <w:top w:w="110" w:type="dxa"/>
              <w:left w:w="108" w:type="dxa"/>
              <w:bottom w:w="0" w:type="dxa"/>
              <w:right w:w="108" w:type="dxa"/>
            </w:tcMar>
            <w:hideMark/>
          </w:tcPr>
          <w:p w:rsidR="00794E04" w:rsidRPr="00526311" w:rsidRDefault="00794E04" w:rsidP="0063039A">
            <w:pPr>
              <w:rPr>
                <w:sz w:val="16"/>
                <w:szCs w:val="16"/>
              </w:rPr>
            </w:pPr>
            <w:r w:rsidRPr="00526311">
              <w:rPr>
                <w:sz w:val="16"/>
                <w:szCs w:val="16"/>
              </w:rPr>
              <w:t>En 2014, el 86% de las consultas registradas en el sistema de notificación de consultas (WINS) fueron resueltas en el día de su recepción, 6% en un plazo de dos días y 9% en tres días</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En 2014, la División de Presupuesto y Rendimiento de los Programas recibió unos 1.200 archivos que necesitaban validación programática o presupuestaria.  El tiempo de respuesta promedio fue de 2,3 días</w:t>
            </w:r>
          </w:p>
        </w:tc>
        <w:tc>
          <w:tcPr>
            <w:tcW w:w="660" w:type="pct"/>
            <w:tcMar>
              <w:top w:w="110" w:type="dxa"/>
              <w:left w:w="108" w:type="dxa"/>
              <w:bottom w:w="0" w:type="dxa"/>
              <w:right w:w="108" w:type="dxa"/>
            </w:tcMar>
            <w:hideMark/>
          </w:tcPr>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tc>
      </w:tr>
      <w:tr w:rsidR="00794E04" w:rsidRPr="00526311" w:rsidTr="0063039A">
        <w:trPr>
          <w:cantSplit/>
        </w:trPr>
        <w:tc>
          <w:tcPr>
            <w:tcW w:w="5000" w:type="pct"/>
            <w:gridSpan w:val="7"/>
            <w:tcBorders>
              <w:top w:val="single" w:sz="4" w:space="0" w:color="auto"/>
              <w:left w:val="single" w:sz="4" w:space="0" w:color="auto"/>
              <w:bottom w:val="single" w:sz="4" w:space="0" w:color="auto"/>
              <w:right w:val="single" w:sz="4" w:space="0" w:color="auto"/>
            </w:tcBorders>
            <w:shd w:val="clear" w:color="auto" w:fill="CCFFFF"/>
          </w:tcPr>
          <w:p w:rsidR="00794E04" w:rsidRPr="00526311" w:rsidRDefault="00794E04" w:rsidP="0063039A">
            <w:pPr>
              <w:keepNext/>
              <w:keepLines/>
              <w:tabs>
                <w:tab w:val="left" w:pos="1452"/>
              </w:tabs>
              <w:spacing w:before="120" w:after="120"/>
              <w:ind w:left="1701" w:hanging="1701"/>
              <w:rPr>
                <w:bCs/>
                <w:sz w:val="16"/>
                <w:szCs w:val="16"/>
              </w:rPr>
            </w:pPr>
            <w:r w:rsidRPr="00526311">
              <w:rPr>
                <w:b/>
                <w:bCs/>
                <w:sz w:val="16"/>
                <w:szCs w:val="16"/>
              </w:rPr>
              <w:t>Resultado previsto:</w:t>
            </w:r>
            <w:r w:rsidRPr="00526311">
              <w:rPr>
                <w:b/>
                <w:bCs/>
                <w:sz w:val="16"/>
                <w:szCs w:val="16"/>
              </w:rPr>
              <w:tab/>
            </w:r>
            <w:r w:rsidRPr="00526311">
              <w:rPr>
                <w:bCs/>
                <w:sz w:val="16"/>
                <w:szCs w:val="16"/>
              </w:rPr>
              <w:t xml:space="preserve">IX.2 </w:t>
            </w:r>
            <w:r w:rsidR="0015655A" w:rsidRPr="00526311">
              <w:rPr>
                <w:bCs/>
                <w:sz w:val="16"/>
                <w:szCs w:val="16"/>
              </w:rPr>
              <w:t>Funcionamiento sin contratiempos de la Secretaría, provista de un personal bien dirigido, dotado de las competencias adecuadas y capaz de conseguir resultados</w:t>
            </w:r>
          </w:p>
        </w:tc>
      </w:tr>
      <w:tr w:rsidR="00794E04" w:rsidRPr="00526311" w:rsidTr="0063039A">
        <w:trPr>
          <w:cantSplit/>
        </w:trPr>
        <w:tc>
          <w:tcPr>
            <w:tcW w:w="1101" w:type="pct"/>
            <w:gridSpan w:val="2"/>
            <w:tcBorders>
              <w:top w:val="single" w:sz="4" w:space="0" w:color="auto"/>
              <w:left w:val="single" w:sz="4" w:space="0" w:color="auto"/>
            </w:tcBorders>
          </w:tcPr>
          <w:p w:rsidR="00794E04" w:rsidRPr="00526311" w:rsidRDefault="00794E04" w:rsidP="0063039A">
            <w:pPr>
              <w:keepNext/>
              <w:rPr>
                <w:b/>
                <w:bCs/>
                <w:sz w:val="16"/>
                <w:szCs w:val="16"/>
              </w:rPr>
            </w:pPr>
            <w:r w:rsidRPr="00526311">
              <w:rPr>
                <w:b/>
                <w:bCs/>
                <w:sz w:val="16"/>
                <w:szCs w:val="16"/>
              </w:rPr>
              <w:t>Indicadores de rendimiento</w:t>
            </w:r>
          </w:p>
        </w:tc>
        <w:tc>
          <w:tcPr>
            <w:tcW w:w="961" w:type="pct"/>
            <w:gridSpan w:val="2"/>
            <w:tcBorders>
              <w:top w:val="single" w:sz="4" w:space="0" w:color="auto"/>
            </w:tcBorders>
            <w:hideMark/>
          </w:tcPr>
          <w:p w:rsidR="00794E04" w:rsidRPr="00526311" w:rsidRDefault="00794E04" w:rsidP="0063039A">
            <w:pPr>
              <w:keepNext/>
              <w:rPr>
                <w:b/>
                <w:bCs/>
                <w:sz w:val="16"/>
                <w:szCs w:val="16"/>
              </w:rPr>
            </w:pPr>
            <w:r w:rsidRPr="00526311">
              <w:rPr>
                <w:b/>
                <w:bCs/>
                <w:sz w:val="16"/>
                <w:szCs w:val="16"/>
              </w:rPr>
              <w:t>Referencia</w:t>
            </w:r>
          </w:p>
        </w:tc>
        <w:tc>
          <w:tcPr>
            <w:tcW w:w="796" w:type="pct"/>
            <w:tcBorders>
              <w:top w:val="single" w:sz="4" w:space="0" w:color="auto"/>
            </w:tcBorders>
            <w:tcMar>
              <w:top w:w="110" w:type="dxa"/>
              <w:left w:w="108" w:type="dxa"/>
              <w:bottom w:w="0" w:type="dxa"/>
              <w:right w:w="108" w:type="dxa"/>
            </w:tcMar>
            <w:hideMark/>
          </w:tcPr>
          <w:p w:rsidR="00794E04" w:rsidRPr="00526311" w:rsidRDefault="00794E04" w:rsidP="0063039A">
            <w:pPr>
              <w:keepNext/>
              <w:autoSpaceDE w:val="0"/>
              <w:autoSpaceDN w:val="0"/>
              <w:adjustRightInd w:val="0"/>
              <w:rPr>
                <w:b/>
                <w:bCs/>
                <w:sz w:val="16"/>
                <w:szCs w:val="16"/>
              </w:rPr>
            </w:pPr>
            <w:r w:rsidRPr="00526311">
              <w:rPr>
                <w:b/>
                <w:bCs/>
                <w:sz w:val="16"/>
                <w:szCs w:val="16"/>
              </w:rPr>
              <w:t>Objetivos</w:t>
            </w:r>
          </w:p>
        </w:tc>
        <w:tc>
          <w:tcPr>
            <w:tcW w:w="1482" w:type="pct"/>
            <w:tcBorders>
              <w:top w:val="single" w:sz="4" w:space="0" w:color="auto"/>
            </w:tcBorders>
            <w:shd w:val="clear" w:color="auto" w:fill="FFFFFF"/>
            <w:tcMar>
              <w:top w:w="110" w:type="dxa"/>
              <w:left w:w="108" w:type="dxa"/>
              <w:bottom w:w="0" w:type="dxa"/>
              <w:right w:w="108" w:type="dxa"/>
            </w:tcMar>
            <w:hideMark/>
          </w:tcPr>
          <w:p w:rsidR="00794E04" w:rsidRPr="00526311" w:rsidRDefault="00794E04" w:rsidP="0063039A">
            <w:pPr>
              <w:keepNext/>
              <w:rPr>
                <w:b/>
                <w:bCs/>
                <w:sz w:val="16"/>
                <w:szCs w:val="16"/>
              </w:rPr>
            </w:pPr>
            <w:r w:rsidRPr="00526311">
              <w:rPr>
                <w:b/>
                <w:bCs/>
                <w:sz w:val="16"/>
                <w:szCs w:val="16"/>
              </w:rPr>
              <w:t>Datos sobre el rendimiento</w:t>
            </w:r>
          </w:p>
        </w:tc>
        <w:tc>
          <w:tcPr>
            <w:tcW w:w="660" w:type="pct"/>
            <w:tcBorders>
              <w:top w:val="single" w:sz="4" w:space="0" w:color="auto"/>
              <w:right w:val="single" w:sz="4" w:space="0" w:color="auto"/>
            </w:tcBorders>
            <w:tcMar>
              <w:top w:w="110" w:type="dxa"/>
              <w:left w:w="108" w:type="dxa"/>
              <w:bottom w:w="0" w:type="dxa"/>
              <w:right w:w="108" w:type="dxa"/>
            </w:tcMar>
            <w:hideMark/>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rPr>
          <w:cantSplit/>
        </w:trPr>
        <w:tc>
          <w:tcPr>
            <w:tcW w:w="1101" w:type="pct"/>
            <w:gridSpan w:val="2"/>
            <w:tcBorders>
              <w:left w:val="single" w:sz="4" w:space="0" w:color="auto"/>
            </w:tcBorders>
          </w:tcPr>
          <w:p w:rsidR="00794E04" w:rsidRPr="00526311" w:rsidRDefault="00794E04" w:rsidP="0063039A">
            <w:pPr>
              <w:rPr>
                <w:sz w:val="16"/>
                <w:szCs w:val="16"/>
                <w:lang w:bidi="th-TH"/>
              </w:rPr>
            </w:pPr>
            <w:r w:rsidRPr="00526311">
              <w:rPr>
                <w:sz w:val="16"/>
                <w:szCs w:val="16"/>
                <w:lang w:bidi="th-TH"/>
              </w:rPr>
              <w:t>Informe financiero satisfactorio de los auditores externos que confirma la conformidad de las operaciones contables con los convenios y tratados aplicables de la OMPI,  el Reglamento Financiero y la Reglamentación Financiera de la OMPI y las IPSAS</w:t>
            </w:r>
          </w:p>
        </w:tc>
        <w:tc>
          <w:tcPr>
            <w:tcW w:w="961" w:type="pct"/>
            <w:gridSpan w:val="2"/>
          </w:tcPr>
          <w:p w:rsidR="00794E04" w:rsidRPr="00526311" w:rsidRDefault="00794E04" w:rsidP="0063039A">
            <w:pPr>
              <w:rPr>
                <w:sz w:val="16"/>
                <w:szCs w:val="16"/>
              </w:rPr>
            </w:pPr>
            <w:r w:rsidRPr="00526311">
              <w:rPr>
                <w:sz w:val="16"/>
                <w:szCs w:val="16"/>
              </w:rPr>
              <w:t>Informe de auditoría satisfactorio en 2012 y 2013 y respuestas proporcionadas en relación con todas las recomendaciones de auditoría</w:t>
            </w:r>
          </w:p>
        </w:tc>
        <w:tc>
          <w:tcPr>
            <w:tcW w:w="796" w:type="pct"/>
            <w:tcMar>
              <w:top w:w="110" w:type="dxa"/>
              <w:left w:w="108" w:type="dxa"/>
              <w:bottom w:w="0" w:type="dxa"/>
              <w:right w:w="108" w:type="dxa"/>
            </w:tcMar>
          </w:tcPr>
          <w:p w:rsidR="00794E04" w:rsidRPr="00526311" w:rsidRDefault="00794E04" w:rsidP="0063039A">
            <w:pPr>
              <w:autoSpaceDE w:val="0"/>
              <w:autoSpaceDN w:val="0"/>
              <w:adjustRightInd w:val="0"/>
              <w:rPr>
                <w:sz w:val="16"/>
                <w:szCs w:val="16"/>
              </w:rPr>
            </w:pPr>
            <w:r w:rsidRPr="00526311">
              <w:rPr>
                <w:sz w:val="16"/>
                <w:szCs w:val="16"/>
              </w:rPr>
              <w:t>Informes de auditoría satisfactorios respecto de los dos años del bienio</w:t>
            </w:r>
          </w:p>
        </w:tc>
        <w:tc>
          <w:tcPr>
            <w:tcW w:w="1482" w:type="pct"/>
            <w:shd w:val="clear" w:color="auto" w:fill="FFFFFF"/>
            <w:tcMar>
              <w:top w:w="110" w:type="dxa"/>
              <w:left w:w="108" w:type="dxa"/>
              <w:bottom w:w="0" w:type="dxa"/>
              <w:right w:w="108" w:type="dxa"/>
            </w:tcMar>
          </w:tcPr>
          <w:p w:rsidR="00794E04" w:rsidRPr="00526311" w:rsidRDefault="00794E04" w:rsidP="0063039A">
            <w:pPr>
              <w:rPr>
                <w:sz w:val="16"/>
                <w:szCs w:val="16"/>
              </w:rPr>
            </w:pPr>
            <w:r w:rsidRPr="00526311">
              <w:rPr>
                <w:color w:val="000000"/>
                <w:sz w:val="16"/>
                <w:szCs w:val="16"/>
              </w:rPr>
              <w:t>Se recibió una carta de recomendaciones en relación con la auditoría financiera provisional (24 de noviembre) el 19 de febrero de 2015, y se tomaron medidas durante el período de cierre para abordar las recomendaciones que inciden en los estados financieros de 2014</w:t>
            </w:r>
            <w:r w:rsidR="009E2737" w:rsidRPr="00526311">
              <w:rPr>
                <w:color w:val="000000"/>
                <w:sz w:val="16"/>
                <w:szCs w:val="16"/>
              </w:rPr>
              <w:t>.</w:t>
            </w:r>
          </w:p>
        </w:tc>
        <w:tc>
          <w:tcPr>
            <w:tcW w:w="660" w:type="pct"/>
            <w:tcBorders>
              <w:right w:val="single" w:sz="4" w:space="0" w:color="auto"/>
            </w:tcBorders>
            <w:tcMar>
              <w:top w:w="110" w:type="dxa"/>
              <w:left w:w="108" w:type="dxa"/>
              <w:bottom w:w="0" w:type="dxa"/>
              <w:right w:w="108" w:type="dxa"/>
            </w:tcMar>
          </w:tcPr>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tc>
      </w:tr>
      <w:tr w:rsidR="00794E04" w:rsidRPr="00526311" w:rsidTr="0063039A">
        <w:trPr>
          <w:cantSplit/>
        </w:trPr>
        <w:tc>
          <w:tcPr>
            <w:tcW w:w="1101" w:type="pct"/>
            <w:gridSpan w:val="2"/>
            <w:tcBorders>
              <w:top w:val="single" w:sz="4" w:space="0" w:color="auto"/>
              <w:left w:val="single" w:sz="4" w:space="0" w:color="auto"/>
            </w:tcBorders>
          </w:tcPr>
          <w:p w:rsidR="00794E04" w:rsidRPr="00526311" w:rsidRDefault="00794E04" w:rsidP="0063039A">
            <w:pPr>
              <w:keepNext/>
              <w:rPr>
                <w:b/>
                <w:bCs/>
                <w:sz w:val="16"/>
                <w:szCs w:val="16"/>
              </w:rPr>
            </w:pPr>
            <w:r w:rsidRPr="00526311">
              <w:rPr>
                <w:b/>
                <w:bCs/>
                <w:sz w:val="16"/>
                <w:szCs w:val="16"/>
              </w:rPr>
              <w:lastRenderedPageBreak/>
              <w:t>Indicadores de rendimiento</w:t>
            </w:r>
          </w:p>
        </w:tc>
        <w:tc>
          <w:tcPr>
            <w:tcW w:w="961" w:type="pct"/>
            <w:gridSpan w:val="2"/>
            <w:tcBorders>
              <w:top w:val="single" w:sz="4" w:space="0" w:color="auto"/>
            </w:tcBorders>
            <w:hideMark/>
          </w:tcPr>
          <w:p w:rsidR="00794E04" w:rsidRPr="00526311" w:rsidRDefault="00794E04" w:rsidP="0063039A">
            <w:pPr>
              <w:keepNext/>
              <w:rPr>
                <w:b/>
                <w:bCs/>
                <w:sz w:val="16"/>
                <w:szCs w:val="16"/>
              </w:rPr>
            </w:pPr>
            <w:r w:rsidRPr="00526311">
              <w:rPr>
                <w:b/>
                <w:bCs/>
                <w:sz w:val="16"/>
                <w:szCs w:val="16"/>
              </w:rPr>
              <w:t>Referencia</w:t>
            </w:r>
          </w:p>
        </w:tc>
        <w:tc>
          <w:tcPr>
            <w:tcW w:w="796" w:type="pct"/>
            <w:tcBorders>
              <w:top w:val="single" w:sz="4" w:space="0" w:color="auto"/>
            </w:tcBorders>
            <w:tcMar>
              <w:top w:w="110" w:type="dxa"/>
              <w:left w:w="108" w:type="dxa"/>
              <w:bottom w:w="0" w:type="dxa"/>
              <w:right w:w="108" w:type="dxa"/>
            </w:tcMar>
            <w:hideMark/>
          </w:tcPr>
          <w:p w:rsidR="00794E04" w:rsidRPr="00526311" w:rsidRDefault="00794E04" w:rsidP="0063039A">
            <w:pPr>
              <w:keepNext/>
              <w:autoSpaceDE w:val="0"/>
              <w:autoSpaceDN w:val="0"/>
              <w:adjustRightInd w:val="0"/>
              <w:rPr>
                <w:b/>
                <w:bCs/>
                <w:sz w:val="16"/>
                <w:szCs w:val="16"/>
              </w:rPr>
            </w:pPr>
            <w:r w:rsidRPr="00526311">
              <w:rPr>
                <w:b/>
                <w:bCs/>
                <w:sz w:val="16"/>
                <w:szCs w:val="16"/>
              </w:rPr>
              <w:t>Objetivos</w:t>
            </w:r>
          </w:p>
        </w:tc>
        <w:tc>
          <w:tcPr>
            <w:tcW w:w="1482" w:type="pct"/>
            <w:tcBorders>
              <w:top w:val="single" w:sz="4" w:space="0" w:color="auto"/>
            </w:tcBorders>
            <w:shd w:val="clear" w:color="auto" w:fill="FFFFFF"/>
            <w:tcMar>
              <w:top w:w="110" w:type="dxa"/>
              <w:left w:w="108" w:type="dxa"/>
              <w:bottom w:w="0" w:type="dxa"/>
              <w:right w:w="108" w:type="dxa"/>
            </w:tcMar>
            <w:hideMark/>
          </w:tcPr>
          <w:p w:rsidR="00794E04" w:rsidRPr="00526311" w:rsidRDefault="00794E04" w:rsidP="0063039A">
            <w:pPr>
              <w:keepNext/>
              <w:rPr>
                <w:b/>
                <w:bCs/>
                <w:sz w:val="16"/>
                <w:szCs w:val="16"/>
              </w:rPr>
            </w:pPr>
            <w:r w:rsidRPr="00526311">
              <w:rPr>
                <w:b/>
                <w:bCs/>
                <w:sz w:val="16"/>
                <w:szCs w:val="16"/>
              </w:rPr>
              <w:t>Datos sobre el rendimiento</w:t>
            </w:r>
          </w:p>
        </w:tc>
        <w:tc>
          <w:tcPr>
            <w:tcW w:w="660" w:type="pct"/>
            <w:tcBorders>
              <w:top w:val="single" w:sz="4" w:space="0" w:color="auto"/>
              <w:right w:val="single" w:sz="4" w:space="0" w:color="auto"/>
            </w:tcBorders>
            <w:tcMar>
              <w:top w:w="110" w:type="dxa"/>
              <w:left w:w="108" w:type="dxa"/>
              <w:bottom w:w="0" w:type="dxa"/>
              <w:right w:w="108" w:type="dxa"/>
            </w:tcMar>
            <w:hideMark/>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rPr>
          <w:cantSplit/>
        </w:trPr>
        <w:tc>
          <w:tcPr>
            <w:tcW w:w="1101" w:type="pct"/>
            <w:gridSpan w:val="2"/>
            <w:tcBorders>
              <w:left w:val="single" w:sz="4" w:space="0" w:color="auto"/>
            </w:tcBorders>
          </w:tcPr>
          <w:p w:rsidR="00794E04" w:rsidRPr="00526311" w:rsidRDefault="00794E04" w:rsidP="0063039A">
            <w:pPr>
              <w:rPr>
                <w:sz w:val="16"/>
                <w:szCs w:val="16"/>
                <w:lang w:bidi="th-TH"/>
              </w:rPr>
            </w:pPr>
            <w:r w:rsidRPr="00526311">
              <w:rPr>
                <w:sz w:val="16"/>
                <w:szCs w:val="16"/>
                <w:lang w:bidi="th-TH"/>
              </w:rPr>
              <w:t>Rendimiento del capital invertido en concordancia con los parámetros establecidos por el Comité Asesor en materia de Inversiones</w:t>
            </w:r>
          </w:p>
        </w:tc>
        <w:tc>
          <w:tcPr>
            <w:tcW w:w="961" w:type="pct"/>
            <w:gridSpan w:val="2"/>
          </w:tcPr>
          <w:p w:rsidR="00794E04" w:rsidRPr="00526311" w:rsidRDefault="00794E04" w:rsidP="0063039A">
            <w:pPr>
              <w:rPr>
                <w:sz w:val="16"/>
                <w:szCs w:val="16"/>
                <w:lang w:bidi="th-TH"/>
              </w:rPr>
            </w:pPr>
            <w:r w:rsidRPr="00526311">
              <w:rPr>
                <w:sz w:val="16"/>
                <w:szCs w:val="16"/>
                <w:lang w:bidi="th-TH"/>
              </w:rPr>
              <w:t>Rendimiento del capital invertido en concordancia con los parámetros establecidos por el Comité Asesor en materia de Inversiones en 2012/13</w:t>
            </w:r>
          </w:p>
        </w:tc>
        <w:tc>
          <w:tcPr>
            <w:tcW w:w="796" w:type="pct"/>
            <w:tcMar>
              <w:top w:w="110" w:type="dxa"/>
              <w:left w:w="108" w:type="dxa"/>
              <w:bottom w:w="0" w:type="dxa"/>
              <w:right w:w="108" w:type="dxa"/>
            </w:tcMar>
          </w:tcPr>
          <w:p w:rsidR="00794E04" w:rsidRPr="00526311" w:rsidRDefault="00794E04" w:rsidP="0063039A">
            <w:pPr>
              <w:autoSpaceDE w:val="0"/>
              <w:autoSpaceDN w:val="0"/>
              <w:adjustRightInd w:val="0"/>
              <w:rPr>
                <w:sz w:val="16"/>
                <w:szCs w:val="16"/>
              </w:rPr>
            </w:pPr>
            <w:r w:rsidRPr="00526311">
              <w:rPr>
                <w:sz w:val="16"/>
                <w:szCs w:val="16"/>
              </w:rPr>
              <w:t>Rendimiento del capital invertido en concordancia con los parámetros establecidos por el Comité Asesor en materia de Inversiones en 2014/15</w:t>
            </w:r>
          </w:p>
        </w:tc>
        <w:tc>
          <w:tcPr>
            <w:tcW w:w="1482" w:type="pct"/>
            <w:shd w:val="clear" w:color="auto" w:fill="FFFFFF"/>
            <w:tcMar>
              <w:top w:w="110" w:type="dxa"/>
              <w:left w:w="108" w:type="dxa"/>
              <w:bottom w:w="0" w:type="dxa"/>
              <w:right w:w="108" w:type="dxa"/>
            </w:tcMar>
          </w:tcPr>
          <w:p w:rsidR="00794E04" w:rsidRPr="00526311" w:rsidRDefault="00794E04" w:rsidP="0063039A">
            <w:pPr>
              <w:autoSpaceDE w:val="0"/>
              <w:autoSpaceDN w:val="0"/>
              <w:adjustRightInd w:val="0"/>
              <w:rPr>
                <w:sz w:val="16"/>
                <w:szCs w:val="16"/>
              </w:rPr>
            </w:pPr>
            <w:r w:rsidRPr="00526311">
              <w:rPr>
                <w:color w:val="000000"/>
                <w:sz w:val="16"/>
                <w:szCs w:val="16"/>
              </w:rPr>
              <w:t>Las inversiones se siguen llevando a cabo con las autoridades suizas, en concordancia con los parámetros establecidos por el Comité Asesor en materia de Inversiones en 2014/15</w:t>
            </w:r>
          </w:p>
        </w:tc>
        <w:tc>
          <w:tcPr>
            <w:tcW w:w="660" w:type="pct"/>
            <w:tcBorders>
              <w:right w:val="single" w:sz="4" w:space="0" w:color="auto"/>
            </w:tcBorders>
            <w:tcMar>
              <w:top w:w="110" w:type="dxa"/>
              <w:left w:w="108" w:type="dxa"/>
              <w:bottom w:w="0" w:type="dxa"/>
              <w:right w:w="108" w:type="dxa"/>
            </w:tcMar>
          </w:tcPr>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tc>
      </w:tr>
      <w:tr w:rsidR="00794E04" w:rsidRPr="00526311" w:rsidTr="0063039A">
        <w:trPr>
          <w:cantSplit/>
        </w:trPr>
        <w:tc>
          <w:tcPr>
            <w:tcW w:w="1101" w:type="pct"/>
            <w:gridSpan w:val="2"/>
            <w:tcBorders>
              <w:left w:val="single" w:sz="4" w:space="0" w:color="auto"/>
            </w:tcBorders>
          </w:tcPr>
          <w:p w:rsidR="00794E04" w:rsidRPr="00526311" w:rsidRDefault="00794E04" w:rsidP="0063039A">
            <w:pPr>
              <w:rPr>
                <w:sz w:val="16"/>
                <w:szCs w:val="16"/>
                <w:lang w:bidi="th-TH"/>
              </w:rPr>
            </w:pPr>
            <w:r w:rsidRPr="00526311">
              <w:rPr>
                <w:sz w:val="16"/>
                <w:szCs w:val="16"/>
                <w:lang w:bidi="th-TH"/>
              </w:rPr>
              <w:t>Los pagos (incluidas las tasas correspondientes a los Sistemas de Madrid y de La Haya) se efectúan en el plazo estipulado</w:t>
            </w:r>
          </w:p>
        </w:tc>
        <w:tc>
          <w:tcPr>
            <w:tcW w:w="961" w:type="pct"/>
            <w:gridSpan w:val="2"/>
          </w:tcPr>
          <w:p w:rsidR="00794E04" w:rsidRPr="00526311" w:rsidRDefault="00794E04" w:rsidP="0063039A">
            <w:pPr>
              <w:rPr>
                <w:i/>
                <w:color w:val="002060"/>
                <w:sz w:val="16"/>
                <w:szCs w:val="16"/>
              </w:rPr>
            </w:pPr>
            <w:r w:rsidRPr="00526311">
              <w:rPr>
                <w:sz w:val="16"/>
                <w:szCs w:val="16"/>
                <w:lang w:bidi="th-TH"/>
              </w:rPr>
              <w:t>90% de los pagos efectuados en un plazo de siete días con arreglo a las condiciones de pago o la fecha de recepción (en caso de recepción tardía) cuando no haya otros problemas de flujo de trabajo (por ejemplo, la no entrega de la orden de compra</w:t>
            </w:r>
            <w:r w:rsidRPr="00526311">
              <w:rPr>
                <w:color w:val="FF00FF"/>
                <w:sz w:val="16"/>
                <w:szCs w:val="16"/>
                <w:lang w:bidi="th-TH"/>
              </w:rPr>
              <w:t xml:space="preserve">, </w:t>
            </w:r>
            <w:r w:rsidRPr="00526311">
              <w:rPr>
                <w:sz w:val="16"/>
                <w:szCs w:val="16"/>
                <w:lang w:bidi="th-TH"/>
              </w:rPr>
              <w:t>etc.)</w:t>
            </w:r>
          </w:p>
        </w:tc>
        <w:tc>
          <w:tcPr>
            <w:tcW w:w="796" w:type="pct"/>
            <w:tcMar>
              <w:top w:w="110" w:type="dxa"/>
              <w:left w:w="108" w:type="dxa"/>
              <w:bottom w:w="0" w:type="dxa"/>
              <w:right w:w="108" w:type="dxa"/>
            </w:tcMar>
          </w:tcPr>
          <w:p w:rsidR="00794E04" w:rsidRPr="00526311" w:rsidRDefault="00794E04" w:rsidP="0063039A">
            <w:pPr>
              <w:autoSpaceDE w:val="0"/>
              <w:autoSpaceDN w:val="0"/>
              <w:adjustRightInd w:val="0"/>
              <w:rPr>
                <w:sz w:val="16"/>
                <w:szCs w:val="16"/>
              </w:rPr>
            </w:pPr>
            <w:r w:rsidRPr="00526311">
              <w:rPr>
                <w:sz w:val="16"/>
                <w:szCs w:val="16"/>
              </w:rPr>
              <w:t>90% de los pagos efectuados en un plazo de dos a tres días a partir de la recepción de la factura</w:t>
            </w:r>
          </w:p>
        </w:tc>
        <w:tc>
          <w:tcPr>
            <w:tcW w:w="1482" w:type="pct"/>
            <w:shd w:val="clear" w:color="auto" w:fill="FFFFFF"/>
            <w:tcMar>
              <w:top w:w="110" w:type="dxa"/>
              <w:left w:w="108" w:type="dxa"/>
              <w:bottom w:w="0" w:type="dxa"/>
              <w:right w:w="108" w:type="dxa"/>
            </w:tcMar>
          </w:tcPr>
          <w:p w:rsidR="00794E04" w:rsidRPr="00526311" w:rsidRDefault="00794E04" w:rsidP="0063039A">
            <w:pPr>
              <w:rPr>
                <w:sz w:val="16"/>
                <w:szCs w:val="16"/>
              </w:rPr>
            </w:pPr>
            <w:r w:rsidRPr="00526311">
              <w:rPr>
                <w:sz w:val="16"/>
                <w:szCs w:val="16"/>
              </w:rPr>
              <w:t>1. Los pagos de todas las facturas se efectuaron a tiempo, excepto las</w:t>
            </w:r>
          </w:p>
          <w:p w:rsidR="00794E04" w:rsidRPr="00526311" w:rsidRDefault="00794E04" w:rsidP="0063039A">
            <w:pPr>
              <w:rPr>
                <w:sz w:val="16"/>
                <w:szCs w:val="16"/>
              </w:rPr>
            </w:pPr>
            <w:r w:rsidRPr="00526311">
              <w:rPr>
                <w:sz w:val="16"/>
                <w:szCs w:val="16"/>
              </w:rPr>
              <w:t>ex-post facto, o cuando no hay pedidos en el sistema</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 xml:space="preserve">2. La distribución mensual se pagó o se acreditó en una cuenta corriente o se aplicó al pago de cuotas del siguiente mes, según lo exige el Reglamento </w:t>
            </w:r>
          </w:p>
          <w:p w:rsidR="00794E04" w:rsidRPr="00526311" w:rsidRDefault="00794E04" w:rsidP="0063039A">
            <w:pPr>
              <w:rPr>
                <w:sz w:val="16"/>
                <w:szCs w:val="16"/>
              </w:rPr>
            </w:pPr>
          </w:p>
        </w:tc>
        <w:tc>
          <w:tcPr>
            <w:tcW w:w="660" w:type="pct"/>
            <w:tcBorders>
              <w:right w:val="single" w:sz="4" w:space="0" w:color="auto"/>
            </w:tcBorders>
            <w:tcMar>
              <w:top w:w="110" w:type="dxa"/>
              <w:left w:w="108" w:type="dxa"/>
              <w:bottom w:w="0" w:type="dxa"/>
              <w:right w:w="108" w:type="dxa"/>
            </w:tcMar>
          </w:tcPr>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tc>
      </w:tr>
      <w:tr w:rsidR="00794E04" w:rsidRPr="00526311" w:rsidTr="0063039A">
        <w:trPr>
          <w:cantSplit/>
        </w:trPr>
        <w:tc>
          <w:tcPr>
            <w:tcW w:w="1101" w:type="pct"/>
            <w:gridSpan w:val="2"/>
            <w:tcBorders>
              <w:left w:val="single" w:sz="4" w:space="0" w:color="auto"/>
            </w:tcBorders>
          </w:tcPr>
          <w:p w:rsidR="00794E04" w:rsidRPr="00526311" w:rsidRDefault="00794E04" w:rsidP="0063039A">
            <w:pPr>
              <w:rPr>
                <w:sz w:val="16"/>
                <w:szCs w:val="16"/>
                <w:lang w:bidi="th-TH"/>
              </w:rPr>
            </w:pPr>
            <w:r w:rsidRPr="00526311">
              <w:rPr>
                <w:sz w:val="16"/>
                <w:szCs w:val="16"/>
                <w:lang w:bidi="th-TH"/>
              </w:rPr>
              <w:t>Porcentaje de miembros del personal que expresan satisfacción con la formación recibida (cursos de iniciación, formación sobre el sistema de PRI, formación relacionada con la gestión por resultados)</w:t>
            </w:r>
          </w:p>
        </w:tc>
        <w:tc>
          <w:tcPr>
            <w:tcW w:w="961" w:type="pct"/>
            <w:gridSpan w:val="2"/>
          </w:tcPr>
          <w:p w:rsidR="00794E04" w:rsidRPr="00526311" w:rsidRDefault="00794E04" w:rsidP="0063039A">
            <w:pPr>
              <w:rPr>
                <w:color w:val="002060"/>
                <w:sz w:val="16"/>
                <w:szCs w:val="16"/>
              </w:rPr>
            </w:pPr>
            <w:r w:rsidRPr="00526311">
              <w:rPr>
                <w:i/>
                <w:color w:val="002060"/>
                <w:sz w:val="16"/>
                <w:szCs w:val="16"/>
              </w:rPr>
              <w:t xml:space="preserve">Referencia actualizada a fines de 2013:  </w:t>
            </w:r>
          </w:p>
          <w:p w:rsidR="00794E04" w:rsidRPr="00526311" w:rsidRDefault="00794E04" w:rsidP="0063039A">
            <w:pPr>
              <w:rPr>
                <w:color w:val="002060"/>
                <w:sz w:val="16"/>
                <w:szCs w:val="16"/>
              </w:rPr>
            </w:pPr>
            <w:r w:rsidRPr="00526311">
              <w:rPr>
                <w:color w:val="002060"/>
                <w:sz w:val="16"/>
                <w:szCs w:val="16"/>
              </w:rPr>
              <w:t>Cursos de iniciación:  94%</w:t>
            </w:r>
          </w:p>
          <w:p w:rsidR="00794E04" w:rsidRPr="00526311" w:rsidRDefault="00794E04" w:rsidP="0063039A">
            <w:pPr>
              <w:autoSpaceDE w:val="0"/>
              <w:autoSpaceDN w:val="0"/>
              <w:adjustRightInd w:val="0"/>
              <w:rPr>
                <w:color w:val="002060"/>
                <w:sz w:val="16"/>
                <w:szCs w:val="16"/>
              </w:rPr>
            </w:pPr>
            <w:r w:rsidRPr="00526311">
              <w:rPr>
                <w:color w:val="002060"/>
                <w:sz w:val="16"/>
                <w:szCs w:val="16"/>
              </w:rPr>
              <w:t>Formación relacionada con el</w:t>
            </w:r>
          </w:p>
          <w:p w:rsidR="00794E04" w:rsidRPr="00526311" w:rsidRDefault="00794E04" w:rsidP="0063039A">
            <w:pPr>
              <w:autoSpaceDE w:val="0"/>
              <w:autoSpaceDN w:val="0"/>
              <w:adjustRightInd w:val="0"/>
              <w:rPr>
                <w:color w:val="002060"/>
                <w:sz w:val="16"/>
                <w:szCs w:val="16"/>
              </w:rPr>
            </w:pPr>
            <w:r w:rsidRPr="00526311">
              <w:rPr>
                <w:color w:val="002060"/>
                <w:sz w:val="16"/>
                <w:szCs w:val="16"/>
              </w:rPr>
              <w:t>sistema de PRI y</w:t>
            </w:r>
          </w:p>
          <w:p w:rsidR="00794E04" w:rsidRPr="00526311" w:rsidRDefault="00794E04" w:rsidP="0063039A">
            <w:pPr>
              <w:autoSpaceDE w:val="0"/>
              <w:autoSpaceDN w:val="0"/>
              <w:adjustRightInd w:val="0"/>
              <w:rPr>
                <w:color w:val="002060"/>
                <w:sz w:val="16"/>
                <w:szCs w:val="16"/>
              </w:rPr>
            </w:pPr>
            <w:r w:rsidRPr="00526311">
              <w:rPr>
                <w:color w:val="002060"/>
                <w:sz w:val="16"/>
                <w:szCs w:val="16"/>
              </w:rPr>
              <w:t>con la gestión por</w:t>
            </w:r>
          </w:p>
          <w:p w:rsidR="00794E04" w:rsidRPr="00526311" w:rsidRDefault="00794E04" w:rsidP="0063039A">
            <w:pPr>
              <w:rPr>
                <w:color w:val="002060"/>
                <w:sz w:val="16"/>
                <w:szCs w:val="16"/>
              </w:rPr>
            </w:pPr>
            <w:r w:rsidRPr="00526311">
              <w:rPr>
                <w:color w:val="002060"/>
                <w:sz w:val="16"/>
                <w:szCs w:val="16"/>
              </w:rPr>
              <w:t>resultados:  96%</w:t>
            </w:r>
          </w:p>
          <w:p w:rsidR="00794E04" w:rsidRPr="00526311" w:rsidRDefault="00794E04" w:rsidP="0063039A">
            <w:pPr>
              <w:rPr>
                <w:color w:val="002060"/>
                <w:sz w:val="16"/>
                <w:szCs w:val="16"/>
              </w:rPr>
            </w:pPr>
          </w:p>
          <w:p w:rsidR="00794E04" w:rsidRPr="00526311" w:rsidRDefault="007B705E" w:rsidP="0063039A">
            <w:pPr>
              <w:rPr>
                <w:sz w:val="16"/>
                <w:szCs w:val="16"/>
                <w:lang w:bidi="th-TH"/>
              </w:rPr>
            </w:pPr>
            <w:r w:rsidRPr="00526311">
              <w:rPr>
                <w:i/>
                <w:sz w:val="16"/>
                <w:szCs w:val="16"/>
                <w:lang w:bidi="th-TH"/>
              </w:rPr>
              <w:t>Referencia original en el presupuesto de 2014/15</w:t>
            </w:r>
            <w:r w:rsidR="00794E04" w:rsidRPr="00526311">
              <w:rPr>
                <w:i/>
                <w:sz w:val="16"/>
                <w:szCs w:val="16"/>
                <w:lang w:bidi="th-TH"/>
              </w:rPr>
              <w:t>):</w:t>
            </w:r>
            <w:r w:rsidR="00794E04" w:rsidRPr="00526311">
              <w:rPr>
                <w:sz w:val="16"/>
                <w:szCs w:val="16"/>
                <w:lang w:bidi="th-TH"/>
              </w:rPr>
              <w:t>Por determinar</w:t>
            </w:r>
          </w:p>
          <w:p w:rsidR="00794E04" w:rsidRPr="00526311" w:rsidRDefault="00794E04" w:rsidP="0063039A">
            <w:pPr>
              <w:rPr>
                <w:i/>
                <w:sz w:val="16"/>
                <w:szCs w:val="16"/>
              </w:rPr>
            </w:pPr>
          </w:p>
        </w:tc>
        <w:tc>
          <w:tcPr>
            <w:tcW w:w="796" w:type="pct"/>
            <w:tcMar>
              <w:top w:w="110" w:type="dxa"/>
              <w:left w:w="108" w:type="dxa"/>
              <w:bottom w:w="0" w:type="dxa"/>
              <w:right w:w="108" w:type="dxa"/>
            </w:tcMar>
          </w:tcPr>
          <w:p w:rsidR="00794E04" w:rsidRPr="00526311" w:rsidRDefault="00794E04" w:rsidP="0063039A">
            <w:pPr>
              <w:autoSpaceDE w:val="0"/>
              <w:autoSpaceDN w:val="0"/>
              <w:adjustRightInd w:val="0"/>
              <w:rPr>
                <w:sz w:val="16"/>
                <w:szCs w:val="16"/>
              </w:rPr>
            </w:pPr>
            <w:r w:rsidRPr="00526311">
              <w:rPr>
                <w:sz w:val="16"/>
                <w:szCs w:val="16"/>
              </w:rPr>
              <w:t>85%</w:t>
            </w:r>
          </w:p>
        </w:tc>
        <w:tc>
          <w:tcPr>
            <w:tcW w:w="1482" w:type="pct"/>
            <w:shd w:val="clear" w:color="auto" w:fill="FFFFFF"/>
            <w:tcMar>
              <w:top w:w="110" w:type="dxa"/>
              <w:left w:w="108" w:type="dxa"/>
              <w:bottom w:w="0" w:type="dxa"/>
              <w:right w:w="108" w:type="dxa"/>
            </w:tcMar>
          </w:tcPr>
          <w:p w:rsidR="00794E04" w:rsidRPr="00526311" w:rsidRDefault="00794E04" w:rsidP="00794E04">
            <w:pPr>
              <w:pStyle w:val="ListParagraph"/>
              <w:numPr>
                <w:ilvl w:val="0"/>
                <w:numId w:val="85"/>
              </w:numPr>
              <w:rPr>
                <w:rFonts w:cs="Arial"/>
                <w:sz w:val="16"/>
                <w:szCs w:val="16"/>
                <w:lang w:val="es-ES"/>
              </w:rPr>
            </w:pPr>
            <w:r w:rsidRPr="00526311">
              <w:rPr>
                <w:rFonts w:cs="Arial"/>
                <w:sz w:val="16"/>
                <w:szCs w:val="16"/>
                <w:lang w:val="es-ES"/>
              </w:rPr>
              <w:t xml:space="preserve">Cursos de iniciación: 94% </w:t>
            </w:r>
          </w:p>
          <w:p w:rsidR="00794E04" w:rsidRPr="00526311" w:rsidRDefault="00794E04" w:rsidP="00794E04">
            <w:pPr>
              <w:pStyle w:val="ListParagraph"/>
              <w:numPr>
                <w:ilvl w:val="0"/>
                <w:numId w:val="85"/>
              </w:numPr>
              <w:rPr>
                <w:rFonts w:cs="Arial"/>
                <w:sz w:val="16"/>
                <w:szCs w:val="16"/>
                <w:lang w:val="es-ES"/>
              </w:rPr>
            </w:pPr>
            <w:r w:rsidRPr="00526311">
              <w:rPr>
                <w:rFonts w:cs="Arial"/>
                <w:sz w:val="16"/>
                <w:szCs w:val="16"/>
                <w:lang w:val="es-ES"/>
              </w:rPr>
              <w:t>Formación relacionada con el sistema de PRI y con la gestión por</w:t>
            </w:r>
          </w:p>
          <w:p w:rsidR="00794E04" w:rsidRPr="00526311" w:rsidRDefault="00794E04" w:rsidP="0063039A">
            <w:pPr>
              <w:pStyle w:val="ListParagraph"/>
              <w:ind w:left="360"/>
              <w:rPr>
                <w:rFonts w:cs="Arial"/>
                <w:sz w:val="16"/>
                <w:szCs w:val="16"/>
                <w:lang w:val="es-ES"/>
              </w:rPr>
            </w:pPr>
            <w:r w:rsidRPr="00526311">
              <w:rPr>
                <w:rFonts w:cs="Arial"/>
                <w:sz w:val="16"/>
                <w:szCs w:val="16"/>
                <w:lang w:val="es-ES"/>
              </w:rPr>
              <w:t>resultados:  95%</w:t>
            </w:r>
          </w:p>
          <w:p w:rsidR="00794E04" w:rsidRPr="00526311" w:rsidRDefault="00794E04" w:rsidP="00794E04">
            <w:pPr>
              <w:pStyle w:val="ListParagraph"/>
              <w:numPr>
                <w:ilvl w:val="0"/>
                <w:numId w:val="85"/>
              </w:numPr>
              <w:rPr>
                <w:rFonts w:cs="Arial"/>
                <w:sz w:val="16"/>
                <w:szCs w:val="16"/>
                <w:lang w:val="es-ES"/>
              </w:rPr>
            </w:pPr>
            <w:r w:rsidRPr="00526311">
              <w:rPr>
                <w:rFonts w:cs="Arial"/>
                <w:sz w:val="16"/>
                <w:szCs w:val="16"/>
                <w:lang w:val="es-ES"/>
              </w:rPr>
              <w:t>Gestión de proyectos en un entorno de gestión por resultados:  100% (76%-excelente;  24% -satisfactorio)</w:t>
            </w:r>
          </w:p>
        </w:tc>
        <w:tc>
          <w:tcPr>
            <w:tcW w:w="660" w:type="pct"/>
            <w:tcBorders>
              <w:right w:val="single" w:sz="4" w:space="0" w:color="auto"/>
            </w:tcBorders>
            <w:tcMar>
              <w:top w:w="110" w:type="dxa"/>
              <w:left w:w="108" w:type="dxa"/>
              <w:bottom w:w="0" w:type="dxa"/>
              <w:right w:w="108" w:type="dxa"/>
            </w:tcMar>
          </w:tcPr>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tc>
      </w:tr>
      <w:tr w:rsidR="00794E04" w:rsidRPr="00526311" w:rsidTr="0063039A">
        <w:trPr>
          <w:cantSplit/>
        </w:trPr>
        <w:tc>
          <w:tcPr>
            <w:tcW w:w="1101" w:type="pct"/>
            <w:gridSpan w:val="2"/>
            <w:tcBorders>
              <w:left w:val="single" w:sz="4" w:space="0" w:color="auto"/>
            </w:tcBorders>
          </w:tcPr>
          <w:p w:rsidR="00794E04" w:rsidRPr="00526311" w:rsidRDefault="00794E04" w:rsidP="0063039A">
            <w:pPr>
              <w:rPr>
                <w:sz w:val="16"/>
                <w:szCs w:val="16"/>
                <w:lang w:bidi="th-TH"/>
              </w:rPr>
            </w:pPr>
            <w:r w:rsidRPr="00526311">
              <w:rPr>
                <w:sz w:val="16"/>
                <w:szCs w:val="16"/>
                <w:lang w:bidi="th-TH"/>
              </w:rPr>
              <w:t>Porcentaje de encuestados en la OMPI que estiman que la Organización rinde cuentas sobre sus resultados</w:t>
            </w:r>
          </w:p>
        </w:tc>
        <w:tc>
          <w:tcPr>
            <w:tcW w:w="961" w:type="pct"/>
            <w:gridSpan w:val="2"/>
          </w:tcPr>
          <w:p w:rsidR="00794E04" w:rsidRPr="00526311" w:rsidRDefault="00794E04" w:rsidP="0063039A">
            <w:pPr>
              <w:rPr>
                <w:i/>
                <w:color w:val="002060"/>
                <w:sz w:val="16"/>
                <w:szCs w:val="16"/>
              </w:rPr>
            </w:pPr>
            <w:r w:rsidRPr="00526311">
              <w:rPr>
                <w:i/>
                <w:color w:val="002060"/>
                <w:sz w:val="16"/>
                <w:szCs w:val="16"/>
              </w:rPr>
              <w:t>Referencia actualizada a fines de 2013:  80,7%</w:t>
            </w:r>
          </w:p>
          <w:p w:rsidR="00794E04" w:rsidRPr="00526311" w:rsidRDefault="00794E04" w:rsidP="0063039A">
            <w:pPr>
              <w:rPr>
                <w:i/>
                <w:color w:val="002060"/>
                <w:sz w:val="16"/>
                <w:szCs w:val="16"/>
              </w:rPr>
            </w:pPr>
          </w:p>
          <w:p w:rsidR="00794E04" w:rsidRPr="00526311" w:rsidRDefault="007B705E" w:rsidP="0063039A">
            <w:pPr>
              <w:rPr>
                <w:sz w:val="16"/>
                <w:szCs w:val="16"/>
                <w:lang w:bidi="th-TH"/>
              </w:rPr>
            </w:pPr>
            <w:r w:rsidRPr="00526311">
              <w:rPr>
                <w:i/>
                <w:sz w:val="16"/>
                <w:szCs w:val="16"/>
              </w:rPr>
              <w:t>Referencia original en el presupuesto de 2014/15</w:t>
            </w:r>
            <w:r w:rsidR="00794E04" w:rsidRPr="00526311">
              <w:rPr>
                <w:i/>
                <w:sz w:val="16"/>
                <w:szCs w:val="16"/>
              </w:rPr>
              <w:t>:</w:t>
            </w:r>
            <w:r w:rsidR="00794E04" w:rsidRPr="00526311">
              <w:rPr>
                <w:sz w:val="16"/>
                <w:szCs w:val="16"/>
                <w:lang w:bidi="th-TH"/>
              </w:rPr>
              <w:t xml:space="preserve">  75%</w:t>
            </w:r>
          </w:p>
        </w:tc>
        <w:tc>
          <w:tcPr>
            <w:tcW w:w="796" w:type="pct"/>
            <w:tcMar>
              <w:top w:w="110" w:type="dxa"/>
              <w:left w:w="108" w:type="dxa"/>
              <w:bottom w:w="0" w:type="dxa"/>
              <w:right w:w="108" w:type="dxa"/>
            </w:tcMar>
          </w:tcPr>
          <w:p w:rsidR="00794E04" w:rsidRPr="00526311" w:rsidRDefault="00794E04" w:rsidP="0063039A">
            <w:pPr>
              <w:autoSpaceDE w:val="0"/>
              <w:autoSpaceDN w:val="0"/>
              <w:adjustRightInd w:val="0"/>
              <w:rPr>
                <w:sz w:val="16"/>
                <w:szCs w:val="16"/>
              </w:rPr>
            </w:pPr>
            <w:r w:rsidRPr="00526311">
              <w:rPr>
                <w:sz w:val="16"/>
                <w:szCs w:val="16"/>
              </w:rPr>
              <w:t>80%</w:t>
            </w:r>
          </w:p>
        </w:tc>
        <w:tc>
          <w:tcPr>
            <w:tcW w:w="1482" w:type="pct"/>
            <w:shd w:val="clear" w:color="auto" w:fill="FFFFFF"/>
            <w:tcMar>
              <w:top w:w="110" w:type="dxa"/>
              <w:left w:w="108" w:type="dxa"/>
              <w:bottom w:w="0" w:type="dxa"/>
              <w:right w:w="108" w:type="dxa"/>
            </w:tcMar>
          </w:tcPr>
          <w:p w:rsidR="00794E04" w:rsidRPr="00526311" w:rsidRDefault="00794E04" w:rsidP="0063039A">
            <w:pPr>
              <w:rPr>
                <w:sz w:val="16"/>
                <w:szCs w:val="16"/>
                <w:highlight w:val="yellow"/>
              </w:rPr>
            </w:pPr>
            <w:r w:rsidRPr="00526311">
              <w:rPr>
                <w:sz w:val="16"/>
                <w:szCs w:val="16"/>
              </w:rPr>
              <w:t>Encuesta prevista para fines de 2015</w:t>
            </w:r>
          </w:p>
        </w:tc>
        <w:tc>
          <w:tcPr>
            <w:tcW w:w="660" w:type="pct"/>
            <w:tcBorders>
              <w:right w:val="single" w:sz="4" w:space="0" w:color="auto"/>
            </w:tcBorders>
            <w:tcMar>
              <w:top w:w="110" w:type="dxa"/>
              <w:left w:w="108" w:type="dxa"/>
              <w:bottom w:w="0" w:type="dxa"/>
              <w:right w:w="108" w:type="dxa"/>
            </w:tcMar>
          </w:tcPr>
          <w:p w:rsidR="00794E04" w:rsidRPr="00526311" w:rsidRDefault="00794E04" w:rsidP="0063039A">
            <w:pPr>
              <w:keepNext/>
              <w:keepLines/>
              <w:jc w:val="center"/>
              <w:rPr>
                <w:b/>
                <w:bCs/>
                <w:color w:val="404040" w:themeColor="text1" w:themeTint="BF"/>
                <w:sz w:val="16"/>
                <w:szCs w:val="16"/>
              </w:rPr>
            </w:pPr>
            <w:r w:rsidRPr="00526311">
              <w:rPr>
                <w:b/>
                <w:bCs/>
                <w:color w:val="0070C0"/>
                <w:sz w:val="16"/>
                <w:szCs w:val="16"/>
              </w:rPr>
              <w:t>N.d. en 2014</w:t>
            </w:r>
          </w:p>
        </w:tc>
      </w:tr>
      <w:tr w:rsidR="00794E04" w:rsidRPr="00526311" w:rsidTr="0063039A">
        <w:trPr>
          <w:cantSplit/>
        </w:trPr>
        <w:tc>
          <w:tcPr>
            <w:tcW w:w="1101" w:type="pct"/>
            <w:gridSpan w:val="2"/>
            <w:tcBorders>
              <w:left w:val="single" w:sz="4" w:space="0" w:color="auto"/>
            </w:tcBorders>
          </w:tcPr>
          <w:p w:rsidR="00794E04" w:rsidRPr="00526311" w:rsidRDefault="00794E04" w:rsidP="0063039A">
            <w:pPr>
              <w:rPr>
                <w:sz w:val="16"/>
                <w:szCs w:val="16"/>
                <w:lang w:bidi="th-TH"/>
              </w:rPr>
            </w:pPr>
            <w:r w:rsidRPr="00526311">
              <w:rPr>
                <w:sz w:val="16"/>
                <w:szCs w:val="16"/>
                <w:lang w:bidi="th-TH"/>
              </w:rPr>
              <w:t>Porcentaje de programas de la OMPI que utilizan los datos sobre el rendimiento para gestionar el rendimiento del programa</w:t>
            </w:r>
          </w:p>
        </w:tc>
        <w:tc>
          <w:tcPr>
            <w:tcW w:w="961" w:type="pct"/>
            <w:gridSpan w:val="2"/>
            <w:hideMark/>
          </w:tcPr>
          <w:p w:rsidR="00794E04" w:rsidRPr="00526311" w:rsidRDefault="00794E04"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55%</w:t>
            </w:r>
            <w:r w:rsidRPr="00526311">
              <w:rPr>
                <w:rStyle w:val="FootnoteReference"/>
                <w:color w:val="002060"/>
                <w:sz w:val="16"/>
                <w:szCs w:val="16"/>
              </w:rPr>
              <w:footnoteReference w:id="56"/>
            </w:r>
            <w:r w:rsidRPr="00526311">
              <w:rPr>
                <w:color w:val="002060"/>
                <w:sz w:val="16"/>
                <w:szCs w:val="16"/>
              </w:rPr>
              <w:t xml:space="preserve"> (según el informe de validación del </w:t>
            </w:r>
            <w:r w:rsidR="00AA0C32" w:rsidRPr="00526311">
              <w:rPr>
                <w:color w:val="002060"/>
                <w:sz w:val="16"/>
                <w:szCs w:val="16"/>
              </w:rPr>
              <w:t xml:space="preserve">documento </w:t>
            </w:r>
            <w:r w:rsidRPr="00526311">
              <w:rPr>
                <w:color w:val="002060"/>
                <w:sz w:val="16"/>
                <w:szCs w:val="16"/>
              </w:rPr>
              <w:t>PPR 2010/11)</w:t>
            </w:r>
          </w:p>
          <w:p w:rsidR="00794E04" w:rsidRPr="00526311" w:rsidRDefault="00794E04" w:rsidP="0063039A">
            <w:pPr>
              <w:rPr>
                <w:i/>
                <w:sz w:val="16"/>
                <w:szCs w:val="16"/>
              </w:rPr>
            </w:pPr>
          </w:p>
          <w:p w:rsidR="00794E04" w:rsidRPr="00526311" w:rsidRDefault="007B705E" w:rsidP="0063039A">
            <w:pPr>
              <w:rPr>
                <w:sz w:val="16"/>
                <w:szCs w:val="16"/>
                <w:lang w:bidi="th-TH"/>
              </w:rPr>
            </w:pPr>
            <w:r w:rsidRPr="00526311">
              <w:rPr>
                <w:i/>
                <w:sz w:val="16"/>
                <w:szCs w:val="16"/>
              </w:rPr>
              <w:t>Referencia original en el presupuesto de 2014/15</w:t>
            </w:r>
            <w:r w:rsidR="00794E04" w:rsidRPr="00526311">
              <w:rPr>
                <w:i/>
                <w:sz w:val="16"/>
                <w:szCs w:val="16"/>
              </w:rPr>
              <w:t>:</w:t>
            </w:r>
            <w:r w:rsidR="003512F5" w:rsidRPr="00526311">
              <w:rPr>
                <w:sz w:val="16"/>
                <w:szCs w:val="16"/>
                <w:lang w:bidi="th-TH"/>
              </w:rPr>
              <w:t xml:space="preserve">  50</w:t>
            </w:r>
            <w:r w:rsidR="003512F5" w:rsidRPr="00526311">
              <w:rPr>
                <w:sz w:val="16"/>
                <w:szCs w:val="16"/>
                <w:lang w:bidi="th-TH"/>
              </w:rPr>
              <w:br/>
            </w:r>
          </w:p>
        </w:tc>
        <w:tc>
          <w:tcPr>
            <w:tcW w:w="796" w:type="pct"/>
            <w:tcMar>
              <w:top w:w="110" w:type="dxa"/>
              <w:left w:w="108" w:type="dxa"/>
              <w:bottom w:w="0" w:type="dxa"/>
              <w:right w:w="108" w:type="dxa"/>
            </w:tcMar>
            <w:hideMark/>
          </w:tcPr>
          <w:p w:rsidR="00794E04" w:rsidRPr="00526311" w:rsidRDefault="00794E04" w:rsidP="003512F5">
            <w:pPr>
              <w:autoSpaceDE w:val="0"/>
              <w:autoSpaceDN w:val="0"/>
              <w:adjustRightInd w:val="0"/>
              <w:rPr>
                <w:sz w:val="16"/>
                <w:szCs w:val="16"/>
              </w:rPr>
            </w:pPr>
            <w:r w:rsidRPr="00526311">
              <w:rPr>
                <w:sz w:val="16"/>
                <w:szCs w:val="16"/>
              </w:rPr>
              <w:t>70</w:t>
            </w:r>
          </w:p>
        </w:tc>
        <w:tc>
          <w:tcPr>
            <w:tcW w:w="1482" w:type="pct"/>
            <w:shd w:val="clear" w:color="auto" w:fill="FFFFFF"/>
            <w:tcMar>
              <w:top w:w="110" w:type="dxa"/>
              <w:left w:w="108" w:type="dxa"/>
              <w:bottom w:w="0" w:type="dxa"/>
              <w:right w:w="108" w:type="dxa"/>
            </w:tcMar>
            <w:hideMark/>
          </w:tcPr>
          <w:p w:rsidR="00794E04" w:rsidRPr="00526311" w:rsidRDefault="00794E04" w:rsidP="00AA0C32">
            <w:pPr>
              <w:rPr>
                <w:sz w:val="16"/>
                <w:szCs w:val="16"/>
                <w:highlight w:val="yellow"/>
              </w:rPr>
            </w:pPr>
            <w:r w:rsidRPr="00526311">
              <w:rPr>
                <w:color w:val="000000"/>
                <w:sz w:val="16"/>
                <w:szCs w:val="16"/>
              </w:rPr>
              <w:t xml:space="preserve">79% </w:t>
            </w:r>
            <w:r w:rsidR="003512F5" w:rsidRPr="00526311">
              <w:rPr>
                <w:color w:val="000000"/>
                <w:sz w:val="16"/>
                <w:szCs w:val="16"/>
              </w:rPr>
              <w:t>(</w:t>
            </w:r>
            <w:r w:rsidRPr="00526311">
              <w:rPr>
                <w:color w:val="000000"/>
                <w:sz w:val="16"/>
                <w:szCs w:val="16"/>
              </w:rPr>
              <w:t xml:space="preserve">según el informe de validación del </w:t>
            </w:r>
            <w:r w:rsidR="00AA0C32" w:rsidRPr="00526311">
              <w:rPr>
                <w:color w:val="000000"/>
                <w:sz w:val="16"/>
                <w:szCs w:val="16"/>
              </w:rPr>
              <w:t xml:space="preserve">documento </w:t>
            </w:r>
            <w:r w:rsidRPr="00526311">
              <w:rPr>
                <w:color w:val="000000"/>
                <w:sz w:val="16"/>
                <w:szCs w:val="16"/>
              </w:rPr>
              <w:t>PPR 2012/13)</w:t>
            </w:r>
            <w:r w:rsidRPr="00526311">
              <w:rPr>
                <w:rStyle w:val="FootnoteReference"/>
                <w:sz w:val="16"/>
                <w:szCs w:val="16"/>
              </w:rPr>
              <w:footnoteReference w:id="57"/>
            </w:r>
          </w:p>
        </w:tc>
        <w:tc>
          <w:tcPr>
            <w:tcW w:w="660" w:type="pct"/>
            <w:tcBorders>
              <w:right w:val="single" w:sz="4" w:space="0" w:color="auto"/>
            </w:tcBorders>
            <w:tcMar>
              <w:top w:w="110" w:type="dxa"/>
              <w:left w:w="108" w:type="dxa"/>
              <w:bottom w:w="0" w:type="dxa"/>
              <w:right w:w="108" w:type="dxa"/>
            </w:tcMar>
            <w:hideMark/>
          </w:tcPr>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tc>
      </w:tr>
    </w:tbl>
    <w:p w:rsidR="00794E04" w:rsidRPr="00526311" w:rsidRDefault="00794E04">
      <w:r w:rsidRPr="00526311">
        <w:br w:type="page"/>
      </w:r>
    </w:p>
    <w:tbl>
      <w:tblPr>
        <w:tblW w:w="488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02"/>
        <w:gridCol w:w="1836"/>
        <w:gridCol w:w="1390"/>
        <w:gridCol w:w="2895"/>
        <w:gridCol w:w="1134"/>
      </w:tblGrid>
      <w:tr w:rsidR="00794E04" w:rsidRPr="00526311" w:rsidTr="0063039A">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794E04" w:rsidRPr="00526311" w:rsidRDefault="00794E04" w:rsidP="0063039A">
            <w:pPr>
              <w:tabs>
                <w:tab w:val="left" w:pos="1452"/>
              </w:tabs>
              <w:spacing w:before="120" w:after="120"/>
              <w:ind w:left="1701" w:hanging="1701"/>
              <w:rPr>
                <w:b/>
                <w:bCs/>
                <w:sz w:val="16"/>
                <w:szCs w:val="16"/>
              </w:rPr>
            </w:pPr>
            <w:r w:rsidRPr="00526311">
              <w:rPr>
                <w:b/>
                <w:bCs/>
                <w:sz w:val="16"/>
                <w:szCs w:val="16"/>
              </w:rPr>
              <w:lastRenderedPageBreak/>
              <w:t>Resultado previsto:</w:t>
            </w:r>
            <w:r w:rsidRPr="00526311">
              <w:rPr>
                <w:b/>
                <w:bCs/>
                <w:sz w:val="16"/>
                <w:szCs w:val="16"/>
              </w:rPr>
              <w:tab/>
            </w:r>
            <w:r w:rsidRPr="00526311">
              <w:rPr>
                <w:bCs/>
                <w:sz w:val="16"/>
                <w:szCs w:val="16"/>
              </w:rPr>
              <w:t>IX.3 Entorno de trabajo propicio basado en un marco regulador eficaz y medios adecuados para atender los temas de interés del personal</w:t>
            </w:r>
          </w:p>
        </w:tc>
      </w:tr>
      <w:tr w:rsidR="00794E04" w:rsidRPr="00526311" w:rsidTr="0063039A">
        <w:tc>
          <w:tcPr>
            <w:tcW w:w="1123" w:type="pct"/>
            <w:tcBorders>
              <w:top w:val="single" w:sz="4" w:space="0" w:color="auto"/>
              <w:left w:val="single" w:sz="4" w:space="0" w:color="auto"/>
            </w:tcBorders>
          </w:tcPr>
          <w:p w:rsidR="00794E04" w:rsidRPr="00526311" w:rsidRDefault="00794E04" w:rsidP="0063039A">
            <w:pPr>
              <w:rPr>
                <w:sz w:val="16"/>
                <w:szCs w:val="16"/>
                <w:lang w:bidi="th-TH"/>
              </w:rPr>
            </w:pPr>
            <w:r w:rsidRPr="00526311">
              <w:rPr>
                <w:b/>
                <w:sz w:val="16"/>
                <w:szCs w:val="16"/>
                <w:lang w:bidi="th-TH"/>
              </w:rPr>
              <w:t>Indicadores de rendimiento</w:t>
            </w:r>
          </w:p>
        </w:tc>
        <w:tc>
          <w:tcPr>
            <w:tcW w:w="981" w:type="pct"/>
            <w:tcBorders>
              <w:top w:val="single" w:sz="4" w:space="0" w:color="auto"/>
            </w:tcBorders>
            <w:hideMark/>
          </w:tcPr>
          <w:p w:rsidR="00794E04" w:rsidRPr="00526311" w:rsidRDefault="00794E04" w:rsidP="0063039A">
            <w:pPr>
              <w:rPr>
                <w:sz w:val="16"/>
                <w:szCs w:val="16"/>
                <w:lang w:bidi="th-TH"/>
              </w:rPr>
            </w:pPr>
            <w:r w:rsidRPr="00526311">
              <w:rPr>
                <w:b/>
                <w:sz w:val="16"/>
                <w:szCs w:val="16"/>
                <w:lang w:bidi="th-TH"/>
              </w:rPr>
              <w:t>Referencia</w:t>
            </w:r>
          </w:p>
        </w:tc>
        <w:tc>
          <w:tcPr>
            <w:tcW w:w="743" w:type="pct"/>
            <w:tcBorders>
              <w:top w:val="single" w:sz="4" w:space="0" w:color="auto"/>
            </w:tcBorders>
            <w:tcMar>
              <w:top w:w="110" w:type="dxa"/>
              <w:left w:w="108" w:type="dxa"/>
              <w:bottom w:w="0" w:type="dxa"/>
              <w:right w:w="108" w:type="dxa"/>
            </w:tcMar>
            <w:hideMark/>
          </w:tcPr>
          <w:p w:rsidR="00794E04" w:rsidRPr="00526311" w:rsidRDefault="00794E04" w:rsidP="0063039A">
            <w:pPr>
              <w:autoSpaceDE w:val="0"/>
              <w:autoSpaceDN w:val="0"/>
              <w:adjustRightInd w:val="0"/>
              <w:rPr>
                <w:sz w:val="16"/>
                <w:szCs w:val="16"/>
              </w:rPr>
            </w:pPr>
            <w:r w:rsidRPr="00526311">
              <w:rPr>
                <w:b/>
                <w:sz w:val="16"/>
                <w:szCs w:val="16"/>
              </w:rPr>
              <w:t>Objetivos</w:t>
            </w:r>
          </w:p>
        </w:tc>
        <w:tc>
          <w:tcPr>
            <w:tcW w:w="1547" w:type="pct"/>
            <w:tcBorders>
              <w:top w:val="single" w:sz="4" w:space="0" w:color="auto"/>
            </w:tcBorders>
            <w:shd w:val="clear" w:color="auto" w:fill="FFFFFF"/>
            <w:tcMar>
              <w:top w:w="110" w:type="dxa"/>
              <w:left w:w="108" w:type="dxa"/>
              <w:bottom w:w="0" w:type="dxa"/>
              <w:right w:w="108" w:type="dxa"/>
            </w:tcMar>
            <w:hideMark/>
          </w:tcPr>
          <w:p w:rsidR="00794E04" w:rsidRPr="00526311" w:rsidRDefault="00794E04" w:rsidP="0063039A">
            <w:pPr>
              <w:rPr>
                <w:sz w:val="16"/>
                <w:szCs w:val="16"/>
              </w:rPr>
            </w:pPr>
            <w:r w:rsidRPr="00526311">
              <w:rPr>
                <w:b/>
                <w:sz w:val="16"/>
                <w:szCs w:val="16"/>
              </w:rPr>
              <w:t>Datos sobre el rendimiento</w:t>
            </w:r>
          </w:p>
        </w:tc>
        <w:tc>
          <w:tcPr>
            <w:tcW w:w="606" w:type="pct"/>
            <w:tcBorders>
              <w:top w:val="single" w:sz="4" w:space="0" w:color="auto"/>
              <w:right w:val="single" w:sz="4" w:space="0" w:color="auto"/>
            </w:tcBorders>
            <w:tcMar>
              <w:top w:w="110" w:type="dxa"/>
              <w:left w:w="108" w:type="dxa"/>
              <w:bottom w:w="0" w:type="dxa"/>
              <w:right w:w="108" w:type="dxa"/>
            </w:tcMar>
            <w:hideMark/>
          </w:tcPr>
          <w:p w:rsidR="00794E04" w:rsidRPr="00526311" w:rsidRDefault="00794E04" w:rsidP="0063039A">
            <w:pPr>
              <w:jc w:val="center"/>
              <w:rPr>
                <w:bCs/>
                <w:color w:val="404040" w:themeColor="text1" w:themeTint="BF"/>
                <w:sz w:val="16"/>
                <w:szCs w:val="16"/>
              </w:rPr>
            </w:pPr>
            <w:r w:rsidRPr="00526311">
              <w:rPr>
                <w:b/>
                <w:bCs/>
                <w:sz w:val="16"/>
                <w:szCs w:val="16"/>
              </w:rPr>
              <w:t>Clave de colores</w:t>
            </w:r>
          </w:p>
        </w:tc>
      </w:tr>
      <w:tr w:rsidR="00794E04" w:rsidRPr="00526311" w:rsidTr="0063039A">
        <w:tc>
          <w:tcPr>
            <w:tcW w:w="1123" w:type="pct"/>
            <w:tcBorders>
              <w:left w:val="single" w:sz="4" w:space="0" w:color="auto"/>
            </w:tcBorders>
          </w:tcPr>
          <w:p w:rsidR="00794E04" w:rsidRPr="00526311" w:rsidRDefault="00794E04" w:rsidP="0063039A">
            <w:pPr>
              <w:rPr>
                <w:sz w:val="16"/>
                <w:szCs w:val="16"/>
                <w:lang w:bidi="th-TH"/>
              </w:rPr>
            </w:pPr>
            <w:r w:rsidRPr="00526311">
              <w:rPr>
                <w:sz w:val="16"/>
                <w:szCs w:val="16"/>
                <w:lang w:bidi="th-TH"/>
              </w:rPr>
              <w:t>El Reglamento Financiero y la Reglamentación Financiera y las órdenes de servicio pertinentes están actualizados</w:t>
            </w:r>
          </w:p>
        </w:tc>
        <w:tc>
          <w:tcPr>
            <w:tcW w:w="981" w:type="pct"/>
          </w:tcPr>
          <w:p w:rsidR="00794E04" w:rsidRPr="00526311" w:rsidRDefault="00794E04" w:rsidP="0063039A">
            <w:pPr>
              <w:rPr>
                <w:sz w:val="16"/>
                <w:szCs w:val="16"/>
                <w:lang w:bidi="th-TH"/>
              </w:rPr>
            </w:pPr>
            <w:r w:rsidRPr="00526311">
              <w:rPr>
                <w:i/>
                <w:color w:val="002060"/>
                <w:sz w:val="16"/>
                <w:szCs w:val="16"/>
              </w:rPr>
              <w:t xml:space="preserve">Referencia actualizada a fines de 2013: </w:t>
            </w:r>
            <w:r w:rsidRPr="00526311">
              <w:rPr>
                <w:sz w:val="16"/>
                <w:szCs w:val="16"/>
                <w:lang w:bidi="th-TH"/>
              </w:rPr>
              <w:t xml:space="preserve"> órdenes de servicio publicadas en 2012 y 2013. Reglamento Financiero y Reglamentación Financiera modificados en 2012 y 2013 según lo estimado necesario</w:t>
            </w:r>
          </w:p>
          <w:p w:rsidR="00794E04" w:rsidRPr="00526311" w:rsidRDefault="00794E04" w:rsidP="0063039A">
            <w:pPr>
              <w:rPr>
                <w:sz w:val="16"/>
                <w:szCs w:val="16"/>
                <w:lang w:bidi="th-TH"/>
              </w:rPr>
            </w:pPr>
          </w:p>
          <w:p w:rsidR="00794E04" w:rsidRPr="00526311" w:rsidRDefault="007B705E" w:rsidP="0063039A">
            <w:pPr>
              <w:rPr>
                <w:sz w:val="16"/>
                <w:szCs w:val="16"/>
                <w:lang w:bidi="th-TH"/>
              </w:rPr>
            </w:pPr>
            <w:r w:rsidRPr="00526311">
              <w:rPr>
                <w:i/>
                <w:sz w:val="16"/>
                <w:szCs w:val="16"/>
              </w:rPr>
              <w:t>Referencia original en el presupuesto de 2014/15</w:t>
            </w:r>
            <w:r w:rsidR="00794E04" w:rsidRPr="00526311">
              <w:rPr>
                <w:i/>
                <w:sz w:val="16"/>
                <w:szCs w:val="16"/>
              </w:rPr>
              <w:t>:</w:t>
            </w:r>
            <w:r w:rsidR="00794E04" w:rsidRPr="00526311">
              <w:rPr>
                <w:sz w:val="16"/>
                <w:szCs w:val="16"/>
                <w:lang w:bidi="th-TH"/>
              </w:rPr>
              <w:t xml:space="preserve">  órdenes de servicio publicadas en 2012 y 2013. Reglamento Financiero y Reglamentación Financiera modificados en 2012 según lo estimado necesario</w:t>
            </w:r>
          </w:p>
        </w:tc>
        <w:tc>
          <w:tcPr>
            <w:tcW w:w="743" w:type="pct"/>
            <w:tcMar>
              <w:top w:w="110" w:type="dxa"/>
              <w:left w:w="108" w:type="dxa"/>
              <w:bottom w:w="0" w:type="dxa"/>
              <w:right w:w="108" w:type="dxa"/>
            </w:tcMar>
          </w:tcPr>
          <w:p w:rsidR="00794E04" w:rsidRPr="00526311" w:rsidRDefault="00794E04" w:rsidP="0063039A">
            <w:pPr>
              <w:autoSpaceDE w:val="0"/>
              <w:autoSpaceDN w:val="0"/>
              <w:adjustRightInd w:val="0"/>
              <w:rPr>
                <w:sz w:val="16"/>
                <w:szCs w:val="16"/>
              </w:rPr>
            </w:pPr>
            <w:r w:rsidRPr="00526311">
              <w:rPr>
                <w:sz w:val="16"/>
                <w:szCs w:val="16"/>
              </w:rPr>
              <w:t>Examen y revisión del marco regulador cuando se considere apropiado</w:t>
            </w:r>
          </w:p>
        </w:tc>
        <w:tc>
          <w:tcPr>
            <w:tcW w:w="1547" w:type="pct"/>
            <w:shd w:val="clear" w:color="auto" w:fill="FFFFFF"/>
            <w:tcMar>
              <w:top w:w="110" w:type="dxa"/>
              <w:left w:w="108" w:type="dxa"/>
              <w:bottom w:w="0" w:type="dxa"/>
              <w:right w:w="108" w:type="dxa"/>
            </w:tcMar>
          </w:tcPr>
          <w:p w:rsidR="00794E04" w:rsidRPr="00526311" w:rsidRDefault="00794E04" w:rsidP="00794E04">
            <w:pPr>
              <w:pStyle w:val="ListParagraph"/>
              <w:numPr>
                <w:ilvl w:val="0"/>
                <w:numId w:val="84"/>
              </w:numPr>
              <w:spacing w:after="200" w:line="276" w:lineRule="auto"/>
              <w:ind w:left="241" w:hanging="241"/>
              <w:contextualSpacing/>
              <w:rPr>
                <w:rFonts w:cs="Arial"/>
                <w:sz w:val="16"/>
                <w:szCs w:val="16"/>
                <w:lang w:val="es-ES"/>
              </w:rPr>
            </w:pPr>
            <w:r w:rsidRPr="00526311">
              <w:rPr>
                <w:rFonts w:cs="Arial"/>
                <w:sz w:val="16"/>
                <w:szCs w:val="16"/>
                <w:lang w:val="es-ES"/>
              </w:rPr>
              <w:t>Revisión o publicación de órdenes de servicio en materia de:</w:t>
            </w:r>
          </w:p>
          <w:p w:rsidR="00794E04" w:rsidRPr="00526311" w:rsidRDefault="00794E04" w:rsidP="00794E04">
            <w:pPr>
              <w:pStyle w:val="ListParagraph"/>
              <w:numPr>
                <w:ilvl w:val="1"/>
                <w:numId w:val="84"/>
              </w:numPr>
              <w:spacing w:after="200" w:line="276" w:lineRule="auto"/>
              <w:ind w:left="667" w:hanging="334"/>
              <w:contextualSpacing/>
              <w:rPr>
                <w:rFonts w:cs="Arial"/>
                <w:sz w:val="16"/>
                <w:szCs w:val="16"/>
                <w:lang w:val="es-ES"/>
              </w:rPr>
            </w:pPr>
            <w:r w:rsidRPr="00526311">
              <w:rPr>
                <w:rFonts w:cs="Arial"/>
                <w:sz w:val="16"/>
                <w:szCs w:val="16"/>
                <w:lang w:val="es-ES"/>
              </w:rPr>
              <w:t>Principios generales y reglas básicas en materia de adquisiciones (1/2014)</w:t>
            </w:r>
          </w:p>
          <w:p w:rsidR="00794E04" w:rsidRPr="00526311" w:rsidRDefault="00794E04" w:rsidP="00794E04">
            <w:pPr>
              <w:pStyle w:val="ListParagraph"/>
              <w:numPr>
                <w:ilvl w:val="1"/>
                <w:numId w:val="84"/>
              </w:numPr>
              <w:spacing w:after="200" w:line="276" w:lineRule="auto"/>
              <w:ind w:left="667" w:hanging="334"/>
              <w:contextualSpacing/>
              <w:rPr>
                <w:rFonts w:cs="Arial"/>
                <w:sz w:val="16"/>
                <w:szCs w:val="16"/>
                <w:lang w:val="es-ES"/>
              </w:rPr>
            </w:pPr>
            <w:r w:rsidRPr="00526311">
              <w:rPr>
                <w:rFonts w:cs="Arial"/>
                <w:sz w:val="16"/>
                <w:szCs w:val="16"/>
                <w:lang w:val="es-ES"/>
              </w:rPr>
              <w:t>Anticipos de sueldo (10/2014)</w:t>
            </w:r>
          </w:p>
          <w:p w:rsidR="00794E04" w:rsidRPr="00526311" w:rsidRDefault="00794E04" w:rsidP="00794E04">
            <w:pPr>
              <w:pStyle w:val="ListParagraph"/>
              <w:numPr>
                <w:ilvl w:val="1"/>
                <w:numId w:val="84"/>
              </w:numPr>
              <w:spacing w:after="200" w:line="276" w:lineRule="auto"/>
              <w:ind w:left="667" w:hanging="334"/>
              <w:contextualSpacing/>
              <w:rPr>
                <w:rFonts w:cs="Arial"/>
                <w:sz w:val="16"/>
                <w:szCs w:val="16"/>
                <w:lang w:val="es-ES"/>
              </w:rPr>
            </w:pPr>
            <w:r w:rsidRPr="00526311">
              <w:rPr>
                <w:rFonts w:cs="Arial"/>
                <w:color w:val="000000"/>
                <w:sz w:val="16"/>
                <w:szCs w:val="16"/>
                <w:lang w:val="es-ES"/>
              </w:rPr>
              <w:t xml:space="preserve">Política </w:t>
            </w:r>
            <w:r w:rsidRPr="00526311">
              <w:rPr>
                <w:rFonts w:cs="Arial"/>
                <w:sz w:val="16"/>
                <w:szCs w:val="16"/>
                <w:lang w:val="es-ES"/>
              </w:rPr>
              <w:t>sobre</w:t>
            </w:r>
            <w:r w:rsidRPr="00526311">
              <w:rPr>
                <w:rFonts w:cs="Arial"/>
                <w:color w:val="000000"/>
                <w:sz w:val="16"/>
                <w:szCs w:val="16"/>
                <w:lang w:val="es-ES"/>
              </w:rPr>
              <w:t xml:space="preserve"> el uso de dispositivos de telecomunicación (17/2014)</w:t>
            </w:r>
          </w:p>
          <w:p w:rsidR="00794E04" w:rsidRPr="00526311" w:rsidRDefault="00794E04" w:rsidP="00794E04">
            <w:pPr>
              <w:pStyle w:val="ListParagraph"/>
              <w:numPr>
                <w:ilvl w:val="1"/>
                <w:numId w:val="84"/>
              </w:numPr>
              <w:spacing w:after="200" w:line="276" w:lineRule="auto"/>
              <w:ind w:left="667" w:hanging="334"/>
              <w:contextualSpacing/>
              <w:rPr>
                <w:rFonts w:cs="Arial"/>
                <w:sz w:val="16"/>
                <w:szCs w:val="16"/>
                <w:lang w:val="es-ES"/>
              </w:rPr>
            </w:pPr>
            <w:r w:rsidRPr="00526311">
              <w:rPr>
                <w:rFonts w:cs="Arial"/>
                <w:sz w:val="16"/>
                <w:szCs w:val="16"/>
                <w:lang w:val="es-ES"/>
              </w:rPr>
              <w:t>Creación del Grupo de Gestión de Riesgos (18/2014)</w:t>
            </w:r>
          </w:p>
          <w:p w:rsidR="00794E04" w:rsidRPr="00526311" w:rsidRDefault="00794E04" w:rsidP="00794E04">
            <w:pPr>
              <w:pStyle w:val="ListParagraph"/>
              <w:numPr>
                <w:ilvl w:val="1"/>
                <w:numId w:val="84"/>
              </w:numPr>
              <w:spacing w:after="200" w:line="276" w:lineRule="auto"/>
              <w:ind w:left="667" w:hanging="334"/>
              <w:contextualSpacing/>
              <w:rPr>
                <w:rFonts w:cs="Arial"/>
                <w:sz w:val="16"/>
                <w:szCs w:val="16"/>
                <w:lang w:val="es-ES"/>
              </w:rPr>
            </w:pPr>
            <w:r w:rsidRPr="00526311">
              <w:rPr>
                <w:rFonts w:cs="Arial"/>
                <w:sz w:val="16"/>
                <w:szCs w:val="16"/>
                <w:lang w:val="es-ES"/>
              </w:rPr>
              <w:t>Vacaciones en el país de origen (22/2014)</w:t>
            </w:r>
          </w:p>
          <w:p w:rsidR="00794E04" w:rsidRPr="00526311" w:rsidRDefault="00794E04" w:rsidP="00794E04">
            <w:pPr>
              <w:pStyle w:val="ListParagraph"/>
              <w:numPr>
                <w:ilvl w:val="1"/>
                <w:numId w:val="84"/>
              </w:numPr>
              <w:spacing w:after="200" w:line="276" w:lineRule="auto"/>
              <w:ind w:left="667" w:hanging="334"/>
              <w:contextualSpacing/>
              <w:rPr>
                <w:rFonts w:cs="Arial"/>
                <w:sz w:val="16"/>
                <w:szCs w:val="16"/>
                <w:lang w:val="es-ES"/>
              </w:rPr>
            </w:pPr>
            <w:r w:rsidRPr="00526311">
              <w:rPr>
                <w:rFonts w:cs="Arial"/>
                <w:sz w:val="16"/>
                <w:szCs w:val="16"/>
                <w:lang w:val="es-ES"/>
              </w:rPr>
              <w:t>Política de gestión de riesgos de la OMPI (34/2014)</w:t>
            </w:r>
          </w:p>
          <w:p w:rsidR="00794E04" w:rsidRPr="00526311" w:rsidRDefault="00794E04" w:rsidP="00794E04">
            <w:pPr>
              <w:pStyle w:val="ListParagraph"/>
              <w:numPr>
                <w:ilvl w:val="1"/>
                <w:numId w:val="84"/>
              </w:numPr>
              <w:spacing w:after="200" w:line="276" w:lineRule="auto"/>
              <w:ind w:left="667" w:hanging="334"/>
              <w:contextualSpacing/>
              <w:rPr>
                <w:rFonts w:cs="Arial"/>
                <w:sz w:val="16"/>
                <w:szCs w:val="16"/>
                <w:lang w:val="es-ES"/>
              </w:rPr>
            </w:pPr>
            <w:r w:rsidRPr="00526311">
              <w:rPr>
                <w:rFonts w:cs="Arial"/>
                <w:sz w:val="16"/>
                <w:szCs w:val="16"/>
                <w:lang w:val="es-ES"/>
              </w:rPr>
              <w:t>Directrices financieras y de gestión del efectivo para oficinas de la OMPI en el exterior – Alcance y propósito (45/2014)</w:t>
            </w:r>
          </w:p>
          <w:p w:rsidR="00794E04" w:rsidRPr="00526311" w:rsidRDefault="00794E04" w:rsidP="00794E04">
            <w:pPr>
              <w:pStyle w:val="ListParagraph"/>
              <w:numPr>
                <w:ilvl w:val="1"/>
                <w:numId w:val="84"/>
              </w:numPr>
              <w:spacing w:after="200" w:line="276" w:lineRule="auto"/>
              <w:ind w:left="667" w:hanging="334"/>
              <w:contextualSpacing/>
              <w:rPr>
                <w:rFonts w:cs="Arial"/>
                <w:sz w:val="16"/>
                <w:szCs w:val="16"/>
                <w:lang w:val="es-ES"/>
              </w:rPr>
            </w:pPr>
            <w:r w:rsidRPr="00526311">
              <w:rPr>
                <w:rFonts w:cs="Arial"/>
                <w:sz w:val="16"/>
                <w:szCs w:val="16"/>
                <w:lang w:val="es-ES"/>
              </w:rPr>
              <w:t>Atenciones sociales oficiales  (3/2012 Rev.)</w:t>
            </w:r>
          </w:p>
          <w:p w:rsidR="00794E04" w:rsidRPr="00526311" w:rsidRDefault="00794E04" w:rsidP="00794E04">
            <w:pPr>
              <w:pStyle w:val="ListParagraph"/>
              <w:numPr>
                <w:ilvl w:val="1"/>
                <w:numId w:val="84"/>
              </w:numPr>
              <w:spacing w:after="200" w:line="276" w:lineRule="auto"/>
              <w:ind w:left="667" w:hanging="334"/>
              <w:contextualSpacing/>
              <w:rPr>
                <w:rFonts w:cs="Arial"/>
                <w:sz w:val="16"/>
                <w:szCs w:val="16"/>
                <w:lang w:val="es-ES"/>
              </w:rPr>
            </w:pPr>
            <w:r w:rsidRPr="00526311">
              <w:rPr>
                <w:rFonts w:cs="Arial"/>
                <w:sz w:val="16"/>
                <w:szCs w:val="16"/>
                <w:lang w:val="es-ES"/>
              </w:rPr>
              <w:t>Viajes oficiales y gastos conexos (29/2013 Rev.)</w:t>
            </w:r>
          </w:p>
          <w:p w:rsidR="00794E04" w:rsidRPr="00526311" w:rsidRDefault="00794E04" w:rsidP="00794E04">
            <w:pPr>
              <w:pStyle w:val="ListParagraph"/>
              <w:numPr>
                <w:ilvl w:val="0"/>
                <w:numId w:val="84"/>
              </w:numPr>
              <w:spacing w:after="200" w:line="276" w:lineRule="auto"/>
              <w:ind w:left="241" w:hanging="241"/>
              <w:contextualSpacing/>
              <w:rPr>
                <w:rFonts w:cs="Arial"/>
                <w:sz w:val="16"/>
                <w:szCs w:val="16"/>
                <w:lang w:val="es-ES"/>
              </w:rPr>
            </w:pPr>
            <w:r w:rsidRPr="00526311">
              <w:rPr>
                <w:rFonts w:cs="Arial"/>
                <w:sz w:val="16"/>
                <w:szCs w:val="16"/>
                <w:lang w:val="es-ES"/>
              </w:rPr>
              <w:t xml:space="preserve">Revisión y modificación del </w:t>
            </w:r>
            <w:r w:rsidRPr="00526311">
              <w:rPr>
                <w:rFonts w:cs="Arial"/>
                <w:sz w:val="16"/>
                <w:szCs w:val="16"/>
                <w:lang w:val="es-ES" w:bidi="th-TH"/>
              </w:rPr>
              <w:t>Reglamento Financiero y Reglamentación Financiera</w:t>
            </w:r>
            <w:r w:rsidRPr="00526311">
              <w:rPr>
                <w:rFonts w:cs="Arial"/>
                <w:sz w:val="16"/>
                <w:szCs w:val="16"/>
                <w:lang w:val="es-ES"/>
              </w:rPr>
              <w:t xml:space="preserve"> (60/2014) en octubre de 2014</w:t>
            </w:r>
          </w:p>
          <w:p w:rsidR="00794E04" w:rsidRPr="00526311" w:rsidRDefault="00794E04" w:rsidP="00794E04">
            <w:pPr>
              <w:pStyle w:val="ListParagraph"/>
              <w:numPr>
                <w:ilvl w:val="0"/>
                <w:numId w:val="84"/>
              </w:numPr>
              <w:spacing w:after="200" w:line="276" w:lineRule="auto"/>
              <w:ind w:left="241" w:hanging="241"/>
              <w:contextualSpacing/>
              <w:rPr>
                <w:rFonts w:cs="Arial"/>
                <w:sz w:val="16"/>
                <w:szCs w:val="16"/>
                <w:lang w:val="es-ES"/>
              </w:rPr>
            </w:pPr>
            <w:r w:rsidRPr="00526311">
              <w:rPr>
                <w:rFonts w:cs="Arial"/>
                <w:sz w:val="16"/>
                <w:szCs w:val="16"/>
                <w:lang w:val="es-ES"/>
              </w:rPr>
              <w:t>Revisión de la delegación de autoridad programática y administrativa,  y de las autorizaciones del PNUD para firmar, e introducción de una aplicación electrónica de gestión de la delegación de autoridad programática</w:t>
            </w:r>
          </w:p>
          <w:p w:rsidR="00794E04" w:rsidRPr="00526311" w:rsidRDefault="00794E04" w:rsidP="00794E04">
            <w:pPr>
              <w:pStyle w:val="ListParagraph"/>
              <w:numPr>
                <w:ilvl w:val="0"/>
                <w:numId w:val="84"/>
              </w:numPr>
              <w:spacing w:after="200" w:line="276" w:lineRule="auto"/>
              <w:ind w:left="241" w:hanging="241"/>
              <w:contextualSpacing/>
              <w:rPr>
                <w:rFonts w:cs="Arial"/>
                <w:sz w:val="16"/>
                <w:szCs w:val="16"/>
                <w:lang w:val="es-ES"/>
              </w:rPr>
            </w:pPr>
            <w:r w:rsidRPr="00526311">
              <w:rPr>
                <w:rFonts w:cs="Arial"/>
                <w:sz w:val="16"/>
                <w:szCs w:val="16"/>
                <w:lang w:val="es-ES"/>
              </w:rPr>
              <w:t>Revisión o redacción en curso de órdenes de servicio en materia de:</w:t>
            </w:r>
          </w:p>
          <w:p w:rsidR="00794E04" w:rsidRPr="00526311" w:rsidRDefault="00794E04" w:rsidP="00794E04">
            <w:pPr>
              <w:pStyle w:val="ListParagraph"/>
              <w:numPr>
                <w:ilvl w:val="1"/>
                <w:numId w:val="84"/>
              </w:numPr>
              <w:spacing w:after="200" w:line="276" w:lineRule="auto"/>
              <w:ind w:left="828" w:hanging="495"/>
              <w:contextualSpacing/>
              <w:rPr>
                <w:rFonts w:cs="Arial"/>
                <w:sz w:val="16"/>
                <w:szCs w:val="16"/>
                <w:lang w:val="es-ES"/>
              </w:rPr>
            </w:pPr>
            <w:r w:rsidRPr="00526311">
              <w:rPr>
                <w:rFonts w:cs="Arial"/>
                <w:sz w:val="16"/>
                <w:szCs w:val="16"/>
                <w:lang w:val="es-ES"/>
              </w:rPr>
              <w:t xml:space="preserve">Gestión de bienes </w:t>
            </w:r>
          </w:p>
          <w:p w:rsidR="00794E04" w:rsidRPr="00526311" w:rsidRDefault="00794E04" w:rsidP="00794E04">
            <w:pPr>
              <w:pStyle w:val="ListParagraph"/>
              <w:numPr>
                <w:ilvl w:val="1"/>
                <w:numId w:val="84"/>
              </w:numPr>
              <w:spacing w:after="200" w:line="276" w:lineRule="auto"/>
              <w:ind w:left="828" w:hanging="495"/>
              <w:contextualSpacing/>
              <w:rPr>
                <w:rFonts w:cs="Arial"/>
                <w:sz w:val="16"/>
                <w:szCs w:val="16"/>
                <w:lang w:val="es-ES"/>
              </w:rPr>
            </w:pPr>
            <w:r w:rsidRPr="00526311">
              <w:rPr>
                <w:rFonts w:cs="Arial"/>
                <w:sz w:val="16"/>
                <w:szCs w:val="16"/>
                <w:lang w:val="es-ES"/>
              </w:rPr>
              <w:t>Gestión de contribuciones voluntarias</w:t>
            </w:r>
          </w:p>
          <w:p w:rsidR="00794E04" w:rsidRPr="00526311" w:rsidRDefault="00794E04" w:rsidP="00794E04">
            <w:pPr>
              <w:pStyle w:val="ListParagraph"/>
              <w:numPr>
                <w:ilvl w:val="1"/>
                <w:numId w:val="84"/>
              </w:numPr>
              <w:spacing w:after="200" w:line="276" w:lineRule="auto"/>
              <w:ind w:left="828" w:hanging="495"/>
              <w:contextualSpacing/>
              <w:rPr>
                <w:rFonts w:cs="Arial"/>
                <w:sz w:val="16"/>
                <w:szCs w:val="16"/>
                <w:lang w:val="es-ES"/>
              </w:rPr>
            </w:pPr>
            <w:r w:rsidRPr="00526311">
              <w:rPr>
                <w:rFonts w:cs="Arial"/>
                <w:sz w:val="16"/>
                <w:szCs w:val="16"/>
                <w:lang w:val="es-ES"/>
              </w:rPr>
              <w:t>Divulgación de la información financiera y declaración de intereses</w:t>
            </w:r>
          </w:p>
        </w:tc>
        <w:tc>
          <w:tcPr>
            <w:tcW w:w="606" w:type="pct"/>
            <w:tcBorders>
              <w:right w:val="single" w:sz="4" w:space="0" w:color="auto"/>
            </w:tcBorders>
            <w:tcMar>
              <w:top w:w="110" w:type="dxa"/>
              <w:left w:w="108" w:type="dxa"/>
              <w:bottom w:w="0" w:type="dxa"/>
              <w:right w:w="108" w:type="dxa"/>
            </w:tcMar>
          </w:tcPr>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tc>
      </w:tr>
    </w:tbl>
    <w:p w:rsidR="00794E04" w:rsidRPr="00526311" w:rsidRDefault="00794E04" w:rsidP="0063039A">
      <w:pPr>
        <w:keepNext/>
        <w:keepLines/>
        <w:rPr>
          <w:b/>
          <w:sz w:val="18"/>
          <w:szCs w:val="18"/>
        </w:rPr>
      </w:pPr>
      <w:r w:rsidRPr="00526311">
        <w:rPr>
          <w:szCs w:val="22"/>
        </w:rPr>
        <w:lastRenderedPageBreak/>
        <w:t>UTILIZACIÓN DE LOS RECURSOS</w:t>
      </w:r>
    </w:p>
    <w:p w:rsidR="00794E04" w:rsidRPr="00526311" w:rsidRDefault="00794E04" w:rsidP="0063039A">
      <w:pPr>
        <w:keepNext/>
        <w:keepLines/>
      </w:pPr>
    </w:p>
    <w:p w:rsidR="00794E04" w:rsidRPr="00526311" w:rsidRDefault="00794E04"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794E04" w:rsidRPr="00526311" w:rsidRDefault="00794E04"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(en miles de francos suizos)</w:t>
      </w:r>
    </w:p>
    <w:p w:rsidR="00794E04" w:rsidRPr="00526311" w:rsidRDefault="00794E04" w:rsidP="0063039A">
      <w:pPr>
        <w:pStyle w:val="NormalWeb"/>
        <w:keepNext/>
        <w:keepLines/>
        <w:spacing w:before="0" w:beforeAutospacing="0" w:after="0" w:afterAutospacing="0"/>
        <w:jc w:val="center"/>
        <w:rPr>
          <w:sz w:val="20"/>
          <w:szCs w:val="20"/>
          <w:lang w:val="es-ES"/>
        </w:rPr>
      </w:pPr>
    </w:p>
    <w:p w:rsidR="00794E04" w:rsidRPr="00526311" w:rsidRDefault="00DD7B62" w:rsidP="0063039A">
      <w:pPr>
        <w:keepNext/>
        <w:keepLines/>
        <w:jc w:val="center"/>
      </w:pPr>
      <w:r w:rsidRPr="00526311">
        <w:rPr>
          <w:noProof/>
          <w:lang w:val="en-US" w:eastAsia="en-US"/>
        </w:rPr>
        <w:drawing>
          <wp:inline distT="0" distB="0" distL="0" distR="0" wp14:anchorId="03FF8D56" wp14:editId="7DDDC334">
            <wp:extent cx="5576132" cy="2847975"/>
            <wp:effectExtent l="0" t="0" r="5715"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76132" cy="2847975"/>
                    </a:xfrm>
                    <a:prstGeom prst="rect">
                      <a:avLst/>
                    </a:prstGeom>
                    <a:noFill/>
                    <a:ln>
                      <a:noFill/>
                    </a:ln>
                  </pic:spPr>
                </pic:pic>
              </a:graphicData>
            </a:graphic>
          </wp:inline>
        </w:drawing>
      </w:r>
    </w:p>
    <w:p w:rsidR="00794E04" w:rsidRPr="00526311" w:rsidRDefault="00794E04" w:rsidP="0063039A"/>
    <w:p w:rsidR="00794E04" w:rsidRPr="00526311" w:rsidRDefault="00794E04" w:rsidP="0063039A"/>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794E04" w:rsidRPr="00526311" w:rsidRDefault="00794E04" w:rsidP="0063039A">
      <w:pPr>
        <w:pStyle w:val="NormalWeb"/>
        <w:spacing w:before="0" w:beforeAutospacing="0" w:after="0" w:afterAutospacing="0"/>
        <w:jc w:val="center"/>
        <w:rPr>
          <w:lang w:val="es-ES"/>
        </w:rPr>
      </w:pPr>
    </w:p>
    <w:p w:rsidR="00794E04" w:rsidRPr="00526311" w:rsidRDefault="00FF6E74" w:rsidP="0063039A">
      <w:bookmarkStart w:id="80" w:name="Punto22"/>
      <w:r w:rsidRPr="00526311">
        <w:rPr>
          <w:noProof/>
          <w:lang w:val="en-US" w:eastAsia="en-US"/>
        </w:rPr>
        <w:drawing>
          <wp:inline distT="0" distB="0" distL="0" distR="0" wp14:anchorId="3F968D1D" wp14:editId="0DB068AE">
            <wp:extent cx="5940425" cy="1231877"/>
            <wp:effectExtent l="0" t="0" r="3175" b="6985"/>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0425" cy="1231877"/>
                    </a:xfrm>
                    <a:prstGeom prst="rect">
                      <a:avLst/>
                    </a:prstGeom>
                    <a:noFill/>
                    <a:ln>
                      <a:noFill/>
                    </a:ln>
                  </pic:spPr>
                </pic:pic>
              </a:graphicData>
            </a:graphic>
          </wp:inline>
        </w:drawing>
      </w:r>
      <w:bookmarkEnd w:id="80"/>
    </w:p>
    <w:p w:rsidR="00794E04" w:rsidRPr="00526311" w:rsidRDefault="00794E04" w:rsidP="0063039A">
      <w:pPr>
        <w:autoSpaceDE w:val="0"/>
        <w:autoSpaceDN w:val="0"/>
        <w:rPr>
          <w:sz w:val="16"/>
          <w:szCs w:val="16"/>
        </w:rPr>
      </w:pPr>
      <w:r w:rsidRPr="00526311">
        <w:rPr>
          <w:i/>
          <w:sz w:val="16"/>
          <w:szCs w:val="16"/>
        </w:rPr>
        <w:t xml:space="preserve">NOTA:  </w:t>
      </w:r>
      <w:r w:rsidRPr="00526311">
        <w:rPr>
          <w:i/>
          <w:iCs/>
          <w:sz w:val="16"/>
          <w:szCs w:val="16"/>
        </w:rPr>
        <w:t>El presupuesto de 2014/15 tras las transferencias refleja las transferencias efectuadas al 31 de marzo de 2015 para hacer frente a las necesidades durante el bienio 2014/15, según lo previsto en el artículo 5.5 del Reglamento Financiero</w:t>
      </w:r>
      <w:r w:rsidRPr="00526311">
        <w:rPr>
          <w:i/>
          <w:sz w:val="16"/>
          <w:szCs w:val="16"/>
        </w:rPr>
        <w:t>.</w:t>
      </w:r>
    </w:p>
    <w:p w:rsidR="00794E04" w:rsidRPr="00526311" w:rsidRDefault="00794E04" w:rsidP="0063039A">
      <w:pPr>
        <w:widowControl w:val="0"/>
        <w:autoSpaceDE w:val="0"/>
        <w:autoSpaceDN w:val="0"/>
        <w:adjustRightInd w:val="0"/>
        <w:rPr>
          <w:sz w:val="20"/>
        </w:rPr>
      </w:pPr>
    </w:p>
    <w:p w:rsidR="00794E04" w:rsidRPr="00526311" w:rsidRDefault="00794E04"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794E04" w:rsidRPr="00526311" w:rsidRDefault="00794E04" w:rsidP="0063039A">
      <w:pPr>
        <w:rPr>
          <w:sz w:val="20"/>
          <w:u w:val="single"/>
        </w:rPr>
      </w:pPr>
    </w:p>
    <w:p w:rsidR="00794E04" w:rsidRPr="00526311" w:rsidRDefault="00794E04" w:rsidP="00794E04">
      <w:pPr>
        <w:pStyle w:val="ListParagraph"/>
        <w:numPr>
          <w:ilvl w:val="0"/>
          <w:numId w:val="86"/>
        </w:numPr>
        <w:tabs>
          <w:tab w:val="left" w:pos="709"/>
        </w:tabs>
        <w:ind w:left="0" w:firstLine="0"/>
        <w:jc w:val="both"/>
        <w:rPr>
          <w:rFonts w:cs="Arial"/>
          <w:lang w:val="es-ES"/>
        </w:rPr>
      </w:pPr>
      <w:r w:rsidRPr="00526311">
        <w:rPr>
          <w:rFonts w:cs="Arial"/>
          <w:lang w:val="es-ES"/>
        </w:rPr>
        <w:t xml:space="preserve">El ligero aumento en el presupuesto de 2014/15 tras las transferencias procede principalmente de un aumento en los recursos de personal, debido a la regularización en curso de funciones de naturaleza permanente dentro del programa.  </w:t>
      </w:r>
    </w:p>
    <w:p w:rsidR="00794E04" w:rsidRPr="00526311" w:rsidRDefault="00794E04" w:rsidP="0063039A">
      <w:pPr>
        <w:jc w:val="both"/>
        <w:rPr>
          <w:sz w:val="20"/>
        </w:rPr>
      </w:pPr>
    </w:p>
    <w:p w:rsidR="00794E04" w:rsidRPr="00526311" w:rsidRDefault="00794E04" w:rsidP="00794E04">
      <w:pPr>
        <w:pStyle w:val="ListParagraph"/>
        <w:numPr>
          <w:ilvl w:val="0"/>
          <w:numId w:val="86"/>
        </w:numPr>
        <w:tabs>
          <w:tab w:val="left" w:pos="709"/>
        </w:tabs>
        <w:ind w:left="0" w:firstLine="0"/>
        <w:jc w:val="both"/>
        <w:rPr>
          <w:rFonts w:cs="Arial"/>
          <w:lang w:val="es-ES"/>
        </w:rPr>
      </w:pPr>
      <w:r w:rsidRPr="00526311">
        <w:rPr>
          <w:rFonts w:cs="Arial"/>
          <w:lang w:val="es-ES"/>
        </w:rPr>
        <w:t xml:space="preserve">La redistribución de los recursos entre los resultados previstos se debe principalmente al hecho de que los recursos dedicados a la integración de nuevos módulos y funciones del sistema de PRI estaban relacionados con el resultado previsto IX.2 en el presupuesto aprobado de 2014/15, sin embargo, como estas actividades están más orientadas a los servicios, quedaban mejor reflejadas en el resultado previsto IX.1 en el presupuesto de 2014/15 tras las transferencias.  El aumento en el resultado previsto IX.8 se debe principalmente al mayor apoyo facilitado por el programa a las labores del Auditor Externo.  </w:t>
      </w:r>
    </w:p>
    <w:p w:rsidR="00794E04" w:rsidRPr="00526311" w:rsidRDefault="00794E04" w:rsidP="0063039A">
      <w:pPr>
        <w:autoSpaceDE w:val="0"/>
        <w:autoSpaceDN w:val="0"/>
        <w:jc w:val="both"/>
        <w:rPr>
          <w:sz w:val="20"/>
          <w:lang w:eastAsia="ko-KR"/>
        </w:rPr>
      </w:pPr>
    </w:p>
    <w:p w:rsidR="00794E04" w:rsidRPr="00526311" w:rsidRDefault="00794E04"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794E04" w:rsidRPr="00526311" w:rsidRDefault="00794E04" w:rsidP="0063039A">
      <w:pPr>
        <w:tabs>
          <w:tab w:val="left" w:pos="709"/>
        </w:tabs>
        <w:jc w:val="both"/>
        <w:rPr>
          <w:sz w:val="20"/>
          <w:u w:val="single"/>
          <w:lang w:eastAsia="ko-KR"/>
        </w:rPr>
      </w:pPr>
    </w:p>
    <w:p w:rsidR="00794E04" w:rsidRPr="00526311" w:rsidRDefault="00794E04" w:rsidP="00794E04">
      <w:pPr>
        <w:pStyle w:val="ListParagraph"/>
        <w:numPr>
          <w:ilvl w:val="0"/>
          <w:numId w:val="86"/>
        </w:numPr>
        <w:tabs>
          <w:tab w:val="left" w:pos="709"/>
        </w:tabs>
        <w:ind w:left="0" w:firstLine="0"/>
        <w:jc w:val="both"/>
        <w:rPr>
          <w:rFonts w:cs="Arial"/>
          <w:u w:val="single"/>
          <w:lang w:val="es-ES" w:eastAsia="ko-KR"/>
        </w:rPr>
      </w:pPr>
      <w:r w:rsidRPr="00526311">
        <w:rPr>
          <w:rFonts w:cs="Arial"/>
          <w:lang w:val="es-ES"/>
        </w:rPr>
        <w:t>La utilización del presupuesto se ha mantenido dentro de los límites establecidos (40-60%) durante el primer año del bienio y está bien encaminada.</w:t>
      </w:r>
    </w:p>
    <w:p w:rsidR="00794E04" w:rsidRPr="00526311" w:rsidRDefault="00794E04" w:rsidP="0063039A">
      <w:pPr>
        <w:tabs>
          <w:tab w:val="left" w:pos="709"/>
        </w:tabs>
        <w:jc w:val="both"/>
        <w:rPr>
          <w:sz w:val="20"/>
          <w:u w:val="single"/>
          <w:lang w:eastAsia="ko-KR"/>
        </w:rPr>
      </w:pPr>
    </w:p>
    <w:p w:rsidR="00794E04" w:rsidRPr="00526311" w:rsidRDefault="00794E04" w:rsidP="0063039A">
      <w:pPr>
        <w:tabs>
          <w:tab w:val="left" w:pos="709"/>
        </w:tabs>
        <w:jc w:val="both"/>
        <w:rPr>
          <w:sz w:val="20"/>
          <w:u w:val="single"/>
          <w:lang w:eastAsia="ko-KR"/>
        </w:rPr>
      </w:pPr>
    </w:p>
    <w:p w:rsidR="00794E04" w:rsidRPr="00526311" w:rsidRDefault="00794E04">
      <w:pPr>
        <w:rPr>
          <w:bCs/>
          <w:iCs/>
          <w:caps/>
          <w:sz w:val="20"/>
        </w:rPr>
      </w:pPr>
      <w:r w:rsidRPr="00526311">
        <w:rPr>
          <w:sz w:val="20"/>
        </w:rPr>
        <w:br w:type="page"/>
      </w:r>
    </w:p>
    <w:p w:rsidR="00794E04" w:rsidRPr="00526311" w:rsidRDefault="00794E04" w:rsidP="00861A11">
      <w:pPr>
        <w:pStyle w:val="Heading2"/>
        <w:keepNext w:val="0"/>
        <w:tabs>
          <w:tab w:val="left" w:pos="2410"/>
        </w:tabs>
        <w:jc w:val="both"/>
        <w:rPr>
          <w:b/>
          <w:szCs w:val="20"/>
        </w:rPr>
      </w:pPr>
      <w:bookmarkStart w:id="81" w:name="_Toc422927437"/>
      <w:r w:rsidRPr="00526311">
        <w:rPr>
          <w:b/>
          <w:szCs w:val="20"/>
        </w:rPr>
        <w:lastRenderedPageBreak/>
        <w:t>PROGRAMA 23</w:t>
      </w:r>
      <w:r w:rsidRPr="00526311">
        <w:rPr>
          <w:b/>
          <w:szCs w:val="20"/>
        </w:rPr>
        <w:tab/>
        <w:t>GESTIÓN Y DESARROLLO DE LOS RECURSOS HUMANOS</w:t>
      </w:r>
      <w:bookmarkEnd w:id="81"/>
    </w:p>
    <w:p w:rsidR="00794E04" w:rsidRPr="00526311" w:rsidRDefault="00794E04" w:rsidP="00861A11">
      <w:pPr>
        <w:tabs>
          <w:tab w:val="left" w:pos="1985"/>
          <w:tab w:val="left" w:pos="2410"/>
        </w:tabs>
        <w:jc w:val="both"/>
        <w:rPr>
          <w:sz w:val="20"/>
        </w:rPr>
      </w:pPr>
    </w:p>
    <w:p w:rsidR="00794E04" w:rsidRPr="00526311" w:rsidRDefault="00794E04" w:rsidP="00861A11">
      <w:pPr>
        <w:tabs>
          <w:tab w:val="left" w:pos="2410"/>
        </w:tabs>
        <w:jc w:val="both"/>
        <w:rPr>
          <w:b/>
          <w:sz w:val="20"/>
        </w:rPr>
      </w:pPr>
      <w:r w:rsidRPr="00526311">
        <w:rPr>
          <w:b/>
          <w:sz w:val="20"/>
        </w:rPr>
        <w:t>Director de programa</w:t>
      </w:r>
      <w:r w:rsidRPr="00526311">
        <w:rPr>
          <w:sz w:val="20"/>
        </w:rPr>
        <w:tab/>
      </w:r>
      <w:r w:rsidRPr="00526311">
        <w:rPr>
          <w:b/>
          <w:sz w:val="20"/>
        </w:rPr>
        <w:t>Director General</w:t>
      </w:r>
    </w:p>
    <w:p w:rsidR="00794E04" w:rsidRPr="00526311" w:rsidRDefault="00794E04" w:rsidP="00861A11">
      <w:pPr>
        <w:tabs>
          <w:tab w:val="left" w:pos="2410"/>
        </w:tabs>
        <w:jc w:val="both"/>
        <w:rPr>
          <w:sz w:val="20"/>
        </w:rPr>
      </w:pPr>
    </w:p>
    <w:p w:rsidR="00794E04" w:rsidRPr="00526311" w:rsidRDefault="00794E04" w:rsidP="00861A11">
      <w:pPr>
        <w:tabs>
          <w:tab w:val="left" w:pos="2410"/>
        </w:tabs>
        <w:jc w:val="both"/>
        <w:rPr>
          <w:sz w:val="20"/>
        </w:rPr>
      </w:pPr>
    </w:p>
    <w:p w:rsidR="00794E04" w:rsidRPr="00526311" w:rsidRDefault="00794E04" w:rsidP="0063039A">
      <w:pPr>
        <w:jc w:val="both"/>
        <w:rPr>
          <w:bCs/>
          <w:szCs w:val="22"/>
        </w:rPr>
      </w:pPr>
      <w:r w:rsidRPr="00526311">
        <w:rPr>
          <w:bCs/>
          <w:szCs w:val="22"/>
        </w:rPr>
        <w:t>RESEÑA DE LOS AVANCES LOGRADOS EN 2014</w:t>
      </w:r>
    </w:p>
    <w:p w:rsidR="00794E04" w:rsidRPr="00526311" w:rsidRDefault="00794E04" w:rsidP="0063039A">
      <w:pPr>
        <w:jc w:val="both"/>
      </w:pPr>
    </w:p>
    <w:p w:rsidR="00794E04" w:rsidRPr="00526311" w:rsidRDefault="00794E04" w:rsidP="00794E04">
      <w:pPr>
        <w:pStyle w:val="ListParagraph"/>
        <w:numPr>
          <w:ilvl w:val="0"/>
          <w:numId w:val="88"/>
        </w:numPr>
        <w:tabs>
          <w:tab w:val="left" w:pos="709"/>
        </w:tabs>
        <w:ind w:left="0" w:firstLine="0"/>
        <w:jc w:val="both"/>
        <w:rPr>
          <w:rFonts w:cs="Arial"/>
          <w:lang w:val="es-ES"/>
        </w:rPr>
      </w:pPr>
      <w:r w:rsidRPr="00526311">
        <w:rPr>
          <w:rFonts w:cs="Arial"/>
          <w:lang w:val="es-ES"/>
        </w:rPr>
        <w:t xml:space="preserve">El año 2014 fue el primer año en que se aplicó la estrategia de recursos humanos (RR.HH.), aprobada por los Estados miembros en 2013, que constituye la base del plan de acción </w:t>
      </w:r>
      <w:r w:rsidR="003512F5" w:rsidRPr="00526311">
        <w:rPr>
          <w:rFonts w:cs="Arial"/>
          <w:lang w:val="es-ES"/>
        </w:rPr>
        <w:t xml:space="preserve">en materia </w:t>
      </w:r>
      <w:r w:rsidRPr="00526311">
        <w:rPr>
          <w:rFonts w:cs="Arial"/>
          <w:lang w:val="es-ES"/>
        </w:rPr>
        <w:t xml:space="preserve">de RR.HH. </w:t>
      </w:r>
      <w:r w:rsidR="003512F5" w:rsidRPr="00526311">
        <w:rPr>
          <w:rFonts w:cs="Arial"/>
          <w:lang w:val="es-ES"/>
        </w:rPr>
        <w:t>a</w:t>
      </w:r>
      <w:r w:rsidRPr="00526311">
        <w:rPr>
          <w:rFonts w:cs="Arial"/>
          <w:lang w:val="es-ES"/>
        </w:rPr>
        <w:t xml:space="preserve"> corto y mediano plazo para el bienio 2014/15.</w:t>
      </w:r>
    </w:p>
    <w:p w:rsidR="00794E04" w:rsidRPr="00526311" w:rsidRDefault="00794E04" w:rsidP="0063039A">
      <w:pPr>
        <w:pStyle w:val="Default"/>
        <w:tabs>
          <w:tab w:val="left" w:pos="709"/>
        </w:tabs>
        <w:jc w:val="both"/>
        <w:rPr>
          <w:color w:val="auto"/>
          <w:sz w:val="20"/>
          <w:szCs w:val="20"/>
          <w:lang w:val="es-ES"/>
        </w:rPr>
      </w:pPr>
    </w:p>
    <w:p w:rsidR="00794E04" w:rsidRPr="00526311" w:rsidRDefault="00794E04" w:rsidP="00794E04">
      <w:pPr>
        <w:pStyle w:val="Default"/>
        <w:numPr>
          <w:ilvl w:val="0"/>
          <w:numId w:val="88"/>
        </w:numPr>
        <w:tabs>
          <w:tab w:val="left" w:pos="709"/>
        </w:tabs>
        <w:ind w:left="0" w:firstLine="0"/>
        <w:jc w:val="both"/>
        <w:rPr>
          <w:sz w:val="20"/>
          <w:szCs w:val="20"/>
          <w:lang w:val="es-ES"/>
        </w:rPr>
      </w:pPr>
      <w:r w:rsidRPr="00526311">
        <w:rPr>
          <w:sz w:val="20"/>
          <w:szCs w:val="20"/>
          <w:lang w:val="es-ES"/>
        </w:rPr>
        <w:t>En 2014, se siguió avanzando en la incorporación del diseño orgánico y la planificación de los recursos humanos a las actividades de la Organización, de suerte que queden plenamente integradas como actividades institucionales clave.  Entre los logros de 2014 cabe señalar:  i) el mayor compromiso de los directivos mediante la celebración de talleres introductorios sobre la planificación de los recursos humanos y la elaboración de directrices conexas;  ii) la elaboración de los planes de acción de recursos humanos de 2014/15 para cada unidad organizativa a fin de determinar e inscribir medidas clave de RR.HH. destinadas a satisfacer las necesidades institucionales y iii) la mayor armonización entre las descripciones de puestos y los planes de trabajo anuales.  Como parte del ejercicio de planificación de los RR.HH., se alentó a los directivos a examinar la combinación de recursos más adecuada para atender eficazmente sus necesidades institucionales.</w:t>
      </w:r>
    </w:p>
    <w:p w:rsidR="00794E04" w:rsidRPr="00526311" w:rsidRDefault="00794E04" w:rsidP="0063039A">
      <w:pPr>
        <w:pStyle w:val="Default"/>
        <w:tabs>
          <w:tab w:val="left" w:pos="709"/>
        </w:tabs>
        <w:jc w:val="both"/>
        <w:rPr>
          <w:sz w:val="20"/>
          <w:szCs w:val="20"/>
          <w:lang w:val="es-ES"/>
        </w:rPr>
      </w:pPr>
    </w:p>
    <w:p w:rsidR="00794E04" w:rsidRPr="00526311" w:rsidRDefault="00794E04" w:rsidP="00794E04">
      <w:pPr>
        <w:pStyle w:val="ListParagraph"/>
        <w:numPr>
          <w:ilvl w:val="0"/>
          <w:numId w:val="88"/>
        </w:numPr>
        <w:tabs>
          <w:tab w:val="left" w:pos="709"/>
        </w:tabs>
        <w:ind w:left="0" w:firstLine="0"/>
        <w:jc w:val="both"/>
        <w:rPr>
          <w:rFonts w:cs="Arial"/>
          <w:lang w:val="es-ES"/>
        </w:rPr>
      </w:pPr>
      <w:r w:rsidRPr="00526311">
        <w:rPr>
          <w:rFonts w:cs="Arial"/>
          <w:lang w:val="es-ES"/>
        </w:rPr>
        <w:t>En agosto de 2014, la OMPI publicó su primera Política sobre la igualdad de género, que comprendía el objetivo, ajustado a un plazo específico, de lograr el equilibrio de género entre los miembros del personal.  Si bien en diciembre de 2014 los porcentajes de mujeres con grado P4 (44,4 %) y P5 (34,4%) mostraban tan solo un ligero aumento con respecto a 2013 (43,3% y 34,3%, respectivamente), representan, no obstante, el nivel más alto alcanzado en la historia de la OMPI.  A fin de impulsar el objetivo de política relativo a la integración de las perspectivas de género en la labor de la OMPI, en cada programa se designaron coordinadores de cuestiones de género.</w:t>
      </w:r>
    </w:p>
    <w:p w:rsidR="00794E04" w:rsidRPr="00526311" w:rsidRDefault="00794E04" w:rsidP="0063039A">
      <w:pPr>
        <w:tabs>
          <w:tab w:val="left" w:pos="709"/>
        </w:tabs>
        <w:jc w:val="both"/>
      </w:pPr>
    </w:p>
    <w:p w:rsidR="00794E04" w:rsidRPr="00526311" w:rsidRDefault="00794E04" w:rsidP="00794E04">
      <w:pPr>
        <w:pStyle w:val="Default"/>
        <w:numPr>
          <w:ilvl w:val="0"/>
          <w:numId w:val="88"/>
        </w:numPr>
        <w:tabs>
          <w:tab w:val="left" w:pos="709"/>
        </w:tabs>
        <w:ind w:left="0" w:firstLine="0"/>
        <w:jc w:val="both"/>
        <w:rPr>
          <w:sz w:val="20"/>
          <w:szCs w:val="20"/>
          <w:lang w:val="es-ES"/>
        </w:rPr>
      </w:pPr>
      <w:r w:rsidRPr="00526311">
        <w:rPr>
          <w:sz w:val="20"/>
          <w:szCs w:val="20"/>
          <w:lang w:val="es-ES"/>
        </w:rPr>
        <w:t xml:space="preserve">Se redoblaron los esfuerzos para mejorar la diversidad geográfica y de género entre los miembros del personal.  </w:t>
      </w:r>
      <w:r w:rsidR="00C523D2" w:rsidRPr="00526311">
        <w:rPr>
          <w:sz w:val="20"/>
          <w:szCs w:val="20"/>
          <w:lang w:val="es-ES"/>
        </w:rPr>
        <w:t>S</w:t>
      </w:r>
      <w:r w:rsidRPr="00526311">
        <w:rPr>
          <w:sz w:val="20"/>
          <w:szCs w:val="20"/>
          <w:lang w:val="es-ES"/>
        </w:rPr>
        <w:t xml:space="preserve">e introdujeron </w:t>
      </w:r>
      <w:r w:rsidR="00C523D2" w:rsidRPr="00526311">
        <w:rPr>
          <w:sz w:val="20"/>
          <w:szCs w:val="20"/>
          <w:lang w:val="es-ES"/>
        </w:rPr>
        <w:t>modificaciones en el Estatuto y Reglamento del Personal, con vigencia a partir del 1 de noviembre de 2014, en virtud de las cuales se exige que l</w:t>
      </w:r>
      <w:r w:rsidRPr="00526311">
        <w:rPr>
          <w:sz w:val="20"/>
          <w:szCs w:val="20"/>
          <w:lang w:val="es-ES"/>
        </w:rPr>
        <w:t>as Juntas de Nombramiento</w:t>
      </w:r>
      <w:r w:rsidR="00C523D2" w:rsidRPr="00526311">
        <w:rPr>
          <w:sz w:val="20"/>
          <w:szCs w:val="20"/>
          <w:lang w:val="es-ES"/>
        </w:rPr>
        <w:t xml:space="preserve"> </w:t>
      </w:r>
      <w:r w:rsidRPr="00526311">
        <w:rPr>
          <w:sz w:val="20"/>
          <w:szCs w:val="20"/>
          <w:lang w:val="es-ES"/>
        </w:rPr>
        <w:t>presenten una lista de candidatos recomendados</w:t>
      </w:r>
      <w:r w:rsidR="00C523D2" w:rsidRPr="00526311">
        <w:rPr>
          <w:sz w:val="20"/>
          <w:szCs w:val="20"/>
          <w:lang w:val="es-ES"/>
        </w:rPr>
        <w:t xml:space="preserve"> con el fundamento de cada recomendación,</w:t>
      </w:r>
      <w:r w:rsidRPr="00526311">
        <w:rPr>
          <w:sz w:val="20"/>
          <w:szCs w:val="20"/>
          <w:lang w:val="es-ES"/>
        </w:rPr>
        <w:t xml:space="preserve"> en lugar de </w:t>
      </w:r>
      <w:r w:rsidR="00C523D2" w:rsidRPr="00526311">
        <w:rPr>
          <w:sz w:val="20"/>
          <w:szCs w:val="20"/>
          <w:lang w:val="es-ES"/>
        </w:rPr>
        <w:t>presentar nombres ordenados por</w:t>
      </w:r>
      <w:r w:rsidRPr="00526311">
        <w:rPr>
          <w:sz w:val="20"/>
          <w:szCs w:val="20"/>
          <w:lang w:val="es-ES"/>
        </w:rPr>
        <w:t xml:space="preserve"> preferencia, lo que permite al Director General tomar decisiones según su criterio sobre las contrataciones para atender los desequilibrios de género y diversidad.  Se procuró lograr la participación de los Estados miembros y también se alentó vivamente a las Oficinas de la OMPI en el exterior a  sensibilizar sobre la función de la OMPI en tanto que “empleador de primer orden”.  A tal fin, durante las Asambleas se facilitó un mostrador de información y una sesión de información.  Se creó una lista de candidatos basada en la diversidad en la que se proponían candidatos preseleccionados y cualificados de Estados miembros sin representación a puestos temporales y de plazo fijo.  Además, la OMPI siguió reforzando sus actividades de divulgación mediante campañas y medios sociales (como Linkedln).  Entre otras iniciativas, también se puso en marcha el sitio web de la OMPI dedicado a la carrera profesional, que está todavía en curso de elaboración, y se introdujo una herramienta de contratación más fácil de usar. </w:t>
      </w:r>
    </w:p>
    <w:p w:rsidR="00794E04" w:rsidRPr="00526311" w:rsidRDefault="00794E04" w:rsidP="0063039A">
      <w:pPr>
        <w:pStyle w:val="Default"/>
        <w:tabs>
          <w:tab w:val="left" w:pos="709"/>
        </w:tabs>
        <w:jc w:val="both"/>
        <w:rPr>
          <w:sz w:val="20"/>
          <w:szCs w:val="20"/>
          <w:lang w:val="es-ES"/>
        </w:rPr>
      </w:pPr>
    </w:p>
    <w:p w:rsidR="00794E04" w:rsidRPr="00526311" w:rsidRDefault="00794E04" w:rsidP="00794E04">
      <w:pPr>
        <w:pStyle w:val="Default"/>
        <w:numPr>
          <w:ilvl w:val="0"/>
          <w:numId w:val="88"/>
        </w:numPr>
        <w:tabs>
          <w:tab w:val="left" w:pos="709"/>
        </w:tabs>
        <w:ind w:left="0" w:firstLine="0"/>
        <w:jc w:val="both"/>
        <w:rPr>
          <w:sz w:val="20"/>
          <w:szCs w:val="20"/>
          <w:lang w:val="es-ES"/>
        </w:rPr>
      </w:pPr>
      <w:r w:rsidRPr="00526311">
        <w:rPr>
          <w:sz w:val="20"/>
          <w:szCs w:val="20"/>
          <w:lang w:val="es-ES"/>
        </w:rPr>
        <w:t>En 2014 se llevó a término el proceso de regularización de empleados temporales con muchos años de servicio, en cuyo marco se regularizó la situación de 31 empleados de este tipo como consecuencia de un concurso.  En 2016 se completará la regularización</w:t>
      </w:r>
      <w:r w:rsidR="00C523D2" w:rsidRPr="00526311">
        <w:rPr>
          <w:sz w:val="20"/>
          <w:szCs w:val="20"/>
          <w:lang w:val="es-ES"/>
        </w:rPr>
        <w:t xml:space="preserve"> de los 66 cargos</w:t>
      </w:r>
      <w:r w:rsidRPr="00526311">
        <w:rPr>
          <w:sz w:val="20"/>
          <w:szCs w:val="20"/>
          <w:lang w:val="es-ES"/>
        </w:rPr>
        <w:t xml:space="preserve"> temporales restantes con funciones de carácter continuo, aprobada por los Estados miembros.  En 2014, se publicaron unos 23 puestos abiertos a concurso externo.</w:t>
      </w:r>
    </w:p>
    <w:p w:rsidR="00794E04" w:rsidRPr="00526311" w:rsidRDefault="00794E04" w:rsidP="0063039A">
      <w:pPr>
        <w:pStyle w:val="Default"/>
        <w:tabs>
          <w:tab w:val="left" w:pos="709"/>
        </w:tabs>
        <w:jc w:val="both"/>
        <w:rPr>
          <w:sz w:val="20"/>
          <w:szCs w:val="20"/>
          <w:lang w:val="es-ES"/>
        </w:rPr>
      </w:pPr>
    </w:p>
    <w:p w:rsidR="00794E04" w:rsidRPr="00526311" w:rsidRDefault="00794E04" w:rsidP="00794E04">
      <w:pPr>
        <w:pStyle w:val="Default"/>
        <w:numPr>
          <w:ilvl w:val="0"/>
          <w:numId w:val="88"/>
        </w:numPr>
        <w:tabs>
          <w:tab w:val="left" w:pos="709"/>
        </w:tabs>
        <w:ind w:left="0" w:firstLine="0"/>
        <w:jc w:val="both"/>
        <w:rPr>
          <w:sz w:val="20"/>
          <w:szCs w:val="20"/>
          <w:lang w:val="es-ES"/>
        </w:rPr>
      </w:pPr>
      <w:r w:rsidRPr="00526311">
        <w:rPr>
          <w:sz w:val="20"/>
          <w:szCs w:val="20"/>
          <w:lang w:val="es-ES"/>
        </w:rPr>
        <w:t xml:space="preserve">En 2014 tuvo lugar una importante actividad de contratación, con 97 concursos a puestos de plazo fijo y 37 a puestos temporales, lo que constituye un aumento del 26% con respecto a 2013.  En 2014, la duración del proceso de contratación </w:t>
      </w:r>
      <w:r w:rsidR="00C523D2" w:rsidRPr="00526311">
        <w:rPr>
          <w:sz w:val="20"/>
          <w:szCs w:val="20"/>
          <w:lang w:val="es-ES"/>
        </w:rPr>
        <w:t xml:space="preserve">para puestos de plazo fijo </w:t>
      </w:r>
      <w:r w:rsidRPr="00526311">
        <w:rPr>
          <w:sz w:val="20"/>
          <w:szCs w:val="20"/>
          <w:lang w:val="es-ES"/>
        </w:rPr>
        <w:t>estaba bien encaminada</w:t>
      </w:r>
      <w:r w:rsidR="00C523D2" w:rsidRPr="00526311">
        <w:rPr>
          <w:sz w:val="20"/>
          <w:szCs w:val="20"/>
          <w:lang w:val="es-ES"/>
        </w:rPr>
        <w:t xml:space="preserve"> (19 semanas)</w:t>
      </w:r>
      <w:r w:rsidRPr="00526311">
        <w:rPr>
          <w:sz w:val="20"/>
          <w:szCs w:val="20"/>
          <w:lang w:val="es-ES"/>
        </w:rPr>
        <w:t xml:space="preserve"> para cumplir el objetivo fijado de 14,7 semanas.  No obstante, cabe señalar que,</w:t>
      </w:r>
      <w:r w:rsidR="00C523D2" w:rsidRPr="00526311">
        <w:rPr>
          <w:sz w:val="20"/>
          <w:szCs w:val="20"/>
          <w:lang w:val="es-ES"/>
        </w:rPr>
        <w:t xml:space="preserve"> debido al inusual y elevado n</w:t>
      </w:r>
      <w:r w:rsidR="00E13393" w:rsidRPr="00526311">
        <w:rPr>
          <w:sz w:val="20"/>
          <w:szCs w:val="20"/>
          <w:lang w:val="es-ES"/>
        </w:rPr>
        <w:t>úmero de concursos publicados, 20</w:t>
      </w:r>
      <w:r w:rsidRPr="00526311">
        <w:rPr>
          <w:sz w:val="20"/>
          <w:szCs w:val="20"/>
          <w:lang w:val="es-ES"/>
        </w:rPr>
        <w:t xml:space="preserve"> procesos de selección</w:t>
      </w:r>
      <w:r w:rsidR="00E13393" w:rsidRPr="00526311">
        <w:rPr>
          <w:sz w:val="20"/>
          <w:szCs w:val="20"/>
          <w:lang w:val="es-ES"/>
        </w:rPr>
        <w:t xml:space="preserve"> para puestos de plazo fijo</w:t>
      </w:r>
      <w:r w:rsidRPr="00526311">
        <w:rPr>
          <w:sz w:val="20"/>
          <w:szCs w:val="20"/>
          <w:lang w:val="es-ES"/>
        </w:rPr>
        <w:t xml:space="preserve"> no habían</w:t>
      </w:r>
      <w:r w:rsidR="00E13393" w:rsidRPr="00526311">
        <w:rPr>
          <w:sz w:val="20"/>
          <w:szCs w:val="20"/>
          <w:lang w:val="es-ES"/>
        </w:rPr>
        <w:t xml:space="preserve"> sido finalizados a fines de 2014</w:t>
      </w:r>
      <w:r w:rsidRPr="00526311">
        <w:rPr>
          <w:sz w:val="20"/>
          <w:szCs w:val="20"/>
          <w:lang w:val="es-ES"/>
        </w:rPr>
        <w:t xml:space="preserve">, </w:t>
      </w:r>
      <w:r w:rsidR="00E13393" w:rsidRPr="00526311">
        <w:rPr>
          <w:sz w:val="20"/>
          <w:szCs w:val="20"/>
          <w:lang w:val="es-ES"/>
        </w:rPr>
        <w:t>por lo que</w:t>
      </w:r>
      <w:r w:rsidRPr="00526311">
        <w:rPr>
          <w:sz w:val="20"/>
          <w:szCs w:val="20"/>
          <w:lang w:val="es-ES"/>
        </w:rPr>
        <w:t xml:space="preserve"> se espera que </w:t>
      </w:r>
      <w:r w:rsidR="00E13393" w:rsidRPr="00526311">
        <w:rPr>
          <w:sz w:val="20"/>
          <w:szCs w:val="20"/>
          <w:lang w:val="es-ES"/>
        </w:rPr>
        <w:t>la duración del</w:t>
      </w:r>
      <w:r w:rsidRPr="00526311">
        <w:rPr>
          <w:sz w:val="20"/>
          <w:szCs w:val="20"/>
          <w:lang w:val="es-ES"/>
        </w:rPr>
        <w:t xml:space="preserve"> proceso</w:t>
      </w:r>
      <w:r w:rsidR="00E13393" w:rsidRPr="00526311">
        <w:rPr>
          <w:sz w:val="20"/>
          <w:szCs w:val="20"/>
          <w:lang w:val="es-ES"/>
        </w:rPr>
        <w:t xml:space="preserve"> de contratación</w:t>
      </w:r>
      <w:r w:rsidRPr="00526311">
        <w:rPr>
          <w:sz w:val="20"/>
          <w:szCs w:val="20"/>
          <w:lang w:val="es-ES"/>
        </w:rPr>
        <w:t xml:space="preserve"> </w:t>
      </w:r>
      <w:r w:rsidR="00E13393" w:rsidRPr="00526311">
        <w:rPr>
          <w:sz w:val="20"/>
          <w:szCs w:val="20"/>
          <w:lang w:val="es-ES"/>
        </w:rPr>
        <w:t>respecto de todos los concursos publicados en 2014 aumente significativamente</w:t>
      </w:r>
      <w:r w:rsidRPr="00526311">
        <w:rPr>
          <w:sz w:val="20"/>
          <w:szCs w:val="20"/>
          <w:lang w:val="es-ES"/>
        </w:rPr>
        <w:t>.  De los 97 puestos de plazo fijo, 57 correspondían al personal de la categoría profesional y 40 a la de servicios generales.  En total, se recibieron unas 12.587 candidaturas.</w:t>
      </w:r>
    </w:p>
    <w:p w:rsidR="00794E04" w:rsidRPr="00526311" w:rsidRDefault="00794E04" w:rsidP="0063039A">
      <w:pPr>
        <w:pStyle w:val="Default"/>
        <w:tabs>
          <w:tab w:val="left" w:pos="709"/>
        </w:tabs>
        <w:jc w:val="both"/>
        <w:rPr>
          <w:sz w:val="20"/>
          <w:szCs w:val="20"/>
          <w:lang w:val="es-ES"/>
        </w:rPr>
      </w:pPr>
    </w:p>
    <w:p w:rsidR="00794E04" w:rsidRPr="00526311" w:rsidRDefault="00794E04" w:rsidP="00794E04">
      <w:pPr>
        <w:pStyle w:val="ListParagraph"/>
        <w:numPr>
          <w:ilvl w:val="0"/>
          <w:numId w:val="88"/>
        </w:numPr>
        <w:tabs>
          <w:tab w:val="left" w:pos="709"/>
        </w:tabs>
        <w:ind w:left="0" w:firstLine="0"/>
        <w:jc w:val="both"/>
        <w:rPr>
          <w:rFonts w:cs="Arial"/>
          <w:lang w:val="es-ES"/>
        </w:rPr>
      </w:pPr>
      <w:r w:rsidRPr="00526311">
        <w:rPr>
          <w:rFonts w:cs="Arial"/>
          <w:lang w:val="es-ES"/>
        </w:rPr>
        <w:lastRenderedPageBreak/>
        <w:t>La primera fase de la PRI tenía por objeto impulsar la integración de datos y procesos, tanto en el marco del Departamento de Gestión de Recursos Humanos como en relación con otras funciones administrativas y de gestión de la OMPI.  Desde mediados de 2014, tras un período de estabilización, se puso en marcha la creación del panel de gestión de RR.HH. de “Inteligencia institucional” y se activaron las funciones que el personal puede hacer por su cuenta.</w:t>
      </w:r>
    </w:p>
    <w:p w:rsidR="00794E04" w:rsidRPr="00526311" w:rsidRDefault="00794E04" w:rsidP="0063039A">
      <w:pPr>
        <w:pStyle w:val="ListParagraph"/>
        <w:tabs>
          <w:tab w:val="left" w:pos="709"/>
        </w:tabs>
        <w:ind w:left="0"/>
        <w:jc w:val="both"/>
        <w:rPr>
          <w:rFonts w:cs="Arial"/>
          <w:lang w:val="es-ES"/>
        </w:rPr>
      </w:pPr>
    </w:p>
    <w:p w:rsidR="00794E04" w:rsidRPr="00526311" w:rsidRDefault="00794E04" w:rsidP="00794E04">
      <w:pPr>
        <w:pStyle w:val="ListParagraph"/>
        <w:numPr>
          <w:ilvl w:val="0"/>
          <w:numId w:val="88"/>
        </w:numPr>
        <w:tabs>
          <w:tab w:val="left" w:pos="709"/>
        </w:tabs>
        <w:ind w:left="0" w:firstLine="0"/>
        <w:jc w:val="both"/>
        <w:rPr>
          <w:rFonts w:cs="Arial"/>
          <w:lang w:val="es-ES"/>
        </w:rPr>
      </w:pPr>
      <w:r w:rsidRPr="00526311">
        <w:rPr>
          <w:rFonts w:cs="Arial"/>
          <w:lang w:val="es-ES"/>
        </w:rPr>
        <w:t>También se llevó a término la licitación para contratar un seguro para los empleados, tras lo cual se ha establecido un nuevo contrato de seguros con primas más bajas de salud, accidentes y pérdida de ganancias.</w:t>
      </w:r>
    </w:p>
    <w:p w:rsidR="00794E04" w:rsidRPr="00526311" w:rsidRDefault="00794E04" w:rsidP="0063039A">
      <w:pPr>
        <w:tabs>
          <w:tab w:val="left" w:pos="709"/>
        </w:tabs>
        <w:jc w:val="both"/>
      </w:pPr>
    </w:p>
    <w:p w:rsidR="00794E04" w:rsidRPr="00526311" w:rsidRDefault="00794E04" w:rsidP="00794E04">
      <w:pPr>
        <w:pStyle w:val="ListParagraph"/>
        <w:numPr>
          <w:ilvl w:val="0"/>
          <w:numId w:val="88"/>
        </w:numPr>
        <w:tabs>
          <w:tab w:val="left" w:pos="709"/>
        </w:tabs>
        <w:ind w:left="0" w:firstLine="0"/>
        <w:jc w:val="both"/>
        <w:rPr>
          <w:rFonts w:cs="Arial"/>
          <w:lang w:val="es-ES"/>
        </w:rPr>
      </w:pPr>
      <w:r w:rsidRPr="00526311">
        <w:rPr>
          <w:rFonts w:cs="Arial"/>
          <w:lang w:val="es-ES"/>
        </w:rPr>
        <w:t>En 2014 la OMPI siguió desarrollando el sistema de gestión del desempeño y el perfeccionamiento del personal (PMSDS).  Las directrices de dicho sistema se sustituyeron por una nueva orden de servicio y manuales del sistema PMSDS para distinguir las disposiciones regulatorias de las directrices.  Además, se introdujeron cambios para armonizar el sistema PMSDS con el Reglamento y el Estatuto del Personal y las órdenes de servicio conexas, y para proporcionar más aclaraciones sobre cuestiones relacionadas con el sistema PMSDS a partir de la experiencia adquirida mediante la aplicación del sistema.  El índice de utilización del sistema siguió siendo muy alto;  así, se evaluaron las competencias y objetivos individuales de un 93,1% de los miembros del personal.</w:t>
      </w:r>
    </w:p>
    <w:p w:rsidR="00794E04" w:rsidRPr="00526311" w:rsidRDefault="00794E04" w:rsidP="0063039A">
      <w:pPr>
        <w:tabs>
          <w:tab w:val="left" w:pos="709"/>
        </w:tabs>
        <w:jc w:val="both"/>
      </w:pPr>
    </w:p>
    <w:p w:rsidR="00794E04" w:rsidRPr="00526311" w:rsidRDefault="00794E04" w:rsidP="00794E04">
      <w:pPr>
        <w:pStyle w:val="ListParagraph"/>
        <w:numPr>
          <w:ilvl w:val="0"/>
          <w:numId w:val="88"/>
        </w:numPr>
        <w:tabs>
          <w:tab w:val="left" w:pos="709"/>
        </w:tabs>
        <w:ind w:left="0" w:firstLine="0"/>
        <w:jc w:val="both"/>
        <w:rPr>
          <w:rFonts w:cs="Arial"/>
          <w:lang w:val="es-ES"/>
        </w:rPr>
      </w:pPr>
      <w:r w:rsidRPr="00526311">
        <w:rPr>
          <w:rFonts w:cs="Arial"/>
          <w:lang w:val="es-ES"/>
        </w:rPr>
        <w:t>En lo que respecta al programa de la OMPI de recompensas y reconocimiento, que en 2013 se llevó a la práctica con carácter piloto, en marzo de 2014 se celebró una ceremonia abierta a todos los miembros del personal para anunciar a los premiados.  Tras la ceremonia, se llevó a cabo un examen preliminar de la experiencia adquirida con los beneficiarios del programa, a título individual y por equipos.  Teniendo en cuenta los positivos y alentadores resultados de la primera evaluación, en 2014 se decidió ampliar el programa piloto.  Hacia finales de 2014 se llevó a cabo una evaluación más exhaustiva y en 2015 se pondrá en marcha la versión definitiva de la política de recompensas y reconocimiento.</w:t>
      </w:r>
    </w:p>
    <w:p w:rsidR="00794E04" w:rsidRPr="00526311" w:rsidRDefault="00794E04" w:rsidP="0063039A">
      <w:pPr>
        <w:tabs>
          <w:tab w:val="left" w:pos="709"/>
        </w:tabs>
        <w:jc w:val="both"/>
      </w:pPr>
    </w:p>
    <w:p w:rsidR="00794E04" w:rsidRPr="00526311" w:rsidRDefault="00794E04" w:rsidP="00794E04">
      <w:pPr>
        <w:pStyle w:val="ListParagraph"/>
        <w:numPr>
          <w:ilvl w:val="0"/>
          <w:numId w:val="88"/>
        </w:numPr>
        <w:tabs>
          <w:tab w:val="left" w:pos="709"/>
        </w:tabs>
        <w:autoSpaceDE w:val="0"/>
        <w:autoSpaceDN w:val="0"/>
        <w:adjustRightInd w:val="0"/>
        <w:ind w:left="0" w:firstLine="0"/>
        <w:jc w:val="both"/>
        <w:rPr>
          <w:rFonts w:cs="Arial"/>
          <w:lang w:val="es-ES"/>
        </w:rPr>
      </w:pPr>
      <w:r w:rsidRPr="00526311">
        <w:rPr>
          <w:rFonts w:cs="Arial"/>
          <w:lang w:val="es-ES"/>
        </w:rPr>
        <w:t>En 2014, empezó a aplicarse una nueva política de aprendizaje y perfeccionamiento para impulsar la mejora de las competencias del personal y la disminución de las carencias en materia de competencias.  Además de las actividades regulares de formación, se pusieron en marcha nuevas iniciativas sobre resolución de conflictos, gestión del estrés, gestión de la calidad, reconocimiento del aprendizaje anterior y gestión de proyectos a fin de aumentar la capacidad de gestión de la Organización.  También se revisó el catálogo de formación de la OMPI y se introdujeron nuevas herramientas de evaluación de la formación.</w:t>
      </w:r>
    </w:p>
    <w:p w:rsidR="00794E04" w:rsidRPr="00526311" w:rsidRDefault="00794E04" w:rsidP="0063039A">
      <w:pPr>
        <w:tabs>
          <w:tab w:val="left" w:pos="709"/>
        </w:tabs>
        <w:autoSpaceDE w:val="0"/>
        <w:autoSpaceDN w:val="0"/>
        <w:adjustRightInd w:val="0"/>
        <w:jc w:val="both"/>
      </w:pPr>
    </w:p>
    <w:p w:rsidR="00794E04" w:rsidRPr="00526311" w:rsidRDefault="00794E04" w:rsidP="00794E04">
      <w:pPr>
        <w:pStyle w:val="ListParagraph"/>
        <w:numPr>
          <w:ilvl w:val="0"/>
          <w:numId w:val="88"/>
        </w:numPr>
        <w:tabs>
          <w:tab w:val="left" w:pos="709"/>
        </w:tabs>
        <w:autoSpaceDE w:val="0"/>
        <w:autoSpaceDN w:val="0"/>
        <w:adjustRightInd w:val="0"/>
        <w:ind w:left="0" w:firstLine="0"/>
        <w:jc w:val="both"/>
        <w:rPr>
          <w:rFonts w:cs="Arial"/>
          <w:lang w:val="es-ES"/>
        </w:rPr>
      </w:pPr>
      <w:r w:rsidRPr="00526311">
        <w:rPr>
          <w:rFonts w:cs="Arial"/>
          <w:lang w:val="es-ES"/>
        </w:rPr>
        <w:t>El 1 de enero de 2014 entraron en vigor las disposiciones del Reglamento y el Estatuto del Personal sobre el nuevo sistema de justicia interna y se publicaron seis órdenes de servicio para proporcionar el marco político correspondiente.  Se celebraron sesiones de información al personal para facilitarle la comprensión y la aceptación del nuevo sistema.  Para mejorar y racionalizar los mecanismos de solución de demandas y controversias, se suprimieron dos órganos consultivos, el Grupo de Examen de Reclamaciones de la OMPI (demandas relacionadas con el lugar de trabajo) y el Comité Consultivo Mixto (casos disciplinarios) y se creó una nueva Junta de Apelación de la OMPI, dotada de más competencias.  Además de fomentar los mecanismos de solución informal de conflictos, el Departamento de Gestión de Recursos Humanos ha pasado a ser responsable de la gestión de las demandas formales por acoso y discriminación así como de las refutaciones de evaluaciones de la actuación profesional, y también ha adquirido un papel más importante en las peticiones de revisión de decisiones administrativas y casos disciplinarios.</w:t>
      </w:r>
    </w:p>
    <w:p w:rsidR="00794E04" w:rsidRPr="00526311" w:rsidRDefault="00794E04" w:rsidP="0063039A">
      <w:pPr>
        <w:pStyle w:val="ListParagraph"/>
        <w:tabs>
          <w:tab w:val="left" w:pos="709"/>
        </w:tabs>
        <w:autoSpaceDE w:val="0"/>
        <w:autoSpaceDN w:val="0"/>
        <w:adjustRightInd w:val="0"/>
        <w:ind w:left="0"/>
        <w:jc w:val="both"/>
        <w:rPr>
          <w:rFonts w:cs="Arial"/>
          <w:lang w:val="es-ES"/>
        </w:rPr>
      </w:pPr>
    </w:p>
    <w:p w:rsidR="00794E04" w:rsidRPr="00526311" w:rsidRDefault="00794E04" w:rsidP="00794E04">
      <w:pPr>
        <w:pStyle w:val="ListParagraph"/>
        <w:numPr>
          <w:ilvl w:val="0"/>
          <w:numId w:val="88"/>
        </w:numPr>
        <w:tabs>
          <w:tab w:val="left" w:pos="709"/>
        </w:tabs>
        <w:autoSpaceDE w:val="0"/>
        <w:autoSpaceDN w:val="0"/>
        <w:adjustRightInd w:val="0"/>
        <w:ind w:left="0" w:firstLine="0"/>
        <w:jc w:val="both"/>
        <w:rPr>
          <w:rFonts w:cs="Arial"/>
          <w:lang w:val="es-ES"/>
        </w:rPr>
      </w:pPr>
      <w:r w:rsidRPr="00526311">
        <w:rPr>
          <w:rFonts w:cs="Arial"/>
          <w:lang w:val="es-ES"/>
        </w:rPr>
        <w:t>El nuevo Grupo Consultivo Mixto, de cuya secretaría se ocupa el Departamento de Gestión de Recursos  Humanos, se creó en junio de 2014 para asesorar al Director General en cuestiones de personal o administrativas.  Los miembros del personal pueden ahora elevar peticiones directamente al Grupo Consultivo Mixto, creándose así un nuevo canal de comunicación entre el personal y la Administración.</w:t>
      </w:r>
    </w:p>
    <w:p w:rsidR="00794E04" w:rsidRPr="00526311" w:rsidRDefault="00794E04" w:rsidP="0063039A">
      <w:pPr>
        <w:pStyle w:val="ListParagraph"/>
        <w:tabs>
          <w:tab w:val="left" w:pos="709"/>
        </w:tabs>
        <w:autoSpaceDE w:val="0"/>
        <w:autoSpaceDN w:val="0"/>
        <w:adjustRightInd w:val="0"/>
        <w:ind w:left="0"/>
        <w:jc w:val="both"/>
        <w:rPr>
          <w:rFonts w:cs="Arial"/>
          <w:lang w:val="es-ES"/>
        </w:rPr>
      </w:pPr>
    </w:p>
    <w:p w:rsidR="00794E04" w:rsidRPr="00526311" w:rsidRDefault="00794E04" w:rsidP="00794E04">
      <w:pPr>
        <w:pStyle w:val="ListParagraph"/>
        <w:numPr>
          <w:ilvl w:val="0"/>
          <w:numId w:val="88"/>
        </w:numPr>
        <w:tabs>
          <w:tab w:val="left" w:pos="709"/>
        </w:tabs>
        <w:autoSpaceDE w:val="0"/>
        <w:autoSpaceDN w:val="0"/>
        <w:adjustRightInd w:val="0"/>
        <w:ind w:left="0" w:firstLine="0"/>
        <w:jc w:val="both"/>
        <w:rPr>
          <w:rFonts w:cs="Arial"/>
          <w:lang w:val="es-ES"/>
        </w:rPr>
      </w:pPr>
      <w:r w:rsidRPr="00526311">
        <w:rPr>
          <w:rFonts w:cs="Arial"/>
          <w:lang w:val="es-ES"/>
        </w:rPr>
        <w:t>En lo que respecta a la elaboración de políticas, en el Reglamento y el Estatuto del Personal se incorporó la categoría de funcionario nacional profesional para satisfacer las necesidades de las oficinas de la OMPI en el exterior.</w:t>
      </w:r>
    </w:p>
    <w:p w:rsidR="00794E04" w:rsidRPr="00526311" w:rsidRDefault="00794E04" w:rsidP="0063039A">
      <w:pPr>
        <w:pStyle w:val="ListParagraph"/>
        <w:tabs>
          <w:tab w:val="left" w:pos="709"/>
        </w:tabs>
        <w:autoSpaceDE w:val="0"/>
        <w:autoSpaceDN w:val="0"/>
        <w:adjustRightInd w:val="0"/>
        <w:ind w:left="0"/>
        <w:jc w:val="both"/>
        <w:rPr>
          <w:rFonts w:cs="Arial"/>
          <w:lang w:val="es-ES"/>
        </w:rPr>
      </w:pPr>
    </w:p>
    <w:p w:rsidR="00794E04" w:rsidRPr="00526311" w:rsidRDefault="00794E04" w:rsidP="00794E04">
      <w:pPr>
        <w:pStyle w:val="ListParagraph"/>
        <w:numPr>
          <w:ilvl w:val="0"/>
          <w:numId w:val="88"/>
        </w:numPr>
        <w:tabs>
          <w:tab w:val="left" w:pos="709"/>
        </w:tabs>
        <w:autoSpaceDE w:val="0"/>
        <w:autoSpaceDN w:val="0"/>
        <w:adjustRightInd w:val="0"/>
        <w:ind w:left="0" w:firstLine="0"/>
        <w:jc w:val="both"/>
        <w:rPr>
          <w:rFonts w:cs="Arial"/>
          <w:lang w:val="es-ES"/>
        </w:rPr>
      </w:pPr>
      <w:r w:rsidRPr="00526311">
        <w:rPr>
          <w:rFonts w:cs="Arial"/>
          <w:lang w:val="es-ES"/>
        </w:rPr>
        <w:t xml:space="preserve">En 2014 se publicaron unas 20 órdenes de servicio relacionadas con la política de RR.HH., entre otros asuntos, sobre actividades al margen de la Organización, vacaciones, movilidad y condiciones de vida difíciles, rescisión del nombramiento por motivos de salud, contratación de funcionarios jubilados, licencia por enfermedad, delegación de la autoridad y listas de reserva a fin de garantizar que la OMPI </w:t>
      </w:r>
      <w:r w:rsidRPr="00526311">
        <w:rPr>
          <w:rFonts w:cs="Arial"/>
          <w:lang w:val="es-ES"/>
        </w:rPr>
        <w:lastRenderedPageBreak/>
        <w:t>cuente con un marco de política de RR.HH. modernizado y costoeficaz que cumpla las normas de la Comisión de Administración Pública Internacional y se atenga a las prácticas más extendidas en el sistema común de las Naciones Unidas.  Por otra parte, las normas de conducta sancionadas por dicha Comisión han seguido incorporándose en todos los contratos de la OMPI, y siguió actualizándose regularmente en 2014 la lista de consultores presentada en la tercera sesión del CDIP, que en el último bienio fue introducida en la base de datos de asistencia técnica en materia de P.I. (IP-TAD).</w:t>
      </w:r>
    </w:p>
    <w:p w:rsidR="00794E04" w:rsidRPr="00526311" w:rsidRDefault="00794E04">
      <w:pPr>
        <w:rPr>
          <w:szCs w:val="22"/>
        </w:rPr>
      </w:pPr>
    </w:p>
    <w:p w:rsidR="00794E04" w:rsidRPr="00526311" w:rsidRDefault="00794E04">
      <w:pPr>
        <w:rPr>
          <w:szCs w:val="22"/>
        </w:rPr>
      </w:pPr>
    </w:p>
    <w:p w:rsidR="00794E04" w:rsidRPr="00526311" w:rsidRDefault="00794E04" w:rsidP="0063039A">
      <w:pPr>
        <w:jc w:val="both"/>
        <w:rPr>
          <w:szCs w:val="22"/>
        </w:rPr>
      </w:pPr>
      <w:r w:rsidRPr="00526311">
        <w:rPr>
          <w:szCs w:val="22"/>
        </w:rPr>
        <w:t>DATOS SOBRE EL RENDIMIENTO</w:t>
      </w:r>
    </w:p>
    <w:p w:rsidR="00794E04" w:rsidRPr="00526311" w:rsidRDefault="00794E04" w:rsidP="0063039A">
      <w:pPr>
        <w:jc w:val="both"/>
        <w:rPr>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08"/>
        <w:gridCol w:w="1705"/>
        <w:gridCol w:w="1982"/>
        <w:gridCol w:w="1134"/>
      </w:tblGrid>
      <w:tr w:rsidR="00794E04" w:rsidRPr="00526311" w:rsidTr="0063039A">
        <w:tc>
          <w:tcPr>
            <w:tcW w:w="5000" w:type="pct"/>
            <w:gridSpan w:val="5"/>
            <w:tcBorders>
              <w:top w:val="single" w:sz="4" w:space="0" w:color="auto"/>
              <w:bottom w:val="single" w:sz="4" w:space="0" w:color="auto"/>
            </w:tcBorders>
            <w:shd w:val="clear" w:color="auto" w:fill="CCFFFF"/>
            <w:vAlign w:val="center"/>
          </w:tcPr>
          <w:p w:rsidR="00794E04" w:rsidRPr="00526311" w:rsidRDefault="00794E04" w:rsidP="0063039A">
            <w:pPr>
              <w:tabs>
                <w:tab w:val="left" w:pos="1452"/>
              </w:tabs>
              <w:spacing w:before="120" w:after="120"/>
              <w:ind w:left="1701" w:hanging="1701"/>
              <w:jc w:val="both"/>
              <w:rPr>
                <w:b/>
                <w:bCs/>
                <w:sz w:val="16"/>
                <w:szCs w:val="16"/>
              </w:rPr>
            </w:pPr>
            <w:r w:rsidRPr="00526311">
              <w:rPr>
                <w:b/>
                <w:bCs/>
                <w:sz w:val="16"/>
                <w:szCs w:val="16"/>
              </w:rPr>
              <w:t>Resultado previsto:</w:t>
            </w:r>
            <w:r w:rsidRPr="00526311">
              <w:rPr>
                <w:b/>
                <w:bCs/>
                <w:sz w:val="16"/>
                <w:szCs w:val="16"/>
              </w:rPr>
              <w:tab/>
            </w:r>
            <w:r w:rsidRPr="00526311">
              <w:rPr>
                <w:bCs/>
                <w:sz w:val="16"/>
                <w:szCs w:val="16"/>
              </w:rPr>
              <w:t>IX.1 Servicios de apoyo eficaces, eficientes, de calidad y orientados al cliente, tanto a los clientes internos como a las partes interesadas externas</w:t>
            </w:r>
          </w:p>
        </w:tc>
      </w:tr>
      <w:tr w:rsidR="00794E04" w:rsidRPr="00526311" w:rsidTr="0063039A">
        <w:tc>
          <w:tcPr>
            <w:tcW w:w="1137" w:type="pct"/>
            <w:tcBorders>
              <w:top w:val="single" w:sz="4" w:space="0" w:color="auto"/>
            </w:tcBorders>
            <w:shd w:val="clear" w:color="auto" w:fill="auto"/>
            <w:vAlign w:val="center"/>
          </w:tcPr>
          <w:p w:rsidR="00794E04" w:rsidRPr="00526311" w:rsidRDefault="00794E04" w:rsidP="0063039A">
            <w:pPr>
              <w:spacing w:after="120"/>
              <w:rPr>
                <w:sz w:val="16"/>
                <w:szCs w:val="16"/>
              </w:rPr>
            </w:pPr>
            <w:r w:rsidRPr="00526311">
              <w:rPr>
                <w:b/>
                <w:sz w:val="16"/>
                <w:szCs w:val="16"/>
              </w:rPr>
              <w:t>Indicadores de rendimiento</w:t>
            </w:r>
          </w:p>
        </w:tc>
        <w:tc>
          <w:tcPr>
            <w:tcW w:w="1287" w:type="pct"/>
            <w:tcBorders>
              <w:top w:val="single" w:sz="4" w:space="0" w:color="auto"/>
            </w:tcBorders>
            <w:shd w:val="clear" w:color="auto" w:fill="auto"/>
            <w:vAlign w:val="center"/>
          </w:tcPr>
          <w:p w:rsidR="00794E04" w:rsidRPr="00526311" w:rsidRDefault="00794E04" w:rsidP="0063039A">
            <w:pPr>
              <w:spacing w:after="120"/>
              <w:rPr>
                <w:b/>
                <w:bCs/>
                <w:sz w:val="16"/>
                <w:szCs w:val="16"/>
              </w:rPr>
            </w:pPr>
            <w:r w:rsidRPr="00526311">
              <w:rPr>
                <w:b/>
                <w:bCs/>
                <w:sz w:val="16"/>
                <w:szCs w:val="16"/>
              </w:rPr>
              <w:t>Referencia</w:t>
            </w:r>
          </w:p>
        </w:tc>
        <w:tc>
          <w:tcPr>
            <w:tcW w:w="911" w:type="pct"/>
            <w:tcBorders>
              <w:top w:val="single" w:sz="4" w:space="0" w:color="auto"/>
            </w:tcBorders>
            <w:shd w:val="clear" w:color="auto" w:fill="auto"/>
            <w:tcMar>
              <w:top w:w="110" w:type="dxa"/>
            </w:tcMar>
            <w:vAlign w:val="center"/>
          </w:tcPr>
          <w:p w:rsidR="00794E04" w:rsidRPr="00526311" w:rsidRDefault="00794E04" w:rsidP="0063039A">
            <w:pPr>
              <w:spacing w:after="120"/>
              <w:rPr>
                <w:b/>
                <w:sz w:val="16"/>
                <w:szCs w:val="16"/>
              </w:rPr>
            </w:pPr>
            <w:r w:rsidRPr="00526311">
              <w:rPr>
                <w:b/>
                <w:sz w:val="16"/>
                <w:szCs w:val="16"/>
              </w:rPr>
              <w:t>Objetivos</w:t>
            </w:r>
          </w:p>
        </w:tc>
        <w:tc>
          <w:tcPr>
            <w:tcW w:w="1059" w:type="pct"/>
            <w:tcBorders>
              <w:top w:val="single" w:sz="4" w:space="0" w:color="auto"/>
            </w:tcBorders>
            <w:shd w:val="clear" w:color="auto" w:fill="FFFFFF"/>
            <w:tcMar>
              <w:top w:w="110" w:type="dxa"/>
            </w:tcMar>
            <w:vAlign w:val="center"/>
          </w:tcPr>
          <w:p w:rsidR="00794E04" w:rsidRPr="00526311" w:rsidRDefault="00794E04" w:rsidP="0063039A">
            <w:pPr>
              <w:spacing w:after="120"/>
              <w:rPr>
                <w:sz w:val="16"/>
                <w:szCs w:val="16"/>
              </w:rPr>
            </w:pPr>
            <w:r w:rsidRPr="00526311">
              <w:rPr>
                <w:b/>
                <w:sz w:val="16"/>
                <w:szCs w:val="16"/>
              </w:rPr>
              <w:t>Datos sobre el rendimiento</w:t>
            </w:r>
          </w:p>
        </w:tc>
        <w:tc>
          <w:tcPr>
            <w:tcW w:w="606" w:type="pct"/>
            <w:tcBorders>
              <w:top w:val="single" w:sz="4" w:space="0" w:color="auto"/>
            </w:tcBorders>
            <w:shd w:val="clear" w:color="auto" w:fill="auto"/>
            <w:tcMar>
              <w:top w:w="110" w:type="dxa"/>
            </w:tcMar>
            <w:vAlign w:val="center"/>
          </w:tcPr>
          <w:p w:rsidR="00794E04" w:rsidRPr="00526311" w:rsidRDefault="00794E04" w:rsidP="0063039A">
            <w:pPr>
              <w:spacing w:after="120"/>
              <w:ind w:left="96"/>
              <w:jc w:val="center"/>
              <w:rPr>
                <w:b/>
                <w:bCs/>
                <w:sz w:val="16"/>
                <w:szCs w:val="16"/>
              </w:rPr>
            </w:pPr>
            <w:r w:rsidRPr="00526311">
              <w:rPr>
                <w:b/>
                <w:bCs/>
                <w:sz w:val="16"/>
                <w:szCs w:val="16"/>
              </w:rPr>
              <w:t>Clave de colores</w:t>
            </w:r>
          </w:p>
        </w:tc>
      </w:tr>
      <w:tr w:rsidR="00794E04" w:rsidRPr="00526311" w:rsidTr="0063039A">
        <w:tc>
          <w:tcPr>
            <w:tcW w:w="1137" w:type="pct"/>
            <w:shd w:val="clear" w:color="auto" w:fill="auto"/>
          </w:tcPr>
          <w:p w:rsidR="00794E04" w:rsidRPr="00526311" w:rsidRDefault="00794E04" w:rsidP="0063039A">
            <w:pPr>
              <w:rPr>
                <w:sz w:val="16"/>
                <w:szCs w:val="16"/>
              </w:rPr>
            </w:pPr>
            <w:r w:rsidRPr="00526311">
              <w:rPr>
                <w:sz w:val="16"/>
                <w:szCs w:val="16"/>
              </w:rPr>
              <w:t>Porcentaje de miembros del personal satisfechos de los servicios de recursos humanos</w:t>
            </w:r>
          </w:p>
        </w:tc>
        <w:tc>
          <w:tcPr>
            <w:tcW w:w="1287" w:type="pct"/>
            <w:shd w:val="clear" w:color="auto" w:fill="auto"/>
          </w:tcPr>
          <w:p w:rsidR="00794E04" w:rsidRPr="00526311" w:rsidRDefault="00794E04" w:rsidP="0063039A">
            <w:pPr>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lang w:bidi="th-TH"/>
              </w:rPr>
              <w:t>Muy satisfechos:  31,2%</w:t>
            </w:r>
          </w:p>
          <w:p w:rsidR="00794E04" w:rsidRPr="00526311" w:rsidRDefault="00794E04" w:rsidP="0063039A">
            <w:pPr>
              <w:rPr>
                <w:color w:val="002060"/>
                <w:sz w:val="16"/>
                <w:szCs w:val="16"/>
                <w:lang w:bidi="th-TH"/>
              </w:rPr>
            </w:pPr>
            <w:r w:rsidRPr="00526311">
              <w:rPr>
                <w:color w:val="002060"/>
                <w:sz w:val="16"/>
                <w:szCs w:val="16"/>
                <w:lang w:bidi="th-TH"/>
              </w:rPr>
              <w:t>Satisfechos:  46,2%</w:t>
            </w:r>
          </w:p>
          <w:p w:rsidR="00794E04" w:rsidRPr="00526311" w:rsidRDefault="00794E04" w:rsidP="0063039A">
            <w:pPr>
              <w:rPr>
                <w:color w:val="002060"/>
                <w:sz w:val="16"/>
                <w:szCs w:val="16"/>
                <w:lang w:bidi="th-TH"/>
              </w:rPr>
            </w:pPr>
            <w:r w:rsidRPr="00526311">
              <w:rPr>
                <w:color w:val="002060"/>
                <w:sz w:val="16"/>
                <w:szCs w:val="16"/>
                <w:lang w:bidi="th-TH"/>
              </w:rPr>
              <w:t>Insatisfechos:  18,9%</w:t>
            </w:r>
          </w:p>
          <w:p w:rsidR="00794E04" w:rsidRPr="00526311" w:rsidRDefault="00794E04" w:rsidP="0063039A">
            <w:pPr>
              <w:rPr>
                <w:color w:val="002060"/>
                <w:sz w:val="16"/>
                <w:szCs w:val="16"/>
              </w:rPr>
            </w:pPr>
            <w:r w:rsidRPr="00526311">
              <w:rPr>
                <w:color w:val="002060"/>
                <w:sz w:val="16"/>
                <w:szCs w:val="16"/>
              </w:rPr>
              <w:t>Muy insatisfechos: 3,7%</w:t>
            </w:r>
          </w:p>
          <w:p w:rsidR="00794E04" w:rsidRPr="00526311" w:rsidRDefault="00794E04" w:rsidP="0063039A">
            <w:pPr>
              <w:rPr>
                <w:i/>
                <w:color w:val="002060"/>
                <w:sz w:val="8"/>
                <w:szCs w:val="8"/>
              </w:rPr>
            </w:pPr>
          </w:p>
          <w:p w:rsidR="00794E04" w:rsidRPr="00526311" w:rsidRDefault="007B705E" w:rsidP="0063039A">
            <w:pPr>
              <w:rPr>
                <w:sz w:val="16"/>
                <w:szCs w:val="16"/>
              </w:rPr>
            </w:pPr>
            <w:r w:rsidRPr="00526311">
              <w:rPr>
                <w:i/>
                <w:sz w:val="16"/>
                <w:szCs w:val="16"/>
              </w:rPr>
              <w:t>Referencia original en el presupuesto de 2014/15</w:t>
            </w:r>
            <w:r w:rsidR="00794E04" w:rsidRPr="00526311">
              <w:rPr>
                <w:i/>
                <w:sz w:val="16"/>
                <w:szCs w:val="16"/>
              </w:rPr>
              <w:t>:</w:t>
            </w:r>
            <w:r w:rsidR="00794E04" w:rsidRPr="00526311">
              <w:rPr>
                <w:sz w:val="16"/>
                <w:szCs w:val="16"/>
              </w:rPr>
              <w:t xml:space="preserve">  </w:t>
            </w:r>
          </w:p>
          <w:p w:rsidR="00794E04" w:rsidRPr="00526311" w:rsidRDefault="00794E04" w:rsidP="0063039A">
            <w:pPr>
              <w:rPr>
                <w:sz w:val="16"/>
                <w:szCs w:val="16"/>
              </w:rPr>
            </w:pPr>
            <w:r w:rsidRPr="00526311">
              <w:rPr>
                <w:sz w:val="16"/>
                <w:szCs w:val="16"/>
              </w:rPr>
              <w:t>Muy satisfechos:  31,2%</w:t>
            </w:r>
          </w:p>
          <w:p w:rsidR="00794E04" w:rsidRPr="00526311" w:rsidRDefault="00794E04" w:rsidP="0063039A">
            <w:pPr>
              <w:rPr>
                <w:sz w:val="16"/>
                <w:szCs w:val="16"/>
              </w:rPr>
            </w:pPr>
            <w:r w:rsidRPr="00526311">
              <w:rPr>
                <w:sz w:val="16"/>
                <w:szCs w:val="16"/>
              </w:rPr>
              <w:t>Satisfecho:  48,8%</w:t>
            </w:r>
          </w:p>
          <w:p w:rsidR="00794E04" w:rsidRPr="00526311" w:rsidRDefault="00794E04" w:rsidP="0063039A">
            <w:pPr>
              <w:rPr>
                <w:sz w:val="16"/>
                <w:szCs w:val="16"/>
              </w:rPr>
            </w:pPr>
            <w:r w:rsidRPr="00526311">
              <w:rPr>
                <w:sz w:val="16"/>
                <w:szCs w:val="16"/>
              </w:rPr>
              <w:t>Insatisfecho:  17,1%</w:t>
            </w:r>
          </w:p>
          <w:p w:rsidR="00794E04" w:rsidRPr="00526311" w:rsidRDefault="00794E04" w:rsidP="0063039A">
            <w:pPr>
              <w:rPr>
                <w:sz w:val="16"/>
                <w:szCs w:val="16"/>
              </w:rPr>
            </w:pPr>
            <w:r w:rsidRPr="00526311">
              <w:rPr>
                <w:sz w:val="16"/>
                <w:szCs w:val="16"/>
              </w:rPr>
              <w:t>Muy insatisfechos: 2,9%</w:t>
            </w:r>
          </w:p>
        </w:tc>
        <w:tc>
          <w:tcPr>
            <w:tcW w:w="911" w:type="pct"/>
            <w:shd w:val="clear" w:color="auto" w:fill="auto"/>
            <w:tcMar>
              <w:top w:w="110" w:type="dxa"/>
            </w:tcMar>
          </w:tcPr>
          <w:p w:rsidR="00794E04" w:rsidRPr="00526311" w:rsidRDefault="00794E04" w:rsidP="0063039A">
            <w:pPr>
              <w:rPr>
                <w:sz w:val="16"/>
                <w:szCs w:val="16"/>
                <w:lang w:bidi="th-TH"/>
              </w:rPr>
            </w:pPr>
            <w:r w:rsidRPr="00526311">
              <w:rPr>
                <w:sz w:val="16"/>
                <w:szCs w:val="16"/>
                <w:lang w:bidi="th-TH"/>
              </w:rPr>
              <w:t>85 % muy satisfechos o satisfechos</w:t>
            </w:r>
          </w:p>
        </w:tc>
        <w:tc>
          <w:tcPr>
            <w:tcW w:w="1059" w:type="pct"/>
            <w:shd w:val="clear" w:color="auto" w:fill="FFFFFF"/>
            <w:tcMar>
              <w:top w:w="110" w:type="dxa"/>
            </w:tcMar>
          </w:tcPr>
          <w:p w:rsidR="00794E04" w:rsidRPr="00526311" w:rsidRDefault="00794E04" w:rsidP="0063039A">
            <w:pPr>
              <w:rPr>
                <w:sz w:val="16"/>
                <w:szCs w:val="16"/>
                <w:lang w:bidi="th-TH"/>
              </w:rPr>
            </w:pPr>
            <w:r w:rsidRPr="00526311">
              <w:rPr>
                <w:sz w:val="16"/>
                <w:szCs w:val="16"/>
                <w:lang w:bidi="th-TH"/>
              </w:rPr>
              <w:t>Muy satisfechos:  30,8%</w:t>
            </w:r>
          </w:p>
          <w:p w:rsidR="00794E04" w:rsidRPr="00526311" w:rsidRDefault="00794E04" w:rsidP="0063039A">
            <w:pPr>
              <w:rPr>
                <w:sz w:val="16"/>
                <w:szCs w:val="16"/>
                <w:lang w:bidi="th-TH"/>
              </w:rPr>
            </w:pPr>
            <w:r w:rsidRPr="00526311">
              <w:rPr>
                <w:sz w:val="16"/>
                <w:szCs w:val="16"/>
                <w:lang w:bidi="th-TH"/>
              </w:rPr>
              <w:t>Satisfechos:  49,1%</w:t>
            </w:r>
          </w:p>
          <w:p w:rsidR="00794E04" w:rsidRPr="00526311" w:rsidRDefault="00794E04" w:rsidP="0063039A">
            <w:pPr>
              <w:rPr>
                <w:sz w:val="16"/>
                <w:szCs w:val="16"/>
                <w:lang w:bidi="th-TH"/>
              </w:rPr>
            </w:pPr>
            <w:r w:rsidRPr="00526311">
              <w:rPr>
                <w:sz w:val="16"/>
                <w:szCs w:val="16"/>
                <w:lang w:bidi="th-TH"/>
              </w:rPr>
              <w:t>Insatisfechos:  17,6%</w:t>
            </w:r>
          </w:p>
          <w:p w:rsidR="00794E04" w:rsidRPr="00526311" w:rsidRDefault="00794E04" w:rsidP="0063039A">
            <w:pPr>
              <w:rPr>
                <w:sz w:val="16"/>
                <w:szCs w:val="16"/>
              </w:rPr>
            </w:pPr>
            <w:r w:rsidRPr="00526311">
              <w:rPr>
                <w:sz w:val="16"/>
                <w:szCs w:val="16"/>
              </w:rPr>
              <w:t>Muy insatisfechos: 2,5%</w:t>
            </w:r>
          </w:p>
        </w:tc>
        <w:tc>
          <w:tcPr>
            <w:tcW w:w="606" w:type="pct"/>
            <w:shd w:val="clear" w:color="auto" w:fill="auto"/>
            <w:tcMar>
              <w:top w:w="110" w:type="dxa"/>
            </w:tcMar>
          </w:tcPr>
          <w:p w:rsidR="00794E04" w:rsidRPr="00526311" w:rsidRDefault="00794E04" w:rsidP="0063039A">
            <w:pPr>
              <w:spacing w:after="120"/>
              <w:ind w:right="-107"/>
              <w:jc w:val="center"/>
              <w:rPr>
                <w:b/>
                <w:bCs/>
                <w:color w:val="00B050"/>
                <w:sz w:val="16"/>
                <w:szCs w:val="16"/>
              </w:rPr>
            </w:pPr>
            <w:r w:rsidRPr="00526311">
              <w:rPr>
                <w:b/>
                <w:color w:val="00B050"/>
                <w:sz w:val="16"/>
                <w:szCs w:val="16"/>
              </w:rPr>
              <w:t>Avanza</w:t>
            </w:r>
          </w:p>
        </w:tc>
      </w:tr>
      <w:tr w:rsidR="00794E04" w:rsidRPr="00526311" w:rsidTr="0063039A">
        <w:tc>
          <w:tcPr>
            <w:tcW w:w="1137" w:type="pct"/>
            <w:shd w:val="clear" w:color="auto" w:fill="auto"/>
          </w:tcPr>
          <w:p w:rsidR="00794E04" w:rsidRPr="00526311" w:rsidRDefault="00794E04" w:rsidP="0063039A">
            <w:pPr>
              <w:rPr>
                <w:sz w:val="16"/>
                <w:szCs w:val="16"/>
              </w:rPr>
            </w:pPr>
            <w:r w:rsidRPr="00526311">
              <w:rPr>
                <w:sz w:val="16"/>
                <w:szCs w:val="16"/>
              </w:rPr>
              <w:t>Prestación puntual, precisa y eficaz de servicios de operaciones en materia de recursos humanos</w:t>
            </w:r>
          </w:p>
          <w:p w:rsidR="00794E04" w:rsidRPr="00526311" w:rsidRDefault="00794E04" w:rsidP="0063039A">
            <w:pPr>
              <w:rPr>
                <w:sz w:val="16"/>
                <w:szCs w:val="16"/>
              </w:rPr>
            </w:pPr>
          </w:p>
        </w:tc>
        <w:tc>
          <w:tcPr>
            <w:tcW w:w="1287" w:type="pct"/>
            <w:shd w:val="clear" w:color="auto" w:fill="auto"/>
          </w:tcPr>
          <w:p w:rsidR="00794E04" w:rsidRPr="00526311" w:rsidRDefault="00794E04" w:rsidP="0063039A">
            <w:pPr>
              <w:rPr>
                <w:sz w:val="16"/>
                <w:szCs w:val="16"/>
              </w:rPr>
            </w:pPr>
            <w:r w:rsidRPr="00526311">
              <w:rPr>
                <w:sz w:val="16"/>
                <w:szCs w:val="16"/>
              </w:rPr>
              <w:t>Siete días laborables</w:t>
            </w:r>
          </w:p>
        </w:tc>
        <w:tc>
          <w:tcPr>
            <w:tcW w:w="911" w:type="pct"/>
            <w:shd w:val="clear" w:color="auto" w:fill="auto"/>
            <w:tcMar>
              <w:top w:w="110" w:type="dxa"/>
            </w:tcMar>
          </w:tcPr>
          <w:p w:rsidR="00794E04" w:rsidRPr="00526311" w:rsidRDefault="00794E04" w:rsidP="0063039A">
            <w:pPr>
              <w:rPr>
                <w:sz w:val="16"/>
                <w:szCs w:val="16"/>
              </w:rPr>
            </w:pPr>
            <w:r w:rsidRPr="00526311">
              <w:rPr>
                <w:sz w:val="16"/>
                <w:szCs w:val="16"/>
              </w:rPr>
              <w:t>Cinco días laborables</w:t>
            </w:r>
          </w:p>
        </w:tc>
        <w:tc>
          <w:tcPr>
            <w:tcW w:w="1059" w:type="pct"/>
            <w:shd w:val="clear" w:color="auto" w:fill="FFFFFF"/>
            <w:tcMar>
              <w:top w:w="110" w:type="dxa"/>
            </w:tcMar>
          </w:tcPr>
          <w:p w:rsidR="00794E04" w:rsidRPr="00526311" w:rsidRDefault="00794E04" w:rsidP="0063039A">
            <w:pPr>
              <w:rPr>
                <w:sz w:val="16"/>
                <w:szCs w:val="16"/>
              </w:rPr>
            </w:pPr>
            <w:r w:rsidRPr="00526311">
              <w:rPr>
                <w:sz w:val="16"/>
                <w:szCs w:val="16"/>
              </w:rPr>
              <w:t>Entre 6 y 6,5 días</w:t>
            </w:r>
          </w:p>
        </w:tc>
        <w:tc>
          <w:tcPr>
            <w:tcW w:w="606" w:type="pct"/>
            <w:shd w:val="clear" w:color="auto" w:fill="auto"/>
            <w:tcMar>
              <w:top w:w="110" w:type="dxa"/>
            </w:tcMar>
          </w:tcPr>
          <w:p w:rsidR="00794E04" w:rsidRPr="00526311" w:rsidRDefault="00794E04" w:rsidP="0063039A">
            <w:pPr>
              <w:spacing w:after="120"/>
              <w:ind w:right="-107"/>
              <w:jc w:val="center"/>
              <w:rPr>
                <w:bCs/>
                <w:color w:val="00B050"/>
                <w:sz w:val="16"/>
                <w:szCs w:val="16"/>
              </w:rPr>
            </w:pPr>
            <w:r w:rsidRPr="00526311">
              <w:rPr>
                <w:b/>
                <w:color w:val="00B050"/>
                <w:sz w:val="16"/>
                <w:szCs w:val="16"/>
              </w:rPr>
              <w:t>Avanza</w:t>
            </w:r>
          </w:p>
        </w:tc>
      </w:tr>
      <w:tr w:rsidR="00794E04" w:rsidRPr="00526311" w:rsidTr="0063039A">
        <w:tc>
          <w:tcPr>
            <w:tcW w:w="5000" w:type="pct"/>
            <w:gridSpan w:val="5"/>
            <w:tcBorders>
              <w:top w:val="single" w:sz="4" w:space="0" w:color="auto"/>
              <w:bottom w:val="single" w:sz="4" w:space="0" w:color="auto"/>
            </w:tcBorders>
            <w:shd w:val="clear" w:color="auto" w:fill="CCFFFF"/>
            <w:vAlign w:val="center"/>
          </w:tcPr>
          <w:p w:rsidR="00794E04" w:rsidRPr="00526311" w:rsidRDefault="00794E04" w:rsidP="0063039A">
            <w:pPr>
              <w:tabs>
                <w:tab w:val="left" w:pos="1452"/>
              </w:tabs>
              <w:spacing w:before="120" w:after="120"/>
              <w:ind w:left="1701" w:hanging="1701"/>
              <w:rPr>
                <w:b/>
                <w:bCs/>
                <w:sz w:val="16"/>
                <w:szCs w:val="16"/>
              </w:rPr>
            </w:pPr>
            <w:r w:rsidRPr="00526311">
              <w:rPr>
                <w:b/>
                <w:bCs/>
                <w:sz w:val="16"/>
                <w:szCs w:val="16"/>
              </w:rPr>
              <w:t>Resultado previsto:</w:t>
            </w:r>
            <w:r w:rsidRPr="00526311">
              <w:rPr>
                <w:b/>
                <w:bCs/>
                <w:sz w:val="16"/>
                <w:szCs w:val="16"/>
              </w:rPr>
              <w:tab/>
            </w:r>
            <w:r w:rsidRPr="00526311">
              <w:rPr>
                <w:bCs/>
                <w:sz w:val="16"/>
                <w:szCs w:val="16"/>
              </w:rPr>
              <w:t xml:space="preserve">IX.2 </w:t>
            </w:r>
            <w:r w:rsidR="0015655A" w:rsidRPr="00526311">
              <w:rPr>
                <w:bCs/>
                <w:sz w:val="16"/>
                <w:szCs w:val="16"/>
              </w:rPr>
              <w:t>Funcionamiento sin contratiempos de la Secretaría, provista de un personal bien dirigido, dotado de las competencias adecuadas y capaz de conseguir resultados</w:t>
            </w:r>
          </w:p>
        </w:tc>
      </w:tr>
      <w:tr w:rsidR="00794E04" w:rsidRPr="00526311" w:rsidTr="0063039A">
        <w:trPr>
          <w:trHeight w:val="681"/>
        </w:trPr>
        <w:tc>
          <w:tcPr>
            <w:tcW w:w="1137" w:type="pct"/>
            <w:tcBorders>
              <w:top w:val="single" w:sz="4" w:space="0" w:color="auto"/>
            </w:tcBorders>
            <w:shd w:val="clear" w:color="auto" w:fill="auto"/>
            <w:vAlign w:val="center"/>
          </w:tcPr>
          <w:p w:rsidR="00794E04" w:rsidRPr="00526311" w:rsidRDefault="00794E04" w:rsidP="0063039A">
            <w:pPr>
              <w:rPr>
                <w:sz w:val="16"/>
                <w:szCs w:val="16"/>
              </w:rPr>
            </w:pPr>
            <w:r w:rsidRPr="00526311">
              <w:rPr>
                <w:b/>
                <w:sz w:val="16"/>
                <w:szCs w:val="16"/>
              </w:rPr>
              <w:t>Indicadores de rendimiento</w:t>
            </w:r>
          </w:p>
        </w:tc>
        <w:tc>
          <w:tcPr>
            <w:tcW w:w="1287" w:type="pct"/>
            <w:tcBorders>
              <w:top w:val="single" w:sz="4" w:space="0" w:color="auto"/>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911" w:type="pct"/>
            <w:tcBorders>
              <w:top w:val="single" w:sz="4" w:space="0" w:color="auto"/>
            </w:tcBorders>
            <w:shd w:val="clear" w:color="auto" w:fill="auto"/>
            <w:tcMar>
              <w:top w:w="110" w:type="dxa"/>
            </w:tcMar>
            <w:vAlign w:val="center"/>
          </w:tcPr>
          <w:p w:rsidR="00794E04" w:rsidRPr="00526311" w:rsidRDefault="00794E04" w:rsidP="0063039A">
            <w:pPr>
              <w:rPr>
                <w:b/>
                <w:sz w:val="16"/>
                <w:szCs w:val="16"/>
              </w:rPr>
            </w:pPr>
            <w:r w:rsidRPr="00526311">
              <w:rPr>
                <w:b/>
                <w:sz w:val="16"/>
                <w:szCs w:val="16"/>
              </w:rPr>
              <w:t>Objetivos</w:t>
            </w:r>
          </w:p>
        </w:tc>
        <w:tc>
          <w:tcPr>
            <w:tcW w:w="1059" w:type="pct"/>
            <w:tcBorders>
              <w:top w:val="single" w:sz="4" w:space="0" w:color="auto"/>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06" w:type="pct"/>
            <w:tcBorders>
              <w:top w:val="single" w:sz="4" w:space="0" w:color="auto"/>
            </w:tcBorders>
            <w:shd w:val="clear" w:color="auto" w:fill="auto"/>
            <w:tcMar>
              <w:top w:w="110" w:type="dxa"/>
            </w:tcMar>
            <w:vAlign w:val="center"/>
          </w:tcPr>
          <w:p w:rsidR="00794E04" w:rsidRPr="00526311" w:rsidRDefault="00794E04" w:rsidP="0063039A">
            <w:pPr>
              <w:jc w:val="center"/>
              <w:rPr>
                <w:b/>
                <w:bCs/>
                <w:sz w:val="16"/>
                <w:szCs w:val="16"/>
              </w:rPr>
            </w:pPr>
            <w:r w:rsidRPr="00526311">
              <w:rPr>
                <w:b/>
                <w:bCs/>
                <w:sz w:val="16"/>
                <w:szCs w:val="16"/>
              </w:rPr>
              <w:t>Clave de colores</w:t>
            </w:r>
          </w:p>
        </w:tc>
      </w:tr>
      <w:tr w:rsidR="00794E04" w:rsidRPr="00526311" w:rsidTr="0063039A">
        <w:tc>
          <w:tcPr>
            <w:tcW w:w="1137" w:type="pct"/>
            <w:shd w:val="clear" w:color="auto" w:fill="auto"/>
          </w:tcPr>
          <w:p w:rsidR="00794E04" w:rsidRPr="00526311" w:rsidRDefault="00794E04" w:rsidP="0063039A">
            <w:pPr>
              <w:rPr>
                <w:sz w:val="16"/>
                <w:szCs w:val="16"/>
              </w:rPr>
            </w:pPr>
            <w:r w:rsidRPr="00526311">
              <w:rPr>
                <w:sz w:val="16"/>
                <w:szCs w:val="16"/>
              </w:rPr>
              <w:t>Duración del proceso de contratación</w:t>
            </w:r>
          </w:p>
        </w:tc>
        <w:tc>
          <w:tcPr>
            <w:tcW w:w="1287" w:type="pct"/>
            <w:shd w:val="clear" w:color="auto" w:fill="auto"/>
          </w:tcPr>
          <w:p w:rsidR="00794E04" w:rsidRPr="00526311" w:rsidRDefault="00794E04"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Promedio del bienio:  16,03 semanas (al 19 de marzo de 2014)</w:t>
            </w:r>
          </w:p>
          <w:p w:rsidR="00794E04" w:rsidRPr="00526311" w:rsidRDefault="00794E04" w:rsidP="0063039A">
            <w:pPr>
              <w:pStyle w:val="ListParagraph"/>
              <w:ind w:left="0"/>
              <w:rPr>
                <w:rFonts w:cs="Arial"/>
                <w:color w:val="002060"/>
                <w:sz w:val="16"/>
                <w:szCs w:val="16"/>
                <w:lang w:val="es-ES"/>
              </w:rPr>
            </w:pPr>
            <w:r w:rsidRPr="00526311">
              <w:rPr>
                <w:rFonts w:cs="Arial"/>
                <w:color w:val="002060"/>
                <w:sz w:val="16"/>
                <w:szCs w:val="16"/>
                <w:lang w:val="es-ES"/>
              </w:rPr>
              <w:t>2012: 16,5 semanas</w:t>
            </w:r>
          </w:p>
          <w:p w:rsidR="00794E04" w:rsidRPr="00526311" w:rsidRDefault="00794E04" w:rsidP="0063039A">
            <w:pPr>
              <w:pStyle w:val="ListParagraph"/>
              <w:ind w:left="0"/>
              <w:rPr>
                <w:color w:val="002060"/>
                <w:sz w:val="16"/>
                <w:szCs w:val="16"/>
                <w:lang w:val="es-ES"/>
              </w:rPr>
            </w:pPr>
            <w:r w:rsidRPr="00526311">
              <w:rPr>
                <w:color w:val="002060"/>
                <w:sz w:val="16"/>
                <w:szCs w:val="16"/>
                <w:lang w:val="es-ES"/>
              </w:rPr>
              <w:t>2013: 15,56 semanas</w:t>
            </w:r>
          </w:p>
          <w:p w:rsidR="00794E04" w:rsidRPr="00526311" w:rsidRDefault="00794E04" w:rsidP="0063039A">
            <w:pPr>
              <w:rPr>
                <w:i/>
                <w:color w:val="002060"/>
                <w:sz w:val="8"/>
                <w:szCs w:val="8"/>
              </w:rPr>
            </w:pPr>
          </w:p>
          <w:p w:rsidR="00794E04" w:rsidRPr="00526311" w:rsidRDefault="007B705E" w:rsidP="0063039A">
            <w:pPr>
              <w:rPr>
                <w:sz w:val="16"/>
                <w:szCs w:val="16"/>
              </w:rPr>
            </w:pPr>
            <w:r w:rsidRPr="00526311">
              <w:rPr>
                <w:i/>
                <w:sz w:val="16"/>
                <w:szCs w:val="16"/>
              </w:rPr>
              <w:t>Referencia original en el presupuesto de 2014/15</w:t>
            </w:r>
            <w:r w:rsidR="00794E04" w:rsidRPr="00526311">
              <w:rPr>
                <w:i/>
                <w:sz w:val="16"/>
                <w:szCs w:val="16"/>
              </w:rPr>
              <w:t>:</w:t>
            </w:r>
            <w:r w:rsidR="00794E04" w:rsidRPr="00526311">
              <w:rPr>
                <w:sz w:val="16"/>
                <w:szCs w:val="16"/>
              </w:rPr>
              <w:t xml:space="preserve">  21 semanas</w:t>
            </w:r>
          </w:p>
        </w:tc>
        <w:tc>
          <w:tcPr>
            <w:tcW w:w="911" w:type="pct"/>
            <w:shd w:val="clear" w:color="auto" w:fill="auto"/>
            <w:tcMar>
              <w:top w:w="110" w:type="dxa"/>
            </w:tcMar>
          </w:tcPr>
          <w:p w:rsidR="00794E04" w:rsidRPr="00526311" w:rsidRDefault="00794E04" w:rsidP="0063039A">
            <w:pPr>
              <w:rPr>
                <w:sz w:val="16"/>
                <w:szCs w:val="16"/>
              </w:rPr>
            </w:pPr>
            <w:r w:rsidRPr="00526311">
              <w:rPr>
                <w:sz w:val="16"/>
                <w:szCs w:val="16"/>
              </w:rPr>
              <w:t>19 semanas</w:t>
            </w:r>
          </w:p>
        </w:tc>
        <w:tc>
          <w:tcPr>
            <w:tcW w:w="1059" w:type="pct"/>
            <w:shd w:val="clear" w:color="auto" w:fill="FFFFFF"/>
            <w:tcMar>
              <w:top w:w="110" w:type="dxa"/>
            </w:tcMar>
          </w:tcPr>
          <w:p w:rsidR="00794E04" w:rsidRPr="00526311" w:rsidRDefault="00794E04" w:rsidP="0063039A">
            <w:pPr>
              <w:ind w:left="-64" w:right="-107"/>
              <w:rPr>
                <w:sz w:val="16"/>
                <w:szCs w:val="16"/>
              </w:rPr>
            </w:pPr>
            <w:r w:rsidRPr="00526311">
              <w:rPr>
                <w:sz w:val="16"/>
                <w:szCs w:val="16"/>
              </w:rPr>
              <w:t>14,7 semanas (teniendo en cuenta a los empleados temporales con muchos años de servicio)</w:t>
            </w:r>
          </w:p>
          <w:p w:rsidR="00794E04" w:rsidRPr="00526311" w:rsidRDefault="00794E04" w:rsidP="0063039A">
            <w:pPr>
              <w:ind w:left="-64" w:right="-107"/>
              <w:rPr>
                <w:sz w:val="16"/>
                <w:szCs w:val="16"/>
              </w:rPr>
            </w:pPr>
            <w:r w:rsidRPr="00526311">
              <w:rPr>
                <w:sz w:val="16"/>
                <w:szCs w:val="16"/>
              </w:rPr>
              <w:t>19,07 semanas (sin tener en cuenta a los empleados temporales con muchos años de servicio)</w:t>
            </w:r>
          </w:p>
        </w:tc>
        <w:tc>
          <w:tcPr>
            <w:tcW w:w="606" w:type="pct"/>
            <w:shd w:val="clear" w:color="auto" w:fill="auto"/>
            <w:tcMar>
              <w:top w:w="110" w:type="dxa"/>
            </w:tcMar>
          </w:tcPr>
          <w:p w:rsidR="00794E04" w:rsidRPr="00526311" w:rsidRDefault="00794E04" w:rsidP="0063039A">
            <w:pPr>
              <w:spacing w:after="120"/>
              <w:ind w:right="-107"/>
              <w:jc w:val="center"/>
              <w:rPr>
                <w:bCs/>
                <w:color w:val="00B050"/>
                <w:sz w:val="16"/>
                <w:szCs w:val="16"/>
              </w:rPr>
            </w:pPr>
            <w:r w:rsidRPr="00526311">
              <w:rPr>
                <w:b/>
                <w:color w:val="00B050"/>
                <w:sz w:val="16"/>
                <w:szCs w:val="16"/>
              </w:rPr>
              <w:t>Avanza</w:t>
            </w:r>
          </w:p>
        </w:tc>
      </w:tr>
      <w:tr w:rsidR="00794E04" w:rsidRPr="00526311" w:rsidTr="0063039A">
        <w:trPr>
          <w:trHeight w:val="1078"/>
        </w:trPr>
        <w:tc>
          <w:tcPr>
            <w:tcW w:w="1137" w:type="pct"/>
            <w:shd w:val="clear" w:color="auto" w:fill="auto"/>
          </w:tcPr>
          <w:p w:rsidR="00794E04" w:rsidRPr="00526311" w:rsidRDefault="00794E04" w:rsidP="0063039A">
            <w:pPr>
              <w:rPr>
                <w:sz w:val="16"/>
                <w:szCs w:val="16"/>
              </w:rPr>
            </w:pPr>
            <w:r w:rsidRPr="00526311">
              <w:rPr>
                <w:sz w:val="16"/>
                <w:szCs w:val="16"/>
              </w:rPr>
              <w:t>Porcentaje de dependencias de la Organización cuyos planes de recursos humanos están vinculados a los planes de trabajo anuales</w:t>
            </w:r>
          </w:p>
        </w:tc>
        <w:tc>
          <w:tcPr>
            <w:tcW w:w="1287" w:type="pct"/>
            <w:shd w:val="clear" w:color="auto" w:fill="auto"/>
          </w:tcPr>
          <w:p w:rsidR="00794E04" w:rsidRPr="00526311" w:rsidRDefault="00794E04" w:rsidP="0063039A">
            <w:pPr>
              <w:rPr>
                <w:color w:val="002060"/>
                <w:sz w:val="16"/>
                <w:szCs w:val="16"/>
                <w:lang w:bidi="th-TH"/>
              </w:rPr>
            </w:pPr>
            <w:r w:rsidRPr="00526311">
              <w:rPr>
                <w:i/>
                <w:color w:val="002060"/>
                <w:sz w:val="16"/>
                <w:szCs w:val="16"/>
                <w:lang w:bidi="th-TH"/>
              </w:rPr>
              <w:t xml:space="preserve">Referencia actualizada a fines de 2013:  </w:t>
            </w:r>
            <w:r w:rsidRPr="00526311">
              <w:rPr>
                <w:color w:val="002060"/>
                <w:sz w:val="16"/>
                <w:szCs w:val="16"/>
                <w:lang w:bidi="th-TH"/>
              </w:rPr>
              <w:t>0 (Cero)</w:t>
            </w:r>
          </w:p>
          <w:p w:rsidR="00794E04" w:rsidRPr="00526311" w:rsidRDefault="00794E04" w:rsidP="0063039A">
            <w:pPr>
              <w:rPr>
                <w:i/>
                <w:color w:val="002060"/>
                <w:sz w:val="8"/>
                <w:szCs w:val="8"/>
              </w:rPr>
            </w:pPr>
          </w:p>
          <w:p w:rsidR="00794E04" w:rsidRPr="00526311" w:rsidRDefault="007B705E" w:rsidP="0063039A">
            <w:pPr>
              <w:rPr>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Por determinar.</w:t>
            </w:r>
          </w:p>
        </w:tc>
        <w:tc>
          <w:tcPr>
            <w:tcW w:w="911" w:type="pct"/>
            <w:shd w:val="clear" w:color="auto" w:fill="auto"/>
            <w:tcMar>
              <w:top w:w="110" w:type="dxa"/>
            </w:tcMar>
          </w:tcPr>
          <w:p w:rsidR="00794E04" w:rsidRPr="00526311" w:rsidRDefault="00794E04" w:rsidP="0063039A">
            <w:pPr>
              <w:autoSpaceDE w:val="0"/>
              <w:autoSpaceDN w:val="0"/>
              <w:adjustRightInd w:val="0"/>
              <w:rPr>
                <w:sz w:val="16"/>
                <w:szCs w:val="16"/>
              </w:rPr>
            </w:pPr>
            <w:r w:rsidRPr="00526311">
              <w:rPr>
                <w:sz w:val="16"/>
                <w:szCs w:val="16"/>
              </w:rPr>
              <w:t xml:space="preserve">70% </w:t>
            </w:r>
          </w:p>
          <w:p w:rsidR="00794E04" w:rsidRPr="00526311" w:rsidRDefault="00794E04" w:rsidP="0063039A">
            <w:pPr>
              <w:rPr>
                <w:sz w:val="16"/>
                <w:szCs w:val="16"/>
              </w:rPr>
            </w:pPr>
          </w:p>
        </w:tc>
        <w:tc>
          <w:tcPr>
            <w:tcW w:w="1059" w:type="pct"/>
            <w:shd w:val="clear" w:color="auto" w:fill="FFFFFF"/>
            <w:tcMar>
              <w:top w:w="110" w:type="dxa"/>
            </w:tcMar>
          </w:tcPr>
          <w:p w:rsidR="00794E04" w:rsidRPr="00526311" w:rsidRDefault="00794E04" w:rsidP="0063039A">
            <w:pPr>
              <w:rPr>
                <w:sz w:val="16"/>
                <w:szCs w:val="16"/>
              </w:rPr>
            </w:pPr>
            <w:r w:rsidRPr="00526311">
              <w:rPr>
                <w:sz w:val="16"/>
                <w:szCs w:val="16"/>
              </w:rPr>
              <w:t>81,5%</w:t>
            </w:r>
          </w:p>
        </w:tc>
        <w:tc>
          <w:tcPr>
            <w:tcW w:w="606" w:type="pct"/>
            <w:shd w:val="clear" w:color="auto" w:fill="auto"/>
            <w:tcMar>
              <w:top w:w="110" w:type="dxa"/>
            </w:tcMar>
          </w:tcPr>
          <w:p w:rsidR="00794E04" w:rsidRPr="00526311" w:rsidRDefault="00794E04" w:rsidP="0063039A">
            <w:pPr>
              <w:spacing w:after="120"/>
              <w:ind w:right="-107"/>
              <w:jc w:val="center"/>
              <w:rPr>
                <w:b/>
                <w:bCs/>
                <w:color w:val="00B050"/>
                <w:sz w:val="16"/>
                <w:szCs w:val="16"/>
              </w:rPr>
            </w:pPr>
            <w:r w:rsidRPr="00526311">
              <w:rPr>
                <w:b/>
                <w:color w:val="00B050"/>
                <w:sz w:val="16"/>
                <w:szCs w:val="16"/>
              </w:rPr>
              <w:t>Avanza</w:t>
            </w:r>
          </w:p>
        </w:tc>
      </w:tr>
      <w:tr w:rsidR="00794E04" w:rsidRPr="00526311" w:rsidTr="0063039A">
        <w:tc>
          <w:tcPr>
            <w:tcW w:w="1137" w:type="pct"/>
            <w:shd w:val="clear" w:color="auto" w:fill="auto"/>
          </w:tcPr>
          <w:p w:rsidR="00794E04" w:rsidRPr="00526311" w:rsidRDefault="00794E04" w:rsidP="0063039A">
            <w:pPr>
              <w:rPr>
                <w:sz w:val="16"/>
                <w:szCs w:val="16"/>
              </w:rPr>
            </w:pPr>
            <w:r w:rsidRPr="00526311">
              <w:rPr>
                <w:sz w:val="16"/>
                <w:szCs w:val="16"/>
              </w:rPr>
              <w:t>Porcentaje de miembros del personal recién contratados que satisfacen las necesidades de la Organización</w:t>
            </w:r>
          </w:p>
        </w:tc>
        <w:tc>
          <w:tcPr>
            <w:tcW w:w="1287" w:type="pct"/>
            <w:shd w:val="clear" w:color="auto" w:fill="auto"/>
          </w:tcPr>
          <w:p w:rsidR="00794E04" w:rsidRPr="00526311" w:rsidRDefault="00794E04" w:rsidP="0063039A">
            <w:pPr>
              <w:rPr>
                <w:sz w:val="16"/>
                <w:szCs w:val="16"/>
              </w:rPr>
            </w:pPr>
            <w:r w:rsidRPr="00526311">
              <w:rPr>
                <w:sz w:val="16"/>
                <w:szCs w:val="16"/>
              </w:rPr>
              <w:t>Por determinar</w:t>
            </w:r>
          </w:p>
        </w:tc>
        <w:tc>
          <w:tcPr>
            <w:tcW w:w="911" w:type="pct"/>
            <w:shd w:val="clear" w:color="auto" w:fill="auto"/>
            <w:tcMar>
              <w:top w:w="110" w:type="dxa"/>
            </w:tcMar>
          </w:tcPr>
          <w:p w:rsidR="00794E04" w:rsidRPr="00526311" w:rsidRDefault="00794E04" w:rsidP="0063039A">
            <w:pPr>
              <w:rPr>
                <w:sz w:val="16"/>
                <w:szCs w:val="16"/>
              </w:rPr>
            </w:pPr>
            <w:r w:rsidRPr="00526311">
              <w:rPr>
                <w:sz w:val="16"/>
                <w:szCs w:val="16"/>
              </w:rPr>
              <w:t>80% de rendimiento satisfactorio después del período de prueba</w:t>
            </w:r>
          </w:p>
        </w:tc>
        <w:tc>
          <w:tcPr>
            <w:tcW w:w="1059" w:type="pct"/>
            <w:shd w:val="clear" w:color="auto" w:fill="FFFFFF"/>
            <w:tcMar>
              <w:top w:w="110" w:type="dxa"/>
            </w:tcMar>
          </w:tcPr>
          <w:p w:rsidR="00794E04" w:rsidRPr="00526311" w:rsidRDefault="00794E04" w:rsidP="0063039A">
            <w:pPr>
              <w:ind w:left="-64" w:right="-107"/>
              <w:rPr>
                <w:sz w:val="16"/>
                <w:szCs w:val="16"/>
              </w:rPr>
            </w:pPr>
            <w:r w:rsidRPr="00526311">
              <w:rPr>
                <w:sz w:val="16"/>
                <w:szCs w:val="16"/>
              </w:rPr>
              <w:t>El 81,25% del personal contratado en 2013 y que completó un ciclo de PMSDS tuvo un rendimiento satisfactorio o mejor</w:t>
            </w:r>
          </w:p>
          <w:p w:rsidR="00794E04" w:rsidRPr="00526311" w:rsidRDefault="00794E04" w:rsidP="0063039A">
            <w:pPr>
              <w:rPr>
                <w:sz w:val="16"/>
                <w:szCs w:val="16"/>
              </w:rPr>
            </w:pPr>
          </w:p>
          <w:p w:rsidR="00794E04" w:rsidRPr="00526311" w:rsidRDefault="00794E04" w:rsidP="0063039A">
            <w:pPr>
              <w:ind w:left="-64" w:right="-107"/>
              <w:rPr>
                <w:sz w:val="16"/>
                <w:szCs w:val="16"/>
              </w:rPr>
            </w:pPr>
            <w:r w:rsidRPr="00526311">
              <w:rPr>
                <w:sz w:val="16"/>
                <w:szCs w:val="16"/>
              </w:rPr>
              <w:t>En marzo de 2015 se publicará la política sobre el período de prueba.</w:t>
            </w:r>
            <w:r w:rsidRPr="00526311">
              <w:rPr>
                <w:sz w:val="16"/>
                <w:szCs w:val="16"/>
              </w:rPr>
              <w:br/>
            </w:r>
          </w:p>
        </w:tc>
        <w:tc>
          <w:tcPr>
            <w:tcW w:w="606" w:type="pct"/>
            <w:shd w:val="clear" w:color="auto" w:fill="auto"/>
            <w:tcMar>
              <w:top w:w="110" w:type="dxa"/>
            </w:tcMar>
          </w:tcPr>
          <w:p w:rsidR="00794E04" w:rsidRPr="00526311" w:rsidRDefault="00794E04" w:rsidP="0063039A">
            <w:pPr>
              <w:spacing w:after="120"/>
              <w:ind w:right="-107"/>
              <w:jc w:val="center"/>
              <w:rPr>
                <w:b/>
                <w:bCs/>
                <w:color w:val="00B050"/>
                <w:sz w:val="16"/>
                <w:szCs w:val="16"/>
              </w:rPr>
            </w:pPr>
            <w:r w:rsidRPr="00526311">
              <w:rPr>
                <w:b/>
                <w:color w:val="00B050"/>
                <w:sz w:val="16"/>
                <w:szCs w:val="16"/>
              </w:rPr>
              <w:t>Avanza</w:t>
            </w:r>
          </w:p>
        </w:tc>
      </w:tr>
    </w:tbl>
    <w:p w:rsidR="00794E04" w:rsidRPr="00526311" w:rsidRDefault="00794E04">
      <w:r w:rsidRPr="00526311">
        <w:br w:type="page"/>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08"/>
        <w:gridCol w:w="1705"/>
        <w:gridCol w:w="1982"/>
        <w:gridCol w:w="1134"/>
      </w:tblGrid>
      <w:tr w:rsidR="00794E04" w:rsidRPr="00526311" w:rsidTr="0063039A">
        <w:trPr>
          <w:trHeight w:val="391"/>
        </w:trPr>
        <w:tc>
          <w:tcPr>
            <w:tcW w:w="1137" w:type="pct"/>
            <w:tcBorders>
              <w:top w:val="single" w:sz="4" w:space="0" w:color="auto"/>
            </w:tcBorders>
            <w:shd w:val="clear" w:color="auto" w:fill="auto"/>
            <w:vAlign w:val="center"/>
          </w:tcPr>
          <w:p w:rsidR="00794E04" w:rsidRPr="00526311" w:rsidRDefault="00794E04" w:rsidP="0063039A">
            <w:pPr>
              <w:rPr>
                <w:sz w:val="16"/>
                <w:szCs w:val="16"/>
              </w:rPr>
            </w:pPr>
            <w:r w:rsidRPr="00526311">
              <w:rPr>
                <w:b/>
                <w:sz w:val="16"/>
                <w:szCs w:val="16"/>
              </w:rPr>
              <w:lastRenderedPageBreak/>
              <w:t>Indicadores de rendimiento</w:t>
            </w:r>
          </w:p>
        </w:tc>
        <w:tc>
          <w:tcPr>
            <w:tcW w:w="1287" w:type="pct"/>
            <w:tcBorders>
              <w:top w:val="single" w:sz="4" w:space="0" w:color="auto"/>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911" w:type="pct"/>
            <w:tcBorders>
              <w:top w:val="single" w:sz="4" w:space="0" w:color="auto"/>
            </w:tcBorders>
            <w:shd w:val="clear" w:color="auto" w:fill="auto"/>
            <w:tcMar>
              <w:top w:w="110" w:type="dxa"/>
            </w:tcMar>
            <w:vAlign w:val="center"/>
          </w:tcPr>
          <w:p w:rsidR="00794E04" w:rsidRPr="00526311" w:rsidRDefault="00794E04" w:rsidP="0063039A">
            <w:pPr>
              <w:rPr>
                <w:b/>
                <w:sz w:val="16"/>
                <w:szCs w:val="16"/>
              </w:rPr>
            </w:pPr>
            <w:r w:rsidRPr="00526311">
              <w:rPr>
                <w:b/>
                <w:sz w:val="16"/>
                <w:szCs w:val="16"/>
              </w:rPr>
              <w:t>Objetivos</w:t>
            </w:r>
          </w:p>
        </w:tc>
        <w:tc>
          <w:tcPr>
            <w:tcW w:w="1059" w:type="pct"/>
            <w:tcBorders>
              <w:top w:val="single" w:sz="4" w:space="0" w:color="auto"/>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06" w:type="pct"/>
            <w:tcBorders>
              <w:top w:val="single" w:sz="4" w:space="0" w:color="auto"/>
            </w:tcBorders>
            <w:shd w:val="clear" w:color="auto" w:fill="auto"/>
            <w:tcMar>
              <w:top w:w="110" w:type="dxa"/>
            </w:tcMar>
            <w:vAlign w:val="center"/>
          </w:tcPr>
          <w:p w:rsidR="00794E04" w:rsidRPr="00526311" w:rsidRDefault="00794E04" w:rsidP="0063039A">
            <w:pPr>
              <w:jc w:val="center"/>
              <w:rPr>
                <w:b/>
                <w:bCs/>
                <w:sz w:val="16"/>
                <w:szCs w:val="16"/>
              </w:rPr>
            </w:pPr>
            <w:r w:rsidRPr="00526311">
              <w:rPr>
                <w:b/>
                <w:bCs/>
                <w:sz w:val="16"/>
                <w:szCs w:val="16"/>
              </w:rPr>
              <w:t>Clave de colores</w:t>
            </w:r>
          </w:p>
        </w:tc>
      </w:tr>
      <w:tr w:rsidR="00794E04" w:rsidRPr="00526311" w:rsidTr="0063039A">
        <w:tc>
          <w:tcPr>
            <w:tcW w:w="1137" w:type="pct"/>
            <w:shd w:val="clear" w:color="auto" w:fill="auto"/>
          </w:tcPr>
          <w:p w:rsidR="00794E04" w:rsidRPr="00526311" w:rsidRDefault="00794E04" w:rsidP="0063039A">
            <w:pPr>
              <w:rPr>
                <w:sz w:val="16"/>
                <w:szCs w:val="16"/>
              </w:rPr>
            </w:pPr>
            <w:r w:rsidRPr="00526311">
              <w:rPr>
                <w:sz w:val="16"/>
                <w:szCs w:val="16"/>
              </w:rPr>
              <w:t>Porcentaje de miembros del personal cuyo desempeño se evalúa en función de objetivos y competencias específicos</w:t>
            </w:r>
          </w:p>
        </w:tc>
        <w:tc>
          <w:tcPr>
            <w:tcW w:w="1287" w:type="pct"/>
            <w:shd w:val="clear" w:color="auto" w:fill="auto"/>
          </w:tcPr>
          <w:p w:rsidR="00794E04" w:rsidRPr="00526311" w:rsidRDefault="00794E04" w:rsidP="0063039A">
            <w:pPr>
              <w:rPr>
                <w:color w:val="002060"/>
                <w:sz w:val="16"/>
                <w:szCs w:val="16"/>
              </w:rPr>
            </w:pPr>
            <w:r w:rsidRPr="00526311">
              <w:rPr>
                <w:i/>
                <w:color w:val="002060"/>
                <w:sz w:val="16"/>
                <w:szCs w:val="16"/>
                <w:lang w:bidi="th-TH"/>
              </w:rPr>
              <w:t xml:space="preserve">Referencia actualizada a fines de 2013:  </w:t>
            </w:r>
            <w:r w:rsidRPr="00526311">
              <w:rPr>
                <w:color w:val="002060"/>
                <w:sz w:val="16"/>
                <w:szCs w:val="16"/>
              </w:rPr>
              <w:t>Bienio:  el 90,75% del personal incluido en el PMSDS fue evaluado en función de objetivos individuales y competencias</w:t>
            </w:r>
          </w:p>
          <w:p w:rsidR="00794E04" w:rsidRPr="00526311" w:rsidRDefault="00794E04" w:rsidP="0063039A">
            <w:pPr>
              <w:rPr>
                <w:color w:val="002060"/>
                <w:sz w:val="16"/>
                <w:szCs w:val="16"/>
              </w:rPr>
            </w:pPr>
          </w:p>
          <w:p w:rsidR="00794E04" w:rsidRPr="00526311" w:rsidRDefault="00794E04" w:rsidP="0063039A">
            <w:pPr>
              <w:rPr>
                <w:color w:val="002060"/>
                <w:sz w:val="16"/>
                <w:szCs w:val="16"/>
              </w:rPr>
            </w:pPr>
            <w:r w:rsidRPr="00526311">
              <w:rPr>
                <w:color w:val="002060"/>
                <w:sz w:val="16"/>
                <w:szCs w:val="16"/>
              </w:rPr>
              <w:t>2012: El 91% del personal incluido en el PMSDS fue evaluado en función de objetivos individuales y competencias (al cierre de abril de 2012)</w:t>
            </w:r>
          </w:p>
          <w:p w:rsidR="00794E04" w:rsidRPr="00526311" w:rsidRDefault="00794E04" w:rsidP="0063039A">
            <w:pPr>
              <w:rPr>
                <w:color w:val="002060"/>
                <w:sz w:val="16"/>
                <w:szCs w:val="16"/>
              </w:rPr>
            </w:pPr>
          </w:p>
          <w:p w:rsidR="00794E04" w:rsidRPr="00526311" w:rsidRDefault="00794E04" w:rsidP="0063039A">
            <w:pPr>
              <w:rPr>
                <w:color w:val="002060"/>
                <w:sz w:val="16"/>
                <w:szCs w:val="16"/>
                <w:lang w:bidi="th-TH"/>
              </w:rPr>
            </w:pPr>
            <w:r w:rsidRPr="00526311">
              <w:rPr>
                <w:color w:val="002060"/>
                <w:sz w:val="16"/>
                <w:szCs w:val="16"/>
                <w:lang w:bidi="th-TH"/>
              </w:rPr>
              <w:t>2013: El 90,5% del personal incluido en el PMSDS fue evaluado en función de objetivos individuales y competencias (al cierre de abril de 2013)</w:t>
            </w:r>
          </w:p>
          <w:p w:rsidR="00794E04" w:rsidRPr="00526311" w:rsidRDefault="00794E04" w:rsidP="0063039A">
            <w:pPr>
              <w:rPr>
                <w:i/>
                <w:color w:val="002060"/>
                <w:sz w:val="8"/>
                <w:szCs w:val="8"/>
              </w:rPr>
            </w:pPr>
          </w:p>
          <w:p w:rsidR="00794E04" w:rsidRPr="00526311" w:rsidRDefault="007B705E" w:rsidP="0063039A">
            <w:pPr>
              <w:rPr>
                <w:sz w:val="16"/>
                <w:szCs w:val="16"/>
              </w:rPr>
            </w:pPr>
            <w:r w:rsidRPr="00526311">
              <w:rPr>
                <w:i/>
                <w:sz w:val="16"/>
                <w:szCs w:val="16"/>
              </w:rPr>
              <w:t>Referencia original en el presupuesto de 2014/15</w:t>
            </w:r>
            <w:r w:rsidR="00794E04" w:rsidRPr="00526311">
              <w:rPr>
                <w:sz w:val="16"/>
                <w:szCs w:val="16"/>
              </w:rPr>
              <w:t>:  81% (2012)</w:t>
            </w:r>
          </w:p>
        </w:tc>
        <w:tc>
          <w:tcPr>
            <w:tcW w:w="911" w:type="pct"/>
            <w:shd w:val="clear" w:color="auto" w:fill="auto"/>
            <w:tcMar>
              <w:top w:w="110" w:type="dxa"/>
            </w:tcMar>
          </w:tcPr>
          <w:p w:rsidR="00794E04" w:rsidRPr="00526311" w:rsidRDefault="00794E04" w:rsidP="0063039A">
            <w:pPr>
              <w:rPr>
                <w:sz w:val="16"/>
                <w:szCs w:val="16"/>
              </w:rPr>
            </w:pPr>
            <w:r w:rsidRPr="00526311">
              <w:rPr>
                <w:sz w:val="16"/>
                <w:szCs w:val="16"/>
              </w:rPr>
              <w:t>90%</w:t>
            </w:r>
          </w:p>
        </w:tc>
        <w:tc>
          <w:tcPr>
            <w:tcW w:w="1059" w:type="pct"/>
            <w:shd w:val="clear" w:color="auto" w:fill="FFFFFF"/>
            <w:tcMar>
              <w:top w:w="110" w:type="dxa"/>
            </w:tcMar>
          </w:tcPr>
          <w:p w:rsidR="00794E04" w:rsidRPr="00526311" w:rsidRDefault="00794E04" w:rsidP="0063039A">
            <w:pPr>
              <w:ind w:left="-64" w:right="-107"/>
              <w:rPr>
                <w:sz w:val="16"/>
                <w:szCs w:val="16"/>
              </w:rPr>
            </w:pPr>
            <w:r w:rsidRPr="00526311">
              <w:rPr>
                <w:sz w:val="16"/>
                <w:szCs w:val="16"/>
              </w:rPr>
              <w:t>El 93,1% del personal incluido en el PMSDS fue evaluado en función de objetivos individuales y competencias</w:t>
            </w:r>
          </w:p>
        </w:tc>
        <w:tc>
          <w:tcPr>
            <w:tcW w:w="606" w:type="pct"/>
            <w:shd w:val="clear" w:color="auto" w:fill="auto"/>
            <w:tcMar>
              <w:top w:w="110" w:type="dxa"/>
            </w:tcMar>
          </w:tcPr>
          <w:p w:rsidR="00794E04" w:rsidRPr="00526311" w:rsidRDefault="00794E04" w:rsidP="0063039A">
            <w:pPr>
              <w:spacing w:after="120"/>
              <w:ind w:right="-107"/>
              <w:jc w:val="center"/>
              <w:rPr>
                <w:bCs/>
                <w:color w:val="00B050"/>
                <w:sz w:val="16"/>
                <w:szCs w:val="16"/>
              </w:rPr>
            </w:pPr>
            <w:r w:rsidRPr="00526311">
              <w:rPr>
                <w:b/>
                <w:color w:val="00B050"/>
                <w:sz w:val="16"/>
                <w:szCs w:val="16"/>
              </w:rPr>
              <w:t>Avanza</w:t>
            </w:r>
          </w:p>
        </w:tc>
      </w:tr>
      <w:tr w:rsidR="00794E04" w:rsidRPr="00526311" w:rsidTr="0063039A">
        <w:tc>
          <w:tcPr>
            <w:tcW w:w="1137" w:type="pct"/>
            <w:shd w:val="clear" w:color="auto" w:fill="auto"/>
          </w:tcPr>
          <w:p w:rsidR="00794E04" w:rsidRPr="00526311" w:rsidRDefault="00794E04" w:rsidP="0063039A">
            <w:pPr>
              <w:rPr>
                <w:sz w:val="16"/>
                <w:szCs w:val="16"/>
              </w:rPr>
            </w:pPr>
            <w:r w:rsidRPr="00526311">
              <w:rPr>
                <w:sz w:val="16"/>
                <w:szCs w:val="16"/>
              </w:rPr>
              <w:t>Porcentaje de necesidades de formación esenciales que se han satisfecho a nivel individual y colectivo</w:t>
            </w:r>
          </w:p>
        </w:tc>
        <w:tc>
          <w:tcPr>
            <w:tcW w:w="1287" w:type="pct"/>
            <w:shd w:val="clear" w:color="auto" w:fill="auto"/>
          </w:tcPr>
          <w:p w:rsidR="00794E04" w:rsidRPr="00526311" w:rsidRDefault="00794E04" w:rsidP="0063039A">
            <w:pPr>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rPr>
              <w:t>no hay ninguna evaluación</w:t>
            </w:r>
          </w:p>
          <w:p w:rsidR="00794E04" w:rsidRPr="00526311" w:rsidRDefault="00794E04" w:rsidP="0063039A">
            <w:pPr>
              <w:rPr>
                <w:i/>
                <w:color w:val="002060"/>
                <w:sz w:val="8"/>
                <w:szCs w:val="8"/>
              </w:rPr>
            </w:pPr>
          </w:p>
          <w:p w:rsidR="00794E04" w:rsidRPr="00526311" w:rsidRDefault="007B705E" w:rsidP="0063039A">
            <w:pPr>
              <w:rPr>
                <w:sz w:val="16"/>
                <w:szCs w:val="16"/>
              </w:rPr>
            </w:pPr>
            <w:r w:rsidRPr="00526311">
              <w:rPr>
                <w:i/>
                <w:sz w:val="16"/>
                <w:szCs w:val="16"/>
              </w:rPr>
              <w:t>Referencia original en el presupuesto de 2014/15</w:t>
            </w:r>
            <w:r w:rsidR="00794E04" w:rsidRPr="00526311">
              <w:rPr>
                <w:i/>
                <w:sz w:val="16"/>
                <w:szCs w:val="16"/>
              </w:rPr>
              <w:t>:</w:t>
            </w:r>
            <w:r w:rsidR="00794E04" w:rsidRPr="00526311">
              <w:rPr>
                <w:sz w:val="16"/>
                <w:szCs w:val="16"/>
              </w:rPr>
              <w:t xml:space="preserve"> no hay ninguna evaluación (disponible a finales de 2013)</w:t>
            </w:r>
          </w:p>
          <w:p w:rsidR="00794E04" w:rsidRPr="00526311" w:rsidRDefault="00794E04" w:rsidP="0063039A">
            <w:pPr>
              <w:rPr>
                <w:i/>
                <w:color w:val="002060"/>
                <w:sz w:val="16"/>
                <w:szCs w:val="16"/>
              </w:rPr>
            </w:pPr>
          </w:p>
        </w:tc>
        <w:tc>
          <w:tcPr>
            <w:tcW w:w="911" w:type="pct"/>
            <w:shd w:val="clear" w:color="auto" w:fill="auto"/>
            <w:tcMar>
              <w:top w:w="110" w:type="dxa"/>
            </w:tcMar>
          </w:tcPr>
          <w:p w:rsidR="00794E04" w:rsidRPr="00526311" w:rsidRDefault="00794E04" w:rsidP="0063039A">
            <w:pPr>
              <w:rPr>
                <w:sz w:val="16"/>
                <w:szCs w:val="16"/>
              </w:rPr>
            </w:pPr>
            <w:r w:rsidRPr="00526311">
              <w:rPr>
                <w:sz w:val="16"/>
                <w:szCs w:val="16"/>
              </w:rPr>
              <w:t>Necesidades de formación esenciales a nivel individual:  80 % satisfechas</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Necesidades de formación esenciales a nivel colectivo:  el 80 % de las necesidades se atienden mediante el programa de formación</w:t>
            </w:r>
          </w:p>
        </w:tc>
        <w:tc>
          <w:tcPr>
            <w:tcW w:w="1059" w:type="pct"/>
            <w:shd w:val="clear" w:color="auto" w:fill="FFFFFF"/>
            <w:tcMar>
              <w:top w:w="110" w:type="dxa"/>
            </w:tcMar>
          </w:tcPr>
          <w:p w:rsidR="00794E04" w:rsidRPr="00526311" w:rsidRDefault="00794E04" w:rsidP="0063039A">
            <w:pPr>
              <w:rPr>
                <w:sz w:val="16"/>
                <w:szCs w:val="16"/>
              </w:rPr>
            </w:pPr>
            <w:r w:rsidRPr="00526311">
              <w:rPr>
                <w:sz w:val="16"/>
                <w:szCs w:val="16"/>
              </w:rPr>
              <w:t>Esenciales a nivel individual: 61%</w:t>
            </w:r>
          </w:p>
          <w:p w:rsidR="00794E04" w:rsidRPr="00526311" w:rsidRDefault="00794E04" w:rsidP="0063039A">
            <w:pPr>
              <w:rPr>
                <w:sz w:val="16"/>
                <w:szCs w:val="16"/>
              </w:rPr>
            </w:pP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Esenciales a nivel colectivo: 49,8%</w:t>
            </w:r>
          </w:p>
        </w:tc>
        <w:tc>
          <w:tcPr>
            <w:tcW w:w="606" w:type="pct"/>
            <w:shd w:val="clear" w:color="auto" w:fill="auto"/>
            <w:tcMar>
              <w:top w:w="110" w:type="dxa"/>
            </w:tcMar>
          </w:tcPr>
          <w:p w:rsidR="00794E04" w:rsidRPr="00526311" w:rsidRDefault="00794E04" w:rsidP="0063039A">
            <w:pPr>
              <w:spacing w:after="120"/>
              <w:ind w:right="-107"/>
              <w:jc w:val="center"/>
              <w:rPr>
                <w:b/>
                <w:bCs/>
                <w:color w:val="00B050"/>
                <w:sz w:val="16"/>
                <w:szCs w:val="16"/>
              </w:rPr>
            </w:pPr>
            <w:r w:rsidRPr="00526311">
              <w:rPr>
                <w:b/>
                <w:color w:val="00B050"/>
                <w:sz w:val="16"/>
                <w:szCs w:val="16"/>
              </w:rPr>
              <w:t>Avanza</w:t>
            </w:r>
            <w:r w:rsidRPr="00526311">
              <w:rPr>
                <w:b/>
                <w:bCs/>
                <w:color w:val="00B050"/>
                <w:sz w:val="16"/>
                <w:szCs w:val="16"/>
              </w:rPr>
              <w:t xml:space="preserve"> </w:t>
            </w:r>
            <w:r w:rsidRPr="00526311">
              <w:rPr>
                <w:b/>
                <w:bCs/>
                <w:color w:val="00B050"/>
                <w:sz w:val="16"/>
                <w:szCs w:val="16"/>
              </w:rPr>
              <w:br/>
            </w:r>
            <w:r w:rsidRPr="00526311">
              <w:rPr>
                <w:b/>
                <w:bCs/>
                <w:color w:val="00B050"/>
                <w:sz w:val="16"/>
                <w:szCs w:val="16"/>
              </w:rPr>
              <w:br/>
            </w:r>
          </w:p>
          <w:p w:rsidR="00794E04" w:rsidRPr="00526311" w:rsidDel="00AF185F" w:rsidRDefault="00E13393" w:rsidP="0063039A">
            <w:pPr>
              <w:spacing w:after="120"/>
              <w:ind w:right="-107"/>
              <w:jc w:val="center"/>
              <w:rPr>
                <w:b/>
                <w:bCs/>
                <w:color w:val="00B050"/>
                <w:sz w:val="16"/>
                <w:szCs w:val="16"/>
              </w:rPr>
            </w:pPr>
            <w:r w:rsidRPr="00526311">
              <w:rPr>
                <w:b/>
                <w:color w:val="00B050"/>
                <w:sz w:val="16"/>
                <w:szCs w:val="16"/>
              </w:rPr>
              <w:t>Avanza</w:t>
            </w:r>
          </w:p>
        </w:tc>
      </w:tr>
      <w:tr w:rsidR="00794E04" w:rsidRPr="00526311" w:rsidTr="0063039A">
        <w:tc>
          <w:tcPr>
            <w:tcW w:w="1137" w:type="pct"/>
            <w:shd w:val="clear" w:color="auto" w:fill="auto"/>
          </w:tcPr>
          <w:p w:rsidR="00794E04" w:rsidRPr="00526311" w:rsidRDefault="00794E04" w:rsidP="0063039A">
            <w:pPr>
              <w:rPr>
                <w:sz w:val="16"/>
                <w:szCs w:val="16"/>
              </w:rPr>
            </w:pPr>
            <w:r w:rsidRPr="00526311">
              <w:rPr>
                <w:sz w:val="16"/>
                <w:szCs w:val="16"/>
              </w:rPr>
              <w:t>Número promedio de días de ausencia por enfermedad por empleado (ausentismo)</w:t>
            </w:r>
          </w:p>
        </w:tc>
        <w:tc>
          <w:tcPr>
            <w:tcW w:w="1287" w:type="pct"/>
            <w:shd w:val="clear" w:color="auto" w:fill="auto"/>
          </w:tcPr>
          <w:p w:rsidR="00794E04" w:rsidRPr="00526311" w:rsidRDefault="00794E04" w:rsidP="0063039A">
            <w:pPr>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rPr>
              <w:t>para el</w:t>
            </w:r>
            <w:r w:rsidRPr="00526311">
              <w:rPr>
                <w:color w:val="002060"/>
                <w:sz w:val="16"/>
                <w:szCs w:val="16"/>
                <w:lang w:bidi="th-TH"/>
              </w:rPr>
              <w:t xml:space="preserve"> bienio: 10,34</w:t>
            </w:r>
          </w:p>
          <w:p w:rsidR="00794E04" w:rsidRPr="00526311" w:rsidRDefault="00794E04" w:rsidP="00794E04">
            <w:pPr>
              <w:pStyle w:val="ListParagraph"/>
              <w:numPr>
                <w:ilvl w:val="0"/>
                <w:numId w:val="87"/>
              </w:numPr>
              <w:rPr>
                <w:rFonts w:cs="Arial"/>
                <w:color w:val="002060"/>
                <w:sz w:val="16"/>
                <w:szCs w:val="16"/>
                <w:lang w:val="es-ES" w:bidi="th-TH"/>
              </w:rPr>
            </w:pPr>
            <w:r w:rsidRPr="00526311">
              <w:rPr>
                <w:rFonts w:cs="Arial"/>
                <w:color w:val="002060"/>
                <w:sz w:val="16"/>
                <w:szCs w:val="16"/>
                <w:lang w:val="es-ES" w:bidi="th-TH"/>
              </w:rPr>
              <w:t>2012:  9,07</w:t>
            </w:r>
          </w:p>
          <w:p w:rsidR="00794E04" w:rsidRPr="00526311" w:rsidRDefault="00794E04" w:rsidP="00794E04">
            <w:pPr>
              <w:pStyle w:val="ListParagraph"/>
              <w:numPr>
                <w:ilvl w:val="0"/>
                <w:numId w:val="87"/>
              </w:numPr>
              <w:rPr>
                <w:rFonts w:cs="Arial"/>
                <w:color w:val="002060"/>
                <w:sz w:val="16"/>
                <w:szCs w:val="16"/>
                <w:lang w:val="es-ES" w:bidi="th-TH"/>
              </w:rPr>
            </w:pPr>
            <w:r w:rsidRPr="00526311">
              <w:rPr>
                <w:rFonts w:cs="Arial"/>
                <w:color w:val="002060"/>
                <w:sz w:val="16"/>
                <w:szCs w:val="16"/>
                <w:lang w:val="es-ES" w:bidi="th-TH"/>
              </w:rPr>
              <w:t>2013:  11,6</w:t>
            </w:r>
          </w:p>
          <w:p w:rsidR="00794E04" w:rsidRPr="00526311" w:rsidRDefault="00794E04" w:rsidP="0063039A">
            <w:pPr>
              <w:rPr>
                <w:i/>
                <w:color w:val="002060"/>
                <w:sz w:val="8"/>
                <w:szCs w:val="8"/>
              </w:rPr>
            </w:pPr>
          </w:p>
          <w:p w:rsidR="00794E04" w:rsidRPr="00526311" w:rsidRDefault="007B705E" w:rsidP="0063039A">
            <w:pPr>
              <w:rPr>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9,07% (dic. de 2012)</w:t>
            </w:r>
          </w:p>
        </w:tc>
        <w:tc>
          <w:tcPr>
            <w:tcW w:w="911" w:type="pct"/>
            <w:shd w:val="clear" w:color="auto" w:fill="auto"/>
            <w:tcMar>
              <w:top w:w="110" w:type="dxa"/>
            </w:tcMar>
          </w:tcPr>
          <w:p w:rsidR="00794E04" w:rsidRPr="00526311" w:rsidRDefault="00794E04" w:rsidP="0063039A">
            <w:pPr>
              <w:keepNext/>
              <w:keepLines/>
              <w:rPr>
                <w:sz w:val="16"/>
                <w:szCs w:val="16"/>
              </w:rPr>
            </w:pPr>
            <w:r w:rsidRPr="00526311">
              <w:rPr>
                <w:sz w:val="16"/>
                <w:szCs w:val="16"/>
              </w:rPr>
              <w:t>9</w:t>
            </w:r>
          </w:p>
        </w:tc>
        <w:tc>
          <w:tcPr>
            <w:tcW w:w="1059" w:type="pct"/>
            <w:shd w:val="clear" w:color="auto" w:fill="FFFFFF"/>
            <w:tcMar>
              <w:top w:w="110" w:type="dxa"/>
            </w:tcMar>
          </w:tcPr>
          <w:p w:rsidR="00794E04" w:rsidRPr="00526311" w:rsidRDefault="00794E04" w:rsidP="0063039A">
            <w:pPr>
              <w:rPr>
                <w:sz w:val="16"/>
                <w:szCs w:val="16"/>
              </w:rPr>
            </w:pPr>
            <w:r w:rsidRPr="00526311">
              <w:rPr>
                <w:sz w:val="16"/>
                <w:szCs w:val="16"/>
              </w:rPr>
              <w:t>9,9</w:t>
            </w:r>
          </w:p>
        </w:tc>
        <w:tc>
          <w:tcPr>
            <w:tcW w:w="606" w:type="pct"/>
            <w:shd w:val="clear" w:color="auto" w:fill="auto"/>
            <w:tcMar>
              <w:top w:w="110" w:type="dxa"/>
            </w:tcMar>
          </w:tcPr>
          <w:p w:rsidR="00794E04" w:rsidRPr="00526311" w:rsidDel="00AF185F" w:rsidRDefault="00794E04" w:rsidP="0063039A">
            <w:pPr>
              <w:spacing w:after="120"/>
              <w:ind w:right="-107"/>
              <w:jc w:val="center"/>
              <w:rPr>
                <w:b/>
                <w:bCs/>
                <w:color w:val="00B050"/>
                <w:sz w:val="16"/>
                <w:szCs w:val="16"/>
              </w:rPr>
            </w:pPr>
            <w:r w:rsidRPr="00526311">
              <w:rPr>
                <w:b/>
                <w:color w:val="00B050"/>
                <w:sz w:val="16"/>
                <w:szCs w:val="16"/>
              </w:rPr>
              <w:t>Avanza</w:t>
            </w:r>
          </w:p>
        </w:tc>
      </w:tr>
      <w:tr w:rsidR="00794E04" w:rsidRPr="00526311" w:rsidTr="0063039A">
        <w:tc>
          <w:tcPr>
            <w:tcW w:w="1137" w:type="pct"/>
            <w:shd w:val="clear" w:color="auto" w:fill="auto"/>
          </w:tcPr>
          <w:p w:rsidR="00794E04" w:rsidRPr="00526311" w:rsidRDefault="00794E04" w:rsidP="0063039A">
            <w:pPr>
              <w:rPr>
                <w:sz w:val="16"/>
                <w:szCs w:val="16"/>
              </w:rPr>
            </w:pPr>
            <w:r w:rsidRPr="00526311">
              <w:rPr>
                <w:sz w:val="16"/>
                <w:szCs w:val="16"/>
              </w:rPr>
              <w:t>Porcentaje de mujeres que ocupan puestos profesionales y de categorías superiores</w:t>
            </w:r>
          </w:p>
        </w:tc>
        <w:tc>
          <w:tcPr>
            <w:tcW w:w="1287" w:type="pct"/>
            <w:shd w:val="clear" w:color="auto" w:fill="auto"/>
          </w:tcPr>
          <w:p w:rsidR="00794E04" w:rsidRPr="00526311" w:rsidDel="00A15D98" w:rsidRDefault="00794E04" w:rsidP="0063039A">
            <w:pPr>
              <w:rPr>
                <w:color w:val="002060"/>
                <w:sz w:val="16"/>
                <w:szCs w:val="16"/>
              </w:rPr>
            </w:pPr>
            <w:r w:rsidRPr="00526311">
              <w:rPr>
                <w:i/>
                <w:color w:val="002060"/>
                <w:sz w:val="16"/>
                <w:szCs w:val="16"/>
              </w:rPr>
              <w:t xml:space="preserve">Referencia actualizada a fines de 2013:  </w:t>
            </w:r>
          </w:p>
          <w:tbl>
            <w:tblPr>
              <w:tblW w:w="2383" w:type="dxa"/>
              <w:tblLayout w:type="fixed"/>
              <w:tblLook w:val="04A0" w:firstRow="1" w:lastRow="0" w:firstColumn="1" w:lastColumn="0" w:noHBand="0" w:noVBand="1"/>
            </w:tblPr>
            <w:tblGrid>
              <w:gridCol w:w="580"/>
              <w:gridCol w:w="670"/>
              <w:gridCol w:w="1133"/>
            </w:tblGrid>
            <w:tr w:rsidR="00794E04" w:rsidRPr="00526311" w:rsidTr="0063039A">
              <w:trPr>
                <w:trHeight w:val="255"/>
              </w:trPr>
              <w:tc>
                <w:tcPr>
                  <w:tcW w:w="580"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p>
              </w:tc>
              <w:tc>
                <w:tcPr>
                  <w:tcW w:w="670"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2012:</w:t>
                  </w:r>
                </w:p>
              </w:tc>
              <w:tc>
                <w:tcPr>
                  <w:tcW w:w="1133"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2013:</w:t>
                  </w:r>
                </w:p>
              </w:tc>
            </w:tr>
            <w:tr w:rsidR="00794E04" w:rsidRPr="00526311" w:rsidTr="0063039A">
              <w:trPr>
                <w:trHeight w:val="255"/>
              </w:trPr>
              <w:tc>
                <w:tcPr>
                  <w:tcW w:w="580"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 xml:space="preserve">P4 - </w:t>
                  </w:r>
                </w:p>
              </w:tc>
              <w:tc>
                <w:tcPr>
                  <w:tcW w:w="670"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44,4%</w:t>
                  </w:r>
                </w:p>
              </w:tc>
              <w:tc>
                <w:tcPr>
                  <w:tcW w:w="1133"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43,4%</w:t>
                  </w:r>
                </w:p>
              </w:tc>
            </w:tr>
            <w:tr w:rsidR="00794E04" w:rsidRPr="00526311" w:rsidTr="0063039A">
              <w:trPr>
                <w:trHeight w:val="255"/>
              </w:trPr>
              <w:tc>
                <w:tcPr>
                  <w:tcW w:w="580"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 xml:space="preserve">P5 - </w:t>
                  </w:r>
                </w:p>
              </w:tc>
              <w:tc>
                <w:tcPr>
                  <w:tcW w:w="670"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30,3%</w:t>
                  </w:r>
                </w:p>
              </w:tc>
              <w:tc>
                <w:tcPr>
                  <w:tcW w:w="1133"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34,3%</w:t>
                  </w:r>
                </w:p>
              </w:tc>
            </w:tr>
            <w:tr w:rsidR="00794E04" w:rsidRPr="00526311" w:rsidTr="0063039A">
              <w:trPr>
                <w:trHeight w:val="255"/>
              </w:trPr>
              <w:tc>
                <w:tcPr>
                  <w:tcW w:w="580"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 xml:space="preserve">D1 - </w:t>
                  </w:r>
                </w:p>
              </w:tc>
              <w:tc>
                <w:tcPr>
                  <w:tcW w:w="670"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24,4%</w:t>
                  </w:r>
                </w:p>
              </w:tc>
              <w:tc>
                <w:tcPr>
                  <w:tcW w:w="1133"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26,8%</w:t>
                  </w:r>
                </w:p>
              </w:tc>
            </w:tr>
            <w:tr w:rsidR="00794E04" w:rsidRPr="00526311" w:rsidTr="0063039A">
              <w:trPr>
                <w:trHeight w:val="255"/>
              </w:trPr>
              <w:tc>
                <w:tcPr>
                  <w:tcW w:w="580"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 xml:space="preserve">D2 - </w:t>
                  </w:r>
                </w:p>
              </w:tc>
              <w:tc>
                <w:tcPr>
                  <w:tcW w:w="670"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23,1%</w:t>
                  </w:r>
                </w:p>
              </w:tc>
              <w:tc>
                <w:tcPr>
                  <w:tcW w:w="1133"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33,3%</w:t>
                  </w:r>
                </w:p>
              </w:tc>
            </w:tr>
          </w:tbl>
          <w:p w:rsidR="00794E04" w:rsidRPr="00526311" w:rsidRDefault="00794E04" w:rsidP="0063039A">
            <w:pPr>
              <w:rPr>
                <w:i/>
                <w:color w:val="002060"/>
                <w:sz w:val="8"/>
                <w:szCs w:val="8"/>
              </w:rPr>
            </w:pPr>
          </w:p>
          <w:p w:rsidR="00794E04" w:rsidRPr="00526311" w:rsidRDefault="007B705E" w:rsidP="0063039A">
            <w:pPr>
              <w:rPr>
                <w:sz w:val="16"/>
                <w:szCs w:val="16"/>
              </w:rPr>
            </w:pPr>
            <w:r w:rsidRPr="00526311">
              <w:rPr>
                <w:i/>
                <w:sz w:val="16"/>
                <w:szCs w:val="16"/>
              </w:rPr>
              <w:t>Referencia original en el presupuesto de 2014/15</w:t>
            </w:r>
            <w:r w:rsidR="00794E04" w:rsidRPr="00526311">
              <w:rPr>
                <w:i/>
                <w:sz w:val="16"/>
                <w:szCs w:val="16"/>
              </w:rPr>
              <w:t>:</w:t>
            </w:r>
            <w:r w:rsidR="00794E04" w:rsidRPr="00526311">
              <w:rPr>
                <w:sz w:val="16"/>
                <w:szCs w:val="16"/>
              </w:rPr>
              <w:t xml:space="preserve">  </w:t>
            </w:r>
          </w:p>
          <w:p w:rsidR="00794E04" w:rsidRPr="00526311" w:rsidRDefault="00794E04" w:rsidP="0063039A">
            <w:pPr>
              <w:rPr>
                <w:sz w:val="16"/>
                <w:szCs w:val="16"/>
              </w:rPr>
            </w:pPr>
            <w:r w:rsidRPr="00526311">
              <w:rPr>
                <w:sz w:val="16"/>
                <w:szCs w:val="16"/>
              </w:rPr>
              <w:t>P4 – 44,1%</w:t>
            </w:r>
          </w:p>
          <w:p w:rsidR="00794E04" w:rsidRPr="00526311" w:rsidRDefault="00794E04" w:rsidP="0063039A">
            <w:pPr>
              <w:rPr>
                <w:sz w:val="16"/>
                <w:szCs w:val="16"/>
              </w:rPr>
            </w:pPr>
            <w:r w:rsidRPr="00526311">
              <w:rPr>
                <w:sz w:val="16"/>
                <w:szCs w:val="16"/>
              </w:rPr>
              <w:t>P5 – 31,8%</w:t>
            </w:r>
          </w:p>
          <w:p w:rsidR="00794E04" w:rsidRPr="00526311" w:rsidRDefault="00794E04" w:rsidP="0063039A">
            <w:pPr>
              <w:rPr>
                <w:sz w:val="16"/>
                <w:szCs w:val="16"/>
              </w:rPr>
            </w:pPr>
            <w:r w:rsidRPr="00526311">
              <w:rPr>
                <w:sz w:val="16"/>
                <w:szCs w:val="16"/>
              </w:rPr>
              <w:t>D1 – 26,2%</w:t>
            </w:r>
          </w:p>
          <w:p w:rsidR="00794E04" w:rsidRPr="00526311" w:rsidRDefault="00794E04" w:rsidP="0063039A">
            <w:pPr>
              <w:rPr>
                <w:sz w:val="16"/>
                <w:szCs w:val="16"/>
              </w:rPr>
            </w:pPr>
            <w:r w:rsidRPr="00526311">
              <w:rPr>
                <w:sz w:val="16"/>
                <w:szCs w:val="16"/>
              </w:rPr>
              <w:t>D2 – 23,1%</w:t>
            </w:r>
          </w:p>
          <w:p w:rsidR="00794E04" w:rsidRPr="00526311" w:rsidRDefault="00794E04" w:rsidP="0063039A">
            <w:pPr>
              <w:rPr>
                <w:sz w:val="16"/>
                <w:szCs w:val="16"/>
              </w:rPr>
            </w:pPr>
            <w:r w:rsidRPr="00526311">
              <w:rPr>
                <w:sz w:val="16"/>
                <w:szCs w:val="16"/>
              </w:rPr>
              <w:t>(dic. de 2012)</w:t>
            </w:r>
            <w:r w:rsidRPr="00526311">
              <w:rPr>
                <w:sz w:val="16"/>
                <w:szCs w:val="16"/>
              </w:rPr>
              <w:br/>
            </w:r>
          </w:p>
        </w:tc>
        <w:tc>
          <w:tcPr>
            <w:tcW w:w="911" w:type="pct"/>
            <w:shd w:val="clear" w:color="auto" w:fill="auto"/>
            <w:tcMar>
              <w:top w:w="110" w:type="dxa"/>
            </w:tcMar>
          </w:tcPr>
          <w:p w:rsidR="00794E04" w:rsidRPr="00526311" w:rsidRDefault="00794E04" w:rsidP="0063039A">
            <w:pPr>
              <w:keepNext/>
              <w:keepLines/>
              <w:spacing w:after="160"/>
              <w:rPr>
                <w:sz w:val="16"/>
                <w:szCs w:val="16"/>
              </w:rPr>
            </w:pPr>
            <w:r w:rsidRPr="00526311">
              <w:rPr>
                <w:sz w:val="16"/>
                <w:szCs w:val="16"/>
              </w:rPr>
              <w:t>P4 – 46%</w:t>
            </w:r>
          </w:p>
          <w:p w:rsidR="00794E04" w:rsidRPr="00526311" w:rsidRDefault="00794E04" w:rsidP="0063039A">
            <w:pPr>
              <w:keepNext/>
              <w:keepLines/>
              <w:spacing w:after="160"/>
              <w:rPr>
                <w:sz w:val="16"/>
                <w:szCs w:val="16"/>
              </w:rPr>
            </w:pPr>
            <w:r w:rsidRPr="00526311">
              <w:rPr>
                <w:sz w:val="16"/>
                <w:szCs w:val="16"/>
              </w:rPr>
              <w:t>P5 – 35%</w:t>
            </w:r>
          </w:p>
          <w:p w:rsidR="00794E04" w:rsidRPr="00526311" w:rsidRDefault="00794E04" w:rsidP="0063039A">
            <w:pPr>
              <w:keepNext/>
              <w:keepLines/>
              <w:spacing w:after="160"/>
              <w:rPr>
                <w:sz w:val="16"/>
                <w:szCs w:val="16"/>
              </w:rPr>
            </w:pPr>
            <w:r w:rsidRPr="00526311">
              <w:rPr>
                <w:sz w:val="16"/>
                <w:szCs w:val="16"/>
              </w:rPr>
              <w:t>D1 – 30%</w:t>
            </w:r>
          </w:p>
          <w:p w:rsidR="00794E04" w:rsidRPr="00526311" w:rsidRDefault="00794E04" w:rsidP="0063039A">
            <w:pPr>
              <w:keepNext/>
              <w:keepLines/>
              <w:spacing w:after="160"/>
              <w:rPr>
                <w:sz w:val="16"/>
                <w:szCs w:val="16"/>
              </w:rPr>
            </w:pPr>
            <w:r w:rsidRPr="00526311">
              <w:rPr>
                <w:sz w:val="16"/>
                <w:szCs w:val="16"/>
              </w:rPr>
              <w:t>D2 – 30%</w:t>
            </w:r>
          </w:p>
        </w:tc>
        <w:tc>
          <w:tcPr>
            <w:tcW w:w="1059" w:type="pct"/>
            <w:shd w:val="clear" w:color="auto" w:fill="FFFFFF"/>
            <w:tcMar>
              <w:top w:w="110" w:type="dxa"/>
            </w:tcMar>
          </w:tcPr>
          <w:p w:rsidR="00794E04" w:rsidRPr="0031060D" w:rsidRDefault="00794E04" w:rsidP="0063039A">
            <w:pPr>
              <w:pStyle w:val="PlainText"/>
              <w:keepNext/>
              <w:keepLines/>
              <w:spacing w:after="160"/>
              <w:rPr>
                <w:rFonts w:ascii="Arial" w:hAnsi="Arial" w:cs="Arial"/>
                <w:color w:val="auto"/>
                <w:sz w:val="16"/>
                <w:szCs w:val="16"/>
              </w:rPr>
            </w:pPr>
            <w:r w:rsidRPr="0031060D">
              <w:rPr>
                <w:rFonts w:ascii="Arial" w:hAnsi="Arial" w:cs="Arial"/>
                <w:color w:val="auto"/>
                <w:sz w:val="16"/>
                <w:szCs w:val="16"/>
              </w:rPr>
              <w:t>P4 – 44,4%</w:t>
            </w:r>
          </w:p>
          <w:p w:rsidR="00794E04" w:rsidRPr="0031060D" w:rsidRDefault="00794E04" w:rsidP="0063039A">
            <w:pPr>
              <w:pStyle w:val="PlainText"/>
              <w:keepNext/>
              <w:keepLines/>
              <w:spacing w:after="160"/>
              <w:rPr>
                <w:rFonts w:ascii="Arial" w:hAnsi="Arial" w:cs="Arial"/>
                <w:color w:val="auto"/>
                <w:sz w:val="16"/>
                <w:szCs w:val="16"/>
              </w:rPr>
            </w:pPr>
            <w:r w:rsidRPr="0031060D">
              <w:rPr>
                <w:rFonts w:ascii="Arial" w:hAnsi="Arial" w:cs="Arial"/>
                <w:color w:val="auto"/>
                <w:sz w:val="16"/>
                <w:szCs w:val="16"/>
              </w:rPr>
              <w:t>P5 – 34,4%</w:t>
            </w:r>
          </w:p>
          <w:p w:rsidR="00794E04" w:rsidRPr="0031060D" w:rsidRDefault="00794E04" w:rsidP="0063039A">
            <w:pPr>
              <w:pStyle w:val="PlainText"/>
              <w:keepNext/>
              <w:keepLines/>
              <w:spacing w:after="160"/>
              <w:rPr>
                <w:rFonts w:ascii="Arial" w:hAnsi="Arial" w:cs="Arial"/>
                <w:color w:val="auto"/>
                <w:sz w:val="16"/>
                <w:szCs w:val="16"/>
              </w:rPr>
            </w:pPr>
            <w:r w:rsidRPr="0031060D">
              <w:rPr>
                <w:rFonts w:ascii="Arial" w:hAnsi="Arial" w:cs="Arial"/>
                <w:color w:val="auto"/>
                <w:sz w:val="16"/>
                <w:szCs w:val="16"/>
              </w:rPr>
              <w:t>D1 – 26,7%</w:t>
            </w:r>
          </w:p>
          <w:p w:rsidR="00794E04" w:rsidRPr="00526311" w:rsidRDefault="00794E04" w:rsidP="0063039A">
            <w:pPr>
              <w:pStyle w:val="PlainText"/>
              <w:keepNext/>
              <w:keepLines/>
              <w:spacing w:after="160"/>
              <w:rPr>
                <w:rFonts w:ascii="Arial" w:hAnsi="Arial" w:cs="Arial"/>
                <w:sz w:val="16"/>
                <w:szCs w:val="16"/>
              </w:rPr>
            </w:pPr>
            <w:r w:rsidRPr="0031060D">
              <w:rPr>
                <w:rFonts w:ascii="Arial" w:hAnsi="Arial" w:cs="Arial"/>
                <w:color w:val="auto"/>
                <w:sz w:val="16"/>
                <w:szCs w:val="16"/>
              </w:rPr>
              <w:t>D2 – 22,2%</w:t>
            </w:r>
          </w:p>
        </w:tc>
        <w:tc>
          <w:tcPr>
            <w:tcW w:w="606" w:type="pct"/>
            <w:shd w:val="clear" w:color="auto" w:fill="auto"/>
            <w:tcMar>
              <w:top w:w="110" w:type="dxa"/>
            </w:tcMar>
          </w:tcPr>
          <w:p w:rsidR="00794E04" w:rsidRPr="00526311" w:rsidRDefault="00E13393" w:rsidP="0063039A">
            <w:pPr>
              <w:spacing w:after="120"/>
              <w:ind w:right="-107"/>
              <w:jc w:val="center"/>
              <w:rPr>
                <w:bCs/>
                <w:color w:val="808080"/>
                <w:sz w:val="16"/>
                <w:szCs w:val="16"/>
              </w:rPr>
            </w:pPr>
            <w:r w:rsidRPr="00526311">
              <w:rPr>
                <w:b/>
                <w:bCs/>
                <w:color w:val="FF0000"/>
                <w:sz w:val="16"/>
                <w:szCs w:val="16"/>
              </w:rPr>
              <w:t>No avanza</w:t>
            </w:r>
            <w:r w:rsidR="00794E04" w:rsidRPr="00526311">
              <w:rPr>
                <w:b/>
                <w:color w:val="00B050"/>
                <w:sz w:val="16"/>
                <w:szCs w:val="16"/>
              </w:rPr>
              <w:br/>
            </w:r>
            <w:r w:rsidR="00794E04" w:rsidRPr="00526311">
              <w:rPr>
                <w:b/>
                <w:bCs/>
                <w:color w:val="00B050"/>
                <w:sz w:val="16"/>
                <w:szCs w:val="16"/>
              </w:rPr>
              <w:br/>
            </w:r>
            <w:r w:rsidRPr="00526311">
              <w:rPr>
                <w:b/>
                <w:color w:val="00B050"/>
                <w:sz w:val="16"/>
                <w:szCs w:val="16"/>
              </w:rPr>
              <w:t>Avanza</w:t>
            </w:r>
            <w:r w:rsidR="00794E04" w:rsidRPr="00526311">
              <w:rPr>
                <w:b/>
                <w:bCs/>
                <w:color w:val="FF0000"/>
                <w:sz w:val="16"/>
                <w:szCs w:val="16"/>
              </w:rPr>
              <w:br/>
              <w:t xml:space="preserve"> </w:t>
            </w:r>
            <w:r w:rsidR="00794E04" w:rsidRPr="00526311">
              <w:rPr>
                <w:b/>
                <w:bCs/>
                <w:color w:val="FF0000"/>
                <w:sz w:val="16"/>
                <w:szCs w:val="16"/>
              </w:rPr>
              <w:br/>
              <w:t xml:space="preserve">No avanza </w:t>
            </w:r>
            <w:r w:rsidR="00794E04" w:rsidRPr="00526311">
              <w:rPr>
                <w:b/>
                <w:bCs/>
                <w:color w:val="FF0000"/>
                <w:sz w:val="16"/>
                <w:szCs w:val="16"/>
              </w:rPr>
              <w:br/>
            </w:r>
            <w:r w:rsidR="00794E04" w:rsidRPr="00526311">
              <w:rPr>
                <w:b/>
                <w:bCs/>
                <w:color w:val="FF0000"/>
                <w:sz w:val="16"/>
                <w:szCs w:val="16"/>
              </w:rPr>
              <w:br/>
              <w:t xml:space="preserve">No avanza </w:t>
            </w:r>
          </w:p>
        </w:tc>
      </w:tr>
    </w:tbl>
    <w:p w:rsidR="00794E04" w:rsidRPr="00526311" w:rsidRDefault="00794E04">
      <w:r w:rsidRPr="00526311">
        <w:br w:type="page"/>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08"/>
        <w:gridCol w:w="1705"/>
        <w:gridCol w:w="1982"/>
        <w:gridCol w:w="1134"/>
      </w:tblGrid>
      <w:tr w:rsidR="00794E04" w:rsidRPr="00526311" w:rsidTr="0063039A">
        <w:trPr>
          <w:trHeight w:val="391"/>
        </w:trPr>
        <w:tc>
          <w:tcPr>
            <w:tcW w:w="1137" w:type="pct"/>
            <w:tcBorders>
              <w:top w:val="single" w:sz="4" w:space="0" w:color="auto"/>
            </w:tcBorders>
            <w:shd w:val="clear" w:color="auto" w:fill="auto"/>
            <w:vAlign w:val="center"/>
          </w:tcPr>
          <w:p w:rsidR="00794E04" w:rsidRPr="00526311" w:rsidRDefault="00794E04" w:rsidP="0063039A">
            <w:pPr>
              <w:rPr>
                <w:sz w:val="16"/>
                <w:szCs w:val="16"/>
              </w:rPr>
            </w:pPr>
            <w:r w:rsidRPr="00526311">
              <w:rPr>
                <w:b/>
                <w:sz w:val="16"/>
                <w:szCs w:val="16"/>
              </w:rPr>
              <w:lastRenderedPageBreak/>
              <w:t>Indicadores de rendimiento</w:t>
            </w:r>
          </w:p>
        </w:tc>
        <w:tc>
          <w:tcPr>
            <w:tcW w:w="1287" w:type="pct"/>
            <w:tcBorders>
              <w:top w:val="single" w:sz="4" w:space="0" w:color="auto"/>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911" w:type="pct"/>
            <w:tcBorders>
              <w:top w:val="single" w:sz="4" w:space="0" w:color="auto"/>
            </w:tcBorders>
            <w:shd w:val="clear" w:color="auto" w:fill="auto"/>
            <w:tcMar>
              <w:top w:w="110" w:type="dxa"/>
            </w:tcMar>
            <w:vAlign w:val="center"/>
          </w:tcPr>
          <w:p w:rsidR="00794E04" w:rsidRPr="00526311" w:rsidRDefault="00794E04" w:rsidP="0063039A">
            <w:pPr>
              <w:rPr>
                <w:b/>
                <w:sz w:val="16"/>
                <w:szCs w:val="16"/>
              </w:rPr>
            </w:pPr>
            <w:r w:rsidRPr="00526311">
              <w:rPr>
                <w:b/>
                <w:sz w:val="16"/>
                <w:szCs w:val="16"/>
              </w:rPr>
              <w:t>Objetivos</w:t>
            </w:r>
          </w:p>
        </w:tc>
        <w:tc>
          <w:tcPr>
            <w:tcW w:w="1059" w:type="pct"/>
            <w:tcBorders>
              <w:top w:val="single" w:sz="4" w:space="0" w:color="auto"/>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06" w:type="pct"/>
            <w:tcBorders>
              <w:top w:val="single" w:sz="4" w:space="0" w:color="auto"/>
            </w:tcBorders>
            <w:shd w:val="clear" w:color="auto" w:fill="auto"/>
            <w:tcMar>
              <w:top w:w="110" w:type="dxa"/>
            </w:tcMar>
            <w:vAlign w:val="center"/>
          </w:tcPr>
          <w:p w:rsidR="00794E04" w:rsidRPr="00526311" w:rsidRDefault="00794E04" w:rsidP="0063039A">
            <w:pPr>
              <w:jc w:val="center"/>
              <w:rPr>
                <w:b/>
                <w:bCs/>
                <w:sz w:val="16"/>
                <w:szCs w:val="16"/>
              </w:rPr>
            </w:pPr>
            <w:r w:rsidRPr="00526311">
              <w:rPr>
                <w:b/>
                <w:bCs/>
                <w:sz w:val="16"/>
                <w:szCs w:val="16"/>
              </w:rPr>
              <w:t>Clave de colores</w:t>
            </w:r>
          </w:p>
        </w:tc>
      </w:tr>
      <w:tr w:rsidR="00794E04" w:rsidRPr="00526311" w:rsidTr="0063039A">
        <w:tc>
          <w:tcPr>
            <w:tcW w:w="1137" w:type="pct"/>
            <w:shd w:val="clear" w:color="auto" w:fill="auto"/>
          </w:tcPr>
          <w:p w:rsidR="00794E04" w:rsidRPr="00526311" w:rsidRDefault="00794E04" w:rsidP="0063039A">
            <w:pPr>
              <w:rPr>
                <w:sz w:val="16"/>
                <w:szCs w:val="16"/>
              </w:rPr>
            </w:pPr>
            <w:r w:rsidRPr="00526311">
              <w:rPr>
                <w:sz w:val="16"/>
                <w:szCs w:val="16"/>
              </w:rPr>
              <w:t>Diversidad geográfica:  porcentaje de funcionarios por región</w:t>
            </w:r>
            <w:r w:rsidR="003814EE" w:rsidRPr="00526311">
              <w:rPr>
                <w:rStyle w:val="FootnoteReference"/>
                <w:sz w:val="16"/>
                <w:szCs w:val="16"/>
              </w:rPr>
              <w:footnoteReference w:id="58"/>
            </w:r>
          </w:p>
        </w:tc>
        <w:tc>
          <w:tcPr>
            <w:tcW w:w="1287" w:type="pct"/>
            <w:shd w:val="clear" w:color="auto" w:fill="auto"/>
          </w:tcPr>
          <w:p w:rsidR="00794E04" w:rsidRPr="00526311" w:rsidRDefault="00794E04" w:rsidP="0063039A">
            <w:pPr>
              <w:rPr>
                <w:i/>
                <w:color w:val="002060"/>
                <w:sz w:val="16"/>
                <w:szCs w:val="16"/>
              </w:rPr>
            </w:pPr>
            <w:r w:rsidRPr="00526311">
              <w:rPr>
                <w:i/>
                <w:color w:val="002060"/>
                <w:sz w:val="16"/>
                <w:szCs w:val="16"/>
              </w:rPr>
              <w:t xml:space="preserve">Referencia actualizada a fines de 2013:  </w:t>
            </w:r>
          </w:p>
          <w:p w:rsidR="00794E04" w:rsidRPr="00526311" w:rsidRDefault="00794E04" w:rsidP="0063039A">
            <w:pPr>
              <w:rPr>
                <w:color w:val="002060"/>
                <w:sz w:val="16"/>
                <w:szCs w:val="16"/>
              </w:rPr>
            </w:pPr>
            <w:r w:rsidRPr="00526311">
              <w:rPr>
                <w:color w:val="002060"/>
                <w:sz w:val="16"/>
                <w:szCs w:val="16"/>
              </w:rPr>
              <w:t>África 11,</w:t>
            </w:r>
            <w:r w:rsidR="00E13393" w:rsidRPr="00526311">
              <w:rPr>
                <w:color w:val="002060"/>
                <w:sz w:val="16"/>
                <w:szCs w:val="16"/>
              </w:rPr>
              <w:t>4</w:t>
            </w:r>
            <w:r w:rsidRPr="00526311">
              <w:rPr>
                <w:color w:val="002060"/>
                <w:sz w:val="16"/>
                <w:szCs w:val="16"/>
              </w:rPr>
              <w:t xml:space="preserve">% </w:t>
            </w:r>
          </w:p>
          <w:p w:rsidR="00794E04" w:rsidRPr="00526311" w:rsidRDefault="00794E04" w:rsidP="0063039A">
            <w:pPr>
              <w:rPr>
                <w:color w:val="002060"/>
                <w:sz w:val="16"/>
                <w:szCs w:val="16"/>
              </w:rPr>
            </w:pPr>
            <w:r w:rsidRPr="00526311">
              <w:rPr>
                <w:color w:val="002060"/>
                <w:sz w:val="16"/>
                <w:szCs w:val="16"/>
              </w:rPr>
              <w:t>Asia y el Pacífico 13,7%</w:t>
            </w:r>
          </w:p>
          <w:p w:rsidR="00794E04" w:rsidRPr="00526311" w:rsidRDefault="00794E04" w:rsidP="0063039A">
            <w:pPr>
              <w:rPr>
                <w:color w:val="002060"/>
                <w:sz w:val="16"/>
                <w:szCs w:val="16"/>
              </w:rPr>
            </w:pPr>
            <w:r w:rsidRPr="00526311">
              <w:rPr>
                <w:color w:val="002060"/>
                <w:sz w:val="16"/>
                <w:szCs w:val="16"/>
              </w:rPr>
              <w:t xml:space="preserve">Europa Central y Oriental y Asia Central </w:t>
            </w:r>
            <w:r w:rsidR="00E13393" w:rsidRPr="00526311">
              <w:rPr>
                <w:color w:val="002060"/>
                <w:sz w:val="16"/>
                <w:szCs w:val="16"/>
              </w:rPr>
              <w:t>5,9</w:t>
            </w:r>
            <w:r w:rsidRPr="00526311">
              <w:rPr>
                <w:color w:val="002060"/>
                <w:sz w:val="16"/>
                <w:szCs w:val="16"/>
              </w:rPr>
              <w:t xml:space="preserve">% </w:t>
            </w:r>
          </w:p>
          <w:p w:rsidR="00794E04" w:rsidRPr="00526311" w:rsidRDefault="00794E04" w:rsidP="0063039A">
            <w:pPr>
              <w:rPr>
                <w:color w:val="002060"/>
                <w:sz w:val="16"/>
                <w:szCs w:val="16"/>
              </w:rPr>
            </w:pPr>
            <w:r w:rsidRPr="00526311">
              <w:rPr>
                <w:color w:val="002060"/>
                <w:sz w:val="16"/>
                <w:szCs w:val="16"/>
              </w:rPr>
              <w:t xml:space="preserve">América Latina y el Caribe 8,6% </w:t>
            </w:r>
          </w:p>
          <w:p w:rsidR="00794E04" w:rsidRPr="00526311" w:rsidRDefault="00794E04" w:rsidP="0063039A">
            <w:pPr>
              <w:rPr>
                <w:color w:val="002060"/>
                <w:sz w:val="16"/>
                <w:szCs w:val="16"/>
              </w:rPr>
            </w:pPr>
            <w:r w:rsidRPr="00526311">
              <w:rPr>
                <w:color w:val="002060"/>
                <w:sz w:val="16"/>
                <w:szCs w:val="16"/>
              </w:rPr>
              <w:t xml:space="preserve">Oriente Medio 1,2% </w:t>
            </w:r>
          </w:p>
          <w:p w:rsidR="00794E04" w:rsidRPr="00526311" w:rsidRDefault="00794E04" w:rsidP="0063039A">
            <w:pPr>
              <w:rPr>
                <w:color w:val="002060"/>
                <w:sz w:val="16"/>
                <w:szCs w:val="16"/>
              </w:rPr>
            </w:pPr>
            <w:r w:rsidRPr="00526311">
              <w:rPr>
                <w:color w:val="002060"/>
                <w:sz w:val="16"/>
                <w:szCs w:val="16"/>
              </w:rPr>
              <w:t>Norteamérica 8,</w:t>
            </w:r>
            <w:r w:rsidR="00E13393" w:rsidRPr="00526311">
              <w:rPr>
                <w:color w:val="002060"/>
                <w:sz w:val="16"/>
                <w:szCs w:val="16"/>
              </w:rPr>
              <w:t>2</w:t>
            </w:r>
            <w:r w:rsidRPr="00526311">
              <w:rPr>
                <w:color w:val="002060"/>
                <w:sz w:val="16"/>
                <w:szCs w:val="16"/>
              </w:rPr>
              <w:t xml:space="preserve">% </w:t>
            </w:r>
          </w:p>
          <w:p w:rsidR="00794E04" w:rsidRPr="00526311" w:rsidRDefault="00794E04" w:rsidP="0063039A">
            <w:pPr>
              <w:rPr>
                <w:color w:val="002060"/>
                <w:sz w:val="16"/>
                <w:szCs w:val="16"/>
                <w:lang w:bidi="th-TH"/>
              </w:rPr>
            </w:pPr>
            <w:r w:rsidRPr="00526311">
              <w:rPr>
                <w:color w:val="002060"/>
                <w:sz w:val="16"/>
                <w:szCs w:val="16"/>
              </w:rPr>
              <w:t>Europa Occidental 51,</w:t>
            </w:r>
            <w:r w:rsidR="00E13393" w:rsidRPr="00526311">
              <w:rPr>
                <w:color w:val="002060"/>
                <w:sz w:val="16"/>
                <w:szCs w:val="16"/>
              </w:rPr>
              <w:t>0</w:t>
            </w:r>
            <w:r w:rsidRPr="00526311">
              <w:rPr>
                <w:color w:val="002060"/>
                <w:sz w:val="16"/>
                <w:szCs w:val="16"/>
              </w:rPr>
              <w:t>%</w:t>
            </w:r>
          </w:p>
          <w:p w:rsidR="00794E04" w:rsidRPr="00526311" w:rsidRDefault="00794E04" w:rsidP="0063039A">
            <w:pPr>
              <w:rPr>
                <w:i/>
                <w:color w:val="002060"/>
                <w:sz w:val="8"/>
                <w:szCs w:val="8"/>
              </w:rPr>
            </w:pPr>
          </w:p>
          <w:p w:rsidR="00794E04" w:rsidRPr="00526311" w:rsidRDefault="007B705E" w:rsidP="0063039A">
            <w:pPr>
              <w:rPr>
                <w:sz w:val="16"/>
                <w:szCs w:val="16"/>
              </w:rPr>
            </w:pPr>
            <w:r w:rsidRPr="00526311">
              <w:rPr>
                <w:i/>
                <w:sz w:val="16"/>
                <w:szCs w:val="16"/>
              </w:rPr>
              <w:t>Referencia original en el presupuesto de 2014/15</w:t>
            </w:r>
            <w:r w:rsidR="00794E04" w:rsidRPr="00526311">
              <w:rPr>
                <w:i/>
                <w:sz w:val="16"/>
                <w:szCs w:val="16"/>
              </w:rPr>
              <w:t>:</w:t>
            </w:r>
            <w:r w:rsidR="00794E04" w:rsidRPr="00526311">
              <w:rPr>
                <w:sz w:val="16"/>
                <w:szCs w:val="16"/>
              </w:rPr>
              <w:t xml:space="preserve">  África 11,0% </w:t>
            </w:r>
          </w:p>
          <w:p w:rsidR="00794E04" w:rsidRPr="00526311" w:rsidRDefault="00794E04" w:rsidP="0063039A">
            <w:pPr>
              <w:rPr>
                <w:sz w:val="16"/>
                <w:szCs w:val="16"/>
              </w:rPr>
            </w:pPr>
            <w:r w:rsidRPr="00526311">
              <w:rPr>
                <w:sz w:val="16"/>
                <w:szCs w:val="16"/>
              </w:rPr>
              <w:t xml:space="preserve">Asia y el Pacífico 13,7%. </w:t>
            </w:r>
          </w:p>
          <w:p w:rsidR="00794E04" w:rsidRPr="00526311" w:rsidRDefault="00794E04" w:rsidP="0063039A">
            <w:pPr>
              <w:rPr>
                <w:sz w:val="16"/>
                <w:szCs w:val="16"/>
              </w:rPr>
            </w:pPr>
            <w:r w:rsidRPr="00526311">
              <w:rPr>
                <w:sz w:val="16"/>
                <w:szCs w:val="16"/>
              </w:rPr>
              <w:t xml:space="preserve">Europa Central y Oriental y Asia Central 6,2% </w:t>
            </w:r>
          </w:p>
          <w:p w:rsidR="00794E04" w:rsidRPr="00526311" w:rsidRDefault="00794E04" w:rsidP="0063039A">
            <w:pPr>
              <w:rPr>
                <w:sz w:val="16"/>
                <w:szCs w:val="16"/>
              </w:rPr>
            </w:pPr>
            <w:r w:rsidRPr="00526311">
              <w:rPr>
                <w:sz w:val="16"/>
                <w:szCs w:val="16"/>
              </w:rPr>
              <w:t xml:space="preserve">América Latina y el Caribe 8,6% </w:t>
            </w:r>
          </w:p>
          <w:p w:rsidR="00794E04" w:rsidRPr="00526311" w:rsidRDefault="00794E04" w:rsidP="0063039A">
            <w:pPr>
              <w:rPr>
                <w:sz w:val="16"/>
                <w:szCs w:val="16"/>
              </w:rPr>
            </w:pPr>
            <w:r w:rsidRPr="00526311">
              <w:rPr>
                <w:sz w:val="16"/>
                <w:szCs w:val="16"/>
              </w:rPr>
              <w:t xml:space="preserve">Oriente Medio 1,2% </w:t>
            </w:r>
          </w:p>
          <w:p w:rsidR="00794E04" w:rsidRPr="00526311" w:rsidRDefault="00794E04" w:rsidP="0063039A">
            <w:pPr>
              <w:rPr>
                <w:sz w:val="16"/>
                <w:szCs w:val="16"/>
              </w:rPr>
            </w:pPr>
            <w:r w:rsidRPr="00526311">
              <w:rPr>
                <w:sz w:val="16"/>
                <w:szCs w:val="16"/>
              </w:rPr>
              <w:t xml:space="preserve">Norteamérica 8,0% </w:t>
            </w:r>
          </w:p>
          <w:p w:rsidR="00794E04" w:rsidRPr="00526311" w:rsidRDefault="00794E04" w:rsidP="0063039A">
            <w:pPr>
              <w:rPr>
                <w:sz w:val="16"/>
                <w:szCs w:val="16"/>
              </w:rPr>
            </w:pPr>
            <w:r w:rsidRPr="00526311">
              <w:rPr>
                <w:sz w:val="16"/>
                <w:szCs w:val="16"/>
              </w:rPr>
              <w:t>Europa Occidental 51,2%</w:t>
            </w:r>
            <w:r w:rsidRPr="00526311">
              <w:rPr>
                <w:sz w:val="16"/>
                <w:szCs w:val="16"/>
              </w:rPr>
              <w:br/>
            </w:r>
          </w:p>
        </w:tc>
        <w:tc>
          <w:tcPr>
            <w:tcW w:w="911" w:type="pct"/>
            <w:shd w:val="clear" w:color="auto" w:fill="auto"/>
            <w:tcMar>
              <w:top w:w="110" w:type="dxa"/>
            </w:tcMar>
          </w:tcPr>
          <w:p w:rsidR="00794E04" w:rsidRPr="00526311" w:rsidRDefault="00794E04" w:rsidP="0063039A">
            <w:pPr>
              <w:rPr>
                <w:sz w:val="16"/>
                <w:szCs w:val="16"/>
              </w:rPr>
            </w:pPr>
            <w:r w:rsidRPr="00526311">
              <w:rPr>
                <w:sz w:val="16"/>
                <w:szCs w:val="16"/>
              </w:rPr>
              <w:t>Por determinar</w:t>
            </w:r>
            <w:r w:rsidRPr="00526311">
              <w:rPr>
                <w:rStyle w:val="FootnoteReference"/>
                <w:sz w:val="16"/>
                <w:szCs w:val="16"/>
              </w:rPr>
              <w:footnoteReference w:id="59"/>
            </w:r>
          </w:p>
        </w:tc>
        <w:tc>
          <w:tcPr>
            <w:tcW w:w="1059" w:type="pct"/>
            <w:shd w:val="clear" w:color="auto" w:fill="FFFFFF"/>
            <w:tcMar>
              <w:top w:w="110" w:type="dxa"/>
            </w:tcMar>
          </w:tcPr>
          <w:p w:rsidR="00794E04" w:rsidRPr="00526311" w:rsidRDefault="00794E04" w:rsidP="0063039A">
            <w:pPr>
              <w:rPr>
                <w:sz w:val="16"/>
                <w:szCs w:val="16"/>
              </w:rPr>
            </w:pPr>
            <w:r w:rsidRPr="00526311">
              <w:rPr>
                <w:sz w:val="16"/>
                <w:szCs w:val="16"/>
              </w:rPr>
              <w:t>África</w:t>
            </w:r>
            <w:r w:rsidR="00E13393" w:rsidRPr="00526311">
              <w:rPr>
                <w:sz w:val="16"/>
                <w:szCs w:val="16"/>
              </w:rPr>
              <w:t>:</w:t>
            </w:r>
            <w:r w:rsidRPr="00526311">
              <w:rPr>
                <w:sz w:val="16"/>
                <w:szCs w:val="16"/>
              </w:rPr>
              <w:t xml:space="preserve"> 10,8%</w:t>
            </w:r>
          </w:p>
          <w:p w:rsidR="00794E04" w:rsidRPr="00526311" w:rsidRDefault="00794E04" w:rsidP="0063039A">
            <w:pPr>
              <w:rPr>
                <w:sz w:val="16"/>
                <w:szCs w:val="16"/>
              </w:rPr>
            </w:pPr>
            <w:r w:rsidRPr="00526311">
              <w:rPr>
                <w:sz w:val="16"/>
                <w:szCs w:val="16"/>
              </w:rPr>
              <w:t>Asia y el Pacífico</w:t>
            </w:r>
            <w:r w:rsidR="00E13393" w:rsidRPr="00526311">
              <w:rPr>
                <w:sz w:val="16"/>
                <w:szCs w:val="16"/>
              </w:rPr>
              <w:t>:</w:t>
            </w:r>
            <w:r w:rsidRPr="00526311">
              <w:rPr>
                <w:sz w:val="16"/>
                <w:szCs w:val="16"/>
              </w:rPr>
              <w:t xml:space="preserve"> 13,5%</w:t>
            </w:r>
          </w:p>
          <w:p w:rsidR="00794E04" w:rsidRPr="00526311" w:rsidRDefault="00794E04" w:rsidP="0063039A">
            <w:pPr>
              <w:rPr>
                <w:sz w:val="16"/>
                <w:szCs w:val="16"/>
              </w:rPr>
            </w:pPr>
            <w:r w:rsidRPr="00526311">
              <w:rPr>
                <w:sz w:val="16"/>
                <w:szCs w:val="16"/>
              </w:rPr>
              <w:t>Europa Central y Oriental y Asia Central:  6,7%</w:t>
            </w:r>
          </w:p>
          <w:p w:rsidR="00794E04" w:rsidRPr="00526311" w:rsidRDefault="00794E04" w:rsidP="0063039A">
            <w:pPr>
              <w:rPr>
                <w:sz w:val="16"/>
                <w:szCs w:val="16"/>
              </w:rPr>
            </w:pPr>
            <w:r w:rsidRPr="00526311">
              <w:rPr>
                <w:sz w:val="16"/>
                <w:szCs w:val="16"/>
              </w:rPr>
              <w:t>América Latina y el Caribe</w:t>
            </w:r>
            <w:r w:rsidR="00E13393" w:rsidRPr="00526311">
              <w:rPr>
                <w:sz w:val="16"/>
                <w:szCs w:val="16"/>
              </w:rPr>
              <w:t xml:space="preserve">: </w:t>
            </w:r>
            <w:r w:rsidRPr="00526311">
              <w:rPr>
                <w:sz w:val="16"/>
                <w:szCs w:val="16"/>
              </w:rPr>
              <w:t xml:space="preserve"> 8,2</w:t>
            </w:r>
          </w:p>
          <w:p w:rsidR="00794E04" w:rsidRPr="00526311" w:rsidRDefault="00794E04" w:rsidP="0063039A">
            <w:pPr>
              <w:rPr>
                <w:sz w:val="16"/>
                <w:szCs w:val="16"/>
              </w:rPr>
            </w:pPr>
            <w:r w:rsidRPr="00526311">
              <w:rPr>
                <w:sz w:val="16"/>
                <w:szCs w:val="16"/>
              </w:rPr>
              <w:t>Oriente Medio: 1,2%</w:t>
            </w:r>
          </w:p>
          <w:p w:rsidR="00794E04" w:rsidRPr="00526311" w:rsidRDefault="00794E04" w:rsidP="0063039A">
            <w:pPr>
              <w:rPr>
                <w:sz w:val="16"/>
                <w:szCs w:val="16"/>
              </w:rPr>
            </w:pPr>
            <w:r w:rsidRPr="00526311">
              <w:rPr>
                <w:sz w:val="16"/>
                <w:szCs w:val="16"/>
              </w:rPr>
              <w:t>Norteamérica:  8,4%</w:t>
            </w:r>
          </w:p>
          <w:p w:rsidR="00794E04" w:rsidRPr="00526311" w:rsidRDefault="00794E04" w:rsidP="0063039A">
            <w:pPr>
              <w:ind w:right="-107"/>
              <w:rPr>
                <w:sz w:val="16"/>
                <w:szCs w:val="16"/>
              </w:rPr>
            </w:pPr>
            <w:r w:rsidRPr="00526311">
              <w:rPr>
                <w:sz w:val="16"/>
                <w:szCs w:val="16"/>
              </w:rPr>
              <w:t>Europa Occidental:  51,2%</w:t>
            </w:r>
          </w:p>
        </w:tc>
        <w:tc>
          <w:tcPr>
            <w:tcW w:w="606" w:type="pct"/>
            <w:shd w:val="clear" w:color="auto" w:fill="auto"/>
            <w:tcMar>
              <w:top w:w="110" w:type="dxa"/>
            </w:tcMar>
          </w:tcPr>
          <w:p w:rsidR="00794E04" w:rsidRPr="00526311" w:rsidRDefault="00794E04" w:rsidP="0063039A">
            <w:pPr>
              <w:jc w:val="center"/>
              <w:rPr>
                <w:bCs/>
                <w:color w:val="BFBFBF" w:themeColor="background1" w:themeShade="BF"/>
                <w:sz w:val="16"/>
                <w:szCs w:val="16"/>
              </w:rPr>
            </w:pPr>
            <w:r w:rsidRPr="00526311">
              <w:rPr>
                <w:bCs/>
                <w:color w:val="808080"/>
                <w:sz w:val="16"/>
                <w:szCs w:val="16"/>
              </w:rPr>
              <w:t>No mensurable</w:t>
            </w:r>
          </w:p>
        </w:tc>
      </w:tr>
    </w:tbl>
    <w:p w:rsidR="00794E04" w:rsidRPr="00526311" w:rsidRDefault="00794E04" w:rsidP="0063039A">
      <w:pPr>
        <w:rPr>
          <w:szCs w:val="22"/>
        </w:rPr>
      </w:pPr>
    </w:p>
    <w:p w:rsidR="00794E04" w:rsidRPr="00526311" w:rsidRDefault="00794E04" w:rsidP="0063039A">
      <w:pPr>
        <w:rPr>
          <w:szCs w:val="22"/>
        </w:rPr>
      </w:pPr>
    </w:p>
    <w:p w:rsidR="00794E04" w:rsidRPr="00526311" w:rsidRDefault="00794E04" w:rsidP="0063039A">
      <w:pPr>
        <w:rPr>
          <w:b/>
          <w:sz w:val="18"/>
          <w:szCs w:val="18"/>
        </w:rPr>
      </w:pPr>
      <w:r w:rsidRPr="00526311">
        <w:rPr>
          <w:szCs w:val="22"/>
        </w:rPr>
        <w:t>UTILIZACIÓN DE LOS RECURSOS</w:t>
      </w:r>
    </w:p>
    <w:p w:rsidR="00794E04" w:rsidRPr="00526311" w:rsidRDefault="00794E04" w:rsidP="0063039A"/>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794E04" w:rsidRPr="00526311" w:rsidRDefault="00794E04" w:rsidP="0063039A">
      <w:pPr>
        <w:pStyle w:val="NormalWeb"/>
        <w:spacing w:before="0" w:beforeAutospacing="0" w:after="0" w:afterAutospacing="0"/>
        <w:jc w:val="center"/>
        <w:rPr>
          <w:sz w:val="20"/>
          <w:szCs w:val="20"/>
          <w:lang w:val="es-ES"/>
        </w:rPr>
      </w:pPr>
    </w:p>
    <w:p w:rsidR="00794E04" w:rsidRPr="00526311" w:rsidRDefault="00DD7B62" w:rsidP="0063039A">
      <w:pPr>
        <w:jc w:val="center"/>
      </w:pPr>
      <w:r w:rsidRPr="00526311">
        <w:rPr>
          <w:noProof/>
          <w:lang w:val="en-US" w:eastAsia="en-US"/>
        </w:rPr>
        <w:drawing>
          <wp:inline distT="0" distB="0" distL="0" distR="0" wp14:anchorId="43AC9834" wp14:editId="4F57D72F">
            <wp:extent cx="5762625" cy="1800225"/>
            <wp:effectExtent l="0" t="0" r="9525"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62625" cy="1800225"/>
                    </a:xfrm>
                    <a:prstGeom prst="rect">
                      <a:avLst/>
                    </a:prstGeom>
                    <a:noFill/>
                    <a:ln>
                      <a:noFill/>
                    </a:ln>
                  </pic:spPr>
                </pic:pic>
              </a:graphicData>
            </a:graphic>
          </wp:inline>
        </w:drawing>
      </w:r>
    </w:p>
    <w:p w:rsidR="00794E04" w:rsidRPr="00526311" w:rsidRDefault="00794E04"/>
    <w:p w:rsidR="00794E04" w:rsidRPr="00526311" w:rsidRDefault="00794E04"/>
    <w:p w:rsidR="00794E04" w:rsidRPr="00526311" w:rsidRDefault="00794E04"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794E04" w:rsidRPr="00526311" w:rsidRDefault="00794E04"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(en miles de francos suizos)</w:t>
      </w:r>
    </w:p>
    <w:p w:rsidR="00794E04" w:rsidRPr="00526311" w:rsidRDefault="00794E04" w:rsidP="0063039A">
      <w:pPr>
        <w:pStyle w:val="NormalWeb"/>
        <w:keepNext/>
        <w:keepLines/>
        <w:spacing w:before="0" w:beforeAutospacing="0" w:after="0" w:afterAutospacing="0"/>
        <w:jc w:val="center"/>
        <w:rPr>
          <w:lang w:val="es-ES"/>
        </w:rPr>
      </w:pPr>
    </w:p>
    <w:p w:rsidR="00794E04" w:rsidRPr="00526311" w:rsidRDefault="00FF6E74" w:rsidP="0063039A">
      <w:pPr>
        <w:jc w:val="center"/>
      </w:pPr>
      <w:bookmarkStart w:id="82" w:name="Punto23"/>
      <w:r w:rsidRPr="00526311">
        <w:rPr>
          <w:noProof/>
          <w:lang w:val="en-US" w:eastAsia="en-US"/>
        </w:rPr>
        <w:drawing>
          <wp:inline distT="0" distB="0" distL="0" distR="0" wp14:anchorId="77E70D2C" wp14:editId="75F14EC9">
            <wp:extent cx="5940425" cy="1216645"/>
            <wp:effectExtent l="0" t="0" r="3175" b="317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0425" cy="1216645"/>
                    </a:xfrm>
                    <a:prstGeom prst="rect">
                      <a:avLst/>
                    </a:prstGeom>
                    <a:noFill/>
                    <a:ln>
                      <a:noFill/>
                    </a:ln>
                  </pic:spPr>
                </pic:pic>
              </a:graphicData>
            </a:graphic>
          </wp:inline>
        </w:drawing>
      </w:r>
      <w:bookmarkEnd w:id="82"/>
    </w:p>
    <w:p w:rsidR="00794E04" w:rsidRPr="00526311" w:rsidRDefault="00794E04" w:rsidP="0063039A">
      <w:pPr>
        <w:autoSpaceDE w:val="0"/>
        <w:autoSpaceDN w:val="0"/>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794E04" w:rsidRPr="00526311" w:rsidRDefault="00794E04" w:rsidP="0063039A">
      <w:pPr>
        <w:autoSpaceDE w:val="0"/>
        <w:autoSpaceDN w:val="0"/>
        <w:adjustRightInd w:val="0"/>
      </w:pPr>
    </w:p>
    <w:p w:rsidR="00794E04" w:rsidRPr="00526311" w:rsidRDefault="00794E04" w:rsidP="0063039A">
      <w:pPr>
        <w:keepNext/>
        <w:rPr>
          <w:sz w:val="20"/>
          <w:u w:val="single"/>
        </w:rPr>
      </w:pPr>
      <w:r w:rsidRPr="00526311">
        <w:rPr>
          <w:sz w:val="20"/>
        </w:rPr>
        <w:lastRenderedPageBreak/>
        <w:t>A.</w:t>
      </w:r>
      <w:r w:rsidRPr="00526311">
        <w:rPr>
          <w:sz w:val="20"/>
        </w:rPr>
        <w:tab/>
      </w:r>
      <w:r w:rsidRPr="00526311">
        <w:rPr>
          <w:sz w:val="20"/>
          <w:u w:val="single"/>
        </w:rPr>
        <w:t>Presupuesto de 2014/15 tras las transferencias</w:t>
      </w:r>
    </w:p>
    <w:p w:rsidR="00794E04" w:rsidRPr="00526311" w:rsidRDefault="00794E04" w:rsidP="0063039A">
      <w:pPr>
        <w:keepNext/>
        <w:rPr>
          <w:sz w:val="20"/>
          <w:u w:val="single"/>
        </w:rPr>
      </w:pPr>
    </w:p>
    <w:p w:rsidR="00794E04" w:rsidRPr="00526311" w:rsidRDefault="00794E04" w:rsidP="00794E04">
      <w:pPr>
        <w:pStyle w:val="ListParagraph"/>
        <w:keepNext/>
        <w:numPr>
          <w:ilvl w:val="0"/>
          <w:numId w:val="88"/>
        </w:numPr>
        <w:tabs>
          <w:tab w:val="left" w:pos="709"/>
        </w:tabs>
        <w:ind w:left="0" w:firstLine="0"/>
        <w:jc w:val="both"/>
        <w:rPr>
          <w:rFonts w:cs="Arial"/>
          <w:lang w:val="es-ES" w:eastAsia="ko-KR"/>
        </w:rPr>
      </w:pPr>
      <w:r w:rsidRPr="00526311">
        <w:rPr>
          <w:rFonts w:cs="Arial"/>
          <w:lang w:val="es-ES" w:eastAsia="ko-KR"/>
        </w:rPr>
        <w:t xml:space="preserve">En general, el incremento en el presupuesto de </w:t>
      </w:r>
      <w:r w:rsidRPr="00526311">
        <w:rPr>
          <w:rFonts w:cs="Arial"/>
          <w:lang w:val="es-ES"/>
        </w:rPr>
        <w:t>2014/15</w:t>
      </w:r>
      <w:r w:rsidRPr="00526311">
        <w:rPr>
          <w:rFonts w:cs="Arial"/>
          <w:lang w:val="es-ES" w:eastAsia="ko-KR"/>
        </w:rPr>
        <w:t xml:space="preserve"> tras las transferencias se debe principalmente a:  i) la financiación de soluciones temporales de asignación de recursos para cubrir ausencias de larga duración, ii) el incremento de los costos de actividades comunes en el Sistema de Naciones Unidas, iii) una mayor capacidad de la Junta de Apelación de la OMPI, iv) el lanzamiento de nuevas iniciativas, como el programa de la OMPI de recompensas y reconocimiento, y v)  el incremento de los costos de los seguros para los delegados y participantes en las reuniones de la OMPI.</w:t>
      </w:r>
    </w:p>
    <w:p w:rsidR="00794E04" w:rsidRPr="00526311" w:rsidRDefault="00794E04" w:rsidP="0063039A">
      <w:pPr>
        <w:rPr>
          <w:sz w:val="20"/>
          <w:u w:val="single"/>
        </w:rPr>
      </w:pPr>
    </w:p>
    <w:p w:rsidR="00794E04" w:rsidRPr="00526311" w:rsidRDefault="00794E04"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794E04" w:rsidRPr="00526311" w:rsidRDefault="00794E04" w:rsidP="0063039A">
      <w:pPr>
        <w:tabs>
          <w:tab w:val="left" w:pos="709"/>
        </w:tabs>
        <w:jc w:val="both"/>
        <w:rPr>
          <w:sz w:val="20"/>
          <w:u w:val="single"/>
          <w:lang w:eastAsia="ko-KR"/>
        </w:rPr>
      </w:pPr>
    </w:p>
    <w:p w:rsidR="00794E04" w:rsidRPr="00526311" w:rsidRDefault="00794E04" w:rsidP="00794E04">
      <w:pPr>
        <w:pStyle w:val="ListParagraph"/>
        <w:numPr>
          <w:ilvl w:val="0"/>
          <w:numId w:val="88"/>
        </w:numPr>
        <w:tabs>
          <w:tab w:val="left" w:pos="709"/>
        </w:tabs>
        <w:ind w:left="0" w:firstLine="0"/>
        <w:jc w:val="both"/>
        <w:rPr>
          <w:lang w:val="es-ES"/>
        </w:rPr>
      </w:pPr>
      <w:r w:rsidRPr="00526311">
        <w:rPr>
          <w:rFonts w:cs="Arial"/>
          <w:lang w:val="es-ES" w:eastAsia="ko-KR"/>
        </w:rPr>
        <w:t>La utilización del presupuesto se ha mantenido dentro de los límites establecidos (40-60%) durante el primer año del bienio y está bien encaminada.</w:t>
      </w:r>
    </w:p>
    <w:p w:rsidR="00794E04" w:rsidRPr="00526311" w:rsidRDefault="00794E04" w:rsidP="0063039A">
      <w:pPr>
        <w:tabs>
          <w:tab w:val="left" w:pos="709"/>
        </w:tabs>
        <w:jc w:val="both"/>
        <w:rPr>
          <w:sz w:val="20"/>
        </w:rPr>
      </w:pPr>
    </w:p>
    <w:p w:rsidR="00794E04" w:rsidRPr="00526311" w:rsidRDefault="00794E04" w:rsidP="0063039A">
      <w:pPr>
        <w:tabs>
          <w:tab w:val="left" w:pos="709"/>
        </w:tabs>
        <w:jc w:val="both"/>
        <w:rPr>
          <w:sz w:val="20"/>
        </w:rPr>
      </w:pPr>
    </w:p>
    <w:p w:rsidR="00794E04" w:rsidRPr="00526311" w:rsidRDefault="00794E04">
      <w:pPr>
        <w:rPr>
          <w:bCs/>
          <w:iCs/>
          <w:caps/>
          <w:sz w:val="20"/>
        </w:rPr>
      </w:pPr>
      <w:r w:rsidRPr="00526311">
        <w:rPr>
          <w:sz w:val="20"/>
        </w:rPr>
        <w:br w:type="page"/>
      </w:r>
    </w:p>
    <w:p w:rsidR="00794E04" w:rsidRPr="00526311" w:rsidRDefault="00794E04" w:rsidP="0063039A">
      <w:pPr>
        <w:pStyle w:val="Heading2"/>
        <w:ind w:left="2410" w:hanging="2410"/>
        <w:rPr>
          <w:b/>
        </w:rPr>
      </w:pPr>
      <w:bookmarkStart w:id="83" w:name="_Toc422927438"/>
      <w:r w:rsidRPr="00526311">
        <w:rPr>
          <w:b/>
        </w:rPr>
        <w:lastRenderedPageBreak/>
        <w:t>PROGRAMA 24</w:t>
      </w:r>
      <w:r w:rsidRPr="00526311">
        <w:rPr>
          <w:b/>
        </w:rPr>
        <w:tab/>
        <w:t>SERVICIOS GENERALES DE APOYO</w:t>
      </w:r>
      <w:bookmarkEnd w:id="83"/>
    </w:p>
    <w:p w:rsidR="00794E04" w:rsidRPr="00526311" w:rsidRDefault="00794E04" w:rsidP="0063039A">
      <w:pPr>
        <w:ind w:left="1985" w:hanging="1985"/>
        <w:rPr>
          <w:b/>
          <w:sz w:val="20"/>
        </w:rPr>
      </w:pPr>
    </w:p>
    <w:p w:rsidR="00794E04" w:rsidRPr="00526311" w:rsidRDefault="00794E04" w:rsidP="0063039A">
      <w:pPr>
        <w:ind w:left="2410" w:hanging="2410"/>
        <w:rPr>
          <w:b/>
          <w:sz w:val="20"/>
        </w:rPr>
      </w:pPr>
      <w:r w:rsidRPr="00526311">
        <w:rPr>
          <w:b/>
          <w:sz w:val="20"/>
        </w:rPr>
        <w:t>Director de programa</w:t>
      </w:r>
      <w:r w:rsidRPr="00526311">
        <w:rPr>
          <w:b/>
          <w:sz w:val="20"/>
        </w:rPr>
        <w:tab/>
        <w:t>S</w:t>
      </w:r>
      <w:r w:rsidRPr="00526311">
        <w:rPr>
          <w:b/>
          <w:bCs/>
          <w:sz w:val="20"/>
        </w:rPr>
        <w:t>r. A. Sundaram</w:t>
      </w:r>
    </w:p>
    <w:p w:rsidR="00794E04" w:rsidRPr="00526311" w:rsidRDefault="00794E04" w:rsidP="0063039A">
      <w:pPr>
        <w:ind w:left="2268" w:hanging="2268"/>
        <w:rPr>
          <w:b/>
          <w:bCs/>
          <w:sz w:val="20"/>
        </w:rPr>
      </w:pPr>
    </w:p>
    <w:p w:rsidR="00794E04" w:rsidRPr="00526311" w:rsidRDefault="00794E04" w:rsidP="0063039A">
      <w:pPr>
        <w:ind w:left="2268" w:hanging="2268"/>
        <w:rPr>
          <w:b/>
          <w:bCs/>
          <w:sz w:val="20"/>
        </w:rPr>
      </w:pPr>
    </w:p>
    <w:p w:rsidR="00794E04" w:rsidRPr="00526311" w:rsidRDefault="00794E04" w:rsidP="0063039A">
      <w:r w:rsidRPr="00526311">
        <w:t>RESEÑA DE LOS AVANCES LOGRADOS EN 2014</w:t>
      </w:r>
    </w:p>
    <w:p w:rsidR="00794E04" w:rsidRPr="00526311" w:rsidRDefault="00794E04" w:rsidP="0063039A">
      <w:pPr>
        <w:rPr>
          <w:bCs/>
          <w:sz w:val="20"/>
        </w:rPr>
      </w:pPr>
    </w:p>
    <w:p w:rsidR="00794E04" w:rsidRPr="00526311" w:rsidRDefault="00794E04" w:rsidP="00794E04">
      <w:pPr>
        <w:pStyle w:val="ListParagraph"/>
        <w:numPr>
          <w:ilvl w:val="0"/>
          <w:numId w:val="89"/>
        </w:numPr>
        <w:tabs>
          <w:tab w:val="left" w:pos="709"/>
        </w:tabs>
        <w:ind w:left="0" w:firstLine="0"/>
        <w:jc w:val="both"/>
        <w:rPr>
          <w:rFonts w:cs="Arial"/>
          <w:bCs/>
          <w:lang w:val="es-ES"/>
        </w:rPr>
      </w:pPr>
      <w:r w:rsidRPr="00526311">
        <w:rPr>
          <w:rFonts w:cs="Arial"/>
          <w:bCs/>
          <w:lang w:val="es-ES"/>
        </w:rPr>
        <w:t>En el marco del programa se suministra orientación y apoyo estratégicos a nivel de la administración y la gestión en la OMPI, y se prestan servicios en materia de compras y viajes y de infraestructura de locales.</w:t>
      </w:r>
    </w:p>
    <w:p w:rsidR="00794E04" w:rsidRPr="00526311" w:rsidRDefault="00794E04" w:rsidP="0063039A">
      <w:pPr>
        <w:tabs>
          <w:tab w:val="left" w:pos="709"/>
        </w:tabs>
        <w:jc w:val="both"/>
        <w:rPr>
          <w:bCs/>
          <w:sz w:val="20"/>
        </w:rPr>
      </w:pPr>
    </w:p>
    <w:p w:rsidR="00794E04" w:rsidRPr="00526311" w:rsidRDefault="00794E04" w:rsidP="00794E04">
      <w:pPr>
        <w:pStyle w:val="ListParagraph"/>
        <w:numPr>
          <w:ilvl w:val="0"/>
          <w:numId w:val="89"/>
        </w:numPr>
        <w:tabs>
          <w:tab w:val="left" w:pos="709"/>
        </w:tabs>
        <w:ind w:left="0" w:firstLine="0"/>
        <w:jc w:val="both"/>
        <w:rPr>
          <w:rFonts w:cs="Arial"/>
          <w:bCs/>
          <w:color w:val="000000"/>
          <w:lang w:val="es-ES"/>
        </w:rPr>
      </w:pPr>
      <w:r w:rsidRPr="00526311">
        <w:rPr>
          <w:rFonts w:cs="Arial"/>
          <w:bCs/>
          <w:color w:val="000000"/>
          <w:lang w:val="es-ES"/>
        </w:rPr>
        <w:t>En 2014 se realizaron sólidos progresos para alcanzar las metas fijadas en los servicios de compras y viajes, recurriendo con ese fin a medidas encaminadas a mejorar la eficacia y reducir los gastos no relativos a personal, como ilustran los datos de rendimiento que figuran más abajo.</w:t>
      </w:r>
    </w:p>
    <w:p w:rsidR="00794E04" w:rsidRPr="00526311" w:rsidRDefault="00794E04" w:rsidP="0063039A">
      <w:pPr>
        <w:tabs>
          <w:tab w:val="left" w:pos="709"/>
        </w:tabs>
        <w:jc w:val="both"/>
        <w:rPr>
          <w:bCs/>
          <w:color w:val="000000"/>
          <w:sz w:val="20"/>
        </w:rPr>
      </w:pPr>
    </w:p>
    <w:p w:rsidR="00794E04" w:rsidRPr="00526311" w:rsidRDefault="00794E04" w:rsidP="00794E04">
      <w:pPr>
        <w:pStyle w:val="ListParagraph"/>
        <w:numPr>
          <w:ilvl w:val="0"/>
          <w:numId w:val="89"/>
        </w:numPr>
        <w:tabs>
          <w:tab w:val="left" w:pos="709"/>
        </w:tabs>
        <w:ind w:left="0" w:firstLine="0"/>
        <w:jc w:val="both"/>
        <w:rPr>
          <w:rFonts w:cs="Arial"/>
          <w:bCs/>
          <w:color w:val="000000"/>
          <w:lang w:val="es-ES"/>
        </w:rPr>
      </w:pPr>
      <w:r w:rsidRPr="00526311">
        <w:rPr>
          <w:rFonts w:cs="Arial"/>
          <w:bCs/>
          <w:color w:val="000000"/>
          <w:lang w:val="es-ES"/>
        </w:rPr>
        <w:t xml:space="preserve">En 2014 se ultimaron dos tareas fundamentales:  i) la puesta en práctica de una nueva política en materia de servicios contractuales individuales y la integración de la gestión de los servicios contractuales individuales en la División de Adquisiciones y Viajes y ii) la introducción de una herramienta de reservas por Internet, en el mes de diciembre, que debería traducirse en ahorros considerables en 2015.  En lo que respecta al marco regulador, </w:t>
      </w:r>
      <w:r w:rsidR="008D349D" w:rsidRPr="00526311">
        <w:rPr>
          <w:rFonts w:cs="Arial"/>
          <w:bCs/>
          <w:color w:val="000000"/>
          <w:lang w:val="es-ES"/>
        </w:rPr>
        <w:t xml:space="preserve">a raíz de las mejoras introducidas en el procedimiento de adquisiciones </w:t>
      </w:r>
      <w:r w:rsidRPr="00526311">
        <w:rPr>
          <w:rFonts w:cs="Arial"/>
          <w:bCs/>
          <w:color w:val="000000"/>
          <w:lang w:val="es-ES"/>
        </w:rPr>
        <w:t>se publicó</w:t>
      </w:r>
      <w:r w:rsidR="008D349D" w:rsidRPr="00526311">
        <w:rPr>
          <w:rFonts w:cs="Arial"/>
          <w:bCs/>
          <w:color w:val="000000"/>
          <w:lang w:val="es-ES"/>
        </w:rPr>
        <w:t xml:space="preserve"> tanto una nueva orden de servicio sobre los principios generales y las reglas básicas en materia de adquisiciones, como el propio Manual de Adquisiciones</w:t>
      </w:r>
      <w:r w:rsidRPr="00526311">
        <w:rPr>
          <w:rFonts w:cs="Arial"/>
          <w:bCs/>
          <w:color w:val="000000"/>
          <w:lang w:val="es-ES"/>
        </w:rPr>
        <w:t>.</w:t>
      </w:r>
    </w:p>
    <w:p w:rsidR="00794E04" w:rsidRPr="00526311" w:rsidRDefault="00794E04" w:rsidP="0063039A">
      <w:pPr>
        <w:tabs>
          <w:tab w:val="left" w:pos="709"/>
        </w:tabs>
        <w:jc w:val="both"/>
        <w:rPr>
          <w:bCs/>
          <w:color w:val="000000"/>
          <w:sz w:val="20"/>
        </w:rPr>
      </w:pPr>
    </w:p>
    <w:p w:rsidR="00794E04" w:rsidRPr="00526311" w:rsidRDefault="00794E04" w:rsidP="00794E04">
      <w:pPr>
        <w:pStyle w:val="ListParagraph"/>
        <w:numPr>
          <w:ilvl w:val="0"/>
          <w:numId w:val="89"/>
        </w:numPr>
        <w:tabs>
          <w:tab w:val="left" w:pos="709"/>
        </w:tabs>
        <w:ind w:left="0" w:firstLine="0"/>
        <w:jc w:val="both"/>
        <w:rPr>
          <w:rFonts w:cs="Arial"/>
          <w:bCs/>
          <w:color w:val="000000"/>
          <w:lang w:val="es-ES"/>
        </w:rPr>
      </w:pPr>
      <w:r w:rsidRPr="00526311">
        <w:rPr>
          <w:rFonts w:cs="Arial"/>
          <w:bCs/>
          <w:color w:val="000000"/>
          <w:lang w:val="es-ES"/>
        </w:rPr>
        <w:t>Gracias a una mayor tenacidad en las negociaciones de precios prosiguieron los ahorros en la adquisición de productos y servicios, lo que se tradujo en un ahorro global de 2.663.000 francos suizos en 2014.  En lo que respecta a los gastos de viajes, el precio medio del billete de avión se redujo en un 7,5%, pasando a ser de 1.598 francos suizos, en comparación con el precio medio de 2013, de 1.728 francos suizos, gracias a la obtención de tarifas más económicas.  Cabe señalar también que en 2014 se realizaron esfuerzos considerables para reducir los gastos de viaje, con lo que disminuyó el número de billetes emitidos y el número de casos de presentación tardía de solicitudes de viaje.</w:t>
      </w:r>
      <w:r w:rsidR="008D349D" w:rsidRPr="00526311">
        <w:rPr>
          <w:rFonts w:cs="Arial"/>
          <w:bCs/>
          <w:color w:val="000000"/>
          <w:lang w:val="es-ES"/>
        </w:rPr>
        <w:t xml:space="preserve">  Por último, gracias a la supervisión estrecha del procedimiento administrativo, se redujo por la mitad, en cuatro años, el tiempo medio de tramitación de solicitudes de compra, </w:t>
      </w:r>
      <w:r w:rsidR="00223BD9" w:rsidRPr="00526311">
        <w:rPr>
          <w:rFonts w:cs="Arial"/>
          <w:bCs/>
          <w:color w:val="000000"/>
          <w:lang w:val="es-ES"/>
        </w:rPr>
        <w:t>lo que redunda en mayor eficiencia y más agilidad a la hora de adquirir bienes y servicios, tal como queda ilustrado en el gráfico siguiente.</w:t>
      </w:r>
      <w:r w:rsidRPr="00526311">
        <w:rPr>
          <w:rFonts w:cs="Arial"/>
          <w:bCs/>
          <w:color w:val="000000"/>
          <w:lang w:val="es-ES"/>
        </w:rPr>
        <w:t xml:space="preserve">  </w:t>
      </w:r>
    </w:p>
    <w:p w:rsidR="00DE1CA6" w:rsidRPr="00526311" w:rsidRDefault="00DE1CA6" w:rsidP="00DE1CA6">
      <w:pPr>
        <w:pStyle w:val="ListParagraph"/>
        <w:tabs>
          <w:tab w:val="left" w:pos="709"/>
        </w:tabs>
        <w:ind w:left="0"/>
        <w:jc w:val="both"/>
        <w:rPr>
          <w:rFonts w:cs="Arial"/>
          <w:bCs/>
          <w:color w:val="000000"/>
          <w:lang w:val="es-ES"/>
        </w:rPr>
      </w:pPr>
    </w:p>
    <w:p w:rsidR="00B54004" w:rsidRPr="00526311" w:rsidRDefault="00DE1CA6" w:rsidP="00B54004">
      <w:pPr>
        <w:tabs>
          <w:tab w:val="left" w:pos="709"/>
        </w:tabs>
        <w:jc w:val="center"/>
        <w:rPr>
          <w:sz w:val="20"/>
        </w:rPr>
      </w:pPr>
      <w:r w:rsidRPr="00526311">
        <w:rPr>
          <w:noProof/>
          <w:lang w:val="en-US" w:eastAsia="en-US"/>
        </w:rPr>
        <w:drawing>
          <wp:inline distT="0" distB="0" distL="0" distR="0" wp14:anchorId="45687453" wp14:editId="53435F01">
            <wp:extent cx="5000625" cy="3293488"/>
            <wp:effectExtent l="0" t="0" r="0" b="254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002045" cy="3294423"/>
                    </a:xfrm>
                    <a:prstGeom prst="rect">
                      <a:avLst/>
                    </a:prstGeom>
                    <a:noFill/>
                    <a:ln>
                      <a:noFill/>
                    </a:ln>
                  </pic:spPr>
                </pic:pic>
              </a:graphicData>
            </a:graphic>
          </wp:inline>
        </w:drawing>
      </w:r>
    </w:p>
    <w:p w:rsidR="00B54004" w:rsidRPr="00526311" w:rsidRDefault="00B54004" w:rsidP="0063039A">
      <w:pPr>
        <w:tabs>
          <w:tab w:val="left" w:pos="709"/>
        </w:tabs>
        <w:jc w:val="both"/>
        <w:rPr>
          <w:sz w:val="20"/>
        </w:rPr>
      </w:pPr>
    </w:p>
    <w:p w:rsidR="00794E04" w:rsidRPr="00526311" w:rsidRDefault="00794E04" w:rsidP="00794E04">
      <w:pPr>
        <w:pStyle w:val="ListParagraph"/>
        <w:numPr>
          <w:ilvl w:val="0"/>
          <w:numId w:val="89"/>
        </w:numPr>
        <w:tabs>
          <w:tab w:val="left" w:pos="709"/>
        </w:tabs>
        <w:ind w:left="0" w:firstLine="0"/>
        <w:jc w:val="both"/>
        <w:rPr>
          <w:rFonts w:cs="Arial"/>
          <w:lang w:val="es-ES"/>
        </w:rPr>
      </w:pPr>
      <w:r w:rsidRPr="00526311">
        <w:rPr>
          <w:rFonts w:cs="Arial"/>
          <w:lang w:val="es-ES"/>
        </w:rPr>
        <w:t xml:space="preserve">En cuanto a la gestión de locales, en 2014 aumentaron en gran medida la colaboración y el intercambio de experiencias e información con otros organismos especializados de las Naciones Unidas, principalmente los organismos con sede en Ginebra, tanto respecto de grandes proyectos de construcción y renovación (como el plan de legado estratégico relativo a la sede de las Naciones Unidas </w:t>
      </w:r>
      <w:r w:rsidRPr="00526311">
        <w:rPr>
          <w:rFonts w:cs="Arial"/>
          <w:lang w:val="es-ES"/>
        </w:rPr>
        <w:lastRenderedPageBreak/>
        <w:t>en Ginebra) como de la gestión y ocupación de locales (espacio de oficinas, salas de conferencia y reunión, locales técnicos y especializados y zonas semipúblicas).</w:t>
      </w:r>
    </w:p>
    <w:p w:rsidR="00794E04" w:rsidRPr="00526311" w:rsidRDefault="00794E04" w:rsidP="0063039A">
      <w:pPr>
        <w:tabs>
          <w:tab w:val="left" w:pos="709"/>
        </w:tabs>
        <w:jc w:val="both"/>
        <w:rPr>
          <w:sz w:val="20"/>
        </w:rPr>
      </w:pPr>
    </w:p>
    <w:p w:rsidR="00794E04" w:rsidRPr="00526311" w:rsidRDefault="00794E04" w:rsidP="00794E04">
      <w:pPr>
        <w:pStyle w:val="ListParagraph"/>
        <w:numPr>
          <w:ilvl w:val="0"/>
          <w:numId w:val="89"/>
        </w:numPr>
        <w:tabs>
          <w:tab w:val="left" w:pos="709"/>
        </w:tabs>
        <w:ind w:left="0" w:firstLine="0"/>
        <w:jc w:val="both"/>
        <w:rPr>
          <w:rFonts w:cs="Arial"/>
          <w:lang w:val="es-ES"/>
        </w:rPr>
      </w:pPr>
      <w:r w:rsidRPr="00526311">
        <w:rPr>
          <w:rFonts w:cs="Arial"/>
          <w:lang w:val="es-ES"/>
        </w:rPr>
        <w:t xml:space="preserve">En lo relativo a la gestión del espacio en los edificios de la sede, a finales de 2014, y por segundo año consecutivo, se alcanzó un equilibrio adecuado entre espacios de trabajo ocupados (85%) y espacios de trabajo no ocupados (15%) aun cuando dicho equilibrio no fue uniforme entre unos y otros edificios, como se ha explicado en anteriores informes.  Gracias a una utilización más eficaz en función de los costos de las áreas de almacenamiento y estacionamiento interiores y exteriores al recinto se pudo rescindir el contrato de alquiler de dos áreas de almacenamiento ubicadas fuera del recinto y de plazas de estacionamiento fuera del recinto, y reducir la cantidad de material de oficina (obteniéndose un ahorro total de alrededor de 23.800 francos suizos a finales de 2014).  Por último, en 2014 se obtuvieron ingresos por un total de 195.000 francos suizos en concepto de alquiler de espacios a otras entidades (centro de datos, espacio en la cubierta para antenas de telefonía móvil, máquina del cajero automático y una oficina para la </w:t>
      </w:r>
      <w:r w:rsidRPr="00526311">
        <w:rPr>
          <w:rFonts w:cs="Arial"/>
          <w:i/>
          <w:lang w:val="es-ES"/>
        </w:rPr>
        <w:t xml:space="preserve">Association Coopérative Financière des Fonctionnaires Internationaux </w:t>
      </w:r>
      <w:r w:rsidRPr="00526311">
        <w:rPr>
          <w:rFonts w:cs="Arial"/>
          <w:lang w:val="es-ES"/>
        </w:rPr>
        <w:t>(AMFIE)).</w:t>
      </w:r>
    </w:p>
    <w:p w:rsidR="00794E04" w:rsidRPr="00526311" w:rsidRDefault="00794E04" w:rsidP="0063039A">
      <w:pPr>
        <w:tabs>
          <w:tab w:val="left" w:pos="709"/>
        </w:tabs>
        <w:jc w:val="both"/>
        <w:rPr>
          <w:sz w:val="20"/>
        </w:rPr>
      </w:pPr>
    </w:p>
    <w:p w:rsidR="00794E04" w:rsidRPr="00526311" w:rsidRDefault="00794E04" w:rsidP="00794E04">
      <w:pPr>
        <w:pStyle w:val="ListParagraph"/>
        <w:numPr>
          <w:ilvl w:val="0"/>
          <w:numId w:val="89"/>
        </w:numPr>
        <w:tabs>
          <w:tab w:val="left" w:pos="709"/>
        </w:tabs>
        <w:ind w:left="0" w:firstLine="0"/>
        <w:jc w:val="both"/>
        <w:rPr>
          <w:rFonts w:cs="Arial"/>
          <w:lang w:val="es-ES"/>
        </w:rPr>
      </w:pPr>
      <w:r w:rsidRPr="00526311">
        <w:rPr>
          <w:rFonts w:cs="Arial"/>
          <w:lang w:val="es-ES"/>
        </w:rPr>
        <w:t>Con respecto a las instalaciones técnicas, a lo largo del año, y conforme a un calendario establecido, se llevaron a cabo actividades de mantenimiento regular de instalaciones técnicas principales y/o esenciales.  En 2014 se terminó de elaborar el primer inventario detallado de todas las instalaciones esenciales, que contribuirá en gran medida al análisis que se prevé efectuar en relación con un programa de mantenimiento preventivo más amplio relativo a la infraestructura y las instalaciones.</w:t>
      </w:r>
    </w:p>
    <w:p w:rsidR="00794E04" w:rsidRPr="00526311" w:rsidRDefault="00794E04" w:rsidP="0063039A">
      <w:pPr>
        <w:tabs>
          <w:tab w:val="left" w:pos="709"/>
        </w:tabs>
        <w:jc w:val="both"/>
        <w:rPr>
          <w:sz w:val="20"/>
        </w:rPr>
      </w:pPr>
    </w:p>
    <w:p w:rsidR="00794E04" w:rsidRPr="00526311" w:rsidRDefault="00794E04" w:rsidP="00794E04">
      <w:pPr>
        <w:pStyle w:val="ListParagraph"/>
        <w:numPr>
          <w:ilvl w:val="0"/>
          <w:numId w:val="89"/>
        </w:numPr>
        <w:tabs>
          <w:tab w:val="left" w:pos="709"/>
        </w:tabs>
        <w:ind w:left="0" w:firstLine="0"/>
        <w:jc w:val="both"/>
        <w:rPr>
          <w:rFonts w:cs="Arial"/>
          <w:lang w:val="es-ES"/>
        </w:rPr>
      </w:pPr>
      <w:r w:rsidRPr="00526311">
        <w:rPr>
          <w:rFonts w:cs="Arial"/>
          <w:lang w:val="es-ES"/>
        </w:rPr>
        <w:t>En cuanto a la modernización de las instalaciones, se realizaron progresos considerables, no solo mediante los proyectos del plan maestro de mejoras de infraestructura financiados con cargo a las reservas</w:t>
      </w:r>
      <w:r w:rsidRPr="00526311">
        <w:rPr>
          <w:rStyle w:val="FootnoteReference"/>
          <w:rFonts w:cs="Arial"/>
          <w:lang w:val="es-ES"/>
        </w:rPr>
        <w:footnoteReference w:id="60"/>
      </w:r>
      <w:r w:rsidRPr="00526311">
        <w:rPr>
          <w:rFonts w:cs="Arial"/>
          <w:lang w:val="es-ES"/>
        </w:rPr>
        <w:t>, sino mediante una serie de mejoras más técnicas pero menos significativas (véanse datos en el cuadro de rendimiento).</w:t>
      </w:r>
    </w:p>
    <w:p w:rsidR="00794E04" w:rsidRPr="00526311" w:rsidRDefault="00794E04" w:rsidP="0063039A">
      <w:pPr>
        <w:pStyle w:val="NoSpacing"/>
        <w:tabs>
          <w:tab w:val="left" w:pos="709"/>
        </w:tabs>
        <w:jc w:val="both"/>
        <w:rPr>
          <w:rFonts w:ascii="Arial" w:hAnsi="Arial" w:cs="Arial"/>
          <w:sz w:val="20"/>
          <w:szCs w:val="20"/>
          <w:lang w:val="es-ES"/>
        </w:rPr>
      </w:pPr>
    </w:p>
    <w:p w:rsidR="00794E04" w:rsidRPr="00526311" w:rsidRDefault="00794E04" w:rsidP="00794E04">
      <w:pPr>
        <w:pStyle w:val="NoSpacing"/>
        <w:numPr>
          <w:ilvl w:val="0"/>
          <w:numId w:val="89"/>
        </w:numPr>
        <w:tabs>
          <w:tab w:val="left" w:pos="709"/>
        </w:tabs>
        <w:ind w:left="0" w:firstLine="0"/>
        <w:jc w:val="both"/>
        <w:rPr>
          <w:rFonts w:ascii="Arial" w:hAnsi="Arial" w:cs="Arial"/>
          <w:sz w:val="20"/>
          <w:szCs w:val="20"/>
          <w:lang w:val="es-ES"/>
        </w:rPr>
      </w:pPr>
      <w:r w:rsidRPr="00526311">
        <w:rPr>
          <w:rFonts w:ascii="Arial" w:hAnsi="Arial" w:cs="Arial"/>
          <w:sz w:val="20"/>
          <w:szCs w:val="20"/>
          <w:lang w:val="es-ES"/>
        </w:rPr>
        <w:t>El consumo de electricidad y agua se redujo en un 2,2</w:t>
      </w:r>
      <w:r w:rsidR="00223BD9" w:rsidRPr="00526311">
        <w:rPr>
          <w:rFonts w:ascii="Arial" w:hAnsi="Arial" w:cs="Arial"/>
          <w:sz w:val="20"/>
          <w:szCs w:val="20"/>
          <w:lang w:val="es-ES"/>
        </w:rPr>
        <w:t>%</w:t>
      </w:r>
      <w:r w:rsidRPr="00526311">
        <w:rPr>
          <w:rFonts w:ascii="Arial" w:hAnsi="Arial" w:cs="Arial"/>
          <w:sz w:val="20"/>
          <w:szCs w:val="20"/>
          <w:lang w:val="es-ES"/>
        </w:rPr>
        <w:t xml:space="preserve"> y 10%</w:t>
      </w:r>
      <w:r w:rsidR="00223BD9" w:rsidRPr="00526311">
        <w:rPr>
          <w:rFonts w:ascii="Arial" w:hAnsi="Arial" w:cs="Arial"/>
          <w:sz w:val="20"/>
          <w:szCs w:val="20"/>
          <w:lang w:val="es-ES"/>
        </w:rPr>
        <w:t>,</w:t>
      </w:r>
      <w:r w:rsidRPr="00526311">
        <w:rPr>
          <w:rFonts w:ascii="Arial" w:hAnsi="Arial" w:cs="Arial"/>
          <w:sz w:val="20"/>
          <w:szCs w:val="20"/>
          <w:lang w:val="es-ES"/>
        </w:rPr>
        <w:t xml:space="preserve"> respectivamente</w:t>
      </w:r>
      <w:r w:rsidR="00223BD9" w:rsidRPr="00526311">
        <w:rPr>
          <w:rFonts w:ascii="Arial" w:hAnsi="Arial" w:cs="Arial"/>
          <w:sz w:val="20"/>
          <w:szCs w:val="20"/>
          <w:lang w:val="es-ES"/>
        </w:rPr>
        <w:t>,</w:t>
      </w:r>
      <w:r w:rsidRPr="00526311">
        <w:rPr>
          <w:rFonts w:ascii="Arial" w:hAnsi="Arial" w:cs="Arial"/>
          <w:sz w:val="20"/>
          <w:szCs w:val="20"/>
          <w:lang w:val="es-ES"/>
        </w:rPr>
        <w:t xml:space="preserve"> a pesar del consumo adicional que </w:t>
      </w:r>
      <w:r w:rsidR="00223BD9" w:rsidRPr="00526311">
        <w:rPr>
          <w:rFonts w:ascii="Arial" w:hAnsi="Arial" w:cs="Arial"/>
          <w:sz w:val="20"/>
          <w:szCs w:val="20"/>
          <w:lang w:val="es-ES"/>
        </w:rPr>
        <w:t>supone</w:t>
      </w:r>
      <w:r w:rsidRPr="00526311">
        <w:rPr>
          <w:rFonts w:ascii="Arial" w:hAnsi="Arial" w:cs="Arial"/>
          <w:sz w:val="20"/>
          <w:szCs w:val="20"/>
          <w:lang w:val="es-ES"/>
        </w:rPr>
        <w:t xml:space="preserve">, </w:t>
      </w:r>
      <w:r w:rsidR="00223BD9" w:rsidRPr="00526311">
        <w:rPr>
          <w:rFonts w:ascii="Arial" w:hAnsi="Arial" w:cs="Arial"/>
          <w:sz w:val="20"/>
          <w:szCs w:val="20"/>
          <w:lang w:val="es-ES"/>
        </w:rPr>
        <w:t>desde</w:t>
      </w:r>
      <w:r w:rsidRPr="00526311">
        <w:rPr>
          <w:rFonts w:ascii="Arial" w:hAnsi="Arial" w:cs="Arial"/>
          <w:sz w:val="20"/>
          <w:szCs w:val="20"/>
          <w:lang w:val="es-ES"/>
        </w:rPr>
        <w:t xml:space="preserve"> septiembre de 2014, la nueva sala de conferencias</w:t>
      </w:r>
      <w:r w:rsidR="00223BD9" w:rsidRPr="00526311">
        <w:rPr>
          <w:rFonts w:ascii="Arial" w:hAnsi="Arial" w:cs="Arial"/>
          <w:sz w:val="20"/>
          <w:szCs w:val="20"/>
          <w:lang w:val="es-ES"/>
        </w:rPr>
        <w:t xml:space="preserve"> de la OMPI</w:t>
      </w:r>
      <w:r w:rsidRPr="00526311">
        <w:rPr>
          <w:rFonts w:ascii="Arial" w:hAnsi="Arial" w:cs="Arial"/>
          <w:sz w:val="20"/>
          <w:szCs w:val="20"/>
          <w:lang w:val="es-ES"/>
        </w:rPr>
        <w:t>.  En el nuevo edificio se procedió a la modernización del sistema de refrigeración mediante un sistema a base de agua fría del lago de Ginebra.  El ahorro total en consumo energético y modernización del sistema de refrigeración mediante un sistema a base de agua del lago de Ginebra fue de unos 70.000 francos suizos.  A ese importe vino a añadirse el reembolso de un importe de 21.300 francos suizos por parte el proveedor de electricidad en concepto de porcentaje de electricidad no utilizada durante el año de referencia (2014).</w:t>
      </w:r>
    </w:p>
    <w:p w:rsidR="00794E04" w:rsidRPr="00526311" w:rsidRDefault="00794E04" w:rsidP="0063039A">
      <w:pPr>
        <w:tabs>
          <w:tab w:val="left" w:pos="709"/>
          <w:tab w:val="left" w:pos="1440"/>
        </w:tabs>
        <w:jc w:val="both"/>
        <w:rPr>
          <w:sz w:val="20"/>
        </w:rPr>
      </w:pPr>
    </w:p>
    <w:p w:rsidR="00794E04" w:rsidRPr="00526311" w:rsidRDefault="00794E04" w:rsidP="00794E04">
      <w:pPr>
        <w:pStyle w:val="NoSpacing"/>
        <w:numPr>
          <w:ilvl w:val="0"/>
          <w:numId w:val="89"/>
        </w:numPr>
        <w:tabs>
          <w:tab w:val="left" w:pos="709"/>
        </w:tabs>
        <w:ind w:left="0" w:firstLine="0"/>
        <w:jc w:val="both"/>
        <w:rPr>
          <w:rFonts w:ascii="Arial" w:hAnsi="Arial" w:cs="Arial"/>
          <w:sz w:val="20"/>
          <w:szCs w:val="20"/>
          <w:lang w:val="es-ES"/>
        </w:rPr>
      </w:pPr>
      <w:r w:rsidRPr="00526311">
        <w:rPr>
          <w:rFonts w:ascii="Arial" w:hAnsi="Arial" w:cs="Arial"/>
          <w:sz w:val="20"/>
          <w:szCs w:val="20"/>
          <w:lang w:val="es-ES"/>
        </w:rPr>
        <w:t>En lo que respecta a la gestión de activos, en 2014 se procedió por primera vez a encomendar la realización de un inventario de activos a una empresa externa.  Los activos en cuestión eran los valorados por encima de 1.000 francos suizos, así como obras de arte y artículos atractivos, independientemente de su valor.  En el segundo año del bienio se ha previsto realizar un inventario de activos  de valor superior a 5.000 francos suizos.  Esta forma de proceder, en dos fases, en sintonía con el bienio, tiene por finalidad estructurar la gestión de activos, tanto para la catalogación física como para la presentación de informes financieros a ese respecto.</w:t>
      </w:r>
    </w:p>
    <w:p w:rsidR="00794E04" w:rsidRPr="00526311" w:rsidRDefault="00794E04" w:rsidP="0063039A">
      <w:pPr>
        <w:tabs>
          <w:tab w:val="left" w:pos="709"/>
        </w:tabs>
        <w:jc w:val="both"/>
        <w:rPr>
          <w:sz w:val="20"/>
        </w:rPr>
      </w:pPr>
    </w:p>
    <w:p w:rsidR="00794E04" w:rsidRPr="00526311" w:rsidRDefault="00794E04" w:rsidP="00794E04">
      <w:pPr>
        <w:pStyle w:val="NoSpacing"/>
        <w:numPr>
          <w:ilvl w:val="0"/>
          <w:numId w:val="89"/>
        </w:numPr>
        <w:tabs>
          <w:tab w:val="left" w:pos="709"/>
        </w:tabs>
        <w:ind w:left="0" w:firstLine="0"/>
        <w:jc w:val="both"/>
        <w:rPr>
          <w:rFonts w:ascii="Arial" w:hAnsi="Arial" w:cs="Arial"/>
          <w:sz w:val="20"/>
          <w:szCs w:val="20"/>
          <w:lang w:val="es-ES"/>
        </w:rPr>
      </w:pPr>
      <w:r w:rsidRPr="00526311">
        <w:rPr>
          <w:rFonts w:ascii="Arial" w:hAnsi="Arial" w:cs="Arial"/>
          <w:sz w:val="20"/>
          <w:szCs w:val="20"/>
          <w:lang w:val="es-ES"/>
        </w:rPr>
        <w:t>En el marco del proyecto de accesibilidad de la OMPI, y sobre la base de las recomendaciones formuladas a raíz de las auditorías realizadas en 2012 y 2013, en 2014 se introdujeron varias mejoras en varios edificios.  Además, en el transcurso de 2014, y en el marco de las fases de construcción y/o renovación se incorporaron varias novedades que se habían previsto como parte del proyecto de construcción de la nueva sala de conferencias y renovación de varias plantas del edificio AB.  Entre las mejoras realizadas, cabe señalar:  i) rampas adicionales para el acceso con silla de ruedas (acceso a las cabinas de intérpretes en una nueva sala de reunión del nuevo edificio, acceso al estrado de la nueva sala de conferencias</w:t>
      </w:r>
      <w:r w:rsidR="00223BD9" w:rsidRPr="00526311">
        <w:rPr>
          <w:rFonts w:ascii="Arial" w:hAnsi="Arial" w:cs="Arial"/>
          <w:sz w:val="20"/>
          <w:szCs w:val="20"/>
          <w:lang w:val="es-ES"/>
        </w:rPr>
        <w:t xml:space="preserve"> de la OMPI</w:t>
      </w:r>
      <w:r w:rsidRPr="00526311">
        <w:rPr>
          <w:rFonts w:ascii="Arial" w:hAnsi="Arial" w:cs="Arial"/>
          <w:sz w:val="20"/>
          <w:szCs w:val="20"/>
          <w:lang w:val="es-ES"/>
        </w:rPr>
        <w:t>, acceso a las cabinas de intérpretes en dos nuevas salas de reunión de una planta renovada del edificio AB);  y ii) la instalación de lectores de tarjetas de identificación para facilitar su uso por las personas en sillas de ruedas en los edificios AB y PCT y el nuevo edificio, así como en la nueva sala de conferencias</w:t>
      </w:r>
      <w:r w:rsidR="00223BD9" w:rsidRPr="00526311">
        <w:rPr>
          <w:rFonts w:ascii="Arial" w:hAnsi="Arial" w:cs="Arial"/>
          <w:sz w:val="20"/>
          <w:szCs w:val="20"/>
          <w:lang w:val="es-ES"/>
        </w:rPr>
        <w:t xml:space="preserve"> de la OMPI</w:t>
      </w:r>
      <w:r w:rsidRPr="00526311">
        <w:rPr>
          <w:rFonts w:ascii="Arial" w:hAnsi="Arial" w:cs="Arial"/>
          <w:sz w:val="20"/>
          <w:szCs w:val="20"/>
          <w:lang w:val="es-ES"/>
        </w:rPr>
        <w:t>, mejoras que en parte han podido realizarse sin incurrir en grandes costos y/o que, al integrarse en otras infraestructuras o instalaciones, suponen un costo adicional mínimo.</w:t>
      </w:r>
    </w:p>
    <w:p w:rsidR="00794E04" w:rsidRPr="00526311" w:rsidRDefault="00794E04" w:rsidP="0063039A">
      <w:pPr>
        <w:tabs>
          <w:tab w:val="left" w:pos="709"/>
        </w:tabs>
        <w:jc w:val="both"/>
        <w:rPr>
          <w:sz w:val="20"/>
        </w:rPr>
      </w:pPr>
    </w:p>
    <w:p w:rsidR="00794E04" w:rsidRPr="00526311" w:rsidRDefault="00794E04" w:rsidP="00794E04">
      <w:pPr>
        <w:pStyle w:val="NoSpacing"/>
        <w:numPr>
          <w:ilvl w:val="0"/>
          <w:numId w:val="89"/>
        </w:numPr>
        <w:tabs>
          <w:tab w:val="left" w:pos="709"/>
        </w:tabs>
        <w:ind w:left="0" w:firstLine="0"/>
        <w:jc w:val="both"/>
        <w:rPr>
          <w:rFonts w:ascii="Arial" w:hAnsi="Arial" w:cs="Arial"/>
          <w:sz w:val="20"/>
          <w:szCs w:val="20"/>
          <w:lang w:val="es-ES"/>
        </w:rPr>
      </w:pPr>
      <w:r w:rsidRPr="00526311">
        <w:rPr>
          <w:rFonts w:ascii="Arial" w:hAnsi="Arial" w:cs="Arial"/>
          <w:sz w:val="20"/>
          <w:szCs w:val="20"/>
          <w:lang w:val="es-ES"/>
        </w:rPr>
        <w:lastRenderedPageBreak/>
        <w:t>En 2014, y como parte de la responsabilidad medioambiental que incumbe a la OMPI, se llevaron a cabo varias actividades encaminadas a promover una toma de conciencia medioambiental entre el personal y/o tomar medidas concretas y prácticas en ese ámbito.  Se trata de iniciativas en los siguientes ámbitos:  los locales (por ejemplo, modernización de las instalaciones técnicas para adoptar soluciones más ecológicas, modernización de las instalaciones eléctricas, reducción del consumo de electricidad gracias a un acuerdo con el proveedor local de electricidad, renovación para el nuevo edificio de la tarifa eléctrica que presenta el máximo porcentaje de contribución a la producción de electricidad renovable del Cantón de Ginebra), el empleo de medios alternativos de desplazamiento entre la vivienda y el lugar de trabajo (días o meses de movilidad a base de transporte público y alquiler gratuito de bicicletas eléctricas y reparación gratuita de bicicletas).  Además, la OMPI participó en varias iniciativas en el contexto interinstitucional de las Naciones Unidas, sobre todo por conducto del Programa de las Naciones Unidas para el Medio Ambiente (PNUMA) y la iniciativa “Por unas Naciones Unidas sostenibles” (“SUN”), como la participación en la compilación anual de datos para la Calculadora de gases del efecto invernadero y la asistencia a varias reuniones y foros.</w:t>
      </w:r>
    </w:p>
    <w:p w:rsidR="00794E04" w:rsidRPr="00526311" w:rsidRDefault="00794E04" w:rsidP="0063039A">
      <w:pPr>
        <w:rPr>
          <w:bCs/>
          <w:sz w:val="20"/>
        </w:rPr>
      </w:pPr>
    </w:p>
    <w:p w:rsidR="00794E04" w:rsidRPr="00526311" w:rsidRDefault="00794E04" w:rsidP="0063039A">
      <w:pPr>
        <w:rPr>
          <w:rFonts w:eastAsia="MS Mincho"/>
          <w:sz w:val="20"/>
          <w:lang w:eastAsia="ja-JP" w:bidi="th-TH"/>
        </w:rPr>
      </w:pPr>
    </w:p>
    <w:p w:rsidR="00794E04" w:rsidRPr="00526311" w:rsidRDefault="00794E04" w:rsidP="0063039A">
      <w:pPr>
        <w:keepNext/>
        <w:keepLines/>
      </w:pPr>
      <w:r w:rsidRPr="00526311">
        <w:t>DATOS SOBRE EL RENDIMIENTO</w:t>
      </w:r>
    </w:p>
    <w:p w:rsidR="00794E04" w:rsidRPr="00526311" w:rsidRDefault="00794E04" w:rsidP="0063039A">
      <w:pPr>
        <w:keepNext/>
        <w:keepLines/>
        <w:rPr>
          <w:b/>
          <w:sz w:val="16"/>
          <w:szCs w:val="16"/>
        </w:rPr>
      </w:pPr>
    </w:p>
    <w:tbl>
      <w:tblPr>
        <w:tblW w:w="489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9"/>
        <w:gridCol w:w="2409"/>
        <w:gridCol w:w="279"/>
        <w:gridCol w:w="1423"/>
        <w:gridCol w:w="279"/>
        <w:gridCol w:w="1563"/>
        <w:gridCol w:w="144"/>
        <w:gridCol w:w="1134"/>
      </w:tblGrid>
      <w:tr w:rsidR="00794E04" w:rsidRPr="00526311" w:rsidTr="00730171">
        <w:trPr>
          <w:cantSplit/>
        </w:trPr>
        <w:tc>
          <w:tcPr>
            <w:tcW w:w="5000" w:type="pct"/>
            <w:gridSpan w:val="8"/>
            <w:tcBorders>
              <w:top w:val="single" w:sz="4" w:space="0" w:color="auto"/>
              <w:bottom w:val="single" w:sz="4" w:space="0" w:color="auto"/>
            </w:tcBorders>
            <w:shd w:val="clear" w:color="auto" w:fill="CCFFFF"/>
            <w:vAlign w:val="center"/>
          </w:tcPr>
          <w:p w:rsidR="00794E04" w:rsidRPr="00526311" w:rsidRDefault="00794E04" w:rsidP="0063039A">
            <w:pPr>
              <w:keepNext/>
              <w:keepLines/>
              <w:tabs>
                <w:tab w:val="left" w:pos="1452"/>
              </w:tabs>
              <w:spacing w:before="120" w:after="120"/>
              <w:ind w:left="1701" w:hanging="1701"/>
              <w:rPr>
                <w:b/>
                <w:bCs/>
                <w:sz w:val="16"/>
                <w:szCs w:val="16"/>
              </w:rPr>
            </w:pPr>
            <w:r w:rsidRPr="00526311">
              <w:rPr>
                <w:b/>
                <w:bCs/>
                <w:sz w:val="16"/>
                <w:szCs w:val="16"/>
              </w:rPr>
              <w:t>Resultado previsto:</w:t>
            </w:r>
            <w:r w:rsidRPr="00526311">
              <w:rPr>
                <w:b/>
                <w:bCs/>
                <w:sz w:val="16"/>
                <w:szCs w:val="16"/>
              </w:rPr>
              <w:tab/>
            </w:r>
            <w:r w:rsidRPr="00526311">
              <w:rPr>
                <w:sz w:val="16"/>
                <w:szCs w:val="16"/>
              </w:rPr>
              <w:t>VIII.5 La OMPI participa y colabora eficazmente en los procesos y negociaciones de las NN.UU. y otras OIG</w:t>
            </w:r>
          </w:p>
        </w:tc>
      </w:tr>
      <w:tr w:rsidR="00794E04" w:rsidRPr="00526311" w:rsidTr="00730171">
        <w:trPr>
          <w:cantSplit/>
        </w:trPr>
        <w:tc>
          <w:tcPr>
            <w:tcW w:w="1137" w:type="pct"/>
            <w:tcBorders>
              <w:top w:val="single" w:sz="4" w:space="0" w:color="auto"/>
            </w:tcBorders>
            <w:shd w:val="clear" w:color="auto" w:fill="auto"/>
            <w:vAlign w:val="center"/>
          </w:tcPr>
          <w:p w:rsidR="00794E04" w:rsidRPr="00526311" w:rsidRDefault="00794E04" w:rsidP="0063039A">
            <w:pPr>
              <w:keepNext/>
              <w:keepLines/>
              <w:rPr>
                <w:sz w:val="16"/>
                <w:szCs w:val="16"/>
              </w:rPr>
            </w:pPr>
            <w:r w:rsidRPr="00526311">
              <w:rPr>
                <w:b/>
                <w:sz w:val="16"/>
                <w:szCs w:val="16"/>
              </w:rPr>
              <w:t>Indicadores de rendimiento</w:t>
            </w:r>
          </w:p>
        </w:tc>
        <w:tc>
          <w:tcPr>
            <w:tcW w:w="1436" w:type="pct"/>
            <w:gridSpan w:val="2"/>
            <w:tcBorders>
              <w:top w:val="single" w:sz="4" w:space="0" w:color="auto"/>
            </w:tcBorders>
            <w:shd w:val="clear" w:color="auto" w:fill="auto"/>
            <w:vAlign w:val="center"/>
          </w:tcPr>
          <w:p w:rsidR="00794E04" w:rsidRPr="00526311" w:rsidRDefault="00794E04" w:rsidP="0063039A">
            <w:pPr>
              <w:keepNext/>
              <w:keepLines/>
              <w:rPr>
                <w:b/>
                <w:bCs/>
                <w:sz w:val="16"/>
                <w:szCs w:val="16"/>
              </w:rPr>
            </w:pPr>
            <w:r w:rsidRPr="00526311">
              <w:rPr>
                <w:b/>
                <w:bCs/>
                <w:sz w:val="16"/>
                <w:szCs w:val="16"/>
              </w:rPr>
              <w:t>Referencia</w:t>
            </w:r>
          </w:p>
        </w:tc>
        <w:tc>
          <w:tcPr>
            <w:tcW w:w="909" w:type="pct"/>
            <w:gridSpan w:val="2"/>
            <w:tcBorders>
              <w:top w:val="single" w:sz="4" w:space="0" w:color="auto"/>
            </w:tcBorders>
            <w:shd w:val="clear" w:color="auto" w:fill="auto"/>
            <w:tcMar>
              <w:top w:w="110" w:type="dxa"/>
            </w:tcMar>
            <w:vAlign w:val="center"/>
          </w:tcPr>
          <w:p w:rsidR="00794E04" w:rsidRPr="00526311" w:rsidRDefault="00794E04" w:rsidP="0063039A">
            <w:pPr>
              <w:keepNext/>
              <w:keepLines/>
              <w:rPr>
                <w:b/>
                <w:sz w:val="16"/>
                <w:szCs w:val="16"/>
              </w:rPr>
            </w:pPr>
            <w:r w:rsidRPr="00526311">
              <w:rPr>
                <w:b/>
                <w:sz w:val="16"/>
                <w:szCs w:val="16"/>
              </w:rPr>
              <w:t>Objetivos</w:t>
            </w:r>
          </w:p>
        </w:tc>
        <w:tc>
          <w:tcPr>
            <w:tcW w:w="835" w:type="pct"/>
            <w:tcBorders>
              <w:top w:val="single" w:sz="4" w:space="0" w:color="auto"/>
            </w:tcBorders>
            <w:shd w:val="clear" w:color="auto" w:fill="FFFFFF"/>
            <w:tcMar>
              <w:top w:w="110" w:type="dxa"/>
            </w:tcMar>
            <w:vAlign w:val="center"/>
          </w:tcPr>
          <w:p w:rsidR="00794E04" w:rsidRPr="00526311" w:rsidRDefault="00794E04" w:rsidP="0063039A">
            <w:pPr>
              <w:keepNext/>
              <w:keepLines/>
              <w:rPr>
                <w:sz w:val="16"/>
                <w:szCs w:val="16"/>
              </w:rPr>
            </w:pPr>
            <w:r w:rsidRPr="00526311">
              <w:rPr>
                <w:b/>
                <w:sz w:val="16"/>
                <w:szCs w:val="16"/>
              </w:rPr>
              <w:t>Datos sobre el rendimiento</w:t>
            </w:r>
          </w:p>
        </w:tc>
        <w:tc>
          <w:tcPr>
            <w:tcW w:w="683" w:type="pct"/>
            <w:gridSpan w:val="2"/>
            <w:tcBorders>
              <w:top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730171">
        <w:trPr>
          <w:cantSplit/>
        </w:trPr>
        <w:tc>
          <w:tcPr>
            <w:tcW w:w="1137" w:type="pct"/>
            <w:shd w:val="clear" w:color="auto" w:fill="auto"/>
          </w:tcPr>
          <w:p w:rsidR="00794E04" w:rsidRPr="00526311" w:rsidRDefault="00794E04" w:rsidP="0063039A">
            <w:pPr>
              <w:keepNext/>
              <w:keepLines/>
              <w:rPr>
                <w:sz w:val="16"/>
                <w:szCs w:val="16"/>
              </w:rPr>
            </w:pPr>
            <w:r w:rsidRPr="00526311">
              <w:rPr>
                <w:sz w:val="16"/>
                <w:szCs w:val="16"/>
              </w:rPr>
              <w:t>Recomendaciones del Comité de Alto Nivel sobre Gestión y redes secundarias que se dan por aplicadas</w:t>
            </w:r>
          </w:p>
        </w:tc>
        <w:tc>
          <w:tcPr>
            <w:tcW w:w="1436" w:type="pct"/>
            <w:gridSpan w:val="2"/>
            <w:shd w:val="clear" w:color="auto" w:fill="auto"/>
          </w:tcPr>
          <w:p w:rsidR="00794E04" w:rsidRPr="00526311" w:rsidRDefault="00794E04" w:rsidP="0063039A">
            <w:pPr>
              <w:keepNext/>
              <w:keepLines/>
              <w:rPr>
                <w:color w:val="002060"/>
                <w:sz w:val="16"/>
                <w:szCs w:val="16"/>
              </w:rPr>
            </w:pPr>
            <w:r w:rsidRPr="00526311">
              <w:rPr>
                <w:i/>
                <w:color w:val="002060"/>
                <w:sz w:val="16"/>
                <w:szCs w:val="16"/>
              </w:rPr>
              <w:t>Referencia actualizada a fines de 2013:</w:t>
            </w:r>
            <w:r w:rsidRPr="00526311">
              <w:rPr>
                <w:color w:val="002060"/>
                <w:sz w:val="16"/>
                <w:szCs w:val="16"/>
              </w:rPr>
              <w:t xml:space="preserve">  13 de las 36 recomendaciones de la Dependencia Común de Inspección (DCI)/órganos legislativos que estaban pendientes se dieron por aplicadas en 2013 (36%)</w:t>
            </w:r>
          </w:p>
          <w:p w:rsidR="00794E04" w:rsidRPr="00526311" w:rsidRDefault="00794E04" w:rsidP="0063039A">
            <w:pPr>
              <w:keepNext/>
              <w:keepLines/>
              <w:rPr>
                <w:color w:val="002060"/>
                <w:sz w:val="16"/>
                <w:szCs w:val="16"/>
              </w:rPr>
            </w:pPr>
          </w:p>
          <w:p w:rsidR="00794E04" w:rsidRPr="00526311" w:rsidRDefault="00794E04" w:rsidP="00223BD9">
            <w:pPr>
              <w:keepNext/>
              <w:keepLines/>
              <w:rPr>
                <w:rFonts w:cstheme="minorBidi"/>
                <w:szCs w:val="22"/>
              </w:rPr>
            </w:pPr>
            <w:r w:rsidRPr="00526311">
              <w:rPr>
                <w:i/>
                <w:sz w:val="16"/>
                <w:szCs w:val="16"/>
              </w:rPr>
              <w:t>Referencia original en el presupuesto</w:t>
            </w:r>
            <w:r w:rsidR="00223BD9" w:rsidRPr="00526311">
              <w:rPr>
                <w:i/>
                <w:sz w:val="16"/>
                <w:szCs w:val="16"/>
              </w:rPr>
              <w:t>de</w:t>
            </w:r>
            <w:r w:rsidRPr="00526311">
              <w:rPr>
                <w:i/>
                <w:sz w:val="16"/>
                <w:szCs w:val="16"/>
              </w:rPr>
              <w:t xml:space="preserve"> 2014/15:  </w:t>
            </w:r>
            <w:r w:rsidRPr="00526311">
              <w:rPr>
                <w:sz w:val="16"/>
                <w:szCs w:val="16"/>
              </w:rPr>
              <w:t>Porcentaje de recomendaciones dadas por aplicadas al 1 de enero de 2013</w:t>
            </w:r>
          </w:p>
        </w:tc>
        <w:tc>
          <w:tcPr>
            <w:tcW w:w="909" w:type="pct"/>
            <w:gridSpan w:val="2"/>
            <w:shd w:val="clear" w:color="auto" w:fill="auto"/>
            <w:tcMar>
              <w:top w:w="110" w:type="dxa"/>
            </w:tcMar>
          </w:tcPr>
          <w:p w:rsidR="00794E04" w:rsidRPr="00526311" w:rsidRDefault="00794E04" w:rsidP="0063039A">
            <w:pPr>
              <w:keepNext/>
              <w:keepLines/>
              <w:rPr>
                <w:sz w:val="16"/>
                <w:szCs w:val="16"/>
                <w:lang w:bidi="th-TH"/>
              </w:rPr>
            </w:pPr>
            <w:r w:rsidRPr="00526311">
              <w:rPr>
                <w:sz w:val="16"/>
                <w:szCs w:val="16"/>
                <w:lang w:bidi="th-TH"/>
              </w:rPr>
              <w:t>Porcentaje de recomendaciones dadas por aplicadas al 31 de  diciembre de 2015</w:t>
            </w:r>
            <w:r w:rsidRPr="00526311">
              <w:rPr>
                <w:rStyle w:val="FootnoteReference"/>
                <w:sz w:val="16"/>
                <w:szCs w:val="16"/>
                <w:lang w:bidi="th-TH"/>
              </w:rPr>
              <w:footnoteReference w:id="61"/>
            </w:r>
          </w:p>
        </w:tc>
        <w:tc>
          <w:tcPr>
            <w:tcW w:w="835" w:type="pct"/>
            <w:shd w:val="clear" w:color="auto" w:fill="FFFFFF"/>
            <w:tcMar>
              <w:top w:w="110" w:type="dxa"/>
            </w:tcMar>
          </w:tcPr>
          <w:p w:rsidR="00794E04" w:rsidRPr="00526311" w:rsidRDefault="00794E04" w:rsidP="0063039A">
            <w:pPr>
              <w:keepNext/>
              <w:keepLines/>
              <w:rPr>
                <w:sz w:val="16"/>
                <w:szCs w:val="16"/>
                <w:lang w:bidi="th-TH"/>
              </w:rPr>
            </w:pPr>
            <w:r w:rsidRPr="00526311">
              <w:rPr>
                <w:color w:val="002060"/>
                <w:sz w:val="16"/>
                <w:szCs w:val="16"/>
              </w:rPr>
              <w:t>12 de las 24 recomendaciones de la Dependencia Común de Inspección (DCI)/órganos legislativos se dieron por aplicadas en 2014 (50%)</w:t>
            </w:r>
          </w:p>
        </w:tc>
        <w:tc>
          <w:tcPr>
            <w:tcW w:w="683" w:type="pct"/>
            <w:gridSpan w:val="2"/>
            <w:shd w:val="clear" w:color="auto" w:fill="auto"/>
            <w:tcMar>
              <w:top w:w="110" w:type="dxa"/>
            </w:tcMar>
          </w:tcPr>
          <w:p w:rsidR="00794E04" w:rsidRPr="00526311" w:rsidRDefault="00794E04" w:rsidP="0063039A">
            <w:pPr>
              <w:keepNext/>
              <w:keepLines/>
              <w:jc w:val="center"/>
              <w:rPr>
                <w:b/>
                <w:bCs/>
                <w:color w:val="808080"/>
                <w:sz w:val="16"/>
                <w:szCs w:val="16"/>
              </w:rPr>
            </w:pPr>
            <w:r w:rsidRPr="00526311">
              <w:rPr>
                <w:b/>
                <w:bCs/>
                <w:color w:val="BFBFBF" w:themeColor="background1" w:themeShade="BF"/>
                <w:sz w:val="16"/>
                <w:szCs w:val="16"/>
              </w:rPr>
              <w:t>No mensurable</w:t>
            </w:r>
          </w:p>
        </w:tc>
      </w:tr>
      <w:tr w:rsidR="00794E04" w:rsidRPr="00526311" w:rsidTr="00730171">
        <w:trPr>
          <w:cantSplit/>
        </w:trPr>
        <w:tc>
          <w:tcPr>
            <w:tcW w:w="1137" w:type="pct"/>
            <w:shd w:val="clear" w:color="auto" w:fill="auto"/>
          </w:tcPr>
          <w:p w:rsidR="00794E04" w:rsidRPr="00526311" w:rsidRDefault="00794E04" w:rsidP="0063039A">
            <w:pPr>
              <w:rPr>
                <w:sz w:val="16"/>
                <w:szCs w:val="16"/>
              </w:rPr>
            </w:pPr>
            <w:r w:rsidRPr="00526311">
              <w:rPr>
                <w:sz w:val="16"/>
                <w:szCs w:val="16"/>
              </w:rPr>
              <w:t>Porcentaje de productos y servicios contratados y adquiridos a nivel local en comparación con el importe total de los adquiridos para actividades de desarrollo</w:t>
            </w:r>
          </w:p>
        </w:tc>
        <w:tc>
          <w:tcPr>
            <w:tcW w:w="1436" w:type="pct"/>
            <w:gridSpan w:val="2"/>
            <w:shd w:val="clear" w:color="auto" w:fill="auto"/>
          </w:tcPr>
          <w:p w:rsidR="00794E04" w:rsidRPr="00526311" w:rsidRDefault="00794E04"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48%</w:t>
            </w:r>
          </w:p>
          <w:p w:rsidR="00794E04" w:rsidRPr="00526311" w:rsidRDefault="00794E04" w:rsidP="0063039A">
            <w:pPr>
              <w:rPr>
                <w:rFonts w:cstheme="minorBidi"/>
                <w:color w:val="002060"/>
                <w:sz w:val="16"/>
                <w:szCs w:val="16"/>
              </w:rPr>
            </w:pPr>
          </w:p>
          <w:p w:rsidR="00794E04" w:rsidRPr="00526311" w:rsidRDefault="007B705E" w:rsidP="00223BD9">
            <w:pPr>
              <w:rPr>
                <w:rFonts w:cstheme="minorBidi"/>
                <w:szCs w:val="22"/>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resultado de</w:t>
            </w:r>
            <w:r w:rsidR="00794E04" w:rsidRPr="00526311">
              <w:rPr>
                <w:i/>
                <w:sz w:val="16"/>
                <w:szCs w:val="16"/>
              </w:rPr>
              <w:t xml:space="preserve"> </w:t>
            </w:r>
            <w:r w:rsidR="00794E04" w:rsidRPr="00526311">
              <w:rPr>
                <w:sz w:val="16"/>
                <w:szCs w:val="16"/>
              </w:rPr>
              <w:t>2013</w:t>
            </w:r>
          </w:p>
        </w:tc>
        <w:tc>
          <w:tcPr>
            <w:tcW w:w="909" w:type="pct"/>
            <w:gridSpan w:val="2"/>
            <w:shd w:val="clear" w:color="auto" w:fill="auto"/>
            <w:tcMar>
              <w:top w:w="110" w:type="dxa"/>
            </w:tcMar>
          </w:tcPr>
          <w:p w:rsidR="00794E04" w:rsidRPr="00526311" w:rsidRDefault="00794E04" w:rsidP="0063039A">
            <w:pPr>
              <w:rPr>
                <w:rFonts w:ascii="ArialMT" w:hAnsi="ArialMT" w:cs="ArialMT"/>
                <w:sz w:val="16"/>
                <w:szCs w:val="16"/>
              </w:rPr>
            </w:pPr>
            <w:r w:rsidRPr="00526311">
              <w:rPr>
                <w:sz w:val="16"/>
                <w:szCs w:val="16"/>
                <w:lang w:bidi="th-TH"/>
              </w:rPr>
              <w:t>2013 + 5%</w:t>
            </w:r>
          </w:p>
        </w:tc>
        <w:tc>
          <w:tcPr>
            <w:tcW w:w="835" w:type="pct"/>
            <w:shd w:val="clear" w:color="auto" w:fill="FFFFFF"/>
            <w:tcMar>
              <w:top w:w="110" w:type="dxa"/>
            </w:tcMar>
          </w:tcPr>
          <w:p w:rsidR="00794E04" w:rsidRPr="00526311" w:rsidRDefault="00794E04" w:rsidP="0063039A">
            <w:pPr>
              <w:rPr>
                <w:sz w:val="16"/>
                <w:szCs w:val="16"/>
                <w:lang w:bidi="th-TH"/>
              </w:rPr>
            </w:pPr>
            <w:r w:rsidRPr="00526311">
              <w:rPr>
                <w:sz w:val="16"/>
                <w:szCs w:val="16"/>
                <w:lang w:bidi="th-TH"/>
              </w:rPr>
              <w:t>45%</w:t>
            </w:r>
          </w:p>
        </w:tc>
        <w:tc>
          <w:tcPr>
            <w:tcW w:w="683" w:type="pct"/>
            <w:gridSpan w:val="2"/>
            <w:shd w:val="clear" w:color="auto" w:fill="auto"/>
            <w:tcMar>
              <w:top w:w="110" w:type="dxa"/>
            </w:tcMar>
          </w:tcPr>
          <w:p w:rsidR="00794E04" w:rsidRPr="00526311" w:rsidRDefault="00794E04" w:rsidP="0063039A">
            <w:pPr>
              <w:keepNext/>
              <w:keepLines/>
              <w:spacing w:after="120"/>
              <w:jc w:val="center"/>
              <w:rPr>
                <w:b/>
                <w:bCs/>
                <w:color w:val="808080"/>
                <w:sz w:val="16"/>
                <w:szCs w:val="16"/>
              </w:rPr>
            </w:pPr>
            <w:r w:rsidRPr="00526311">
              <w:rPr>
                <w:b/>
                <w:bCs/>
                <w:color w:val="FF0000"/>
                <w:sz w:val="16"/>
                <w:szCs w:val="16"/>
              </w:rPr>
              <w:t>No avanza</w:t>
            </w:r>
          </w:p>
        </w:tc>
      </w:tr>
      <w:tr w:rsidR="00794E04" w:rsidRPr="00526311" w:rsidTr="00730171">
        <w:trPr>
          <w:cantSplit/>
        </w:trPr>
        <w:tc>
          <w:tcPr>
            <w:tcW w:w="1137" w:type="pct"/>
            <w:shd w:val="clear" w:color="auto" w:fill="auto"/>
          </w:tcPr>
          <w:p w:rsidR="00794E04" w:rsidRPr="00526311" w:rsidRDefault="00794E04" w:rsidP="0063039A">
            <w:pPr>
              <w:rPr>
                <w:sz w:val="16"/>
                <w:szCs w:val="16"/>
              </w:rPr>
            </w:pPr>
            <w:r w:rsidRPr="00526311">
              <w:rPr>
                <w:sz w:val="16"/>
                <w:szCs w:val="16"/>
              </w:rPr>
              <w:t>Porcentaje de gastos efectuados con arreglo a las prácticas vigentes en NN.UU. (licitaciones comunes o aprovechamiento de los contratos)</w:t>
            </w:r>
          </w:p>
        </w:tc>
        <w:tc>
          <w:tcPr>
            <w:tcW w:w="1436" w:type="pct"/>
            <w:gridSpan w:val="2"/>
            <w:shd w:val="clear" w:color="auto" w:fill="auto"/>
          </w:tcPr>
          <w:p w:rsidR="00794E04" w:rsidRPr="00526311" w:rsidRDefault="00794E04"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 xml:space="preserve"> 4%</w:t>
            </w:r>
          </w:p>
          <w:p w:rsidR="00794E04" w:rsidRPr="00526311" w:rsidRDefault="00794E04" w:rsidP="0063039A">
            <w:pPr>
              <w:rPr>
                <w:color w:val="002060"/>
                <w:sz w:val="16"/>
                <w:szCs w:val="16"/>
              </w:rPr>
            </w:pPr>
          </w:p>
          <w:p w:rsidR="00794E04" w:rsidRPr="00526311" w:rsidRDefault="007B705E" w:rsidP="00223BD9">
            <w:pPr>
              <w:rPr>
                <w:rFonts w:cstheme="minorBidi"/>
                <w:szCs w:val="22"/>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resultado de 2013</w:t>
            </w:r>
          </w:p>
        </w:tc>
        <w:tc>
          <w:tcPr>
            <w:tcW w:w="909" w:type="pct"/>
            <w:gridSpan w:val="2"/>
            <w:shd w:val="clear" w:color="auto" w:fill="auto"/>
            <w:tcMar>
              <w:top w:w="110" w:type="dxa"/>
            </w:tcMar>
          </w:tcPr>
          <w:p w:rsidR="00794E04" w:rsidRPr="00526311" w:rsidRDefault="00794E04" w:rsidP="0063039A">
            <w:pPr>
              <w:rPr>
                <w:color w:val="002060"/>
                <w:sz w:val="16"/>
                <w:szCs w:val="16"/>
              </w:rPr>
            </w:pPr>
            <w:r w:rsidRPr="00526311">
              <w:rPr>
                <w:color w:val="002060"/>
                <w:sz w:val="16"/>
                <w:szCs w:val="16"/>
              </w:rPr>
              <w:t xml:space="preserve">Objetivo definido:  4% </w:t>
            </w:r>
          </w:p>
          <w:p w:rsidR="00794E04" w:rsidRPr="00526311" w:rsidRDefault="00794E04" w:rsidP="0063039A">
            <w:pPr>
              <w:rPr>
                <w:color w:val="002060"/>
                <w:sz w:val="16"/>
                <w:szCs w:val="16"/>
              </w:rPr>
            </w:pPr>
          </w:p>
          <w:p w:rsidR="00794E04" w:rsidRPr="00526311" w:rsidRDefault="00794E04" w:rsidP="00223BD9">
            <w:pPr>
              <w:rPr>
                <w:rFonts w:cstheme="minorBidi"/>
                <w:szCs w:val="22"/>
              </w:rPr>
            </w:pPr>
            <w:r w:rsidRPr="00526311">
              <w:rPr>
                <w:sz w:val="16"/>
                <w:szCs w:val="16"/>
              </w:rPr>
              <w:t xml:space="preserve">Objetivo original en el presupuesto </w:t>
            </w:r>
            <w:r w:rsidR="00223BD9" w:rsidRPr="00526311">
              <w:rPr>
                <w:sz w:val="16"/>
                <w:szCs w:val="16"/>
              </w:rPr>
              <w:t xml:space="preserve">de </w:t>
            </w:r>
            <w:r w:rsidRPr="00526311">
              <w:rPr>
                <w:sz w:val="16"/>
                <w:szCs w:val="16"/>
              </w:rPr>
              <w:t xml:space="preserve"> 2014/15: </w:t>
            </w:r>
            <w:r w:rsidR="00223BD9" w:rsidRPr="00526311">
              <w:rPr>
                <w:sz w:val="16"/>
                <w:szCs w:val="16"/>
              </w:rPr>
              <w:t xml:space="preserve"> </w:t>
            </w:r>
            <w:r w:rsidRPr="00526311">
              <w:rPr>
                <w:sz w:val="16"/>
                <w:szCs w:val="16"/>
              </w:rPr>
              <w:t>por determinar</w:t>
            </w:r>
          </w:p>
        </w:tc>
        <w:tc>
          <w:tcPr>
            <w:tcW w:w="835" w:type="pct"/>
            <w:shd w:val="clear" w:color="auto" w:fill="FFFFFF"/>
            <w:tcMar>
              <w:top w:w="110" w:type="dxa"/>
            </w:tcMar>
          </w:tcPr>
          <w:p w:rsidR="00794E04" w:rsidRPr="00526311" w:rsidRDefault="00794E04" w:rsidP="0063039A">
            <w:pPr>
              <w:rPr>
                <w:sz w:val="16"/>
                <w:szCs w:val="16"/>
                <w:lang w:bidi="th-TH"/>
              </w:rPr>
            </w:pPr>
            <w:r w:rsidRPr="00526311">
              <w:rPr>
                <w:sz w:val="16"/>
                <w:szCs w:val="16"/>
                <w:lang w:bidi="th-TH"/>
              </w:rPr>
              <w:t>4,15%</w:t>
            </w:r>
          </w:p>
        </w:tc>
        <w:tc>
          <w:tcPr>
            <w:tcW w:w="683" w:type="pct"/>
            <w:gridSpan w:val="2"/>
            <w:shd w:val="clear" w:color="auto" w:fill="auto"/>
          </w:tcPr>
          <w:p w:rsidR="00794E04" w:rsidRPr="00526311" w:rsidRDefault="00794E04" w:rsidP="0063039A">
            <w:pPr>
              <w:keepNext/>
              <w:keepLines/>
              <w:jc w:val="center"/>
              <w:rPr>
                <w:b/>
                <w:bCs/>
                <w:color w:val="00B050"/>
                <w:sz w:val="16"/>
                <w:szCs w:val="16"/>
              </w:rPr>
            </w:pPr>
            <w:r w:rsidRPr="00526311">
              <w:rPr>
                <w:b/>
                <w:color w:val="00B050"/>
                <w:sz w:val="16"/>
                <w:szCs w:val="16"/>
              </w:rPr>
              <w:t>Avanza</w:t>
            </w:r>
          </w:p>
        </w:tc>
      </w:tr>
      <w:tr w:rsidR="00794E04" w:rsidRPr="00526311" w:rsidTr="00730171">
        <w:trPr>
          <w:cantSplit/>
        </w:trPr>
        <w:tc>
          <w:tcPr>
            <w:tcW w:w="5000" w:type="pct"/>
            <w:gridSpan w:val="8"/>
            <w:tcBorders>
              <w:top w:val="single" w:sz="4" w:space="0" w:color="auto"/>
              <w:bottom w:val="single" w:sz="4" w:space="0" w:color="auto"/>
            </w:tcBorders>
            <w:shd w:val="clear" w:color="auto" w:fill="CCFFFF"/>
            <w:vAlign w:val="center"/>
          </w:tcPr>
          <w:p w:rsidR="00794E04" w:rsidRPr="00526311" w:rsidRDefault="00794E04" w:rsidP="0063039A">
            <w:pPr>
              <w:keepNext/>
              <w:keepLines/>
              <w:tabs>
                <w:tab w:val="left" w:pos="1735"/>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sz w:val="16"/>
                <w:szCs w:val="16"/>
              </w:rPr>
              <w:t>IX.1 Servicios de apoyo eficaces, eficientes, de calidad y orientados al cliente, tanto a los clientes internos como a las partes interesadas externas</w:t>
            </w:r>
          </w:p>
        </w:tc>
      </w:tr>
      <w:tr w:rsidR="00794E04" w:rsidRPr="00526311" w:rsidTr="00730171">
        <w:trPr>
          <w:cantSplit/>
        </w:trPr>
        <w:tc>
          <w:tcPr>
            <w:tcW w:w="1137" w:type="pct"/>
            <w:tcBorders>
              <w:top w:val="single" w:sz="4" w:space="0" w:color="auto"/>
            </w:tcBorders>
            <w:shd w:val="clear" w:color="auto" w:fill="auto"/>
            <w:vAlign w:val="center"/>
          </w:tcPr>
          <w:p w:rsidR="00794E04" w:rsidRPr="00526311" w:rsidRDefault="00794E04" w:rsidP="0063039A">
            <w:pPr>
              <w:keepNext/>
              <w:keepLines/>
              <w:rPr>
                <w:sz w:val="16"/>
                <w:szCs w:val="16"/>
              </w:rPr>
            </w:pPr>
            <w:r w:rsidRPr="00526311">
              <w:rPr>
                <w:b/>
                <w:sz w:val="16"/>
                <w:szCs w:val="16"/>
              </w:rPr>
              <w:t>Indicadores de rendimiento</w:t>
            </w:r>
          </w:p>
        </w:tc>
        <w:tc>
          <w:tcPr>
            <w:tcW w:w="1287" w:type="pct"/>
            <w:tcBorders>
              <w:top w:val="single" w:sz="4" w:space="0" w:color="auto"/>
            </w:tcBorders>
            <w:shd w:val="clear" w:color="auto" w:fill="auto"/>
            <w:vAlign w:val="center"/>
          </w:tcPr>
          <w:p w:rsidR="00794E04" w:rsidRPr="00526311" w:rsidRDefault="00794E04" w:rsidP="0063039A">
            <w:pPr>
              <w:keepNext/>
              <w:keepLines/>
              <w:rPr>
                <w:b/>
                <w:bCs/>
                <w:sz w:val="16"/>
                <w:szCs w:val="16"/>
              </w:rPr>
            </w:pPr>
            <w:r w:rsidRPr="00526311">
              <w:rPr>
                <w:b/>
                <w:bCs/>
                <w:sz w:val="16"/>
                <w:szCs w:val="16"/>
              </w:rPr>
              <w:t>Referencia</w:t>
            </w:r>
          </w:p>
        </w:tc>
        <w:tc>
          <w:tcPr>
            <w:tcW w:w="909" w:type="pct"/>
            <w:gridSpan w:val="2"/>
            <w:tcBorders>
              <w:top w:val="single" w:sz="4" w:space="0" w:color="auto"/>
            </w:tcBorders>
            <w:shd w:val="clear" w:color="auto" w:fill="auto"/>
            <w:tcMar>
              <w:top w:w="110" w:type="dxa"/>
            </w:tcMar>
            <w:vAlign w:val="center"/>
          </w:tcPr>
          <w:p w:rsidR="00794E04" w:rsidRPr="00526311" w:rsidRDefault="00794E04" w:rsidP="0063039A">
            <w:pPr>
              <w:keepNext/>
              <w:keepLines/>
              <w:rPr>
                <w:b/>
                <w:sz w:val="16"/>
                <w:szCs w:val="16"/>
              </w:rPr>
            </w:pPr>
            <w:r w:rsidRPr="00526311">
              <w:rPr>
                <w:b/>
                <w:sz w:val="16"/>
                <w:szCs w:val="16"/>
              </w:rPr>
              <w:t>Objetivos</w:t>
            </w:r>
          </w:p>
        </w:tc>
        <w:tc>
          <w:tcPr>
            <w:tcW w:w="1061" w:type="pct"/>
            <w:gridSpan w:val="3"/>
            <w:tcBorders>
              <w:top w:val="single" w:sz="4" w:space="0" w:color="auto"/>
            </w:tcBorders>
            <w:shd w:val="clear" w:color="auto" w:fill="FFFFFF"/>
            <w:tcMar>
              <w:top w:w="110" w:type="dxa"/>
            </w:tcMar>
            <w:vAlign w:val="center"/>
          </w:tcPr>
          <w:p w:rsidR="00794E04" w:rsidRPr="00526311" w:rsidRDefault="00794E04" w:rsidP="0063039A">
            <w:pPr>
              <w:keepNext/>
              <w:keepLines/>
              <w:rPr>
                <w:sz w:val="16"/>
                <w:szCs w:val="16"/>
              </w:rPr>
            </w:pPr>
            <w:r w:rsidRPr="00526311">
              <w:rPr>
                <w:b/>
                <w:sz w:val="16"/>
                <w:szCs w:val="16"/>
              </w:rPr>
              <w:t>Datos sobre el rendimiento</w:t>
            </w:r>
          </w:p>
        </w:tc>
        <w:tc>
          <w:tcPr>
            <w:tcW w:w="606" w:type="pct"/>
            <w:tcBorders>
              <w:top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730171">
        <w:trPr>
          <w:cantSplit/>
        </w:trPr>
        <w:tc>
          <w:tcPr>
            <w:tcW w:w="1137" w:type="pct"/>
            <w:shd w:val="clear" w:color="auto" w:fill="auto"/>
          </w:tcPr>
          <w:p w:rsidR="00794E04" w:rsidRPr="00526311" w:rsidRDefault="00794E04" w:rsidP="0063039A">
            <w:pPr>
              <w:keepNext/>
              <w:keepLines/>
              <w:rPr>
                <w:sz w:val="16"/>
                <w:szCs w:val="16"/>
              </w:rPr>
            </w:pPr>
            <w:r w:rsidRPr="00526311">
              <w:rPr>
                <w:sz w:val="16"/>
                <w:szCs w:val="16"/>
              </w:rPr>
              <w:t>Disminución de los costos de adquisición de productos y servicios por la OMPI (derivada de solicitudes de ofertas o negociaciones directas)</w:t>
            </w:r>
          </w:p>
        </w:tc>
        <w:tc>
          <w:tcPr>
            <w:tcW w:w="1287" w:type="pct"/>
            <w:shd w:val="clear" w:color="auto" w:fill="auto"/>
          </w:tcPr>
          <w:p w:rsidR="00794E04" w:rsidRPr="00526311" w:rsidRDefault="00794E04" w:rsidP="0063039A">
            <w:pPr>
              <w:keepNext/>
              <w:keepLines/>
              <w:rPr>
                <w:color w:val="002060"/>
                <w:sz w:val="16"/>
                <w:szCs w:val="16"/>
              </w:rPr>
            </w:pPr>
            <w:r w:rsidRPr="00526311">
              <w:rPr>
                <w:i/>
                <w:color w:val="002060"/>
                <w:sz w:val="16"/>
                <w:szCs w:val="16"/>
              </w:rPr>
              <w:t>Referencia actualizada a fines de 2013:</w:t>
            </w:r>
            <w:r w:rsidRPr="00526311">
              <w:rPr>
                <w:sz w:val="16"/>
                <w:szCs w:val="16"/>
              </w:rPr>
              <w:t xml:space="preserve">  </w:t>
            </w:r>
            <w:r w:rsidRPr="00526311">
              <w:rPr>
                <w:color w:val="002060"/>
                <w:sz w:val="16"/>
                <w:szCs w:val="16"/>
              </w:rPr>
              <w:t>531.000 francos suizos</w:t>
            </w:r>
          </w:p>
          <w:p w:rsidR="00794E04" w:rsidRPr="00526311" w:rsidRDefault="00794E04" w:rsidP="0063039A">
            <w:pPr>
              <w:keepNext/>
              <w:keepLines/>
              <w:rPr>
                <w:rFonts w:cstheme="minorBidi"/>
                <w:color w:val="002060"/>
                <w:sz w:val="16"/>
                <w:szCs w:val="16"/>
              </w:rPr>
            </w:pPr>
          </w:p>
          <w:p w:rsidR="00794E04" w:rsidRPr="00526311" w:rsidRDefault="007B705E" w:rsidP="00223BD9">
            <w:pPr>
              <w:keepNext/>
              <w:keepLines/>
              <w:rPr>
                <w:rFonts w:cstheme="minorBidi"/>
                <w:szCs w:val="22"/>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resultado de 2013</w:t>
            </w:r>
          </w:p>
        </w:tc>
        <w:tc>
          <w:tcPr>
            <w:tcW w:w="909" w:type="pct"/>
            <w:gridSpan w:val="2"/>
            <w:shd w:val="clear" w:color="auto" w:fill="auto"/>
            <w:tcMar>
              <w:top w:w="110" w:type="dxa"/>
            </w:tcMar>
          </w:tcPr>
          <w:p w:rsidR="00794E04" w:rsidRPr="00526311" w:rsidRDefault="00794E04" w:rsidP="0063039A">
            <w:pPr>
              <w:keepNext/>
              <w:keepLines/>
              <w:rPr>
                <w:sz w:val="16"/>
                <w:szCs w:val="16"/>
              </w:rPr>
            </w:pPr>
            <w:r w:rsidRPr="00526311">
              <w:rPr>
                <w:sz w:val="16"/>
                <w:szCs w:val="16"/>
              </w:rPr>
              <w:t>2013 + 5%</w:t>
            </w:r>
          </w:p>
        </w:tc>
        <w:tc>
          <w:tcPr>
            <w:tcW w:w="1061" w:type="pct"/>
            <w:gridSpan w:val="3"/>
            <w:shd w:val="clear" w:color="auto" w:fill="FFFFFF"/>
            <w:tcMar>
              <w:top w:w="110" w:type="dxa"/>
            </w:tcMar>
          </w:tcPr>
          <w:p w:rsidR="00794E04" w:rsidRPr="00526311" w:rsidRDefault="00794E04" w:rsidP="0063039A">
            <w:pPr>
              <w:keepNext/>
              <w:keepLines/>
              <w:rPr>
                <w:sz w:val="16"/>
                <w:szCs w:val="16"/>
                <w:lang w:bidi="th-TH"/>
              </w:rPr>
            </w:pPr>
            <w:r w:rsidRPr="00526311">
              <w:rPr>
                <w:sz w:val="16"/>
                <w:szCs w:val="16"/>
                <w:lang w:bidi="th-TH"/>
              </w:rPr>
              <w:t>2.663,000 francos suizos</w:t>
            </w:r>
          </w:p>
        </w:tc>
        <w:tc>
          <w:tcPr>
            <w:tcW w:w="606" w:type="pct"/>
            <w:shd w:val="clear" w:color="auto" w:fill="auto"/>
            <w:tcMar>
              <w:top w:w="110" w:type="dxa"/>
            </w:tcMar>
          </w:tcPr>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tc>
      </w:tr>
    </w:tbl>
    <w:p w:rsidR="00730171" w:rsidRPr="00526311" w:rsidRDefault="00730171">
      <w:r w:rsidRPr="00526311">
        <w:br w:type="page"/>
      </w:r>
    </w:p>
    <w:tbl>
      <w:tblPr>
        <w:tblW w:w="489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410"/>
        <w:gridCol w:w="1702"/>
        <w:gridCol w:w="1987"/>
        <w:gridCol w:w="1135"/>
      </w:tblGrid>
      <w:tr w:rsidR="00730171" w:rsidRPr="00526311" w:rsidTr="00730171">
        <w:trPr>
          <w:cantSplit/>
        </w:trPr>
        <w:tc>
          <w:tcPr>
            <w:tcW w:w="1137" w:type="pct"/>
            <w:tcBorders>
              <w:top w:val="single" w:sz="4" w:space="0" w:color="auto"/>
            </w:tcBorders>
            <w:shd w:val="clear" w:color="auto" w:fill="auto"/>
            <w:vAlign w:val="center"/>
          </w:tcPr>
          <w:p w:rsidR="00730171" w:rsidRPr="00526311" w:rsidRDefault="00730171" w:rsidP="0063039A">
            <w:pPr>
              <w:keepNext/>
              <w:keepLines/>
              <w:rPr>
                <w:sz w:val="16"/>
                <w:szCs w:val="16"/>
              </w:rPr>
            </w:pPr>
            <w:r w:rsidRPr="00526311">
              <w:rPr>
                <w:b/>
                <w:sz w:val="16"/>
                <w:szCs w:val="16"/>
              </w:rPr>
              <w:lastRenderedPageBreak/>
              <w:t>Indicadores de rendimiento</w:t>
            </w:r>
          </w:p>
        </w:tc>
        <w:tc>
          <w:tcPr>
            <w:tcW w:w="1287" w:type="pct"/>
            <w:tcBorders>
              <w:top w:val="single" w:sz="4" w:space="0" w:color="auto"/>
            </w:tcBorders>
            <w:shd w:val="clear" w:color="auto" w:fill="auto"/>
            <w:vAlign w:val="center"/>
          </w:tcPr>
          <w:p w:rsidR="00730171" w:rsidRPr="00526311" w:rsidRDefault="00730171" w:rsidP="0063039A">
            <w:pPr>
              <w:keepNext/>
              <w:keepLines/>
              <w:rPr>
                <w:b/>
                <w:bCs/>
                <w:sz w:val="16"/>
                <w:szCs w:val="16"/>
              </w:rPr>
            </w:pPr>
            <w:r w:rsidRPr="00526311">
              <w:rPr>
                <w:b/>
                <w:bCs/>
                <w:sz w:val="16"/>
                <w:szCs w:val="16"/>
              </w:rPr>
              <w:t>Referencia</w:t>
            </w:r>
          </w:p>
        </w:tc>
        <w:tc>
          <w:tcPr>
            <w:tcW w:w="909" w:type="pct"/>
            <w:tcBorders>
              <w:top w:val="single" w:sz="4" w:space="0" w:color="auto"/>
            </w:tcBorders>
            <w:shd w:val="clear" w:color="auto" w:fill="auto"/>
            <w:tcMar>
              <w:top w:w="110" w:type="dxa"/>
            </w:tcMar>
            <w:vAlign w:val="center"/>
          </w:tcPr>
          <w:p w:rsidR="00730171" w:rsidRPr="00526311" w:rsidRDefault="00730171" w:rsidP="0063039A">
            <w:pPr>
              <w:keepNext/>
              <w:keepLines/>
              <w:rPr>
                <w:b/>
                <w:sz w:val="16"/>
                <w:szCs w:val="16"/>
              </w:rPr>
            </w:pPr>
            <w:r w:rsidRPr="00526311">
              <w:rPr>
                <w:b/>
                <w:sz w:val="16"/>
                <w:szCs w:val="16"/>
              </w:rPr>
              <w:t>Objetivos</w:t>
            </w:r>
          </w:p>
        </w:tc>
        <w:tc>
          <w:tcPr>
            <w:tcW w:w="1061" w:type="pct"/>
            <w:tcBorders>
              <w:top w:val="single" w:sz="4" w:space="0" w:color="auto"/>
            </w:tcBorders>
            <w:shd w:val="clear" w:color="auto" w:fill="FFFFFF"/>
            <w:tcMar>
              <w:top w:w="110" w:type="dxa"/>
            </w:tcMar>
            <w:vAlign w:val="center"/>
          </w:tcPr>
          <w:p w:rsidR="00730171" w:rsidRPr="00526311" w:rsidRDefault="00730171" w:rsidP="0063039A">
            <w:pPr>
              <w:keepNext/>
              <w:keepLines/>
              <w:rPr>
                <w:sz w:val="16"/>
                <w:szCs w:val="16"/>
              </w:rPr>
            </w:pPr>
            <w:r w:rsidRPr="00526311">
              <w:rPr>
                <w:b/>
                <w:sz w:val="16"/>
                <w:szCs w:val="16"/>
              </w:rPr>
              <w:t>Datos sobre el rendimiento</w:t>
            </w:r>
          </w:p>
        </w:tc>
        <w:tc>
          <w:tcPr>
            <w:tcW w:w="606" w:type="pct"/>
            <w:tcBorders>
              <w:top w:val="single" w:sz="4" w:space="0" w:color="auto"/>
            </w:tcBorders>
            <w:shd w:val="clear" w:color="auto" w:fill="auto"/>
            <w:tcMar>
              <w:top w:w="110" w:type="dxa"/>
            </w:tcMar>
            <w:vAlign w:val="center"/>
          </w:tcPr>
          <w:p w:rsidR="00730171" w:rsidRPr="00526311" w:rsidRDefault="00730171" w:rsidP="0063039A">
            <w:pPr>
              <w:keepNext/>
              <w:keepLines/>
              <w:jc w:val="center"/>
              <w:rPr>
                <w:b/>
                <w:bCs/>
                <w:sz w:val="16"/>
                <w:szCs w:val="16"/>
              </w:rPr>
            </w:pPr>
            <w:r w:rsidRPr="00526311">
              <w:rPr>
                <w:b/>
                <w:bCs/>
                <w:sz w:val="16"/>
                <w:szCs w:val="16"/>
              </w:rPr>
              <w:t>Clave de colores</w:t>
            </w:r>
          </w:p>
        </w:tc>
      </w:tr>
      <w:tr w:rsidR="00794E04" w:rsidRPr="00526311" w:rsidTr="00730171">
        <w:trPr>
          <w:cantSplit/>
        </w:trPr>
        <w:tc>
          <w:tcPr>
            <w:tcW w:w="1137" w:type="pct"/>
            <w:shd w:val="clear" w:color="auto" w:fill="auto"/>
          </w:tcPr>
          <w:p w:rsidR="00794E04" w:rsidRPr="00526311" w:rsidRDefault="00794E04" w:rsidP="0063039A">
            <w:pPr>
              <w:rPr>
                <w:sz w:val="16"/>
                <w:szCs w:val="16"/>
              </w:rPr>
            </w:pPr>
            <w:r w:rsidRPr="00526311">
              <w:rPr>
                <w:sz w:val="16"/>
                <w:szCs w:val="16"/>
              </w:rPr>
              <w:t>Porcentaje de usuarios internos satisfechos con los servicios de adquisiciones</w:t>
            </w:r>
          </w:p>
        </w:tc>
        <w:tc>
          <w:tcPr>
            <w:tcW w:w="1287" w:type="pct"/>
            <w:shd w:val="clear" w:color="auto" w:fill="auto"/>
          </w:tcPr>
          <w:p w:rsidR="00794E04" w:rsidRPr="00526311" w:rsidRDefault="00794E04"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73%</w:t>
            </w:r>
          </w:p>
          <w:p w:rsidR="00794E04" w:rsidRPr="00526311" w:rsidRDefault="00794E04" w:rsidP="0063039A">
            <w:pPr>
              <w:rPr>
                <w:rFonts w:cstheme="minorBidi"/>
                <w:color w:val="002060"/>
                <w:sz w:val="16"/>
                <w:szCs w:val="16"/>
              </w:rPr>
            </w:pPr>
          </w:p>
          <w:p w:rsidR="00794E04" w:rsidRPr="00526311" w:rsidRDefault="007B705E" w:rsidP="00223BD9">
            <w:pPr>
              <w:rPr>
                <w:szCs w:val="22"/>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resultado de 2012</w:t>
            </w:r>
          </w:p>
        </w:tc>
        <w:tc>
          <w:tcPr>
            <w:tcW w:w="909" w:type="pct"/>
            <w:shd w:val="clear" w:color="auto" w:fill="auto"/>
            <w:tcMar>
              <w:top w:w="110" w:type="dxa"/>
            </w:tcMar>
          </w:tcPr>
          <w:p w:rsidR="00794E04" w:rsidRPr="00526311" w:rsidRDefault="00794E04" w:rsidP="0063039A">
            <w:pPr>
              <w:rPr>
                <w:sz w:val="16"/>
                <w:szCs w:val="16"/>
              </w:rPr>
            </w:pPr>
            <w:r w:rsidRPr="00526311">
              <w:rPr>
                <w:sz w:val="16"/>
                <w:szCs w:val="16"/>
              </w:rPr>
              <w:t>2012 + 5%</w:t>
            </w:r>
          </w:p>
        </w:tc>
        <w:tc>
          <w:tcPr>
            <w:tcW w:w="1061" w:type="pct"/>
            <w:shd w:val="clear" w:color="auto" w:fill="FFFFFF"/>
            <w:tcMar>
              <w:top w:w="110" w:type="dxa"/>
            </w:tcMar>
          </w:tcPr>
          <w:p w:rsidR="00794E04" w:rsidRPr="00526311" w:rsidRDefault="00794E04" w:rsidP="0063039A">
            <w:pPr>
              <w:rPr>
                <w:sz w:val="16"/>
                <w:szCs w:val="16"/>
                <w:lang w:bidi="th-TH"/>
              </w:rPr>
            </w:pPr>
            <w:r w:rsidRPr="00526311">
              <w:rPr>
                <w:sz w:val="16"/>
                <w:szCs w:val="16"/>
                <w:lang w:bidi="th-TH"/>
              </w:rPr>
              <w:t>89%</w:t>
            </w:r>
          </w:p>
        </w:tc>
        <w:tc>
          <w:tcPr>
            <w:tcW w:w="606" w:type="pct"/>
            <w:shd w:val="clear" w:color="auto" w:fill="auto"/>
            <w:tcMar>
              <w:top w:w="110" w:type="dxa"/>
            </w:tcMar>
          </w:tcPr>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tc>
      </w:tr>
      <w:tr w:rsidR="00794E04" w:rsidRPr="00526311" w:rsidTr="00730171">
        <w:trPr>
          <w:cantSplit/>
        </w:trPr>
        <w:tc>
          <w:tcPr>
            <w:tcW w:w="1137" w:type="pct"/>
            <w:shd w:val="clear" w:color="auto" w:fill="auto"/>
          </w:tcPr>
          <w:p w:rsidR="00794E04" w:rsidRPr="00526311" w:rsidRDefault="00794E04" w:rsidP="0063039A">
            <w:pPr>
              <w:rPr>
                <w:sz w:val="16"/>
                <w:szCs w:val="16"/>
              </w:rPr>
            </w:pPr>
            <w:r w:rsidRPr="00526311">
              <w:rPr>
                <w:sz w:val="16"/>
                <w:szCs w:val="16"/>
              </w:rPr>
              <w:t>Tiempo de tramitación de peticiones relativas a los viajes (autorizaciones electrónicas de viaje (e-TA), peticiones electrónicas de actividades (e-ER), visados)</w:t>
            </w:r>
          </w:p>
        </w:tc>
        <w:tc>
          <w:tcPr>
            <w:tcW w:w="1287" w:type="pct"/>
            <w:shd w:val="clear" w:color="auto" w:fill="auto"/>
          </w:tcPr>
          <w:p w:rsidR="00794E04" w:rsidRPr="00526311" w:rsidRDefault="00794E04" w:rsidP="0063039A">
            <w:pPr>
              <w:rPr>
                <w:sz w:val="16"/>
                <w:szCs w:val="16"/>
              </w:rPr>
            </w:pPr>
            <w:r w:rsidRPr="00526311">
              <w:rPr>
                <w:sz w:val="16"/>
                <w:szCs w:val="16"/>
              </w:rPr>
              <w:t xml:space="preserve">Tiempo de tramitación de peticiones relativas a los viajes:  </w:t>
            </w:r>
          </w:p>
          <w:p w:rsidR="00794E04" w:rsidRPr="00526311" w:rsidRDefault="00794E04" w:rsidP="0063039A">
            <w:pPr>
              <w:rPr>
                <w:sz w:val="16"/>
                <w:szCs w:val="16"/>
              </w:rPr>
            </w:pPr>
            <w:r w:rsidRPr="00526311">
              <w:rPr>
                <w:sz w:val="16"/>
                <w:szCs w:val="16"/>
              </w:rPr>
              <w:t>Autorizaciones electrónicas de viaje = un día</w:t>
            </w:r>
          </w:p>
          <w:p w:rsidR="00794E04" w:rsidRPr="00526311" w:rsidRDefault="00794E04" w:rsidP="0063039A">
            <w:pPr>
              <w:rPr>
                <w:sz w:val="16"/>
                <w:szCs w:val="16"/>
              </w:rPr>
            </w:pPr>
            <w:r w:rsidRPr="00526311">
              <w:rPr>
                <w:sz w:val="16"/>
                <w:szCs w:val="16"/>
              </w:rPr>
              <w:t>Peticiones electrónicas de actividades  =  dos horas</w:t>
            </w:r>
          </w:p>
          <w:p w:rsidR="00794E04" w:rsidRPr="00526311" w:rsidRDefault="00794E04" w:rsidP="0063039A">
            <w:pPr>
              <w:rPr>
                <w:i/>
                <w:sz w:val="16"/>
                <w:szCs w:val="16"/>
              </w:rPr>
            </w:pPr>
            <w:r w:rsidRPr="00526311">
              <w:rPr>
                <w:sz w:val="16"/>
                <w:szCs w:val="16"/>
              </w:rPr>
              <w:t>Visados de terceros = dos días</w:t>
            </w:r>
            <w:r w:rsidR="00223BD9" w:rsidRPr="00526311">
              <w:rPr>
                <w:sz w:val="16"/>
                <w:szCs w:val="16"/>
              </w:rPr>
              <w:t xml:space="preserve"> (referencia de 2013)</w:t>
            </w:r>
          </w:p>
        </w:tc>
        <w:tc>
          <w:tcPr>
            <w:tcW w:w="909" w:type="pct"/>
            <w:shd w:val="clear" w:color="auto" w:fill="auto"/>
            <w:tcMar>
              <w:top w:w="110" w:type="dxa"/>
            </w:tcMar>
          </w:tcPr>
          <w:p w:rsidR="00794E04" w:rsidRPr="00526311" w:rsidRDefault="00794E04" w:rsidP="0063039A">
            <w:pPr>
              <w:rPr>
                <w:sz w:val="16"/>
                <w:szCs w:val="16"/>
              </w:rPr>
            </w:pPr>
            <w:r w:rsidRPr="00526311">
              <w:rPr>
                <w:sz w:val="16"/>
                <w:szCs w:val="16"/>
              </w:rPr>
              <w:t>Autorizaciones electrónicas de viaje  = medio día</w:t>
            </w:r>
          </w:p>
          <w:p w:rsidR="00794E04" w:rsidRPr="00526311" w:rsidRDefault="00794E04" w:rsidP="0063039A">
            <w:pPr>
              <w:rPr>
                <w:sz w:val="16"/>
                <w:szCs w:val="16"/>
              </w:rPr>
            </w:pPr>
            <w:r w:rsidRPr="00526311">
              <w:rPr>
                <w:sz w:val="16"/>
                <w:szCs w:val="16"/>
              </w:rPr>
              <w:t>Peticiones electrónicas de actividades = una hora</w:t>
            </w:r>
          </w:p>
          <w:p w:rsidR="00794E04" w:rsidRPr="00526311" w:rsidRDefault="00794E04" w:rsidP="0063039A">
            <w:pPr>
              <w:rPr>
                <w:sz w:val="16"/>
                <w:szCs w:val="16"/>
              </w:rPr>
            </w:pPr>
            <w:r w:rsidRPr="00526311">
              <w:rPr>
                <w:sz w:val="16"/>
                <w:szCs w:val="16"/>
              </w:rPr>
              <w:t>Visados = dos días.</w:t>
            </w:r>
          </w:p>
        </w:tc>
        <w:tc>
          <w:tcPr>
            <w:tcW w:w="1061" w:type="pct"/>
            <w:shd w:val="clear" w:color="auto" w:fill="FFFFFF"/>
            <w:tcMar>
              <w:top w:w="110" w:type="dxa"/>
            </w:tcMar>
          </w:tcPr>
          <w:p w:rsidR="00794E04" w:rsidRPr="00526311" w:rsidRDefault="00794E04" w:rsidP="0063039A">
            <w:pPr>
              <w:rPr>
                <w:sz w:val="16"/>
                <w:szCs w:val="16"/>
                <w:lang w:bidi="th-TH"/>
              </w:rPr>
            </w:pPr>
            <w:r w:rsidRPr="00526311">
              <w:rPr>
                <w:sz w:val="16"/>
                <w:szCs w:val="16"/>
              </w:rPr>
              <w:t xml:space="preserve">Autorizaciones electrónicas de viaje </w:t>
            </w:r>
            <w:r w:rsidRPr="00526311">
              <w:rPr>
                <w:sz w:val="16"/>
                <w:szCs w:val="16"/>
                <w:lang w:bidi="th-TH"/>
              </w:rPr>
              <w:t>= &lt;medio día</w:t>
            </w:r>
          </w:p>
          <w:p w:rsidR="00794E04" w:rsidRPr="00526311" w:rsidRDefault="00794E04" w:rsidP="0063039A">
            <w:pPr>
              <w:rPr>
                <w:sz w:val="16"/>
                <w:szCs w:val="16"/>
                <w:lang w:bidi="th-TH"/>
              </w:rPr>
            </w:pPr>
            <w:r w:rsidRPr="00526311">
              <w:rPr>
                <w:sz w:val="16"/>
                <w:szCs w:val="16"/>
                <w:lang w:bidi="th-TH"/>
              </w:rPr>
              <w:t>Peticiones electrónicas de actividades = &lt; una hora</w:t>
            </w:r>
          </w:p>
          <w:p w:rsidR="00794E04" w:rsidRPr="00526311" w:rsidRDefault="00794E04" w:rsidP="0063039A">
            <w:pPr>
              <w:rPr>
                <w:sz w:val="16"/>
                <w:szCs w:val="16"/>
                <w:lang w:bidi="th-TH"/>
              </w:rPr>
            </w:pPr>
            <w:r w:rsidRPr="00526311">
              <w:rPr>
                <w:sz w:val="16"/>
                <w:szCs w:val="16"/>
                <w:lang w:bidi="th-TH"/>
              </w:rPr>
              <w:t>Visados= &lt; un día</w:t>
            </w:r>
          </w:p>
        </w:tc>
        <w:tc>
          <w:tcPr>
            <w:tcW w:w="606" w:type="pct"/>
            <w:shd w:val="clear" w:color="auto" w:fill="auto"/>
            <w:tcMar>
              <w:top w:w="110" w:type="dxa"/>
            </w:tcMar>
          </w:tcPr>
          <w:p w:rsidR="00794E04" w:rsidRPr="00526311" w:rsidRDefault="00794E04" w:rsidP="0063039A">
            <w:pPr>
              <w:keepNext/>
              <w:keepLines/>
              <w:ind w:left="-109"/>
              <w:jc w:val="center"/>
              <w:rPr>
                <w:bCs/>
                <w:color w:val="00B050"/>
                <w:sz w:val="16"/>
                <w:szCs w:val="16"/>
              </w:rPr>
            </w:pPr>
            <w:r w:rsidRPr="00526311">
              <w:rPr>
                <w:b/>
                <w:color w:val="00B050"/>
                <w:sz w:val="16"/>
                <w:szCs w:val="16"/>
              </w:rPr>
              <w:t>Avanza</w:t>
            </w:r>
            <w:r w:rsidRPr="00526311">
              <w:rPr>
                <w:b/>
                <w:color w:val="00B050"/>
                <w:sz w:val="16"/>
                <w:szCs w:val="16"/>
              </w:rPr>
              <w:br/>
            </w:r>
            <w:r w:rsidRPr="00526311">
              <w:rPr>
                <w:b/>
                <w:color w:val="00B050"/>
                <w:sz w:val="16"/>
                <w:szCs w:val="16"/>
              </w:rPr>
              <w:br/>
            </w:r>
          </w:p>
          <w:p w:rsidR="00794E04" w:rsidRPr="00526311" w:rsidRDefault="00794E04" w:rsidP="0063039A">
            <w:pPr>
              <w:keepNext/>
              <w:keepLines/>
              <w:ind w:left="-109"/>
              <w:jc w:val="center"/>
              <w:rPr>
                <w:bCs/>
                <w:color w:val="00B050"/>
                <w:sz w:val="16"/>
                <w:szCs w:val="16"/>
              </w:rPr>
            </w:pPr>
            <w:r w:rsidRPr="00526311">
              <w:rPr>
                <w:b/>
                <w:color w:val="00B050"/>
                <w:sz w:val="16"/>
                <w:szCs w:val="16"/>
              </w:rPr>
              <w:t>Avanza</w:t>
            </w:r>
            <w:r w:rsidRPr="00526311">
              <w:rPr>
                <w:b/>
                <w:color w:val="00B050"/>
                <w:sz w:val="16"/>
                <w:szCs w:val="16"/>
              </w:rPr>
              <w:br/>
            </w:r>
            <w:r w:rsidRPr="00526311">
              <w:rPr>
                <w:b/>
                <w:color w:val="00B050"/>
                <w:sz w:val="16"/>
                <w:szCs w:val="16"/>
              </w:rPr>
              <w:br/>
            </w:r>
          </w:p>
          <w:p w:rsidR="00794E04" w:rsidRPr="00526311" w:rsidRDefault="00794E04" w:rsidP="0063039A">
            <w:pPr>
              <w:keepNext/>
              <w:keepLines/>
              <w:ind w:left="-109"/>
              <w:jc w:val="center"/>
              <w:rPr>
                <w:bCs/>
                <w:color w:val="00B050"/>
                <w:sz w:val="16"/>
                <w:szCs w:val="16"/>
              </w:rPr>
            </w:pPr>
            <w:r w:rsidRPr="00526311">
              <w:rPr>
                <w:b/>
                <w:color w:val="00B050"/>
                <w:sz w:val="16"/>
                <w:szCs w:val="16"/>
              </w:rPr>
              <w:t>Avanza</w:t>
            </w:r>
          </w:p>
        </w:tc>
      </w:tr>
      <w:tr w:rsidR="00794E04" w:rsidRPr="00526311" w:rsidTr="00730171">
        <w:trPr>
          <w:cantSplit/>
        </w:trPr>
        <w:tc>
          <w:tcPr>
            <w:tcW w:w="1137" w:type="pct"/>
            <w:shd w:val="clear" w:color="auto" w:fill="auto"/>
          </w:tcPr>
          <w:p w:rsidR="00794E04" w:rsidRPr="00526311" w:rsidRDefault="00794E04" w:rsidP="0063039A">
            <w:pPr>
              <w:rPr>
                <w:sz w:val="16"/>
                <w:szCs w:val="16"/>
              </w:rPr>
            </w:pPr>
            <w:r w:rsidRPr="00526311">
              <w:rPr>
                <w:sz w:val="16"/>
                <w:szCs w:val="16"/>
              </w:rPr>
              <w:t>Costo medio de los billetes (billetes de la empresa de gestión de viajes y del PNUD)</w:t>
            </w:r>
          </w:p>
        </w:tc>
        <w:tc>
          <w:tcPr>
            <w:tcW w:w="1287" w:type="pct"/>
            <w:shd w:val="clear" w:color="auto" w:fill="auto"/>
          </w:tcPr>
          <w:p w:rsidR="00794E04" w:rsidRPr="00526311" w:rsidRDefault="00794E04"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2013=1.728 francos suizos</w:t>
            </w:r>
          </w:p>
          <w:p w:rsidR="00794E04" w:rsidRPr="00526311" w:rsidRDefault="00794E04" w:rsidP="0063039A">
            <w:pPr>
              <w:rPr>
                <w:rFonts w:cstheme="minorBidi"/>
                <w:color w:val="002060"/>
                <w:sz w:val="16"/>
                <w:szCs w:val="16"/>
              </w:rPr>
            </w:pPr>
          </w:p>
          <w:p w:rsidR="00794E04" w:rsidRPr="00526311" w:rsidRDefault="007B705E" w:rsidP="00223BD9">
            <w:pPr>
              <w:rPr>
                <w:szCs w:val="22"/>
              </w:rPr>
            </w:pPr>
            <w:r w:rsidRPr="00526311">
              <w:rPr>
                <w:i/>
                <w:sz w:val="16"/>
                <w:szCs w:val="16"/>
              </w:rPr>
              <w:t>Referencia original en el presupuesto de 2014/15</w:t>
            </w:r>
            <w:r w:rsidR="00794E04" w:rsidRPr="00526311">
              <w:rPr>
                <w:i/>
                <w:sz w:val="16"/>
                <w:szCs w:val="16"/>
              </w:rPr>
              <w:t>:</w:t>
            </w:r>
            <w:r w:rsidR="00794E04" w:rsidRPr="00526311">
              <w:t xml:space="preserve">  </w:t>
            </w:r>
            <w:r w:rsidR="00794E04" w:rsidRPr="00526311">
              <w:rPr>
                <w:sz w:val="16"/>
                <w:szCs w:val="16"/>
              </w:rPr>
              <w:t>costo (referencia de 2013)</w:t>
            </w:r>
          </w:p>
        </w:tc>
        <w:tc>
          <w:tcPr>
            <w:tcW w:w="909" w:type="pct"/>
            <w:shd w:val="clear" w:color="auto" w:fill="auto"/>
            <w:tcMar>
              <w:top w:w="110" w:type="dxa"/>
            </w:tcMar>
          </w:tcPr>
          <w:p w:rsidR="00794E04" w:rsidRPr="00526311" w:rsidRDefault="00794E04" w:rsidP="0063039A">
            <w:pPr>
              <w:rPr>
                <w:sz w:val="16"/>
                <w:szCs w:val="16"/>
              </w:rPr>
            </w:pPr>
            <w:r w:rsidRPr="00526311">
              <w:rPr>
                <w:sz w:val="16"/>
                <w:szCs w:val="16"/>
              </w:rPr>
              <w:t>Reducción del costo medio de los billetes</w:t>
            </w:r>
          </w:p>
        </w:tc>
        <w:tc>
          <w:tcPr>
            <w:tcW w:w="1061" w:type="pct"/>
            <w:shd w:val="clear" w:color="auto" w:fill="FFFFFF"/>
            <w:tcMar>
              <w:top w:w="110" w:type="dxa"/>
            </w:tcMar>
          </w:tcPr>
          <w:p w:rsidR="00794E04" w:rsidRPr="00526311" w:rsidRDefault="00794E04" w:rsidP="0063039A">
            <w:pPr>
              <w:rPr>
                <w:sz w:val="16"/>
                <w:szCs w:val="16"/>
                <w:lang w:bidi="th-TH"/>
              </w:rPr>
            </w:pPr>
            <w:r w:rsidRPr="00526311">
              <w:rPr>
                <w:sz w:val="16"/>
                <w:szCs w:val="16"/>
                <w:lang w:bidi="th-TH"/>
              </w:rPr>
              <w:t>2014 = 1.598 francos suizos</w:t>
            </w:r>
          </w:p>
        </w:tc>
        <w:tc>
          <w:tcPr>
            <w:tcW w:w="606" w:type="pct"/>
            <w:shd w:val="clear" w:color="auto" w:fill="auto"/>
            <w:tcMar>
              <w:top w:w="110" w:type="dxa"/>
            </w:tcMar>
          </w:tcPr>
          <w:p w:rsidR="00794E04" w:rsidRPr="00526311" w:rsidRDefault="00794E04" w:rsidP="0063039A">
            <w:pPr>
              <w:keepNext/>
              <w:keepLines/>
              <w:ind w:left="-109"/>
              <w:jc w:val="center"/>
              <w:rPr>
                <w:bCs/>
                <w:color w:val="00B050"/>
                <w:sz w:val="16"/>
                <w:szCs w:val="16"/>
              </w:rPr>
            </w:pPr>
            <w:r w:rsidRPr="00526311">
              <w:rPr>
                <w:b/>
                <w:color w:val="00B050"/>
                <w:sz w:val="16"/>
                <w:szCs w:val="16"/>
              </w:rPr>
              <w:t>Avanza</w:t>
            </w:r>
          </w:p>
        </w:tc>
      </w:tr>
      <w:tr w:rsidR="00794E04" w:rsidRPr="00526311" w:rsidTr="00730171">
        <w:trPr>
          <w:cantSplit/>
        </w:trPr>
        <w:tc>
          <w:tcPr>
            <w:tcW w:w="1137" w:type="pct"/>
            <w:shd w:val="clear" w:color="auto" w:fill="auto"/>
          </w:tcPr>
          <w:p w:rsidR="00794E04" w:rsidRPr="00526311" w:rsidRDefault="00794E04" w:rsidP="0063039A">
            <w:pPr>
              <w:rPr>
                <w:sz w:val="16"/>
                <w:szCs w:val="16"/>
              </w:rPr>
            </w:pPr>
            <w:r w:rsidRPr="00526311">
              <w:rPr>
                <w:sz w:val="16"/>
                <w:szCs w:val="16"/>
              </w:rPr>
              <w:t>Se administran eficazmente todos los tipos de espacio del recinto de la OMPI (espacios de  trabajo, almacenamiento y archivo)</w:t>
            </w:r>
          </w:p>
        </w:tc>
        <w:tc>
          <w:tcPr>
            <w:tcW w:w="1287" w:type="pct"/>
            <w:shd w:val="clear" w:color="auto" w:fill="auto"/>
          </w:tcPr>
          <w:p w:rsidR="00794E04" w:rsidRPr="00526311" w:rsidRDefault="00794E04" w:rsidP="0063039A">
            <w:pPr>
              <w:rPr>
                <w:i/>
                <w:color w:val="002060"/>
                <w:sz w:val="16"/>
                <w:szCs w:val="16"/>
              </w:rPr>
            </w:pPr>
            <w:r w:rsidRPr="00526311">
              <w:rPr>
                <w:i/>
                <w:color w:val="002060"/>
                <w:sz w:val="16"/>
                <w:szCs w:val="16"/>
              </w:rPr>
              <w:t xml:space="preserve">Referencia actualizada a fines de 2013:  </w:t>
            </w:r>
            <w:r w:rsidRPr="00526311">
              <w:rPr>
                <w:color w:val="002060"/>
                <w:sz w:val="16"/>
                <w:szCs w:val="16"/>
              </w:rPr>
              <w:t>80 espacios de trabajo (No fue necesario alquilar espacio de oficinas adicional durante el bienio.)</w:t>
            </w:r>
          </w:p>
          <w:p w:rsidR="00794E04" w:rsidRPr="00526311" w:rsidRDefault="00794E04" w:rsidP="0063039A">
            <w:pPr>
              <w:rPr>
                <w:rFonts w:cstheme="minorBidi"/>
                <w:color w:val="002060"/>
                <w:sz w:val="16"/>
                <w:szCs w:val="16"/>
              </w:rPr>
            </w:pPr>
          </w:p>
          <w:p w:rsidR="00794E04" w:rsidRPr="00526311" w:rsidRDefault="007B705E" w:rsidP="00223BD9">
            <w:pPr>
              <w:rPr>
                <w:i/>
                <w:sz w:val="16"/>
                <w:szCs w:val="16"/>
              </w:rPr>
            </w:pPr>
            <w:r w:rsidRPr="00526311">
              <w:rPr>
                <w:i/>
                <w:sz w:val="16"/>
                <w:szCs w:val="16"/>
              </w:rPr>
              <w:t>Referencia original en el presupuesto de 2014/15</w:t>
            </w:r>
            <w:r w:rsidR="00794E04" w:rsidRPr="00526311">
              <w:rPr>
                <w:i/>
                <w:sz w:val="16"/>
                <w:szCs w:val="16"/>
              </w:rPr>
              <w:t>:</w:t>
            </w:r>
            <w:r w:rsidR="00794E04" w:rsidRPr="00526311">
              <w:t xml:space="preserve">  </w:t>
            </w:r>
            <w:r w:rsidR="00794E04" w:rsidRPr="00526311">
              <w:rPr>
                <w:sz w:val="16"/>
                <w:szCs w:val="16"/>
              </w:rPr>
              <w:t>Mantenimiento del número de espacios de trabajo en todos los edificios para dar cabida a la ampliación de los servicios y a los cambios en las actividades de la OMPI (número de empleados a fines de 2013); máximo de 80 espacios de trabajo alquilados (a fines de 2013);  6 áreas de almacenamiento/archivo fuera del recinto (a fines de 2013)</w:t>
            </w:r>
            <w:r w:rsidR="00223BD9" w:rsidRPr="00526311">
              <w:rPr>
                <w:sz w:val="16"/>
                <w:szCs w:val="16"/>
              </w:rPr>
              <w:br/>
            </w:r>
          </w:p>
        </w:tc>
        <w:tc>
          <w:tcPr>
            <w:tcW w:w="909" w:type="pct"/>
            <w:shd w:val="clear" w:color="auto" w:fill="auto"/>
            <w:tcMar>
              <w:top w:w="110" w:type="dxa"/>
            </w:tcMar>
          </w:tcPr>
          <w:p w:rsidR="00794E04" w:rsidRPr="00526311" w:rsidRDefault="00794E04" w:rsidP="0063039A">
            <w:pPr>
              <w:rPr>
                <w:sz w:val="16"/>
                <w:szCs w:val="16"/>
              </w:rPr>
            </w:pPr>
            <w:r w:rsidRPr="00526311">
              <w:rPr>
                <w:sz w:val="16"/>
                <w:szCs w:val="16"/>
              </w:rPr>
              <w:t>Máximo de 80 espacios de trabajo alquilados (de un total de 1.582 espacios de trabajo)</w:t>
            </w:r>
          </w:p>
          <w:p w:rsidR="00794E04" w:rsidRPr="00526311" w:rsidRDefault="00794E04" w:rsidP="0063039A">
            <w:pPr>
              <w:rPr>
                <w:sz w:val="16"/>
                <w:szCs w:val="16"/>
              </w:rPr>
            </w:pP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6 áreas de almacenamiento y archivo</w:t>
            </w:r>
          </w:p>
        </w:tc>
        <w:tc>
          <w:tcPr>
            <w:tcW w:w="1061" w:type="pct"/>
            <w:shd w:val="clear" w:color="auto" w:fill="FFFFFF"/>
            <w:tcMar>
              <w:top w:w="110" w:type="dxa"/>
            </w:tcMar>
          </w:tcPr>
          <w:p w:rsidR="00794E04" w:rsidRPr="00526311" w:rsidRDefault="00794E04" w:rsidP="0063039A">
            <w:pPr>
              <w:rPr>
                <w:sz w:val="16"/>
                <w:szCs w:val="16"/>
              </w:rPr>
            </w:pPr>
            <w:r w:rsidRPr="00526311">
              <w:rPr>
                <w:sz w:val="16"/>
                <w:szCs w:val="16"/>
              </w:rPr>
              <w:t>80 espacios de trabajo alquilados (de un total de 1.627 espacios de trabajo);  5 áreas de almacenamiento /archivo debido a la rescisión del contrato de alquiler de un área de almacenamiento fuera del recinto.  Rescisión del contrato de alquiler de espacio separado en un almacén de depósito y rescisión del contrato de alquiler de 32 plazas de estacionamiento fuera del recinto</w:t>
            </w:r>
          </w:p>
        </w:tc>
        <w:tc>
          <w:tcPr>
            <w:tcW w:w="606" w:type="pct"/>
            <w:shd w:val="clear" w:color="auto" w:fill="auto"/>
            <w:tcMar>
              <w:top w:w="110" w:type="dxa"/>
            </w:tcMar>
          </w:tcPr>
          <w:p w:rsidR="00794E04" w:rsidRPr="00526311" w:rsidRDefault="00794E04" w:rsidP="0063039A">
            <w:pPr>
              <w:keepNext/>
              <w:keepLines/>
              <w:ind w:left="-109"/>
              <w:jc w:val="center"/>
              <w:rPr>
                <w:bCs/>
                <w:color w:val="00B050"/>
                <w:sz w:val="16"/>
                <w:szCs w:val="16"/>
              </w:rPr>
            </w:pPr>
            <w:r w:rsidRPr="00526311">
              <w:rPr>
                <w:b/>
                <w:color w:val="00B050"/>
                <w:sz w:val="16"/>
                <w:szCs w:val="16"/>
              </w:rPr>
              <w:t>Avanza</w:t>
            </w:r>
          </w:p>
        </w:tc>
      </w:tr>
      <w:tr w:rsidR="00730171" w:rsidRPr="00526311" w:rsidTr="00730171">
        <w:trPr>
          <w:cantSplit/>
        </w:trPr>
        <w:tc>
          <w:tcPr>
            <w:tcW w:w="1137" w:type="pct"/>
            <w:tcBorders>
              <w:top w:val="single" w:sz="4" w:space="0" w:color="auto"/>
            </w:tcBorders>
            <w:shd w:val="clear" w:color="auto" w:fill="auto"/>
            <w:vAlign w:val="center"/>
          </w:tcPr>
          <w:p w:rsidR="00730171" w:rsidRPr="00526311" w:rsidRDefault="00730171" w:rsidP="0063039A">
            <w:pPr>
              <w:keepNext/>
              <w:keepLines/>
              <w:rPr>
                <w:sz w:val="16"/>
                <w:szCs w:val="16"/>
              </w:rPr>
            </w:pPr>
            <w:r w:rsidRPr="00526311">
              <w:rPr>
                <w:b/>
                <w:sz w:val="16"/>
                <w:szCs w:val="16"/>
              </w:rPr>
              <w:lastRenderedPageBreak/>
              <w:t>Indicadores de rendimiento</w:t>
            </w:r>
          </w:p>
        </w:tc>
        <w:tc>
          <w:tcPr>
            <w:tcW w:w="1287" w:type="pct"/>
            <w:tcBorders>
              <w:top w:val="single" w:sz="4" w:space="0" w:color="auto"/>
            </w:tcBorders>
            <w:shd w:val="clear" w:color="auto" w:fill="auto"/>
            <w:vAlign w:val="center"/>
          </w:tcPr>
          <w:p w:rsidR="00730171" w:rsidRPr="00526311" w:rsidRDefault="00730171" w:rsidP="0063039A">
            <w:pPr>
              <w:keepNext/>
              <w:keepLines/>
              <w:rPr>
                <w:b/>
                <w:bCs/>
                <w:sz w:val="16"/>
                <w:szCs w:val="16"/>
              </w:rPr>
            </w:pPr>
            <w:r w:rsidRPr="00526311">
              <w:rPr>
                <w:b/>
                <w:bCs/>
                <w:sz w:val="16"/>
                <w:szCs w:val="16"/>
              </w:rPr>
              <w:t>Referencia</w:t>
            </w:r>
          </w:p>
        </w:tc>
        <w:tc>
          <w:tcPr>
            <w:tcW w:w="909" w:type="pct"/>
            <w:tcBorders>
              <w:top w:val="single" w:sz="4" w:space="0" w:color="auto"/>
            </w:tcBorders>
            <w:shd w:val="clear" w:color="auto" w:fill="auto"/>
            <w:tcMar>
              <w:top w:w="110" w:type="dxa"/>
            </w:tcMar>
            <w:vAlign w:val="center"/>
          </w:tcPr>
          <w:p w:rsidR="00730171" w:rsidRPr="00526311" w:rsidRDefault="00730171" w:rsidP="0063039A">
            <w:pPr>
              <w:keepNext/>
              <w:keepLines/>
              <w:rPr>
                <w:b/>
                <w:sz w:val="16"/>
                <w:szCs w:val="16"/>
              </w:rPr>
            </w:pPr>
            <w:r w:rsidRPr="00526311">
              <w:rPr>
                <w:b/>
                <w:sz w:val="16"/>
                <w:szCs w:val="16"/>
              </w:rPr>
              <w:t>Objetivos</w:t>
            </w:r>
          </w:p>
        </w:tc>
        <w:tc>
          <w:tcPr>
            <w:tcW w:w="1061" w:type="pct"/>
            <w:tcBorders>
              <w:top w:val="single" w:sz="4" w:space="0" w:color="auto"/>
            </w:tcBorders>
            <w:shd w:val="clear" w:color="auto" w:fill="FFFFFF"/>
            <w:tcMar>
              <w:top w:w="110" w:type="dxa"/>
            </w:tcMar>
            <w:vAlign w:val="center"/>
          </w:tcPr>
          <w:p w:rsidR="00730171" w:rsidRPr="00526311" w:rsidRDefault="00730171" w:rsidP="0063039A">
            <w:pPr>
              <w:keepNext/>
              <w:keepLines/>
              <w:rPr>
                <w:sz w:val="16"/>
                <w:szCs w:val="16"/>
              </w:rPr>
            </w:pPr>
            <w:r w:rsidRPr="00526311">
              <w:rPr>
                <w:b/>
                <w:sz w:val="16"/>
                <w:szCs w:val="16"/>
              </w:rPr>
              <w:t>Datos sobre el rendimiento</w:t>
            </w:r>
          </w:p>
        </w:tc>
        <w:tc>
          <w:tcPr>
            <w:tcW w:w="606" w:type="pct"/>
            <w:tcBorders>
              <w:top w:val="single" w:sz="4" w:space="0" w:color="auto"/>
            </w:tcBorders>
            <w:shd w:val="clear" w:color="auto" w:fill="auto"/>
            <w:tcMar>
              <w:top w:w="110" w:type="dxa"/>
            </w:tcMar>
            <w:vAlign w:val="center"/>
          </w:tcPr>
          <w:p w:rsidR="00730171" w:rsidRPr="00526311" w:rsidRDefault="00730171" w:rsidP="0063039A">
            <w:pPr>
              <w:keepNext/>
              <w:keepLines/>
              <w:jc w:val="center"/>
              <w:rPr>
                <w:b/>
                <w:bCs/>
                <w:sz w:val="16"/>
                <w:szCs w:val="16"/>
              </w:rPr>
            </w:pPr>
            <w:r w:rsidRPr="00526311">
              <w:rPr>
                <w:b/>
                <w:bCs/>
                <w:sz w:val="16"/>
                <w:szCs w:val="16"/>
              </w:rPr>
              <w:t>Clave de colores</w:t>
            </w:r>
          </w:p>
        </w:tc>
      </w:tr>
      <w:tr w:rsidR="00794E04" w:rsidRPr="00526311" w:rsidTr="00730171">
        <w:trPr>
          <w:cantSplit/>
        </w:trPr>
        <w:tc>
          <w:tcPr>
            <w:tcW w:w="1137" w:type="pct"/>
            <w:shd w:val="clear" w:color="auto" w:fill="auto"/>
          </w:tcPr>
          <w:p w:rsidR="00794E04" w:rsidRPr="00526311" w:rsidRDefault="00794E04" w:rsidP="0063039A">
            <w:pPr>
              <w:rPr>
                <w:sz w:val="16"/>
                <w:szCs w:val="16"/>
              </w:rPr>
            </w:pPr>
            <w:r w:rsidRPr="00526311">
              <w:rPr>
                <w:sz w:val="16"/>
                <w:szCs w:val="16"/>
              </w:rPr>
              <w:t>Se renuevan, modernizan y transforman los edificios del recinto de la OMPI para que sigan sirviendo a los fines establecidos</w:t>
            </w:r>
          </w:p>
        </w:tc>
        <w:tc>
          <w:tcPr>
            <w:tcW w:w="1287" w:type="pct"/>
            <w:shd w:val="clear" w:color="auto" w:fill="auto"/>
          </w:tcPr>
          <w:p w:rsidR="00794E04" w:rsidRPr="00526311" w:rsidRDefault="00794E04" w:rsidP="0063039A">
            <w:pPr>
              <w:rPr>
                <w:color w:val="002060"/>
                <w:sz w:val="16"/>
                <w:szCs w:val="16"/>
              </w:rPr>
            </w:pPr>
            <w:r w:rsidRPr="00526311">
              <w:rPr>
                <w:i/>
                <w:color w:val="002060"/>
                <w:sz w:val="16"/>
                <w:szCs w:val="16"/>
              </w:rPr>
              <w:t xml:space="preserve">Referencia actualizada a fines de 2013: </w:t>
            </w:r>
            <w:r w:rsidRPr="00526311">
              <w:t xml:space="preserve"> </w:t>
            </w:r>
            <w:r w:rsidRPr="00526311">
              <w:rPr>
                <w:color w:val="002060"/>
                <w:sz w:val="16"/>
                <w:szCs w:val="16"/>
              </w:rPr>
              <w:t>Las instalaciones de refrigeración de los edificios GBI y GB II que utilizan agua del lago de Ginebra fueron modernizadas y quedaron completadas, respectivamente, en 2012 y en junio de 2013</w:t>
            </w:r>
          </w:p>
          <w:p w:rsidR="00794E04" w:rsidRPr="00526311" w:rsidRDefault="00794E04" w:rsidP="0063039A">
            <w:pPr>
              <w:rPr>
                <w:color w:val="002060"/>
                <w:sz w:val="16"/>
                <w:szCs w:val="16"/>
              </w:rPr>
            </w:pPr>
          </w:p>
          <w:p w:rsidR="00794E04" w:rsidRPr="00526311" w:rsidRDefault="00794E04" w:rsidP="0063039A">
            <w:pPr>
              <w:rPr>
                <w:rFonts w:cstheme="minorBidi"/>
                <w:color w:val="002060"/>
                <w:sz w:val="16"/>
                <w:szCs w:val="16"/>
              </w:rPr>
            </w:pPr>
            <w:r w:rsidRPr="00526311">
              <w:rPr>
                <w:color w:val="002060"/>
                <w:sz w:val="16"/>
                <w:szCs w:val="16"/>
              </w:rPr>
              <w:t>Se inició en 2012 la modernización de las instalaciones eléctricas del edificio más antiguo (GBI) con objeto de cumplir la legislación local que había sido promulgada recientemente, con el beneficio añadido de establecer un marco técnico para la reducción del consumo de electricidad.  Quedó finalizada en 2013</w:t>
            </w:r>
          </w:p>
          <w:p w:rsidR="00794E04" w:rsidRPr="00526311" w:rsidRDefault="00794E04" w:rsidP="0063039A">
            <w:pPr>
              <w:rPr>
                <w:rFonts w:cstheme="minorBidi"/>
                <w:color w:val="002060"/>
                <w:sz w:val="16"/>
                <w:szCs w:val="16"/>
              </w:rPr>
            </w:pPr>
          </w:p>
          <w:p w:rsidR="00794E04" w:rsidRPr="00526311" w:rsidRDefault="007B705E" w:rsidP="00223BD9">
            <w:pPr>
              <w:rPr>
                <w:szCs w:val="22"/>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plan sexenal para la primera fase de ejecución de la renovación, transformación y modernización de gran alcance de los locales del recinto de la OMPI que son necesarias</w:t>
            </w:r>
          </w:p>
        </w:tc>
        <w:tc>
          <w:tcPr>
            <w:tcW w:w="909" w:type="pct"/>
            <w:shd w:val="clear" w:color="auto" w:fill="auto"/>
            <w:tcMar>
              <w:top w:w="110" w:type="dxa"/>
            </w:tcMar>
          </w:tcPr>
          <w:p w:rsidR="00794E04" w:rsidRPr="00526311" w:rsidRDefault="00794E04" w:rsidP="0063039A">
            <w:pPr>
              <w:rPr>
                <w:sz w:val="16"/>
                <w:szCs w:val="16"/>
              </w:rPr>
            </w:pPr>
            <w:r w:rsidRPr="00526311">
              <w:rPr>
                <w:sz w:val="16"/>
                <w:szCs w:val="16"/>
              </w:rPr>
              <w:t>Ejecución de proyectos de renovación, transformación y modernización de gran alcance con arreglo al plan sexenal</w:t>
            </w:r>
          </w:p>
        </w:tc>
        <w:tc>
          <w:tcPr>
            <w:tcW w:w="1061" w:type="pct"/>
            <w:shd w:val="clear" w:color="auto" w:fill="FFFFFF"/>
            <w:tcMar>
              <w:top w:w="110" w:type="dxa"/>
            </w:tcMar>
          </w:tcPr>
          <w:p w:rsidR="00794E04" w:rsidRPr="00526311" w:rsidRDefault="00794E04" w:rsidP="00223BD9">
            <w:pPr>
              <w:ind w:right="-69"/>
              <w:rPr>
                <w:sz w:val="16"/>
                <w:szCs w:val="16"/>
              </w:rPr>
            </w:pPr>
            <w:r w:rsidRPr="00526311">
              <w:rPr>
                <w:sz w:val="16"/>
                <w:szCs w:val="16"/>
              </w:rPr>
              <w:t>Véase el Apéndice III, Informe sobre la marcha del plan maestro de mejoras de infraestructura en 2014</w:t>
            </w:r>
          </w:p>
          <w:p w:rsidR="00794E04" w:rsidRPr="00526311" w:rsidRDefault="00794E04" w:rsidP="0063039A">
            <w:pPr>
              <w:rPr>
                <w:sz w:val="16"/>
                <w:szCs w:val="16"/>
              </w:rPr>
            </w:pPr>
          </w:p>
          <w:p w:rsidR="00794E04" w:rsidRPr="00526311" w:rsidRDefault="00794E04" w:rsidP="0063039A">
            <w:pPr>
              <w:rPr>
                <w:sz w:val="16"/>
                <w:szCs w:val="16"/>
                <w:lang w:bidi="th-TH"/>
              </w:rPr>
            </w:pPr>
            <w:r w:rsidRPr="00526311">
              <w:rPr>
                <w:sz w:val="16"/>
                <w:szCs w:val="16"/>
              </w:rPr>
              <w:t>Además del plan maestro de mejoras de infraestructura, en 2014 se ejecutaron los siguientes proyectos de modernización y transformación:  i) la principal obra gruesa del estudio multimedia;  ii) la modernización de las instalaciones técnicas y sistemas de gestión técnica (electricidad; sistema de distribución del agua; aumento  de la capacidad de refrigeración en el centro de datos del nuevo edificio; sustitución de la torre de enfriamiento para evitar despilfarros de refrigeración; modernización del pararrayos de los edificios PCT y GBII);  iii) modernización del sistema de ventilación del edificio AB (pisos11 y 13);  y iv) modernización de las alarmas técnicas en el nuevo edificio</w:t>
            </w:r>
          </w:p>
        </w:tc>
        <w:tc>
          <w:tcPr>
            <w:tcW w:w="606" w:type="pct"/>
            <w:shd w:val="clear" w:color="auto" w:fill="auto"/>
            <w:tcMar>
              <w:top w:w="110" w:type="dxa"/>
            </w:tcMar>
          </w:tcPr>
          <w:p w:rsidR="00794E04" w:rsidRPr="00526311" w:rsidRDefault="00794E04" w:rsidP="00223BD9">
            <w:pPr>
              <w:keepNext/>
              <w:keepLines/>
              <w:ind w:left="99"/>
              <w:jc w:val="center"/>
              <w:rPr>
                <w:bCs/>
                <w:color w:val="00B050"/>
                <w:sz w:val="16"/>
                <w:szCs w:val="16"/>
              </w:rPr>
            </w:pPr>
            <w:r w:rsidRPr="00526311">
              <w:rPr>
                <w:b/>
                <w:color w:val="00B050"/>
                <w:sz w:val="16"/>
                <w:szCs w:val="16"/>
              </w:rPr>
              <w:t>Avanza</w:t>
            </w:r>
          </w:p>
        </w:tc>
      </w:tr>
      <w:tr w:rsidR="00794E04" w:rsidRPr="00526311" w:rsidTr="00730171">
        <w:trPr>
          <w:cantSplit/>
        </w:trPr>
        <w:tc>
          <w:tcPr>
            <w:tcW w:w="1137" w:type="pct"/>
            <w:tcBorders>
              <w:bottom w:val="single" w:sz="4" w:space="0" w:color="auto"/>
            </w:tcBorders>
            <w:shd w:val="clear" w:color="auto" w:fill="auto"/>
          </w:tcPr>
          <w:p w:rsidR="00794E04" w:rsidRPr="00526311" w:rsidRDefault="00794E04" w:rsidP="0063039A">
            <w:pPr>
              <w:rPr>
                <w:sz w:val="16"/>
                <w:szCs w:val="16"/>
              </w:rPr>
            </w:pPr>
            <w:r w:rsidRPr="00526311">
              <w:rPr>
                <w:sz w:val="16"/>
                <w:szCs w:val="16"/>
              </w:rPr>
              <w:t>Todos los tipos de instalaciones técnicas esenciales cumplen las normas técnicas aplicables</w:t>
            </w:r>
          </w:p>
        </w:tc>
        <w:tc>
          <w:tcPr>
            <w:tcW w:w="1287" w:type="pct"/>
            <w:tcBorders>
              <w:bottom w:val="single" w:sz="4" w:space="0" w:color="auto"/>
            </w:tcBorders>
            <w:shd w:val="clear" w:color="auto" w:fill="auto"/>
          </w:tcPr>
          <w:p w:rsidR="00794E04" w:rsidRPr="00526311" w:rsidRDefault="00794E04" w:rsidP="0063039A">
            <w:pPr>
              <w:rPr>
                <w:sz w:val="16"/>
                <w:szCs w:val="16"/>
              </w:rPr>
            </w:pPr>
            <w:r w:rsidRPr="00526311">
              <w:rPr>
                <w:sz w:val="16"/>
                <w:szCs w:val="16"/>
              </w:rPr>
              <w:t>Las instalaciones técnicas cumplen las normas y definiciones aplicables sobre instalaciones esenciales</w:t>
            </w:r>
          </w:p>
        </w:tc>
        <w:tc>
          <w:tcPr>
            <w:tcW w:w="909" w:type="pct"/>
            <w:tcBorders>
              <w:bottom w:val="single" w:sz="4" w:space="0" w:color="auto"/>
            </w:tcBorders>
            <w:shd w:val="clear" w:color="auto" w:fill="auto"/>
            <w:tcMar>
              <w:top w:w="110" w:type="dxa"/>
            </w:tcMar>
          </w:tcPr>
          <w:p w:rsidR="00794E04" w:rsidRPr="00526311" w:rsidRDefault="00794E04" w:rsidP="00223BD9">
            <w:pPr>
              <w:rPr>
                <w:sz w:val="16"/>
                <w:szCs w:val="16"/>
              </w:rPr>
            </w:pPr>
            <w:r w:rsidRPr="00526311">
              <w:rPr>
                <w:sz w:val="16"/>
                <w:szCs w:val="16"/>
              </w:rPr>
              <w:t>Verifica</w:t>
            </w:r>
            <w:r w:rsidR="00223BD9" w:rsidRPr="00526311">
              <w:rPr>
                <w:sz w:val="16"/>
                <w:szCs w:val="16"/>
              </w:rPr>
              <w:t>r</w:t>
            </w:r>
            <w:r w:rsidRPr="00526311">
              <w:rPr>
                <w:sz w:val="16"/>
                <w:szCs w:val="16"/>
              </w:rPr>
              <w:t xml:space="preserve"> o mejora</w:t>
            </w:r>
            <w:r w:rsidR="00223BD9" w:rsidRPr="00526311">
              <w:rPr>
                <w:sz w:val="16"/>
                <w:szCs w:val="16"/>
              </w:rPr>
              <w:t>r</w:t>
            </w:r>
            <w:r w:rsidRPr="00526311">
              <w:rPr>
                <w:sz w:val="16"/>
                <w:szCs w:val="16"/>
              </w:rPr>
              <w:t>/sustitui</w:t>
            </w:r>
            <w:r w:rsidR="00223BD9" w:rsidRPr="00526311">
              <w:rPr>
                <w:sz w:val="16"/>
                <w:szCs w:val="16"/>
              </w:rPr>
              <w:t>r</w:t>
            </w:r>
            <w:r w:rsidRPr="00526311">
              <w:rPr>
                <w:sz w:val="16"/>
                <w:szCs w:val="16"/>
              </w:rPr>
              <w:t xml:space="preserve"> (si procede) </w:t>
            </w:r>
            <w:r w:rsidR="00223BD9" w:rsidRPr="00526311">
              <w:rPr>
                <w:sz w:val="16"/>
                <w:szCs w:val="16"/>
              </w:rPr>
              <w:t>las</w:t>
            </w:r>
            <w:r w:rsidRPr="00526311">
              <w:rPr>
                <w:sz w:val="16"/>
                <w:szCs w:val="16"/>
              </w:rPr>
              <w:t xml:space="preserve"> instalaciones técnicas esenciales</w:t>
            </w:r>
            <w:r w:rsidR="00223BD9" w:rsidRPr="00526311">
              <w:rPr>
                <w:sz w:val="16"/>
                <w:szCs w:val="16"/>
              </w:rPr>
              <w:t xml:space="preserve"> según sea necesario</w:t>
            </w:r>
            <w:r w:rsidR="00223BD9" w:rsidRPr="00526311">
              <w:rPr>
                <w:sz w:val="16"/>
                <w:szCs w:val="16"/>
              </w:rPr>
              <w:br/>
            </w:r>
          </w:p>
        </w:tc>
        <w:tc>
          <w:tcPr>
            <w:tcW w:w="1061" w:type="pct"/>
            <w:tcBorders>
              <w:bottom w:val="single" w:sz="4" w:space="0" w:color="auto"/>
            </w:tcBorders>
            <w:shd w:val="clear" w:color="auto" w:fill="FFFFFF"/>
            <w:tcMar>
              <w:top w:w="110" w:type="dxa"/>
            </w:tcMar>
          </w:tcPr>
          <w:p w:rsidR="00794E04" w:rsidRPr="00526311" w:rsidRDefault="00794E04" w:rsidP="0063039A">
            <w:pPr>
              <w:rPr>
                <w:sz w:val="16"/>
                <w:szCs w:val="16"/>
              </w:rPr>
            </w:pPr>
            <w:r w:rsidRPr="00526311">
              <w:rPr>
                <w:sz w:val="16"/>
                <w:szCs w:val="16"/>
              </w:rPr>
              <w:t>Verificación periódica de las instalaciones esenciales.  Finalización del primer inventario detallado de todas las instalaciones esenciales</w:t>
            </w:r>
          </w:p>
        </w:tc>
        <w:tc>
          <w:tcPr>
            <w:tcW w:w="606" w:type="pct"/>
            <w:tcBorders>
              <w:bottom w:val="single" w:sz="4" w:space="0" w:color="auto"/>
            </w:tcBorders>
            <w:shd w:val="clear" w:color="auto" w:fill="auto"/>
            <w:tcMar>
              <w:top w:w="110" w:type="dxa"/>
            </w:tcMar>
          </w:tcPr>
          <w:p w:rsidR="00794E04" w:rsidRPr="00526311" w:rsidRDefault="00794E04" w:rsidP="0063039A">
            <w:pPr>
              <w:keepNext/>
              <w:keepLines/>
              <w:ind w:left="-109"/>
              <w:jc w:val="center"/>
              <w:rPr>
                <w:bCs/>
                <w:color w:val="00B050"/>
                <w:sz w:val="16"/>
                <w:szCs w:val="16"/>
              </w:rPr>
            </w:pPr>
            <w:r w:rsidRPr="00526311">
              <w:rPr>
                <w:b/>
                <w:color w:val="00B050"/>
                <w:sz w:val="16"/>
                <w:szCs w:val="16"/>
              </w:rPr>
              <w:t>Avanza</w:t>
            </w:r>
          </w:p>
        </w:tc>
      </w:tr>
      <w:tr w:rsidR="00794E04" w:rsidRPr="00526311" w:rsidTr="00730171">
        <w:trPr>
          <w:cantSplit/>
        </w:trPr>
        <w:tc>
          <w:tcPr>
            <w:tcW w:w="4999" w:type="pct"/>
            <w:gridSpan w:val="5"/>
            <w:tcBorders>
              <w:top w:val="single" w:sz="4" w:space="0" w:color="auto"/>
              <w:bottom w:val="single" w:sz="4" w:space="0" w:color="auto"/>
            </w:tcBorders>
            <w:shd w:val="clear" w:color="auto" w:fill="CCFFFF"/>
            <w:vAlign w:val="center"/>
          </w:tcPr>
          <w:p w:rsidR="00794E04" w:rsidRPr="00526311" w:rsidRDefault="00794E04" w:rsidP="0063039A">
            <w:pPr>
              <w:keepNext/>
              <w:keepLines/>
              <w:spacing w:before="120" w:after="120"/>
              <w:ind w:left="1735" w:hanging="1735"/>
              <w:rPr>
                <w:b/>
                <w:bCs/>
                <w:sz w:val="16"/>
                <w:szCs w:val="16"/>
              </w:rPr>
            </w:pPr>
            <w:r w:rsidRPr="00526311">
              <w:rPr>
                <w:b/>
                <w:bCs/>
                <w:sz w:val="16"/>
                <w:szCs w:val="16"/>
              </w:rPr>
              <w:lastRenderedPageBreak/>
              <w:t>Resultado previsto:</w:t>
            </w:r>
            <w:r w:rsidRPr="00526311">
              <w:rPr>
                <w:b/>
                <w:bCs/>
                <w:sz w:val="16"/>
                <w:szCs w:val="16"/>
              </w:rPr>
              <w:tab/>
            </w:r>
            <w:r w:rsidRPr="00526311">
              <w:rPr>
                <w:sz w:val="16"/>
                <w:szCs w:val="16"/>
              </w:rPr>
              <w:t>IX.4 Una organización responsable con el medio ambiente y la sociedad, en la que se garantiza la seguridad de su personal, los delegados, los visitantes, la información y los activos físicos</w:t>
            </w:r>
          </w:p>
        </w:tc>
      </w:tr>
      <w:tr w:rsidR="00794E04" w:rsidRPr="00526311" w:rsidTr="00730171">
        <w:trPr>
          <w:cantSplit/>
        </w:trPr>
        <w:tc>
          <w:tcPr>
            <w:tcW w:w="1137" w:type="pct"/>
            <w:tcBorders>
              <w:top w:val="single" w:sz="4" w:space="0" w:color="auto"/>
            </w:tcBorders>
            <w:shd w:val="clear" w:color="auto" w:fill="auto"/>
            <w:vAlign w:val="center"/>
          </w:tcPr>
          <w:p w:rsidR="00794E04" w:rsidRPr="00526311" w:rsidRDefault="00794E04" w:rsidP="0063039A">
            <w:pPr>
              <w:keepNext/>
              <w:keepLines/>
              <w:rPr>
                <w:sz w:val="16"/>
                <w:szCs w:val="16"/>
              </w:rPr>
            </w:pPr>
            <w:r w:rsidRPr="00526311">
              <w:rPr>
                <w:b/>
                <w:sz w:val="16"/>
                <w:szCs w:val="16"/>
              </w:rPr>
              <w:t>Indicadores de rendimiento</w:t>
            </w:r>
          </w:p>
        </w:tc>
        <w:tc>
          <w:tcPr>
            <w:tcW w:w="1287" w:type="pct"/>
            <w:tcBorders>
              <w:top w:val="single" w:sz="4" w:space="0" w:color="auto"/>
            </w:tcBorders>
            <w:shd w:val="clear" w:color="auto" w:fill="auto"/>
            <w:vAlign w:val="center"/>
          </w:tcPr>
          <w:p w:rsidR="00794E04" w:rsidRPr="00526311" w:rsidRDefault="00794E04" w:rsidP="0063039A">
            <w:pPr>
              <w:keepNext/>
              <w:keepLines/>
              <w:rPr>
                <w:b/>
                <w:bCs/>
                <w:sz w:val="16"/>
                <w:szCs w:val="16"/>
              </w:rPr>
            </w:pPr>
            <w:r w:rsidRPr="00526311">
              <w:rPr>
                <w:b/>
                <w:bCs/>
                <w:sz w:val="16"/>
                <w:szCs w:val="16"/>
              </w:rPr>
              <w:t>Referencia</w:t>
            </w:r>
          </w:p>
        </w:tc>
        <w:tc>
          <w:tcPr>
            <w:tcW w:w="909" w:type="pct"/>
            <w:tcBorders>
              <w:top w:val="single" w:sz="4" w:space="0" w:color="auto"/>
            </w:tcBorders>
            <w:shd w:val="clear" w:color="auto" w:fill="auto"/>
            <w:tcMar>
              <w:top w:w="110" w:type="dxa"/>
            </w:tcMar>
            <w:vAlign w:val="center"/>
          </w:tcPr>
          <w:p w:rsidR="00794E04" w:rsidRPr="00526311" w:rsidRDefault="00794E04" w:rsidP="0063039A">
            <w:pPr>
              <w:keepNext/>
              <w:keepLines/>
              <w:rPr>
                <w:b/>
                <w:sz w:val="16"/>
                <w:szCs w:val="16"/>
              </w:rPr>
            </w:pPr>
            <w:r w:rsidRPr="00526311">
              <w:rPr>
                <w:b/>
                <w:sz w:val="16"/>
                <w:szCs w:val="16"/>
              </w:rPr>
              <w:t>Objetivos</w:t>
            </w:r>
          </w:p>
        </w:tc>
        <w:tc>
          <w:tcPr>
            <w:tcW w:w="1061" w:type="pct"/>
            <w:tcBorders>
              <w:top w:val="single" w:sz="4" w:space="0" w:color="auto"/>
            </w:tcBorders>
            <w:shd w:val="clear" w:color="auto" w:fill="FFFFFF"/>
            <w:tcMar>
              <w:top w:w="110" w:type="dxa"/>
            </w:tcMar>
            <w:vAlign w:val="center"/>
          </w:tcPr>
          <w:p w:rsidR="00794E04" w:rsidRPr="00526311" w:rsidRDefault="00794E04" w:rsidP="0063039A">
            <w:pPr>
              <w:keepNext/>
              <w:keepLines/>
              <w:rPr>
                <w:sz w:val="16"/>
                <w:szCs w:val="16"/>
              </w:rPr>
            </w:pPr>
            <w:r w:rsidRPr="00526311">
              <w:rPr>
                <w:b/>
                <w:sz w:val="16"/>
                <w:szCs w:val="16"/>
              </w:rPr>
              <w:t>Datos sobre el rendimiento</w:t>
            </w:r>
          </w:p>
        </w:tc>
        <w:tc>
          <w:tcPr>
            <w:tcW w:w="606" w:type="pct"/>
            <w:tcBorders>
              <w:top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730171">
        <w:trPr>
          <w:cantSplit/>
          <w:trHeight w:val="4752"/>
        </w:trPr>
        <w:tc>
          <w:tcPr>
            <w:tcW w:w="1137" w:type="pct"/>
            <w:shd w:val="clear" w:color="auto" w:fill="auto"/>
          </w:tcPr>
          <w:p w:rsidR="00794E04" w:rsidRPr="00526311" w:rsidRDefault="00794E04" w:rsidP="0063039A">
            <w:pPr>
              <w:rPr>
                <w:sz w:val="16"/>
                <w:szCs w:val="16"/>
              </w:rPr>
            </w:pPr>
            <w:r w:rsidRPr="00526311">
              <w:rPr>
                <w:sz w:val="16"/>
                <w:szCs w:val="16"/>
              </w:rPr>
              <w:t>Mejora de la accesibilidad al recinto de la OMPI</w:t>
            </w:r>
          </w:p>
        </w:tc>
        <w:tc>
          <w:tcPr>
            <w:tcW w:w="1287" w:type="pct"/>
            <w:shd w:val="clear" w:color="auto" w:fill="auto"/>
          </w:tcPr>
          <w:p w:rsidR="00794E04" w:rsidRPr="00526311" w:rsidRDefault="00794E04" w:rsidP="0063039A">
            <w:pPr>
              <w:rPr>
                <w:color w:val="002060"/>
                <w:sz w:val="16"/>
                <w:szCs w:val="16"/>
              </w:rPr>
            </w:pPr>
            <w:r w:rsidRPr="00526311">
              <w:rPr>
                <w:i/>
                <w:color w:val="002060"/>
                <w:sz w:val="16"/>
                <w:szCs w:val="16"/>
              </w:rPr>
              <w:t>Referencia actualizada a fines de 2013:</w:t>
            </w:r>
            <w:r w:rsidRPr="00526311">
              <w:t xml:space="preserve">  </w:t>
            </w:r>
            <w:r w:rsidRPr="00526311">
              <w:rPr>
                <w:color w:val="002060"/>
                <w:sz w:val="16"/>
                <w:szCs w:val="16"/>
              </w:rPr>
              <w:t>No se elaboró el plan quinquenal al final de 2013</w:t>
            </w:r>
          </w:p>
          <w:p w:rsidR="00794E04" w:rsidRPr="00526311" w:rsidRDefault="00794E04" w:rsidP="0063039A">
            <w:pPr>
              <w:rPr>
                <w:color w:val="002060"/>
                <w:sz w:val="16"/>
                <w:szCs w:val="16"/>
              </w:rPr>
            </w:pPr>
          </w:p>
          <w:p w:rsidR="00794E04" w:rsidRPr="00526311" w:rsidRDefault="007B705E" w:rsidP="004C5BCD">
            <w:pPr>
              <w:rPr>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plan quinquenal para la aplicación de las recomendaciones de auditoría en materia de accesibilidad efectuadas en 2012 (plan establecido al final de 2013)</w:t>
            </w:r>
          </w:p>
        </w:tc>
        <w:tc>
          <w:tcPr>
            <w:tcW w:w="909" w:type="pct"/>
            <w:shd w:val="clear" w:color="auto" w:fill="auto"/>
            <w:tcMar>
              <w:top w:w="110" w:type="dxa"/>
            </w:tcMar>
          </w:tcPr>
          <w:p w:rsidR="00794E04" w:rsidRPr="00526311" w:rsidRDefault="00794E04" w:rsidP="0063039A">
            <w:pPr>
              <w:rPr>
                <w:sz w:val="16"/>
                <w:szCs w:val="16"/>
              </w:rPr>
            </w:pPr>
            <w:r w:rsidRPr="00526311">
              <w:rPr>
                <w:sz w:val="16"/>
                <w:szCs w:val="16"/>
              </w:rPr>
              <w:t>Aplicación de las recomendaciones de auditoría con arreglo al plan quinquenal</w:t>
            </w:r>
          </w:p>
        </w:tc>
        <w:tc>
          <w:tcPr>
            <w:tcW w:w="1061" w:type="pct"/>
            <w:shd w:val="clear" w:color="auto" w:fill="FFFFFF"/>
            <w:tcMar>
              <w:top w:w="110" w:type="dxa"/>
            </w:tcMar>
          </w:tcPr>
          <w:p w:rsidR="00794E04" w:rsidRPr="00526311" w:rsidRDefault="00794E04" w:rsidP="0063039A">
            <w:pPr>
              <w:rPr>
                <w:sz w:val="16"/>
                <w:szCs w:val="16"/>
              </w:rPr>
            </w:pPr>
            <w:r w:rsidRPr="00526311">
              <w:rPr>
                <w:sz w:val="16"/>
                <w:szCs w:val="16"/>
              </w:rPr>
              <w:t>No se elaboró el plan quinquenal a fines de 2014 por falta de recursos disponibles por las obras relativas a la nueva sala de conferencias</w:t>
            </w:r>
            <w:r w:rsidR="004C5BCD" w:rsidRPr="00526311">
              <w:rPr>
                <w:sz w:val="16"/>
                <w:szCs w:val="16"/>
              </w:rPr>
              <w:t xml:space="preserve"> de la OMPI</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Entre otras mejoras, figuraban: i) rampas adicionales para el acceso en silla de ruedas (acceso a las cabinas de intérpretes en una nueva sala de reunión del nuevo edificio; y ii) la instalación de los lectores de tarjetas de identificación a la altura de las sillas de ruedas en los edificios AB y PCT y nuevo edificio. Varias de esas mejoras se realizaron sin incurrir en grandes costos y/o al</w:t>
            </w:r>
            <w:r w:rsidRPr="00526311">
              <w:rPr>
                <w:sz w:val="16"/>
                <w:szCs w:val="16"/>
                <w:highlight w:val="yellow"/>
              </w:rPr>
              <w:t xml:space="preserve"> </w:t>
            </w:r>
            <w:r w:rsidRPr="00526311">
              <w:rPr>
                <w:sz w:val="16"/>
                <w:szCs w:val="16"/>
              </w:rPr>
              <w:t>integrarse en otras infraestructuras o instalaciones, acarrearon un costo adicional mínimo</w:t>
            </w:r>
          </w:p>
        </w:tc>
        <w:tc>
          <w:tcPr>
            <w:tcW w:w="606" w:type="pct"/>
            <w:shd w:val="clear" w:color="auto" w:fill="auto"/>
            <w:tcMar>
              <w:top w:w="110" w:type="dxa"/>
            </w:tcMar>
          </w:tcPr>
          <w:p w:rsidR="00794E04" w:rsidRPr="00526311" w:rsidRDefault="00794E04" w:rsidP="0063039A">
            <w:pPr>
              <w:keepNext/>
              <w:keepLines/>
              <w:ind w:left="-109"/>
              <w:jc w:val="center"/>
              <w:rPr>
                <w:b/>
                <w:color w:val="FF0000"/>
                <w:sz w:val="16"/>
                <w:szCs w:val="16"/>
              </w:rPr>
            </w:pPr>
            <w:r w:rsidRPr="00526311">
              <w:rPr>
                <w:b/>
                <w:color w:val="FF0000"/>
                <w:sz w:val="16"/>
                <w:szCs w:val="16"/>
              </w:rPr>
              <w:t>No avanza</w:t>
            </w:r>
          </w:p>
        </w:tc>
      </w:tr>
      <w:tr w:rsidR="00794E04" w:rsidRPr="00526311" w:rsidTr="00730171">
        <w:trPr>
          <w:cantSplit/>
        </w:trPr>
        <w:tc>
          <w:tcPr>
            <w:tcW w:w="1137" w:type="pct"/>
            <w:shd w:val="clear" w:color="auto" w:fill="auto"/>
          </w:tcPr>
          <w:p w:rsidR="00794E04" w:rsidRPr="00526311" w:rsidRDefault="00794E04" w:rsidP="0063039A">
            <w:pPr>
              <w:rPr>
                <w:sz w:val="16"/>
                <w:szCs w:val="16"/>
              </w:rPr>
            </w:pPr>
            <w:r w:rsidRPr="00526311">
              <w:rPr>
                <w:sz w:val="16"/>
                <w:szCs w:val="16"/>
              </w:rPr>
              <w:t>Menor repercusión de los edificios de la OMPI en el medio ambiente</w:t>
            </w:r>
          </w:p>
        </w:tc>
        <w:tc>
          <w:tcPr>
            <w:tcW w:w="1287" w:type="pct"/>
            <w:shd w:val="clear" w:color="auto" w:fill="auto"/>
          </w:tcPr>
          <w:p w:rsidR="00794E04" w:rsidRPr="00526311" w:rsidRDefault="00794E04" w:rsidP="0063039A">
            <w:pPr>
              <w:rPr>
                <w:sz w:val="16"/>
                <w:szCs w:val="16"/>
                <w:lang w:bidi="th-TH"/>
              </w:rPr>
            </w:pPr>
            <w:r w:rsidRPr="00526311">
              <w:rPr>
                <w:i/>
                <w:color w:val="002060"/>
                <w:sz w:val="16"/>
                <w:szCs w:val="16"/>
              </w:rPr>
              <w:t>Referencia actualizada a fines de 2013:</w:t>
            </w:r>
            <w:r w:rsidRPr="00526311">
              <w:rPr>
                <w:color w:val="002060"/>
                <w:sz w:val="16"/>
                <w:szCs w:val="16"/>
              </w:rPr>
              <w:t xml:space="preserve">  reducción del 2% del consumo de electricidad gracias a la aplicación de una serie de medidas destinadas a modernizar las instalaciones;  reducción del 7% del consumo de agua gracias a la modernización del sistema de refrigeración en uno de los centros de datos</w:t>
            </w:r>
          </w:p>
          <w:p w:rsidR="00794E04" w:rsidRPr="00526311" w:rsidRDefault="00794E04" w:rsidP="0063039A">
            <w:pPr>
              <w:rPr>
                <w:color w:val="002060"/>
                <w:sz w:val="16"/>
                <w:szCs w:val="16"/>
              </w:rPr>
            </w:pPr>
          </w:p>
          <w:p w:rsidR="00794E04" w:rsidRPr="00526311" w:rsidRDefault="00794E04" w:rsidP="0063039A">
            <w:pPr>
              <w:rPr>
                <w:rFonts w:cstheme="minorBidi"/>
                <w:color w:val="002060"/>
                <w:sz w:val="16"/>
                <w:szCs w:val="16"/>
              </w:rPr>
            </w:pPr>
          </w:p>
          <w:p w:rsidR="00794E04" w:rsidRPr="00526311" w:rsidRDefault="007B705E" w:rsidP="004C5BCD">
            <w:pPr>
              <w:rPr>
                <w:szCs w:val="22"/>
              </w:rPr>
            </w:pPr>
            <w:r w:rsidRPr="00526311">
              <w:rPr>
                <w:i/>
                <w:sz w:val="16"/>
                <w:szCs w:val="16"/>
              </w:rPr>
              <w:t>Referencia original en el presupuesto de 2014/15</w:t>
            </w:r>
            <w:r w:rsidR="00794E04" w:rsidRPr="00526311">
              <w:rPr>
                <w:i/>
                <w:sz w:val="16"/>
                <w:szCs w:val="16"/>
              </w:rPr>
              <w:t>:</w:t>
            </w:r>
            <w:r w:rsidR="00794E04" w:rsidRPr="00526311">
              <w:t xml:space="preserve">  </w:t>
            </w:r>
            <w:r w:rsidR="00794E04" w:rsidRPr="00526311">
              <w:rPr>
                <w:sz w:val="16"/>
                <w:szCs w:val="16"/>
              </w:rPr>
              <w:t>Consumo anual de electricidad y agua (al final de 2013)</w:t>
            </w:r>
          </w:p>
        </w:tc>
        <w:tc>
          <w:tcPr>
            <w:tcW w:w="909" w:type="pct"/>
            <w:shd w:val="clear" w:color="auto" w:fill="auto"/>
            <w:tcMar>
              <w:top w:w="110" w:type="dxa"/>
            </w:tcMar>
          </w:tcPr>
          <w:p w:rsidR="00794E04" w:rsidRPr="00526311" w:rsidRDefault="00794E04" w:rsidP="0063039A">
            <w:pPr>
              <w:rPr>
                <w:sz w:val="16"/>
                <w:szCs w:val="16"/>
              </w:rPr>
            </w:pPr>
            <w:r w:rsidRPr="00526311">
              <w:rPr>
                <w:sz w:val="16"/>
                <w:szCs w:val="16"/>
              </w:rPr>
              <w:t>Disminución del 4% en el consumo de electricidad y del 10% en el consumo de agua a fines de 2015</w:t>
            </w:r>
          </w:p>
        </w:tc>
        <w:tc>
          <w:tcPr>
            <w:tcW w:w="1061" w:type="pct"/>
            <w:shd w:val="clear" w:color="auto" w:fill="FFFFFF"/>
            <w:tcMar>
              <w:top w:w="110" w:type="dxa"/>
            </w:tcMar>
          </w:tcPr>
          <w:p w:rsidR="00794E04" w:rsidRPr="00526311" w:rsidRDefault="00794E04" w:rsidP="0063039A">
            <w:pPr>
              <w:rPr>
                <w:sz w:val="16"/>
                <w:szCs w:val="16"/>
              </w:rPr>
            </w:pPr>
            <w:r w:rsidRPr="00526311">
              <w:rPr>
                <w:sz w:val="16"/>
                <w:szCs w:val="16"/>
              </w:rPr>
              <w:t>Reducción del 2,2% en el consumo de electricidad y del 10% en el consumo de agua en el primer año del bienio</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Se modernizó el sistema de refrigeración a base de agua refrigerada procedente del lago de Ginebra del nuevo edificio</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Entre las medidas adicionales para respetar el medio ambiente estaban las siguientes medidas principales:  i) reducción del consumo de luz artificial sustituyendo las lámparas tradicionales por nuevos apliques a base de tecnología de LED, ii) activación de la iluminación por detección de la presencia de personas fuera del horario laboral en las plantas de oficinas de varias áreas de edificios más antiguos</w:t>
            </w:r>
          </w:p>
        </w:tc>
        <w:tc>
          <w:tcPr>
            <w:tcW w:w="606" w:type="pct"/>
            <w:shd w:val="clear" w:color="auto" w:fill="auto"/>
            <w:tcMar>
              <w:top w:w="110" w:type="dxa"/>
            </w:tcMar>
          </w:tcPr>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tc>
      </w:tr>
      <w:tr w:rsidR="00730171" w:rsidRPr="00526311" w:rsidTr="00730171">
        <w:trPr>
          <w:cantSplit/>
        </w:trPr>
        <w:tc>
          <w:tcPr>
            <w:tcW w:w="1137" w:type="pct"/>
            <w:tcBorders>
              <w:top w:val="single" w:sz="4" w:space="0" w:color="auto"/>
            </w:tcBorders>
            <w:shd w:val="clear" w:color="auto" w:fill="auto"/>
            <w:vAlign w:val="center"/>
          </w:tcPr>
          <w:p w:rsidR="00730171" w:rsidRPr="00526311" w:rsidRDefault="00730171" w:rsidP="0063039A">
            <w:pPr>
              <w:keepNext/>
              <w:keepLines/>
              <w:rPr>
                <w:sz w:val="16"/>
                <w:szCs w:val="16"/>
              </w:rPr>
            </w:pPr>
            <w:r w:rsidRPr="00526311">
              <w:rPr>
                <w:b/>
                <w:sz w:val="16"/>
                <w:szCs w:val="16"/>
              </w:rPr>
              <w:lastRenderedPageBreak/>
              <w:t>Indicadores de rendimiento</w:t>
            </w:r>
          </w:p>
        </w:tc>
        <w:tc>
          <w:tcPr>
            <w:tcW w:w="1287" w:type="pct"/>
            <w:tcBorders>
              <w:top w:val="single" w:sz="4" w:space="0" w:color="auto"/>
            </w:tcBorders>
            <w:shd w:val="clear" w:color="auto" w:fill="auto"/>
            <w:vAlign w:val="center"/>
          </w:tcPr>
          <w:p w:rsidR="00730171" w:rsidRPr="00526311" w:rsidRDefault="00730171" w:rsidP="0063039A">
            <w:pPr>
              <w:keepNext/>
              <w:keepLines/>
              <w:rPr>
                <w:b/>
                <w:bCs/>
                <w:sz w:val="16"/>
                <w:szCs w:val="16"/>
              </w:rPr>
            </w:pPr>
            <w:r w:rsidRPr="00526311">
              <w:rPr>
                <w:b/>
                <w:bCs/>
                <w:sz w:val="16"/>
                <w:szCs w:val="16"/>
              </w:rPr>
              <w:t>Referencia</w:t>
            </w:r>
          </w:p>
        </w:tc>
        <w:tc>
          <w:tcPr>
            <w:tcW w:w="909" w:type="pct"/>
            <w:tcBorders>
              <w:top w:val="single" w:sz="4" w:space="0" w:color="auto"/>
            </w:tcBorders>
            <w:shd w:val="clear" w:color="auto" w:fill="auto"/>
            <w:tcMar>
              <w:top w:w="110" w:type="dxa"/>
            </w:tcMar>
            <w:vAlign w:val="center"/>
          </w:tcPr>
          <w:p w:rsidR="00730171" w:rsidRPr="00526311" w:rsidRDefault="00730171" w:rsidP="0063039A">
            <w:pPr>
              <w:keepNext/>
              <w:keepLines/>
              <w:rPr>
                <w:b/>
                <w:sz w:val="16"/>
                <w:szCs w:val="16"/>
              </w:rPr>
            </w:pPr>
            <w:r w:rsidRPr="00526311">
              <w:rPr>
                <w:b/>
                <w:sz w:val="16"/>
                <w:szCs w:val="16"/>
              </w:rPr>
              <w:t>Objetivos</w:t>
            </w:r>
          </w:p>
        </w:tc>
        <w:tc>
          <w:tcPr>
            <w:tcW w:w="1061" w:type="pct"/>
            <w:tcBorders>
              <w:top w:val="single" w:sz="4" w:space="0" w:color="auto"/>
            </w:tcBorders>
            <w:shd w:val="clear" w:color="auto" w:fill="FFFFFF"/>
            <w:tcMar>
              <w:top w:w="110" w:type="dxa"/>
            </w:tcMar>
            <w:vAlign w:val="center"/>
          </w:tcPr>
          <w:p w:rsidR="00730171" w:rsidRPr="00526311" w:rsidRDefault="00730171" w:rsidP="0063039A">
            <w:pPr>
              <w:keepNext/>
              <w:keepLines/>
              <w:rPr>
                <w:sz w:val="16"/>
                <w:szCs w:val="16"/>
              </w:rPr>
            </w:pPr>
            <w:r w:rsidRPr="00526311">
              <w:rPr>
                <w:b/>
                <w:sz w:val="16"/>
                <w:szCs w:val="16"/>
              </w:rPr>
              <w:t>Datos sobre el rendimiento</w:t>
            </w:r>
          </w:p>
        </w:tc>
        <w:tc>
          <w:tcPr>
            <w:tcW w:w="606" w:type="pct"/>
            <w:tcBorders>
              <w:top w:val="single" w:sz="4" w:space="0" w:color="auto"/>
            </w:tcBorders>
            <w:shd w:val="clear" w:color="auto" w:fill="auto"/>
            <w:tcMar>
              <w:top w:w="110" w:type="dxa"/>
            </w:tcMar>
            <w:vAlign w:val="center"/>
          </w:tcPr>
          <w:p w:rsidR="00730171" w:rsidRPr="00526311" w:rsidRDefault="00730171" w:rsidP="0063039A">
            <w:pPr>
              <w:keepNext/>
              <w:keepLines/>
              <w:jc w:val="center"/>
              <w:rPr>
                <w:b/>
                <w:bCs/>
                <w:sz w:val="16"/>
                <w:szCs w:val="16"/>
              </w:rPr>
            </w:pPr>
            <w:r w:rsidRPr="00526311">
              <w:rPr>
                <w:b/>
                <w:bCs/>
                <w:sz w:val="16"/>
                <w:szCs w:val="16"/>
              </w:rPr>
              <w:t>Clave de colores</w:t>
            </w:r>
          </w:p>
        </w:tc>
      </w:tr>
      <w:tr w:rsidR="00794E04" w:rsidRPr="00526311" w:rsidTr="00730171">
        <w:trPr>
          <w:cantSplit/>
        </w:trPr>
        <w:tc>
          <w:tcPr>
            <w:tcW w:w="1137" w:type="pct"/>
            <w:tcBorders>
              <w:bottom w:val="single" w:sz="4" w:space="0" w:color="auto"/>
            </w:tcBorders>
            <w:shd w:val="clear" w:color="auto" w:fill="auto"/>
          </w:tcPr>
          <w:p w:rsidR="00794E04" w:rsidRPr="00526311" w:rsidRDefault="00794E04" w:rsidP="0063039A">
            <w:pPr>
              <w:rPr>
                <w:sz w:val="16"/>
                <w:szCs w:val="16"/>
              </w:rPr>
            </w:pPr>
            <w:r w:rsidRPr="00526311">
              <w:rPr>
                <w:sz w:val="16"/>
                <w:szCs w:val="16"/>
              </w:rPr>
              <w:t>Los locales de la OMPI satisfacen las recomendaciones efectuadas en 2009 por el Instituto de Seguridad (Neuchâtel) y las medidas de seguridad del perímetro con arreglo a las normas mínimas operativas de seguridad para las sedes de NN.UU.</w:t>
            </w:r>
          </w:p>
        </w:tc>
        <w:tc>
          <w:tcPr>
            <w:tcW w:w="1287" w:type="pct"/>
            <w:tcBorders>
              <w:bottom w:val="single" w:sz="4" w:space="0" w:color="auto"/>
            </w:tcBorders>
            <w:shd w:val="clear" w:color="auto" w:fill="auto"/>
          </w:tcPr>
          <w:p w:rsidR="00794E04" w:rsidRPr="00526311" w:rsidRDefault="00794E04" w:rsidP="0063039A">
            <w:pPr>
              <w:rPr>
                <w:sz w:val="16"/>
                <w:szCs w:val="16"/>
              </w:rPr>
            </w:pPr>
            <w:r w:rsidRPr="00526311">
              <w:rPr>
                <w:sz w:val="16"/>
                <w:szCs w:val="16"/>
              </w:rPr>
              <w:t>Plan sexenal para la aplicación de las recomendaciones de auditoría efectuadas en 2009 por el Instituto de Seguridad (Neuchâtel)</w:t>
            </w:r>
          </w:p>
          <w:p w:rsidR="00794E04" w:rsidRPr="00526311" w:rsidRDefault="00794E04" w:rsidP="0063039A">
            <w:pPr>
              <w:rPr>
                <w:szCs w:val="22"/>
              </w:rPr>
            </w:pPr>
          </w:p>
        </w:tc>
        <w:tc>
          <w:tcPr>
            <w:tcW w:w="909" w:type="pct"/>
            <w:tcBorders>
              <w:bottom w:val="single" w:sz="4" w:space="0" w:color="auto"/>
            </w:tcBorders>
            <w:shd w:val="clear" w:color="auto" w:fill="auto"/>
            <w:tcMar>
              <w:top w:w="110" w:type="dxa"/>
            </w:tcMar>
          </w:tcPr>
          <w:p w:rsidR="00794E04" w:rsidRPr="00526311" w:rsidRDefault="00794E04" w:rsidP="0063039A">
            <w:pPr>
              <w:rPr>
                <w:sz w:val="16"/>
                <w:szCs w:val="16"/>
              </w:rPr>
            </w:pPr>
            <w:r w:rsidRPr="00526311">
              <w:rPr>
                <w:sz w:val="16"/>
                <w:szCs w:val="16"/>
              </w:rPr>
              <w:t>Aplicación de las recomendaciones de auditoría con arreglo a la ejecución del plan sexenal y medidas de seguridad del perímetro a fines de 2015</w:t>
            </w:r>
          </w:p>
        </w:tc>
        <w:tc>
          <w:tcPr>
            <w:tcW w:w="1061" w:type="pct"/>
            <w:tcBorders>
              <w:bottom w:val="single" w:sz="4" w:space="0" w:color="auto"/>
            </w:tcBorders>
            <w:shd w:val="clear" w:color="auto" w:fill="FFFFFF"/>
            <w:tcMar>
              <w:top w:w="110" w:type="dxa"/>
            </w:tcMar>
          </w:tcPr>
          <w:p w:rsidR="00794E04" w:rsidRPr="00526311" w:rsidRDefault="00794E04" w:rsidP="0063039A">
            <w:pPr>
              <w:rPr>
                <w:sz w:val="16"/>
                <w:szCs w:val="16"/>
              </w:rPr>
            </w:pPr>
            <w:r w:rsidRPr="00526311">
              <w:rPr>
                <w:sz w:val="16"/>
                <w:szCs w:val="16"/>
              </w:rPr>
              <w:t>Véase el A</w:t>
            </w:r>
            <w:r w:rsidR="004C5BCD" w:rsidRPr="00526311">
              <w:rPr>
                <w:sz w:val="16"/>
                <w:szCs w:val="16"/>
              </w:rPr>
              <w:t>péndice III</w:t>
            </w:r>
            <w:r w:rsidRPr="00526311">
              <w:rPr>
                <w:sz w:val="16"/>
                <w:szCs w:val="16"/>
              </w:rPr>
              <w:t>, Informe sobre la marcha del plan maestro de mejoras de infraestructura en 2014</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Además de la recomendación incluida en el plan maestro de mejoras de infraestructura, se aplicó la siguiente recomendación:  Modernización del sistema de detección de incendios (detectores de tecnología de punta) en el segundo y el tercer subsuelos del estacionamiento del edificio AB</w:t>
            </w:r>
          </w:p>
        </w:tc>
        <w:tc>
          <w:tcPr>
            <w:tcW w:w="606" w:type="pct"/>
            <w:tcBorders>
              <w:bottom w:val="single" w:sz="4" w:space="0" w:color="auto"/>
            </w:tcBorders>
            <w:shd w:val="clear" w:color="auto" w:fill="auto"/>
            <w:tcMar>
              <w:top w:w="110" w:type="dxa"/>
            </w:tcMar>
          </w:tcPr>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tc>
      </w:tr>
    </w:tbl>
    <w:p w:rsidR="00794E04" w:rsidRPr="00526311" w:rsidRDefault="00794E04" w:rsidP="0063039A">
      <w:pPr>
        <w:rPr>
          <w:color w:val="000000"/>
          <w:szCs w:val="22"/>
        </w:rPr>
      </w:pPr>
    </w:p>
    <w:p w:rsidR="00794E04" w:rsidRPr="00526311" w:rsidRDefault="00794E04" w:rsidP="0063039A">
      <w:pPr>
        <w:rPr>
          <w:color w:val="000000"/>
          <w:szCs w:val="22"/>
        </w:rPr>
      </w:pPr>
    </w:p>
    <w:p w:rsidR="00794E04" w:rsidRPr="00526311" w:rsidRDefault="00794E04" w:rsidP="0063039A">
      <w:pPr>
        <w:rPr>
          <w:b/>
          <w:sz w:val="18"/>
          <w:szCs w:val="18"/>
        </w:rPr>
      </w:pPr>
      <w:r w:rsidRPr="00526311">
        <w:rPr>
          <w:szCs w:val="22"/>
        </w:rPr>
        <w:t>UTILIZACIÓN DE LOS RECURSOS</w:t>
      </w:r>
    </w:p>
    <w:p w:rsidR="00794E04" w:rsidRPr="00526311" w:rsidRDefault="00794E04" w:rsidP="0063039A">
      <w:pPr>
        <w:rPr>
          <w:szCs w:val="22"/>
        </w:rPr>
      </w:pPr>
    </w:p>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794E04" w:rsidRPr="00526311" w:rsidRDefault="00794E04" w:rsidP="0063039A">
      <w:pPr>
        <w:rPr>
          <w:sz w:val="18"/>
          <w:szCs w:val="22"/>
        </w:rPr>
      </w:pPr>
    </w:p>
    <w:p w:rsidR="00794E04" w:rsidRPr="00526311" w:rsidRDefault="00DD7B62" w:rsidP="0063039A">
      <w:pPr>
        <w:jc w:val="center"/>
        <w:rPr>
          <w:szCs w:val="22"/>
        </w:rPr>
      </w:pPr>
      <w:bookmarkStart w:id="84" w:name="Punto24"/>
      <w:r w:rsidRPr="00526311">
        <w:rPr>
          <w:noProof/>
          <w:lang w:val="en-US" w:eastAsia="en-US"/>
        </w:rPr>
        <w:drawing>
          <wp:inline distT="0" distB="0" distL="0" distR="0" wp14:anchorId="5AA094CF" wp14:editId="5D79B52B">
            <wp:extent cx="5676900" cy="2158160"/>
            <wp:effectExtent l="0" t="0" r="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76900" cy="2158160"/>
                    </a:xfrm>
                    <a:prstGeom prst="rect">
                      <a:avLst/>
                    </a:prstGeom>
                    <a:noFill/>
                    <a:ln>
                      <a:noFill/>
                    </a:ln>
                  </pic:spPr>
                </pic:pic>
              </a:graphicData>
            </a:graphic>
          </wp:inline>
        </w:drawing>
      </w:r>
      <w:bookmarkEnd w:id="84"/>
    </w:p>
    <w:p w:rsidR="00794E04" w:rsidRPr="00526311" w:rsidRDefault="00794E04" w:rsidP="0063039A">
      <w:pPr>
        <w:rPr>
          <w:sz w:val="20"/>
          <w:szCs w:val="22"/>
        </w:rPr>
      </w:pPr>
    </w:p>
    <w:p w:rsidR="00794E04" w:rsidRPr="00526311" w:rsidRDefault="00794E04" w:rsidP="0063039A">
      <w:pPr>
        <w:rPr>
          <w:sz w:val="20"/>
          <w:szCs w:val="22"/>
        </w:rPr>
      </w:pPr>
    </w:p>
    <w:p w:rsidR="00794E04" w:rsidRPr="00526311" w:rsidRDefault="00794E04"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794E04" w:rsidRPr="00526311" w:rsidRDefault="00794E04"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(en miles de francos suizos)</w:t>
      </w:r>
    </w:p>
    <w:p w:rsidR="00794E04" w:rsidRPr="00526311" w:rsidRDefault="00794E04" w:rsidP="0063039A">
      <w:pPr>
        <w:rPr>
          <w:sz w:val="20"/>
          <w:szCs w:val="22"/>
        </w:rPr>
      </w:pPr>
    </w:p>
    <w:p w:rsidR="00EF039A" w:rsidRPr="00526311" w:rsidRDefault="00EF039A" w:rsidP="0063039A">
      <w:pPr>
        <w:rPr>
          <w:sz w:val="20"/>
          <w:szCs w:val="22"/>
        </w:rPr>
      </w:pPr>
      <w:r w:rsidRPr="00526311">
        <w:rPr>
          <w:noProof/>
          <w:lang w:val="en-US" w:eastAsia="en-US"/>
        </w:rPr>
        <w:drawing>
          <wp:inline distT="0" distB="0" distL="0" distR="0" wp14:anchorId="21282903" wp14:editId="1CBA0B45">
            <wp:extent cx="5940425" cy="1246505"/>
            <wp:effectExtent l="0" t="0" r="3175"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0425" cy="1246505"/>
                    </a:xfrm>
                    <a:prstGeom prst="rect">
                      <a:avLst/>
                    </a:prstGeom>
                    <a:noFill/>
                    <a:ln>
                      <a:noFill/>
                    </a:ln>
                  </pic:spPr>
                </pic:pic>
              </a:graphicData>
            </a:graphic>
          </wp:inline>
        </w:drawing>
      </w:r>
    </w:p>
    <w:p w:rsidR="00794E04" w:rsidRPr="00526311" w:rsidRDefault="00794E04" w:rsidP="0063039A">
      <w:pPr>
        <w:keepNext/>
        <w:autoSpaceDE w:val="0"/>
        <w:autoSpaceDN w:val="0"/>
        <w:rPr>
          <w:i/>
          <w:sz w:val="16"/>
          <w:szCs w:val="16"/>
        </w:rPr>
      </w:pPr>
      <w:r w:rsidRPr="00526311">
        <w:rPr>
          <w:i/>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794E04" w:rsidRPr="00526311" w:rsidRDefault="00794E04" w:rsidP="0063039A">
      <w:pPr>
        <w:widowControl w:val="0"/>
        <w:autoSpaceDE w:val="0"/>
        <w:autoSpaceDN w:val="0"/>
        <w:adjustRightInd w:val="0"/>
        <w:rPr>
          <w:sz w:val="20"/>
        </w:rPr>
      </w:pPr>
    </w:p>
    <w:p w:rsidR="00794E04" w:rsidRPr="00526311" w:rsidRDefault="00794E04"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794E04" w:rsidRPr="00526311" w:rsidRDefault="00794E04" w:rsidP="0063039A">
      <w:pPr>
        <w:rPr>
          <w:sz w:val="20"/>
          <w:u w:val="single"/>
        </w:rPr>
      </w:pPr>
    </w:p>
    <w:p w:rsidR="00794E04" w:rsidRPr="00526311" w:rsidRDefault="00794E04" w:rsidP="00794E04">
      <w:pPr>
        <w:pStyle w:val="ListParagraph"/>
        <w:numPr>
          <w:ilvl w:val="0"/>
          <w:numId w:val="89"/>
        </w:numPr>
        <w:tabs>
          <w:tab w:val="left" w:pos="709"/>
        </w:tabs>
        <w:ind w:left="0" w:firstLine="0"/>
        <w:jc w:val="both"/>
        <w:rPr>
          <w:lang w:val="es-ES"/>
        </w:rPr>
      </w:pPr>
      <w:r w:rsidRPr="00526311">
        <w:rPr>
          <w:lang w:val="es-ES"/>
        </w:rPr>
        <w:t xml:space="preserve">En el presupuesto </w:t>
      </w:r>
      <w:r w:rsidR="00011744" w:rsidRPr="00526311">
        <w:rPr>
          <w:lang w:val="es-ES"/>
        </w:rPr>
        <w:t xml:space="preserve">de </w:t>
      </w:r>
      <w:r w:rsidRPr="00526311">
        <w:rPr>
          <w:lang w:val="es-ES"/>
        </w:rPr>
        <w:t xml:space="preserve">2014/15 tras transferencias se observa un ligero aumento respecto del presupuesto aprobado 2014/15.  La disminución neta de los recursos no relativos a personal se debe, por un lado, a la aplicación de medidas destinadas a fomentar la eficacia en función de los costos y, por </w:t>
      </w:r>
      <w:r w:rsidRPr="00526311">
        <w:rPr>
          <w:lang w:val="es-ES"/>
        </w:rPr>
        <w:lastRenderedPageBreak/>
        <w:t>otro, a la transferencia de recursos adicionales al programa para i) actividades relacionadas con la DCI y ii) la inauguración de la nueva sala de conferencias</w:t>
      </w:r>
      <w:r w:rsidR="004C5BCD" w:rsidRPr="00526311">
        <w:rPr>
          <w:lang w:val="es-ES"/>
        </w:rPr>
        <w:t xml:space="preserve"> de la OMPI</w:t>
      </w:r>
      <w:r w:rsidRPr="00526311">
        <w:rPr>
          <w:lang w:val="es-ES"/>
        </w:rPr>
        <w:t xml:space="preserve">, cuyo costo total fue imputado al programa aun cuando varios otros programas participaron también en dicho evento. </w:t>
      </w:r>
    </w:p>
    <w:p w:rsidR="00794E04" w:rsidRPr="00526311" w:rsidRDefault="00794E04" w:rsidP="0063039A">
      <w:pPr>
        <w:jc w:val="both"/>
        <w:rPr>
          <w:sz w:val="20"/>
        </w:rPr>
      </w:pPr>
    </w:p>
    <w:p w:rsidR="00794E04" w:rsidRPr="00526311" w:rsidRDefault="00794E04" w:rsidP="00794E04">
      <w:pPr>
        <w:pStyle w:val="ListParagraph"/>
        <w:numPr>
          <w:ilvl w:val="0"/>
          <w:numId w:val="89"/>
        </w:numPr>
        <w:tabs>
          <w:tab w:val="left" w:pos="709"/>
        </w:tabs>
        <w:ind w:left="0" w:firstLine="0"/>
        <w:jc w:val="both"/>
        <w:rPr>
          <w:lang w:val="es-ES"/>
        </w:rPr>
      </w:pPr>
      <w:r w:rsidRPr="00526311">
        <w:rPr>
          <w:lang w:val="es-ES"/>
        </w:rPr>
        <w:t xml:space="preserve">El aumento en los recursos de personal se debe principalmente a la regularización de la situación de empleados que ejercen funciones de carácter continuo así como a la reasignación de tres puestos en el programa para prestar asistencia a la Junta de Apelaciones de la OMPI y para el mantenimiento y la renovación de locales. </w:t>
      </w:r>
    </w:p>
    <w:p w:rsidR="00794E04" w:rsidRPr="00526311" w:rsidRDefault="00794E04" w:rsidP="0063039A">
      <w:pPr>
        <w:jc w:val="both"/>
        <w:rPr>
          <w:sz w:val="20"/>
        </w:rPr>
      </w:pPr>
    </w:p>
    <w:p w:rsidR="00794E04" w:rsidRPr="00526311" w:rsidRDefault="00794E04" w:rsidP="00794E04">
      <w:pPr>
        <w:pStyle w:val="ListParagraph"/>
        <w:numPr>
          <w:ilvl w:val="0"/>
          <w:numId w:val="89"/>
        </w:numPr>
        <w:tabs>
          <w:tab w:val="left" w:pos="709"/>
        </w:tabs>
        <w:ind w:left="0" w:firstLine="0"/>
        <w:jc w:val="both"/>
        <w:rPr>
          <w:lang w:val="es-ES"/>
        </w:rPr>
      </w:pPr>
      <w:r w:rsidRPr="00526311">
        <w:rPr>
          <w:lang w:val="es-ES"/>
        </w:rPr>
        <w:t>El trasvase de recursos por resultados previstos se debe</w:t>
      </w:r>
      <w:r w:rsidR="004C5BCD" w:rsidRPr="00526311">
        <w:rPr>
          <w:lang w:val="es-ES"/>
        </w:rPr>
        <w:t xml:space="preserve"> principalmente</w:t>
      </w:r>
      <w:r w:rsidRPr="00526311">
        <w:rPr>
          <w:lang w:val="es-ES"/>
        </w:rPr>
        <w:t xml:space="preserve"> a la redistribución de recursos de personal para la realización de actividades medioambientales y el refuerzo de la colaboración con los demás organismos especializados de las Naciones Unidas en materia de</w:t>
      </w:r>
      <w:r w:rsidRPr="00526311">
        <w:rPr>
          <w:rFonts w:cs="Arial"/>
          <w:lang w:val="es-ES"/>
        </w:rPr>
        <w:t xml:space="preserve"> i)</w:t>
      </w:r>
      <w:r w:rsidRPr="00526311">
        <w:rPr>
          <w:lang w:val="es-ES"/>
        </w:rPr>
        <w:t xml:space="preserve"> </w:t>
      </w:r>
      <w:r w:rsidRPr="00526311">
        <w:rPr>
          <w:rFonts w:cs="Arial"/>
          <w:lang w:val="es-ES"/>
        </w:rPr>
        <w:t>adquisiciones y ii) gestión de proyectos de construcción y renovación de gran alcance</w:t>
      </w:r>
      <w:r w:rsidRPr="00526311">
        <w:rPr>
          <w:lang w:val="es-ES"/>
        </w:rPr>
        <w:t xml:space="preserve">. </w:t>
      </w:r>
    </w:p>
    <w:p w:rsidR="00794E04" w:rsidRPr="00526311" w:rsidRDefault="00794E04" w:rsidP="0063039A">
      <w:pPr>
        <w:autoSpaceDE w:val="0"/>
        <w:autoSpaceDN w:val="0"/>
        <w:jc w:val="both"/>
        <w:rPr>
          <w:sz w:val="20"/>
          <w:lang w:eastAsia="ko-KR"/>
        </w:rPr>
      </w:pPr>
    </w:p>
    <w:p w:rsidR="00794E04" w:rsidRPr="00526311" w:rsidRDefault="00794E04"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794E04" w:rsidRPr="00526311" w:rsidRDefault="00794E04" w:rsidP="0063039A">
      <w:pPr>
        <w:tabs>
          <w:tab w:val="left" w:pos="709"/>
        </w:tabs>
        <w:jc w:val="both"/>
        <w:rPr>
          <w:sz w:val="20"/>
          <w:u w:val="single"/>
          <w:lang w:eastAsia="ko-KR"/>
        </w:rPr>
      </w:pPr>
    </w:p>
    <w:p w:rsidR="00794E04" w:rsidRPr="00526311" w:rsidRDefault="00794E04" w:rsidP="00794E04">
      <w:pPr>
        <w:pStyle w:val="ListParagraph"/>
        <w:numPr>
          <w:ilvl w:val="0"/>
          <w:numId w:val="89"/>
        </w:numPr>
        <w:tabs>
          <w:tab w:val="left" w:pos="709"/>
        </w:tabs>
        <w:ind w:left="0" w:firstLine="0"/>
        <w:jc w:val="both"/>
        <w:rPr>
          <w:rFonts w:ascii="Calibri" w:hAnsi="Calibri"/>
          <w:lang w:val="es-ES"/>
        </w:rPr>
      </w:pPr>
      <w:r w:rsidRPr="00526311">
        <w:rPr>
          <w:rFonts w:cs="Arial"/>
          <w:lang w:val="es-ES" w:eastAsia="ko-KR"/>
        </w:rPr>
        <w:t xml:space="preserve">La utilización del presupuesto se ha mantenido dentro de </w:t>
      </w:r>
      <w:r w:rsidR="004C5BCD" w:rsidRPr="00526311">
        <w:rPr>
          <w:rFonts w:cs="Arial"/>
          <w:lang w:val="es-ES" w:eastAsia="ko-KR"/>
        </w:rPr>
        <w:t>los límites establecidos (40-60</w:t>
      </w:r>
      <w:r w:rsidRPr="00526311">
        <w:rPr>
          <w:rFonts w:cs="Arial"/>
          <w:lang w:val="es-ES" w:eastAsia="ko-KR"/>
        </w:rPr>
        <w:t xml:space="preserve">%) durante el primer año del bienio y está bien encaminada. </w:t>
      </w:r>
    </w:p>
    <w:p w:rsidR="00794E04" w:rsidRPr="00526311" w:rsidRDefault="00794E04" w:rsidP="0063039A">
      <w:pPr>
        <w:pStyle w:val="ListParagraph"/>
        <w:tabs>
          <w:tab w:val="left" w:pos="709"/>
        </w:tabs>
        <w:ind w:left="0"/>
        <w:jc w:val="both"/>
        <w:rPr>
          <w:rFonts w:cs="Arial"/>
          <w:lang w:val="es-ES"/>
        </w:rPr>
      </w:pPr>
    </w:p>
    <w:p w:rsidR="00794E04" w:rsidRPr="00526311" w:rsidRDefault="00794E04" w:rsidP="0063039A">
      <w:pPr>
        <w:pStyle w:val="ListParagraph"/>
        <w:tabs>
          <w:tab w:val="left" w:pos="709"/>
        </w:tabs>
        <w:ind w:left="0"/>
        <w:jc w:val="both"/>
        <w:rPr>
          <w:rFonts w:cs="Arial"/>
          <w:lang w:val="es-ES"/>
        </w:rPr>
      </w:pPr>
    </w:p>
    <w:p w:rsidR="00794E04" w:rsidRPr="00526311" w:rsidRDefault="00794E04">
      <w:pPr>
        <w:rPr>
          <w:bCs/>
          <w:iCs/>
          <w:caps/>
          <w:szCs w:val="28"/>
        </w:rPr>
      </w:pPr>
      <w:r w:rsidRPr="00526311">
        <w:br w:type="page"/>
      </w:r>
    </w:p>
    <w:p w:rsidR="00794E04" w:rsidRPr="00526311" w:rsidRDefault="00794E04" w:rsidP="0063039A">
      <w:pPr>
        <w:pStyle w:val="Heading2"/>
        <w:keepNext w:val="0"/>
        <w:tabs>
          <w:tab w:val="left" w:pos="2410"/>
        </w:tabs>
        <w:ind w:left="2410" w:hanging="2410"/>
        <w:rPr>
          <w:b/>
        </w:rPr>
      </w:pPr>
      <w:bookmarkStart w:id="85" w:name="_Toc422927439"/>
      <w:r w:rsidRPr="00526311">
        <w:rPr>
          <w:b/>
        </w:rPr>
        <w:lastRenderedPageBreak/>
        <w:t>PROGRAMA 25</w:t>
      </w:r>
      <w:r w:rsidRPr="00526311">
        <w:rPr>
          <w:b/>
        </w:rPr>
        <w:tab/>
        <w:t>TECNOLOGÍAS DE LA INFORMACIÓN Y DE LAS COMUNICACIONES</w:t>
      </w:r>
      <w:bookmarkEnd w:id="85"/>
    </w:p>
    <w:p w:rsidR="00794E04" w:rsidRPr="00526311" w:rsidRDefault="00794E04" w:rsidP="0063039A">
      <w:pPr>
        <w:ind w:left="1985" w:hanging="1985"/>
        <w:rPr>
          <w:sz w:val="20"/>
        </w:rPr>
      </w:pPr>
    </w:p>
    <w:p w:rsidR="00794E04" w:rsidRPr="00526311" w:rsidRDefault="00794E04" w:rsidP="0063039A">
      <w:pPr>
        <w:tabs>
          <w:tab w:val="left" w:pos="2410"/>
        </w:tabs>
        <w:rPr>
          <w:b/>
          <w:sz w:val="20"/>
        </w:rPr>
      </w:pPr>
      <w:r w:rsidRPr="00526311">
        <w:rPr>
          <w:b/>
          <w:sz w:val="20"/>
        </w:rPr>
        <w:t>Director de programa</w:t>
      </w:r>
      <w:r w:rsidRPr="00526311">
        <w:rPr>
          <w:sz w:val="20"/>
        </w:rPr>
        <w:tab/>
      </w:r>
      <w:r w:rsidRPr="00526311">
        <w:rPr>
          <w:b/>
          <w:sz w:val="20"/>
        </w:rPr>
        <w:t>Sr. A. Sundaram</w:t>
      </w:r>
    </w:p>
    <w:p w:rsidR="00794E04" w:rsidRPr="00526311" w:rsidRDefault="00794E04" w:rsidP="0063039A">
      <w:pPr>
        <w:rPr>
          <w:sz w:val="20"/>
        </w:rPr>
      </w:pPr>
    </w:p>
    <w:p w:rsidR="00794E04" w:rsidRPr="00526311" w:rsidRDefault="00794E04" w:rsidP="0063039A">
      <w:pPr>
        <w:rPr>
          <w:sz w:val="20"/>
        </w:rPr>
      </w:pPr>
    </w:p>
    <w:p w:rsidR="00794E04" w:rsidRPr="00526311" w:rsidRDefault="00794E04" w:rsidP="0063039A">
      <w:pPr>
        <w:rPr>
          <w:bCs/>
          <w:szCs w:val="22"/>
        </w:rPr>
      </w:pPr>
      <w:r w:rsidRPr="00526311">
        <w:rPr>
          <w:bCs/>
          <w:szCs w:val="22"/>
        </w:rPr>
        <w:t>RESEÑA DE LOS AVANCES LOGRADOS EN 2014</w:t>
      </w:r>
    </w:p>
    <w:p w:rsidR="00794E04" w:rsidRPr="00526311" w:rsidRDefault="00794E04" w:rsidP="0063039A">
      <w:pPr>
        <w:rPr>
          <w:sz w:val="20"/>
        </w:rPr>
      </w:pPr>
    </w:p>
    <w:p w:rsidR="00794E04" w:rsidRPr="00526311" w:rsidRDefault="00794E04" w:rsidP="00794E04">
      <w:pPr>
        <w:pStyle w:val="ONUME"/>
        <w:numPr>
          <w:ilvl w:val="0"/>
          <w:numId w:val="91"/>
        </w:numPr>
        <w:tabs>
          <w:tab w:val="left" w:pos="709"/>
        </w:tabs>
        <w:spacing w:after="0"/>
        <w:ind w:left="0" w:firstLine="0"/>
        <w:rPr>
          <w:sz w:val="20"/>
        </w:rPr>
      </w:pPr>
      <w:r w:rsidRPr="00526311">
        <w:rPr>
          <w:sz w:val="20"/>
        </w:rPr>
        <w:t>Los puntos que figuran a continuación constituyen los indicadores de los progresos realizados en el ámbito de los servicios de infraestructura y los servicios de soluciones operativas (incluidos los servicios de Internet) en 2014:</w:t>
      </w:r>
    </w:p>
    <w:p w:rsidR="00794E04" w:rsidRPr="00526311" w:rsidRDefault="00794E04" w:rsidP="004F37E5">
      <w:pPr>
        <w:pStyle w:val="ONUME"/>
        <w:numPr>
          <w:ilvl w:val="0"/>
          <w:numId w:val="0"/>
        </w:numPr>
        <w:tabs>
          <w:tab w:val="left" w:pos="709"/>
        </w:tabs>
        <w:spacing w:after="0"/>
        <w:rPr>
          <w:sz w:val="20"/>
        </w:rPr>
      </w:pPr>
    </w:p>
    <w:p w:rsidR="00794E04" w:rsidRPr="00526311" w:rsidRDefault="00794E04" w:rsidP="0063039A">
      <w:pPr>
        <w:pStyle w:val="ListParagraph"/>
        <w:tabs>
          <w:tab w:val="left" w:pos="540"/>
          <w:tab w:val="left" w:pos="1276"/>
        </w:tabs>
        <w:jc w:val="both"/>
        <w:rPr>
          <w:rFonts w:cs="Arial"/>
          <w:lang w:val="es-ES"/>
        </w:rPr>
      </w:pPr>
      <w:r w:rsidRPr="00526311">
        <w:rPr>
          <w:rFonts w:cs="Arial"/>
          <w:lang w:val="es-ES"/>
        </w:rPr>
        <w:t>i)</w:t>
      </w:r>
      <w:r w:rsidRPr="00526311">
        <w:rPr>
          <w:rFonts w:cs="Arial"/>
          <w:lang w:val="es-ES"/>
        </w:rPr>
        <w:tab/>
        <w:t xml:space="preserve">Se siguió mejorando la continuidad de los servicios y la capacidad de reacción y recuperación de la </w:t>
      </w:r>
      <w:r w:rsidRPr="00526311">
        <w:rPr>
          <w:rFonts w:eastAsiaTheme="minorEastAsia" w:cs="Arial"/>
          <w:lang w:val="es-ES" w:eastAsia="ja-JP"/>
        </w:rPr>
        <w:t>infraestructura de las TIC.  Se llevaron a cabo pruebas preliminares que arrojaron resultados prometedores;</w:t>
      </w:r>
    </w:p>
    <w:p w:rsidR="00794E04" w:rsidRPr="00526311" w:rsidRDefault="00794E04" w:rsidP="0063039A">
      <w:pPr>
        <w:pStyle w:val="ListParagraph"/>
        <w:tabs>
          <w:tab w:val="left" w:pos="540"/>
          <w:tab w:val="left" w:pos="1276"/>
        </w:tabs>
        <w:jc w:val="both"/>
        <w:rPr>
          <w:rFonts w:cs="Arial"/>
          <w:lang w:val="es-ES"/>
        </w:rPr>
      </w:pPr>
    </w:p>
    <w:p w:rsidR="00794E04" w:rsidRPr="00526311" w:rsidRDefault="00794E04" w:rsidP="0063039A">
      <w:pPr>
        <w:pStyle w:val="ListParagraph"/>
        <w:tabs>
          <w:tab w:val="left" w:pos="540"/>
          <w:tab w:val="left" w:pos="1276"/>
        </w:tabs>
        <w:jc w:val="both"/>
        <w:rPr>
          <w:rFonts w:cs="Arial"/>
          <w:lang w:val="es-ES"/>
        </w:rPr>
      </w:pPr>
      <w:r w:rsidRPr="00526311">
        <w:rPr>
          <w:rFonts w:cs="Arial"/>
          <w:lang w:val="es-ES"/>
        </w:rPr>
        <w:t>ii)</w:t>
      </w:r>
      <w:r w:rsidRPr="00526311">
        <w:rPr>
          <w:rFonts w:cs="Arial"/>
          <w:lang w:val="es-ES"/>
        </w:rPr>
        <w:tab/>
        <w:t xml:space="preserve">Se finalizó la </w:t>
      </w:r>
      <w:r w:rsidRPr="00526311">
        <w:rPr>
          <w:rFonts w:eastAsiaTheme="minorEastAsia" w:cs="Arial"/>
          <w:lang w:val="es-ES" w:eastAsia="ja-JP"/>
        </w:rPr>
        <w:t>infraestructura de las TIC para la</w:t>
      </w:r>
      <w:r w:rsidRPr="00526311">
        <w:rPr>
          <w:rFonts w:cs="Arial"/>
          <w:lang w:val="es-ES"/>
        </w:rPr>
        <w:t xml:space="preserve"> nueva sala de conferencias de la OMPI en el plazo previsto para acoger la vigesimosegunda sesión del </w:t>
      </w:r>
      <w:r w:rsidRPr="00526311">
        <w:rPr>
          <w:bCs/>
          <w:lang w:val="es-ES"/>
        </w:rPr>
        <w:t>PBC y quincuagésima cuarta serie de reuniones de las Asambleas de los Estados miembros de la OMPI</w:t>
      </w:r>
      <w:r w:rsidRPr="00526311">
        <w:rPr>
          <w:rFonts w:cs="Arial"/>
          <w:lang w:val="es-ES"/>
        </w:rPr>
        <w:t>;</w:t>
      </w:r>
    </w:p>
    <w:p w:rsidR="00794E04" w:rsidRPr="00526311" w:rsidRDefault="00794E04" w:rsidP="0063039A">
      <w:pPr>
        <w:pStyle w:val="ListParagraph"/>
        <w:jc w:val="both"/>
        <w:rPr>
          <w:rFonts w:cs="Arial"/>
          <w:lang w:val="es-ES"/>
        </w:rPr>
      </w:pPr>
    </w:p>
    <w:p w:rsidR="00794E04" w:rsidRPr="00526311" w:rsidRDefault="00794E04" w:rsidP="0063039A">
      <w:pPr>
        <w:pStyle w:val="ListParagraph"/>
        <w:tabs>
          <w:tab w:val="left" w:pos="567"/>
          <w:tab w:val="left" w:pos="1276"/>
        </w:tabs>
        <w:ind w:left="709"/>
        <w:jc w:val="both"/>
        <w:rPr>
          <w:rFonts w:eastAsiaTheme="minorEastAsia" w:cs="Arial"/>
          <w:lang w:val="es-ES" w:eastAsia="ja-JP"/>
        </w:rPr>
      </w:pPr>
      <w:r w:rsidRPr="00526311">
        <w:rPr>
          <w:rFonts w:eastAsiaTheme="minorEastAsia" w:cs="Arial"/>
          <w:lang w:val="es-ES" w:eastAsia="ja-JP"/>
        </w:rPr>
        <w:t>iii)</w:t>
      </w:r>
      <w:r w:rsidRPr="00526311">
        <w:rPr>
          <w:rFonts w:eastAsiaTheme="minorEastAsia" w:cs="Arial"/>
          <w:lang w:val="es-ES" w:eastAsia="ja-JP"/>
        </w:rPr>
        <w:tab/>
        <w:t>Gracias al fortalecimiento de la cooperación se comprendieron y documentaron mejor las expectativas de los principales sectores de actividad en relación con la capacidad en el ámbito de las TIC.  En consecuencia, se concluyeron acuerdos de prestación de servicios que permitieron determinar más explícitamente las necesidades en materia de TIC de sectores de actividad concretos y asegurar un seguimiento y supervisión más sistemáticos;</w:t>
      </w:r>
    </w:p>
    <w:p w:rsidR="00794E04" w:rsidRPr="00526311" w:rsidRDefault="00794E04" w:rsidP="0063039A">
      <w:pPr>
        <w:pStyle w:val="ListParagraph"/>
        <w:jc w:val="both"/>
        <w:rPr>
          <w:rFonts w:eastAsiaTheme="minorEastAsia" w:cs="Arial"/>
          <w:lang w:val="es-ES" w:eastAsia="ja-JP"/>
        </w:rPr>
      </w:pPr>
    </w:p>
    <w:p w:rsidR="00794E04" w:rsidRPr="00526311" w:rsidRDefault="00794E04" w:rsidP="0063039A">
      <w:pPr>
        <w:pStyle w:val="ListParagraph"/>
        <w:tabs>
          <w:tab w:val="left" w:pos="567"/>
          <w:tab w:val="left" w:pos="1276"/>
        </w:tabs>
        <w:ind w:left="709"/>
        <w:jc w:val="both"/>
        <w:rPr>
          <w:lang w:val="es-ES"/>
        </w:rPr>
      </w:pPr>
      <w:r w:rsidRPr="00526311">
        <w:rPr>
          <w:rFonts w:eastAsiaTheme="minorEastAsia" w:cs="Arial"/>
          <w:lang w:val="es-ES" w:eastAsia="ja-JP"/>
        </w:rPr>
        <w:t>iv)</w:t>
      </w:r>
      <w:r w:rsidRPr="00526311">
        <w:rPr>
          <w:rFonts w:eastAsiaTheme="minorEastAsia" w:cs="Arial"/>
          <w:lang w:val="es-ES" w:eastAsia="ja-JP"/>
        </w:rPr>
        <w:tab/>
        <w:t>En respuesta a la evolución constante del entorno de las operaciones</w:t>
      </w:r>
      <w:r w:rsidRPr="00526311">
        <w:rPr>
          <w:lang w:val="es-ES"/>
        </w:rPr>
        <w:t>, se examinaron los avances tecnológicos susceptibles de contribuir a la elaboración de una futura estrategia informática para los usuarios finales que permita hacer frente a la creciente necesidad de movilidad, por ejemplo, mediante el uso de dispositivos portátiles (tabletas y teléfonos inteligentes) en contraposición con los equipos informáticos más tradicionales (computadoras de escritorio y portátiles);</w:t>
      </w:r>
    </w:p>
    <w:p w:rsidR="00794E04" w:rsidRPr="00526311" w:rsidRDefault="00794E04" w:rsidP="0063039A">
      <w:pPr>
        <w:pStyle w:val="ListParagraph"/>
        <w:rPr>
          <w:lang w:val="es-ES"/>
        </w:rPr>
      </w:pPr>
    </w:p>
    <w:p w:rsidR="00794E04" w:rsidRPr="00526311" w:rsidRDefault="00794E04" w:rsidP="0063039A">
      <w:pPr>
        <w:pStyle w:val="ListParagraph"/>
        <w:tabs>
          <w:tab w:val="left" w:pos="567"/>
          <w:tab w:val="left" w:pos="1276"/>
        </w:tabs>
        <w:ind w:left="709"/>
        <w:jc w:val="both"/>
        <w:rPr>
          <w:lang w:val="es-ES"/>
        </w:rPr>
      </w:pPr>
      <w:r w:rsidRPr="00526311">
        <w:rPr>
          <w:rFonts w:cs="Arial"/>
          <w:lang w:val="es-ES"/>
        </w:rPr>
        <w:t>v)</w:t>
      </w:r>
      <w:r w:rsidRPr="00526311">
        <w:rPr>
          <w:rFonts w:cs="Arial"/>
          <w:lang w:val="es-ES"/>
        </w:rPr>
        <w:tab/>
        <w:t>Se mejoraron las telecomunicaciones móviles y se ofrecen ahora servicios más integrados a un costo reducido.  Para adaptarse a la evolución de esa rama de la industria, se introdujo un sistema de gestión de dispositivos móviles que posibilita las comunicaciones eficaces en función de los costos entre los miembros del personal de la OMPI a través de diversos medios, independientemente del lugar donde se encuentren;  y</w:t>
      </w:r>
    </w:p>
    <w:p w:rsidR="00794E04" w:rsidRPr="00526311" w:rsidRDefault="00794E04" w:rsidP="0063039A">
      <w:pPr>
        <w:pStyle w:val="ListParagraph"/>
        <w:jc w:val="both"/>
        <w:rPr>
          <w:lang w:val="es-ES"/>
        </w:rPr>
      </w:pPr>
    </w:p>
    <w:p w:rsidR="00794E04" w:rsidRPr="00526311" w:rsidRDefault="00794E04" w:rsidP="0063039A">
      <w:pPr>
        <w:pStyle w:val="ListParagraph"/>
        <w:tabs>
          <w:tab w:val="left" w:pos="567"/>
          <w:tab w:val="left" w:pos="1276"/>
        </w:tabs>
        <w:ind w:left="709"/>
        <w:jc w:val="both"/>
        <w:rPr>
          <w:rFonts w:cs="Arial"/>
          <w:lang w:val="es-ES"/>
        </w:rPr>
      </w:pPr>
      <w:r w:rsidRPr="00526311">
        <w:rPr>
          <w:rFonts w:cs="Arial"/>
          <w:lang w:val="es-ES"/>
        </w:rPr>
        <w:t>vi)</w:t>
      </w:r>
      <w:r w:rsidRPr="00526311">
        <w:rPr>
          <w:rFonts w:cs="Arial"/>
          <w:lang w:val="es-ES"/>
        </w:rPr>
        <w:tab/>
        <w:t>Se siguió avanzando en la migración de las plataformas de servidores tradicionales a servidores virtuales, la consolidación de las licencias de bases de datos y la optimización de las políticas para la gestión de las cuentas de usuario no utilizadas.</w:t>
      </w:r>
    </w:p>
    <w:p w:rsidR="00794E04" w:rsidRPr="00526311" w:rsidRDefault="00794E04" w:rsidP="0063039A">
      <w:pPr>
        <w:jc w:val="both"/>
        <w:rPr>
          <w:sz w:val="20"/>
        </w:rPr>
      </w:pPr>
    </w:p>
    <w:p w:rsidR="00794E04" w:rsidRPr="00526311" w:rsidRDefault="00794E04" w:rsidP="00794E04">
      <w:pPr>
        <w:pStyle w:val="ONUME"/>
        <w:numPr>
          <w:ilvl w:val="0"/>
          <w:numId w:val="91"/>
        </w:numPr>
        <w:tabs>
          <w:tab w:val="left" w:pos="709"/>
        </w:tabs>
        <w:spacing w:after="0"/>
        <w:ind w:left="0" w:firstLine="0"/>
        <w:jc w:val="both"/>
        <w:rPr>
          <w:sz w:val="20"/>
        </w:rPr>
      </w:pPr>
      <w:r w:rsidRPr="00526311">
        <w:rPr>
          <w:sz w:val="20"/>
        </w:rPr>
        <w:t>Si bien una buena parte de los mecanismos para el aseguramiento de la información había entrado en funcionamiento, se consiguieron en 2014 varios logros importantes que contribuyeron en gran medida a mejorar la protección y la seguridad de la información y de los sistemas de la OMPI.</w:t>
      </w:r>
    </w:p>
    <w:p w:rsidR="00794E04" w:rsidRPr="00526311" w:rsidRDefault="00794E04" w:rsidP="004F37E5">
      <w:pPr>
        <w:pStyle w:val="ONUME"/>
        <w:numPr>
          <w:ilvl w:val="0"/>
          <w:numId w:val="0"/>
        </w:numPr>
        <w:tabs>
          <w:tab w:val="left" w:pos="709"/>
        </w:tabs>
        <w:spacing w:after="0"/>
        <w:jc w:val="both"/>
        <w:rPr>
          <w:sz w:val="20"/>
        </w:rPr>
      </w:pPr>
    </w:p>
    <w:p w:rsidR="00794E04" w:rsidRPr="00526311" w:rsidRDefault="00794E04" w:rsidP="00794E04">
      <w:pPr>
        <w:pStyle w:val="ONUME"/>
        <w:numPr>
          <w:ilvl w:val="0"/>
          <w:numId w:val="91"/>
        </w:numPr>
        <w:tabs>
          <w:tab w:val="left" w:pos="709"/>
        </w:tabs>
        <w:spacing w:after="0"/>
        <w:ind w:left="0" w:firstLine="0"/>
        <w:jc w:val="both"/>
        <w:rPr>
          <w:sz w:val="20"/>
        </w:rPr>
      </w:pPr>
      <w:r w:rsidRPr="00526311">
        <w:rPr>
          <w:sz w:val="20"/>
        </w:rPr>
        <w:t>En el marco del proceso de mejora continua impulsado por la Norma ISO 27001, el PCT obtuvo una nueva certificación respecto a la versión actualizada de 2013 de la Norma (ISO 27001:2013); no se detectaron casos de falta de conformidad</w:t>
      </w:r>
      <w:r w:rsidRPr="00526311">
        <w:rPr>
          <w:rFonts w:eastAsia="Times New Roman" w:cs="Times New Roman"/>
          <w:sz w:val="20"/>
          <w:lang w:eastAsia="en-US"/>
        </w:rPr>
        <w:t xml:space="preserve"> de </w:t>
      </w:r>
      <w:r w:rsidRPr="00526311">
        <w:rPr>
          <w:sz w:val="20"/>
        </w:rPr>
        <w:t>mayor o menor importancia.  En el marco de ese proceso, se realizaron varias evaluaciones de riesgos de proveedores de servicios externos con el fin de garantizar una mejor seguridad en la cadena de suministro de los servicios.</w:t>
      </w:r>
    </w:p>
    <w:p w:rsidR="00794E04" w:rsidRPr="00526311" w:rsidRDefault="00794E04" w:rsidP="004F37E5">
      <w:pPr>
        <w:pStyle w:val="ONUME"/>
        <w:numPr>
          <w:ilvl w:val="0"/>
          <w:numId w:val="0"/>
        </w:numPr>
        <w:tabs>
          <w:tab w:val="left" w:pos="709"/>
        </w:tabs>
        <w:spacing w:after="0"/>
        <w:jc w:val="both"/>
        <w:rPr>
          <w:sz w:val="20"/>
        </w:rPr>
      </w:pPr>
    </w:p>
    <w:p w:rsidR="00794E04" w:rsidRPr="00526311" w:rsidRDefault="00794E04" w:rsidP="00794E04">
      <w:pPr>
        <w:pStyle w:val="ONUME"/>
        <w:numPr>
          <w:ilvl w:val="0"/>
          <w:numId w:val="91"/>
        </w:numPr>
        <w:tabs>
          <w:tab w:val="left" w:pos="709"/>
        </w:tabs>
        <w:spacing w:after="0"/>
        <w:ind w:left="0" w:firstLine="0"/>
        <w:jc w:val="both"/>
        <w:rPr>
          <w:sz w:val="20"/>
        </w:rPr>
      </w:pPr>
      <w:r w:rsidRPr="00526311">
        <w:rPr>
          <w:sz w:val="20"/>
        </w:rPr>
        <w:t>La Sección de Seguridad de la Información también contribuyó a la selección e implantación de un sistema de gestión institucional de riesgos (</w:t>
      </w:r>
      <w:r w:rsidRPr="00526311">
        <w:rPr>
          <w:i/>
          <w:sz w:val="20"/>
        </w:rPr>
        <w:t>Acuity Stream</w:t>
      </w:r>
      <w:r w:rsidRPr="00526311">
        <w:rPr>
          <w:sz w:val="20"/>
        </w:rPr>
        <w:t>) destinado a aumentar la capacidad en materia de gestión institucional de riesgos en la OMPI y posibilitar la integración total de los procesos de gestión de riesgo, basados en las normas ISO, en los enfoques de gestión de riesgos de la Organización.  La implantación de ese sistema permitió potenciar las actividades de gestión de riesgos, basadas en las normas ISO, para el PCT, ya que posibilita una mejor presentación de informes y visualización de los niveles actuales de riesgo y de la situación relativa a la mitigación.</w:t>
      </w:r>
    </w:p>
    <w:p w:rsidR="00794E04" w:rsidRPr="00526311" w:rsidRDefault="00794E04" w:rsidP="004F37E5">
      <w:pPr>
        <w:pStyle w:val="ONUME"/>
        <w:numPr>
          <w:ilvl w:val="0"/>
          <w:numId w:val="0"/>
        </w:numPr>
        <w:tabs>
          <w:tab w:val="left" w:pos="709"/>
        </w:tabs>
        <w:spacing w:after="0"/>
        <w:jc w:val="both"/>
        <w:rPr>
          <w:sz w:val="20"/>
        </w:rPr>
      </w:pPr>
    </w:p>
    <w:p w:rsidR="00794E04" w:rsidRPr="00526311" w:rsidRDefault="00794E04" w:rsidP="00794E04">
      <w:pPr>
        <w:pStyle w:val="ONUME"/>
        <w:numPr>
          <w:ilvl w:val="0"/>
          <w:numId w:val="91"/>
        </w:numPr>
        <w:tabs>
          <w:tab w:val="left" w:pos="709"/>
        </w:tabs>
        <w:spacing w:after="0"/>
        <w:ind w:left="0" w:firstLine="0"/>
        <w:jc w:val="both"/>
        <w:rPr>
          <w:sz w:val="20"/>
        </w:rPr>
      </w:pPr>
      <w:r w:rsidRPr="00526311">
        <w:rPr>
          <w:sz w:val="20"/>
        </w:rPr>
        <w:lastRenderedPageBreak/>
        <w:t>La Sección de Seguridad de la Información también colaboró estrechamente con los equipos de desarrollo del PCT con miras a elaborar y poner en práctica un sistema de gestión de ciclo de vida para el desarrollo seguro de aplicaciones que permite abordar el cumplimiento de los requisitos y los controles de la seguridad de la información desde el inicio del proyecto de desarrollo, reduciendo así considerablemente la cantidad de operaciones necesarias para volver a pasar las pruebas de seguridad de las aplicaciones.</w:t>
      </w:r>
    </w:p>
    <w:p w:rsidR="00794E04" w:rsidRPr="00526311" w:rsidRDefault="00794E04" w:rsidP="004F37E5">
      <w:pPr>
        <w:pStyle w:val="ONUME"/>
        <w:numPr>
          <w:ilvl w:val="0"/>
          <w:numId w:val="0"/>
        </w:numPr>
        <w:tabs>
          <w:tab w:val="left" w:pos="709"/>
        </w:tabs>
        <w:spacing w:after="0"/>
        <w:jc w:val="both"/>
        <w:rPr>
          <w:sz w:val="20"/>
        </w:rPr>
      </w:pPr>
    </w:p>
    <w:p w:rsidR="00794E04" w:rsidRPr="00526311" w:rsidRDefault="00794E04" w:rsidP="00794E04">
      <w:pPr>
        <w:pStyle w:val="ONUME"/>
        <w:numPr>
          <w:ilvl w:val="0"/>
          <w:numId w:val="91"/>
        </w:numPr>
        <w:tabs>
          <w:tab w:val="left" w:pos="709"/>
        </w:tabs>
        <w:spacing w:after="0"/>
        <w:ind w:left="0" w:firstLine="0"/>
        <w:jc w:val="both"/>
        <w:rPr>
          <w:sz w:val="20"/>
        </w:rPr>
      </w:pPr>
      <w:r w:rsidRPr="00526311">
        <w:rPr>
          <w:sz w:val="20"/>
        </w:rPr>
        <w:t>Se finalizó el proyecto que tenía por objeto la instalación completa del sistema ArcSight de gestión de la información y de los incidentes de seguridad (SEIM), lo que permitió aumentar la visibilidad de los posibles incidentes de seguridad en la red de la OMPI y dar una respuesta más eficaz y eficiente a los incidentes de seguridad.</w:t>
      </w:r>
    </w:p>
    <w:p w:rsidR="00794E04" w:rsidRPr="00526311" w:rsidRDefault="00794E04" w:rsidP="0063039A">
      <w:pPr>
        <w:jc w:val="both"/>
        <w:rPr>
          <w:sz w:val="20"/>
        </w:rPr>
      </w:pPr>
    </w:p>
    <w:p w:rsidR="00794E04" w:rsidRPr="00526311" w:rsidRDefault="00794E04" w:rsidP="00794E04">
      <w:pPr>
        <w:pStyle w:val="ONUME"/>
        <w:numPr>
          <w:ilvl w:val="0"/>
          <w:numId w:val="91"/>
        </w:numPr>
        <w:tabs>
          <w:tab w:val="left" w:pos="709"/>
        </w:tabs>
        <w:spacing w:after="0"/>
        <w:ind w:left="0" w:firstLine="0"/>
        <w:jc w:val="both"/>
        <w:rPr>
          <w:sz w:val="20"/>
        </w:rPr>
      </w:pPr>
      <w:r w:rsidRPr="00526311">
        <w:rPr>
          <w:sz w:val="20"/>
        </w:rPr>
        <w:t xml:space="preserve">También en 2014 se puso en marcha un sistema destinado a sensibilizar a los usuarios acerca del fenómeno de estafa por suplantación de identidad o </w:t>
      </w:r>
      <w:r w:rsidRPr="00526311">
        <w:rPr>
          <w:i/>
          <w:sz w:val="20"/>
        </w:rPr>
        <w:t>phishing</w:t>
      </w:r>
      <w:r w:rsidRPr="00526311">
        <w:rPr>
          <w:sz w:val="20"/>
        </w:rPr>
        <w:t>.  La primera campaña de sensibilización dio lugar a un fuerte aumento del número de denuncias de intentos de estafa por suplantación de identidad provenientes de la comunidad de usuarios.</w:t>
      </w:r>
    </w:p>
    <w:p w:rsidR="00794E04" w:rsidRPr="00526311" w:rsidRDefault="00794E04" w:rsidP="004F37E5">
      <w:pPr>
        <w:pStyle w:val="ONUME"/>
        <w:numPr>
          <w:ilvl w:val="0"/>
          <w:numId w:val="0"/>
        </w:numPr>
        <w:tabs>
          <w:tab w:val="left" w:pos="709"/>
        </w:tabs>
        <w:spacing w:after="0"/>
        <w:jc w:val="both"/>
        <w:rPr>
          <w:sz w:val="20"/>
        </w:rPr>
      </w:pPr>
    </w:p>
    <w:p w:rsidR="00794E04" w:rsidRPr="00526311" w:rsidRDefault="00794E04" w:rsidP="00794E04">
      <w:pPr>
        <w:pStyle w:val="ONUME"/>
        <w:numPr>
          <w:ilvl w:val="0"/>
          <w:numId w:val="91"/>
        </w:numPr>
        <w:tabs>
          <w:tab w:val="left" w:pos="709"/>
        </w:tabs>
        <w:spacing w:after="0"/>
        <w:ind w:left="0" w:firstLine="0"/>
        <w:jc w:val="both"/>
        <w:rPr>
          <w:sz w:val="20"/>
        </w:rPr>
      </w:pPr>
      <w:r w:rsidRPr="00526311">
        <w:rPr>
          <w:sz w:val="20"/>
        </w:rPr>
        <w:t>El número de incidentes importantes relacionados con la seguridad de la información fue muy bajo durante el año:  solo se señaló un incidente que afectó a toda una dependencia de la Organización.</w:t>
      </w:r>
    </w:p>
    <w:p w:rsidR="00794E04" w:rsidRPr="00526311" w:rsidRDefault="00794E04" w:rsidP="0063039A">
      <w:pPr>
        <w:jc w:val="both"/>
        <w:rPr>
          <w:color w:val="000000" w:themeColor="text1"/>
          <w:sz w:val="20"/>
        </w:rPr>
      </w:pPr>
    </w:p>
    <w:p w:rsidR="00794E04" w:rsidRPr="00526311" w:rsidRDefault="00794E04" w:rsidP="0063039A">
      <w:pPr>
        <w:jc w:val="both"/>
        <w:rPr>
          <w:sz w:val="20"/>
        </w:rPr>
      </w:pPr>
    </w:p>
    <w:p w:rsidR="00794E04" w:rsidRPr="00526311" w:rsidRDefault="00794E04" w:rsidP="0063039A">
      <w:pPr>
        <w:jc w:val="both"/>
        <w:rPr>
          <w:szCs w:val="22"/>
        </w:rPr>
      </w:pPr>
      <w:r w:rsidRPr="00526311">
        <w:rPr>
          <w:szCs w:val="22"/>
        </w:rPr>
        <w:t>DATOS SOBRE EL RENDIMIENTO</w:t>
      </w:r>
    </w:p>
    <w:p w:rsidR="00794E04" w:rsidRPr="00526311" w:rsidRDefault="00794E04" w:rsidP="0063039A">
      <w:pPr>
        <w:rPr>
          <w:szCs w:val="22"/>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44"/>
        <w:gridCol w:w="1560"/>
        <w:gridCol w:w="2692"/>
        <w:gridCol w:w="1275"/>
      </w:tblGrid>
      <w:tr w:rsidR="00794E04" w:rsidRPr="00526311" w:rsidTr="0063039A">
        <w:trPr>
          <w:cantSplit/>
        </w:trPr>
        <w:tc>
          <w:tcPr>
            <w:tcW w:w="5000" w:type="pct"/>
            <w:gridSpan w:val="5"/>
            <w:tcBorders>
              <w:top w:val="single" w:sz="4" w:space="0" w:color="auto"/>
              <w:bottom w:val="single" w:sz="4" w:space="0" w:color="auto"/>
            </w:tcBorders>
            <w:shd w:val="clear" w:color="auto" w:fill="CCFFFF"/>
            <w:vAlign w:val="center"/>
          </w:tcPr>
          <w:p w:rsidR="00794E04" w:rsidRPr="00526311" w:rsidRDefault="00794E04" w:rsidP="0063039A">
            <w:pPr>
              <w:keepNext/>
              <w:keepLines/>
              <w:tabs>
                <w:tab w:val="left" w:pos="1735"/>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bCs/>
                <w:sz w:val="16"/>
                <w:szCs w:val="16"/>
              </w:rPr>
              <w:t>IX.1 Servicios de apoyo eficaces, eficientes, de calidad y orientados al cliente, tanto a los clientes internos como a las partes interesadas externas</w:t>
            </w:r>
          </w:p>
        </w:tc>
      </w:tr>
      <w:tr w:rsidR="00794E04" w:rsidRPr="00526311" w:rsidTr="0063039A">
        <w:trPr>
          <w:cantSplit/>
        </w:trPr>
        <w:tc>
          <w:tcPr>
            <w:tcW w:w="1120" w:type="pct"/>
            <w:tcBorders>
              <w:top w:val="single" w:sz="4" w:space="0" w:color="auto"/>
              <w:left w:val="single" w:sz="4" w:space="0" w:color="auto"/>
              <w:bottom w:val="nil"/>
            </w:tcBorders>
            <w:shd w:val="clear" w:color="auto" w:fill="auto"/>
            <w:vAlign w:val="center"/>
          </w:tcPr>
          <w:p w:rsidR="00794E04" w:rsidRPr="00526311" w:rsidRDefault="00794E04" w:rsidP="0063039A">
            <w:pPr>
              <w:rPr>
                <w:sz w:val="16"/>
                <w:szCs w:val="16"/>
              </w:rPr>
            </w:pPr>
            <w:r w:rsidRPr="00526311">
              <w:rPr>
                <w:b/>
                <w:sz w:val="16"/>
                <w:szCs w:val="16"/>
              </w:rPr>
              <w:t>Indicadores de rendimiento</w:t>
            </w:r>
          </w:p>
        </w:tc>
        <w:tc>
          <w:tcPr>
            <w:tcW w:w="971" w:type="pct"/>
            <w:tcBorders>
              <w:top w:val="single" w:sz="4" w:space="0" w:color="auto"/>
              <w:bottom w:val="nil"/>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821" w:type="pct"/>
            <w:tcBorders>
              <w:top w:val="single" w:sz="4" w:space="0" w:color="auto"/>
              <w:bottom w:val="nil"/>
            </w:tcBorders>
            <w:shd w:val="clear" w:color="auto" w:fill="auto"/>
            <w:tcMar>
              <w:top w:w="110" w:type="dxa"/>
            </w:tcMar>
            <w:vAlign w:val="center"/>
          </w:tcPr>
          <w:p w:rsidR="00794E04" w:rsidRPr="00526311" w:rsidRDefault="00794E04" w:rsidP="0063039A">
            <w:pPr>
              <w:rPr>
                <w:b/>
                <w:sz w:val="16"/>
                <w:szCs w:val="16"/>
              </w:rPr>
            </w:pPr>
            <w:r w:rsidRPr="00526311">
              <w:rPr>
                <w:b/>
                <w:sz w:val="16"/>
                <w:szCs w:val="16"/>
              </w:rPr>
              <w:t>Objetivos</w:t>
            </w:r>
          </w:p>
        </w:tc>
        <w:tc>
          <w:tcPr>
            <w:tcW w:w="1417" w:type="pct"/>
            <w:tcBorders>
              <w:top w:val="single" w:sz="4" w:space="0" w:color="auto"/>
              <w:bottom w:val="nil"/>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71" w:type="pct"/>
            <w:tcBorders>
              <w:top w:val="single" w:sz="4" w:space="0" w:color="auto"/>
              <w:bottom w:val="nil"/>
              <w:right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rPr>
          <w:cantSplit/>
        </w:trPr>
        <w:tc>
          <w:tcPr>
            <w:tcW w:w="1120" w:type="pct"/>
            <w:tcBorders>
              <w:top w:val="nil"/>
              <w:left w:val="single" w:sz="4" w:space="0" w:color="auto"/>
              <w:bottom w:val="nil"/>
            </w:tcBorders>
            <w:shd w:val="clear" w:color="auto" w:fill="auto"/>
          </w:tcPr>
          <w:p w:rsidR="00794E04" w:rsidRPr="00526311" w:rsidRDefault="00794E04" w:rsidP="0063039A">
            <w:pPr>
              <w:rPr>
                <w:sz w:val="16"/>
                <w:szCs w:val="16"/>
              </w:rPr>
            </w:pPr>
            <w:r w:rsidRPr="00526311">
              <w:rPr>
                <w:sz w:val="16"/>
                <w:szCs w:val="16"/>
              </w:rPr>
              <w:t>Los sistemas de TIC se alojan y se administran económicamente en concordancia con las necesidades operativas</w:t>
            </w:r>
          </w:p>
        </w:tc>
        <w:tc>
          <w:tcPr>
            <w:tcW w:w="971" w:type="pct"/>
            <w:tcBorders>
              <w:top w:val="nil"/>
              <w:bottom w:val="nil"/>
            </w:tcBorders>
            <w:shd w:val="clear" w:color="auto" w:fill="auto"/>
          </w:tcPr>
          <w:p w:rsidR="00794E04" w:rsidRPr="00526311" w:rsidRDefault="00794E04" w:rsidP="0063039A">
            <w:pPr>
              <w:rPr>
                <w:color w:val="002060"/>
                <w:sz w:val="16"/>
                <w:szCs w:val="16"/>
              </w:rPr>
            </w:pPr>
            <w:r w:rsidRPr="00526311">
              <w:rPr>
                <w:i/>
                <w:color w:val="002060"/>
                <w:sz w:val="16"/>
                <w:szCs w:val="16"/>
              </w:rPr>
              <w:t>Referencia actualizada a fines de 2013:</w:t>
            </w:r>
            <w:r w:rsidRPr="00526311">
              <w:rPr>
                <w:color w:val="002060"/>
                <w:sz w:val="16"/>
                <w:szCs w:val="16"/>
              </w:rPr>
              <w:t xml:space="preserve"> </w:t>
            </w:r>
          </w:p>
          <w:p w:rsidR="00794E04" w:rsidRPr="00526311" w:rsidRDefault="00794E04" w:rsidP="0063039A">
            <w:pPr>
              <w:rPr>
                <w:color w:val="002060"/>
                <w:sz w:val="16"/>
                <w:szCs w:val="16"/>
              </w:rPr>
            </w:pPr>
            <w:r w:rsidRPr="00526311">
              <w:rPr>
                <w:color w:val="002060"/>
                <w:sz w:val="16"/>
                <w:szCs w:val="16"/>
              </w:rPr>
              <w:t>Costo mensual del apoyo al servidor institucional: $280;</w:t>
            </w:r>
          </w:p>
          <w:p w:rsidR="00794E04" w:rsidRPr="00526311" w:rsidRDefault="00794E04" w:rsidP="0063039A">
            <w:pPr>
              <w:rPr>
                <w:color w:val="002060"/>
                <w:sz w:val="16"/>
                <w:szCs w:val="16"/>
              </w:rPr>
            </w:pPr>
            <w:r w:rsidRPr="00526311">
              <w:rPr>
                <w:color w:val="002060"/>
                <w:sz w:val="16"/>
                <w:szCs w:val="16"/>
              </w:rPr>
              <w:t xml:space="preserve">costo mensual del servidor virtual  (de 2 núcleos y 8 GB): $229; </w:t>
            </w:r>
          </w:p>
          <w:p w:rsidR="00794E04" w:rsidRPr="00526311" w:rsidRDefault="00794E04" w:rsidP="0063039A">
            <w:pPr>
              <w:rPr>
                <w:color w:val="002060"/>
                <w:sz w:val="16"/>
                <w:szCs w:val="16"/>
              </w:rPr>
            </w:pPr>
            <w:r w:rsidRPr="00526311">
              <w:rPr>
                <w:color w:val="002060"/>
                <w:sz w:val="16"/>
                <w:szCs w:val="16"/>
              </w:rPr>
              <w:t>costo medio mensual</w:t>
            </w:r>
          </w:p>
          <w:p w:rsidR="00794E04" w:rsidRPr="00526311" w:rsidRDefault="00794E04" w:rsidP="0063039A">
            <w:pPr>
              <w:rPr>
                <w:color w:val="002060"/>
                <w:sz w:val="16"/>
                <w:szCs w:val="16"/>
              </w:rPr>
            </w:pPr>
            <w:r w:rsidRPr="00526311">
              <w:rPr>
                <w:color w:val="002060"/>
                <w:sz w:val="16"/>
                <w:szCs w:val="16"/>
              </w:rPr>
              <w:t>del almacenamiento de alto rendimiento: $420/TB;  costo medio mensual del almacenamiento de seguridad: $53,9</w:t>
            </w:r>
          </w:p>
          <w:p w:rsidR="00794E04" w:rsidRPr="00526311" w:rsidRDefault="00794E04" w:rsidP="0063039A">
            <w:pPr>
              <w:rPr>
                <w:color w:val="002060"/>
                <w:sz w:val="16"/>
                <w:szCs w:val="16"/>
              </w:rPr>
            </w:pPr>
          </w:p>
          <w:p w:rsidR="00794E04" w:rsidRPr="00526311" w:rsidRDefault="007B705E" w:rsidP="0063039A">
            <w:pPr>
              <w:rPr>
                <w:color w:val="000000" w:themeColor="text1"/>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color w:val="000000" w:themeColor="text1"/>
                <w:sz w:val="16"/>
                <w:szCs w:val="16"/>
              </w:rPr>
              <w:t xml:space="preserve">Costos unitarios de los servidores virtuales y físicos, del almacenamiento y las copias de seguridad  </w:t>
            </w:r>
          </w:p>
        </w:tc>
        <w:tc>
          <w:tcPr>
            <w:tcW w:w="821" w:type="pct"/>
            <w:tcBorders>
              <w:top w:val="nil"/>
              <w:bottom w:val="nil"/>
            </w:tcBorders>
            <w:shd w:val="clear" w:color="auto" w:fill="auto"/>
            <w:tcMar>
              <w:top w:w="110" w:type="dxa"/>
            </w:tcMar>
          </w:tcPr>
          <w:p w:rsidR="00794E04" w:rsidRPr="00526311" w:rsidRDefault="00794E04" w:rsidP="0063039A">
            <w:pPr>
              <w:rPr>
                <w:sz w:val="16"/>
                <w:szCs w:val="16"/>
              </w:rPr>
            </w:pPr>
            <w:r w:rsidRPr="00526311">
              <w:rPr>
                <w:sz w:val="16"/>
                <w:szCs w:val="16"/>
              </w:rPr>
              <w:t>Los costos unitarios de alojamiento de infraestructuras están al nivel de la referencia o por debajo de ella</w:t>
            </w:r>
          </w:p>
        </w:tc>
        <w:tc>
          <w:tcPr>
            <w:tcW w:w="1417" w:type="pct"/>
            <w:tcBorders>
              <w:top w:val="nil"/>
              <w:bottom w:val="nil"/>
            </w:tcBorders>
            <w:shd w:val="clear" w:color="auto" w:fill="FFFFFF"/>
            <w:tcMar>
              <w:top w:w="110" w:type="dxa"/>
            </w:tcMar>
          </w:tcPr>
          <w:p w:rsidR="00794E04" w:rsidRPr="00526311" w:rsidRDefault="00794E04" w:rsidP="0063039A">
            <w:pPr>
              <w:rPr>
                <w:color w:val="000000"/>
                <w:sz w:val="16"/>
                <w:szCs w:val="16"/>
              </w:rPr>
            </w:pPr>
            <w:r w:rsidRPr="00526311">
              <w:rPr>
                <w:color w:val="000000"/>
                <w:sz w:val="16"/>
                <w:szCs w:val="16"/>
              </w:rPr>
              <w:t>Los costos de 2014 se mantuvieron al nivel de la referencia actualizada de 2013</w:t>
            </w:r>
          </w:p>
          <w:p w:rsidR="00794E04" w:rsidRPr="00526311" w:rsidRDefault="00794E04" w:rsidP="0063039A">
            <w:pPr>
              <w:rPr>
                <w:color w:val="000000" w:themeColor="text1"/>
                <w:sz w:val="16"/>
                <w:szCs w:val="16"/>
              </w:rPr>
            </w:pPr>
          </w:p>
          <w:p w:rsidR="00794E04" w:rsidRPr="00526311" w:rsidRDefault="00794E04" w:rsidP="0063039A">
            <w:pPr>
              <w:rPr>
                <w:color w:val="000000"/>
                <w:sz w:val="16"/>
                <w:szCs w:val="16"/>
              </w:rPr>
            </w:pPr>
            <w:r w:rsidRPr="00526311">
              <w:rPr>
                <w:color w:val="000000" w:themeColor="text1"/>
                <w:sz w:val="16"/>
                <w:szCs w:val="16"/>
              </w:rPr>
              <w:t>Los nuevos costos negociados en 2014 entrarán en vigor en 2015:</w:t>
            </w:r>
          </w:p>
          <w:p w:rsidR="00794E04" w:rsidRPr="00526311" w:rsidRDefault="00794E04" w:rsidP="00794E04">
            <w:pPr>
              <w:pStyle w:val="ListParagraph"/>
              <w:numPr>
                <w:ilvl w:val="0"/>
                <w:numId w:val="90"/>
              </w:numPr>
              <w:rPr>
                <w:rFonts w:cs="Arial"/>
                <w:color w:val="000000"/>
                <w:sz w:val="16"/>
                <w:szCs w:val="16"/>
                <w:lang w:val="es-ES"/>
              </w:rPr>
            </w:pPr>
            <w:r w:rsidRPr="00526311">
              <w:rPr>
                <w:rFonts w:cs="Arial"/>
                <w:color w:val="000000"/>
                <w:sz w:val="16"/>
                <w:szCs w:val="16"/>
                <w:lang w:val="es-ES"/>
              </w:rPr>
              <w:t>Costo unitario de los servidores: 448 CHF/mes; Costo unitario por TB de almacenamiento: 299 CHF/mes</w:t>
            </w:r>
          </w:p>
          <w:p w:rsidR="00794E04" w:rsidRPr="00526311" w:rsidRDefault="00794E04" w:rsidP="00794E04">
            <w:pPr>
              <w:pStyle w:val="ListParagraph"/>
              <w:numPr>
                <w:ilvl w:val="0"/>
                <w:numId w:val="90"/>
              </w:numPr>
              <w:rPr>
                <w:rFonts w:cs="Arial"/>
                <w:color w:val="000000"/>
                <w:sz w:val="16"/>
                <w:szCs w:val="16"/>
                <w:lang w:val="es-ES"/>
              </w:rPr>
            </w:pPr>
            <w:r w:rsidRPr="00526311">
              <w:rPr>
                <w:rFonts w:cs="Arial"/>
                <w:color w:val="000000"/>
                <w:sz w:val="16"/>
                <w:szCs w:val="16"/>
                <w:lang w:val="es-ES"/>
              </w:rPr>
              <w:t>Costo unitario de la copia de seguridad por TB de almacenamiento: 370 CHF/mes (finales de 2014)</w:t>
            </w:r>
          </w:p>
          <w:p w:rsidR="00794E04" w:rsidRPr="00526311" w:rsidRDefault="00794E04" w:rsidP="00794E04">
            <w:pPr>
              <w:pStyle w:val="ListParagraph"/>
              <w:numPr>
                <w:ilvl w:val="0"/>
                <w:numId w:val="90"/>
              </w:numPr>
              <w:rPr>
                <w:rFonts w:cs="Arial"/>
                <w:color w:val="000000"/>
                <w:sz w:val="16"/>
                <w:szCs w:val="16"/>
                <w:lang w:val="es-ES"/>
              </w:rPr>
            </w:pPr>
            <w:r w:rsidRPr="00526311">
              <w:rPr>
                <w:rFonts w:cs="Arial"/>
                <w:color w:val="000000"/>
                <w:sz w:val="16"/>
                <w:szCs w:val="16"/>
                <w:lang w:val="es-ES"/>
              </w:rPr>
              <w:t>Número de incidentes de servicio de impacto medio o alto: 1,75 por mes</w:t>
            </w:r>
          </w:p>
          <w:p w:rsidR="00794E04" w:rsidRPr="00526311" w:rsidRDefault="00794E04" w:rsidP="0063039A">
            <w:pPr>
              <w:rPr>
                <w:color w:val="000000" w:themeColor="text1"/>
                <w:sz w:val="16"/>
                <w:szCs w:val="16"/>
              </w:rPr>
            </w:pPr>
          </w:p>
        </w:tc>
        <w:tc>
          <w:tcPr>
            <w:tcW w:w="671" w:type="pct"/>
            <w:tcBorders>
              <w:top w:val="nil"/>
              <w:bottom w:val="nil"/>
              <w:right w:val="single" w:sz="4" w:space="0" w:color="auto"/>
            </w:tcBorders>
            <w:shd w:val="clear" w:color="auto" w:fill="auto"/>
            <w:tcMar>
              <w:top w:w="110" w:type="dxa"/>
            </w:tcMar>
          </w:tcPr>
          <w:p w:rsidR="00794E04" w:rsidRPr="00526311" w:rsidRDefault="00794E04" w:rsidP="0063039A">
            <w:pPr>
              <w:keepNext/>
              <w:keepLines/>
              <w:jc w:val="center"/>
              <w:rPr>
                <w:b/>
                <w:bCs/>
                <w:color w:val="00B050"/>
                <w:sz w:val="16"/>
                <w:szCs w:val="16"/>
              </w:rPr>
            </w:pPr>
            <w:r w:rsidRPr="00526311">
              <w:rPr>
                <w:b/>
                <w:color w:val="00B050"/>
                <w:sz w:val="16"/>
                <w:szCs w:val="16"/>
              </w:rPr>
              <w:t>Avanza</w:t>
            </w:r>
          </w:p>
        </w:tc>
      </w:tr>
      <w:tr w:rsidR="00794E04" w:rsidRPr="00526311" w:rsidTr="0063039A">
        <w:trPr>
          <w:cantSplit/>
        </w:trPr>
        <w:tc>
          <w:tcPr>
            <w:tcW w:w="1120" w:type="pct"/>
            <w:tcBorders>
              <w:top w:val="nil"/>
              <w:left w:val="single" w:sz="4" w:space="0" w:color="auto"/>
              <w:bottom w:val="single" w:sz="4" w:space="0" w:color="auto"/>
            </w:tcBorders>
            <w:shd w:val="clear" w:color="auto" w:fill="auto"/>
          </w:tcPr>
          <w:p w:rsidR="00794E04" w:rsidRPr="00526311" w:rsidRDefault="00794E04" w:rsidP="00794E04">
            <w:pPr>
              <w:ind w:leftChars="-11" w:left="-24"/>
              <w:rPr>
                <w:sz w:val="16"/>
                <w:szCs w:val="16"/>
              </w:rPr>
            </w:pPr>
            <w:r w:rsidRPr="00526311">
              <w:rPr>
                <w:sz w:val="16"/>
                <w:szCs w:val="16"/>
              </w:rPr>
              <w:t>Número de acuerdos de prestación de servicios para el alojamiento de sistemas y servicios que cumplen con el marco de acuerdos de prestación de servicios para las TIC</w:t>
            </w:r>
          </w:p>
        </w:tc>
        <w:tc>
          <w:tcPr>
            <w:tcW w:w="971" w:type="pct"/>
            <w:tcBorders>
              <w:top w:val="nil"/>
              <w:bottom w:val="single" w:sz="4" w:space="0" w:color="auto"/>
            </w:tcBorders>
            <w:shd w:val="clear" w:color="auto" w:fill="auto"/>
          </w:tcPr>
          <w:p w:rsidR="00794E04" w:rsidRPr="00526311" w:rsidRDefault="00794E04" w:rsidP="0063039A">
            <w:pPr>
              <w:rPr>
                <w:sz w:val="16"/>
                <w:szCs w:val="16"/>
              </w:rPr>
            </w:pPr>
            <w:r w:rsidRPr="00526311">
              <w:rPr>
                <w:sz w:val="16"/>
                <w:szCs w:val="16"/>
              </w:rPr>
              <w:t>Marco en vigor de acuerdos normalizados de prestación de servicios para las TIC</w:t>
            </w:r>
          </w:p>
        </w:tc>
        <w:tc>
          <w:tcPr>
            <w:tcW w:w="821" w:type="pct"/>
            <w:tcBorders>
              <w:top w:val="nil"/>
              <w:bottom w:val="single" w:sz="4" w:space="0" w:color="auto"/>
            </w:tcBorders>
            <w:shd w:val="clear" w:color="auto" w:fill="auto"/>
            <w:tcMar>
              <w:top w:w="110" w:type="dxa"/>
            </w:tcMar>
          </w:tcPr>
          <w:p w:rsidR="00794E04" w:rsidRPr="00526311" w:rsidRDefault="00794E04" w:rsidP="00794E04">
            <w:pPr>
              <w:ind w:leftChars="-11" w:left="-24"/>
              <w:rPr>
                <w:sz w:val="16"/>
                <w:szCs w:val="16"/>
              </w:rPr>
            </w:pPr>
            <w:r w:rsidRPr="00526311">
              <w:rPr>
                <w:sz w:val="16"/>
                <w:szCs w:val="16"/>
              </w:rPr>
              <w:t>Porcentaje de acuerdos de prestación de servicios que cumplen lo dispuesto en el marco de las TIC</w:t>
            </w:r>
          </w:p>
          <w:p w:rsidR="00794E04" w:rsidRPr="00526311" w:rsidRDefault="00794E04" w:rsidP="00794E04">
            <w:pPr>
              <w:ind w:leftChars="-11" w:left="-24"/>
              <w:rPr>
                <w:sz w:val="16"/>
                <w:szCs w:val="16"/>
              </w:rPr>
            </w:pPr>
          </w:p>
        </w:tc>
        <w:tc>
          <w:tcPr>
            <w:tcW w:w="1417" w:type="pct"/>
            <w:tcBorders>
              <w:top w:val="nil"/>
              <w:bottom w:val="single" w:sz="4" w:space="0" w:color="auto"/>
            </w:tcBorders>
            <w:shd w:val="clear" w:color="auto" w:fill="FFFFFF"/>
            <w:tcMar>
              <w:top w:w="110" w:type="dxa"/>
            </w:tcMar>
          </w:tcPr>
          <w:p w:rsidR="00794E04" w:rsidRPr="00526311" w:rsidRDefault="00794E04" w:rsidP="0063039A">
            <w:pPr>
              <w:rPr>
                <w:color w:val="000000" w:themeColor="text1"/>
                <w:sz w:val="16"/>
                <w:szCs w:val="16"/>
              </w:rPr>
            </w:pPr>
            <w:r w:rsidRPr="00526311">
              <w:rPr>
                <w:color w:val="000000" w:themeColor="text1"/>
                <w:sz w:val="16"/>
                <w:szCs w:val="16"/>
              </w:rPr>
              <w:t>Se firmaron 6 nuevos acuerdos de prestación de servicios (sistema integrado de comunicaciones, IRIS, IRPI, PCT, PEARL, SIGAGIP) que cumplen con el marco de las TIC (100%)</w:t>
            </w:r>
          </w:p>
        </w:tc>
        <w:tc>
          <w:tcPr>
            <w:tcW w:w="671" w:type="pct"/>
            <w:tcBorders>
              <w:top w:val="nil"/>
              <w:bottom w:val="single" w:sz="4" w:space="0" w:color="auto"/>
              <w:right w:val="single" w:sz="4" w:space="0" w:color="auto"/>
            </w:tcBorders>
            <w:shd w:val="clear" w:color="auto" w:fill="auto"/>
            <w:tcMar>
              <w:top w:w="110" w:type="dxa"/>
            </w:tcMar>
          </w:tcPr>
          <w:p w:rsidR="00794E04" w:rsidRPr="00526311" w:rsidRDefault="00794E04" w:rsidP="0063039A">
            <w:pPr>
              <w:keepNext/>
              <w:keepLines/>
              <w:jc w:val="center"/>
              <w:rPr>
                <w:b/>
                <w:bCs/>
                <w:color w:val="00B050"/>
                <w:sz w:val="16"/>
                <w:szCs w:val="16"/>
              </w:rPr>
            </w:pPr>
            <w:r w:rsidRPr="00526311">
              <w:rPr>
                <w:b/>
                <w:color w:val="00B050"/>
                <w:sz w:val="16"/>
                <w:szCs w:val="16"/>
              </w:rPr>
              <w:t>Avanza</w:t>
            </w:r>
          </w:p>
        </w:tc>
      </w:tr>
      <w:tr w:rsidR="00794E04" w:rsidRPr="00526311" w:rsidTr="0063039A">
        <w:trPr>
          <w:cantSplit/>
        </w:trPr>
        <w:tc>
          <w:tcPr>
            <w:tcW w:w="1120" w:type="pct"/>
            <w:tcBorders>
              <w:top w:val="single" w:sz="4" w:space="0" w:color="auto"/>
              <w:left w:val="single" w:sz="4" w:space="0" w:color="auto"/>
              <w:bottom w:val="nil"/>
            </w:tcBorders>
            <w:shd w:val="clear" w:color="auto" w:fill="auto"/>
            <w:vAlign w:val="center"/>
          </w:tcPr>
          <w:p w:rsidR="00794E04" w:rsidRPr="00526311" w:rsidRDefault="00794E04" w:rsidP="0063039A">
            <w:pPr>
              <w:keepNext/>
              <w:keepLines/>
              <w:rPr>
                <w:sz w:val="16"/>
                <w:szCs w:val="16"/>
              </w:rPr>
            </w:pPr>
            <w:r w:rsidRPr="00526311">
              <w:rPr>
                <w:b/>
                <w:sz w:val="16"/>
                <w:szCs w:val="16"/>
              </w:rPr>
              <w:lastRenderedPageBreak/>
              <w:t>Indicadores de rendimiento</w:t>
            </w:r>
          </w:p>
        </w:tc>
        <w:tc>
          <w:tcPr>
            <w:tcW w:w="971" w:type="pct"/>
            <w:tcBorders>
              <w:top w:val="single" w:sz="4" w:space="0" w:color="auto"/>
              <w:bottom w:val="nil"/>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821" w:type="pct"/>
            <w:tcBorders>
              <w:top w:val="single" w:sz="4" w:space="0" w:color="auto"/>
              <w:bottom w:val="nil"/>
            </w:tcBorders>
            <w:shd w:val="clear" w:color="auto" w:fill="auto"/>
            <w:tcMar>
              <w:top w:w="110" w:type="dxa"/>
            </w:tcMar>
            <w:vAlign w:val="center"/>
          </w:tcPr>
          <w:p w:rsidR="00794E04" w:rsidRPr="00526311" w:rsidRDefault="00794E04" w:rsidP="0063039A">
            <w:pPr>
              <w:rPr>
                <w:b/>
                <w:sz w:val="16"/>
                <w:szCs w:val="16"/>
              </w:rPr>
            </w:pPr>
            <w:r w:rsidRPr="00526311">
              <w:rPr>
                <w:b/>
                <w:sz w:val="16"/>
                <w:szCs w:val="16"/>
              </w:rPr>
              <w:t>Objetivos</w:t>
            </w:r>
          </w:p>
        </w:tc>
        <w:tc>
          <w:tcPr>
            <w:tcW w:w="1417" w:type="pct"/>
            <w:tcBorders>
              <w:top w:val="single" w:sz="4" w:space="0" w:color="auto"/>
              <w:bottom w:val="nil"/>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71" w:type="pct"/>
            <w:tcBorders>
              <w:top w:val="single" w:sz="4" w:space="0" w:color="auto"/>
              <w:bottom w:val="nil"/>
              <w:right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rPr>
          <w:cantSplit/>
        </w:trPr>
        <w:tc>
          <w:tcPr>
            <w:tcW w:w="1120" w:type="pct"/>
            <w:tcBorders>
              <w:top w:val="nil"/>
              <w:left w:val="single" w:sz="4" w:space="0" w:color="auto"/>
              <w:bottom w:val="nil"/>
            </w:tcBorders>
            <w:shd w:val="clear" w:color="auto" w:fill="auto"/>
          </w:tcPr>
          <w:p w:rsidR="00794E04" w:rsidRPr="00526311" w:rsidRDefault="00794E04" w:rsidP="00794E04">
            <w:pPr>
              <w:keepNext/>
              <w:keepLines/>
              <w:ind w:leftChars="-11" w:left="-24"/>
              <w:rPr>
                <w:sz w:val="16"/>
                <w:szCs w:val="16"/>
              </w:rPr>
            </w:pPr>
            <w:r w:rsidRPr="00526311">
              <w:rPr>
                <w:sz w:val="16"/>
                <w:szCs w:val="16"/>
              </w:rPr>
              <w:t>Continuidad de los servicios de TIC de los sistemas esenciales</w:t>
            </w:r>
          </w:p>
        </w:tc>
        <w:tc>
          <w:tcPr>
            <w:tcW w:w="971" w:type="pct"/>
            <w:tcBorders>
              <w:top w:val="nil"/>
              <w:bottom w:val="nil"/>
            </w:tcBorders>
            <w:shd w:val="clear" w:color="auto" w:fill="auto"/>
          </w:tcPr>
          <w:p w:rsidR="00794E04" w:rsidRPr="00526311" w:rsidRDefault="00794E04" w:rsidP="0063039A">
            <w:pPr>
              <w:rPr>
                <w:color w:val="002060"/>
                <w:sz w:val="16"/>
                <w:szCs w:val="16"/>
              </w:rPr>
            </w:pPr>
            <w:r w:rsidRPr="00526311">
              <w:rPr>
                <w:i/>
                <w:color w:val="002060"/>
                <w:sz w:val="16"/>
                <w:szCs w:val="16"/>
              </w:rPr>
              <w:t>Referencia actualizada a fines de 2013:</w:t>
            </w:r>
            <w:r w:rsidRPr="00526311">
              <w:rPr>
                <w:color w:val="002060"/>
                <w:sz w:val="16"/>
                <w:szCs w:val="16"/>
              </w:rPr>
              <w:t xml:space="preserve"> establecimiento de 2 centros de datos estrechamente vinculados entre sí; creación parcial de la  infraestructura de los servidores y de la arquitectura de las  redes para apoyar los dos centros de datos;  evaluación de 38 servicios esenciales de TIC y puesta en marcha de medidas adecuadas para mitigar los riesgos y garantizar la disponibilidad de los servicios</w:t>
            </w:r>
          </w:p>
          <w:p w:rsidR="00794E04" w:rsidRPr="00526311" w:rsidRDefault="00794E04" w:rsidP="00794E04">
            <w:pPr>
              <w:ind w:leftChars="-11" w:left="-24"/>
              <w:rPr>
                <w:color w:val="000000" w:themeColor="text1"/>
                <w:sz w:val="16"/>
                <w:szCs w:val="16"/>
              </w:rPr>
            </w:pPr>
          </w:p>
          <w:p w:rsidR="00794E04" w:rsidRPr="00526311" w:rsidRDefault="007B705E" w:rsidP="00794E04">
            <w:pPr>
              <w:ind w:leftChars="-11" w:left="-24"/>
              <w:rPr>
                <w:color w:val="000000" w:themeColor="text1"/>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Los datos no se almacenan en línea, se necesitan varios días para recuperar los datos.</w:t>
            </w:r>
          </w:p>
        </w:tc>
        <w:tc>
          <w:tcPr>
            <w:tcW w:w="821" w:type="pct"/>
            <w:tcBorders>
              <w:top w:val="nil"/>
              <w:bottom w:val="nil"/>
            </w:tcBorders>
            <w:shd w:val="clear" w:color="auto" w:fill="auto"/>
            <w:tcMar>
              <w:top w:w="110" w:type="dxa"/>
            </w:tcMar>
          </w:tcPr>
          <w:p w:rsidR="00794E04" w:rsidRPr="00526311" w:rsidRDefault="00794E04" w:rsidP="00794E04">
            <w:pPr>
              <w:ind w:leftChars="-11" w:left="-24"/>
              <w:rPr>
                <w:sz w:val="16"/>
                <w:szCs w:val="16"/>
              </w:rPr>
            </w:pPr>
            <w:r w:rsidRPr="00526311">
              <w:rPr>
                <w:sz w:val="16"/>
                <w:szCs w:val="16"/>
              </w:rPr>
              <w:t>Los sistemas esenciales pueden recuperarse puntualmente sin pérdida de datos en caso de interrupciones localizadas de seriedad</w:t>
            </w:r>
          </w:p>
        </w:tc>
        <w:tc>
          <w:tcPr>
            <w:tcW w:w="1417" w:type="pct"/>
            <w:tcBorders>
              <w:top w:val="nil"/>
              <w:bottom w:val="nil"/>
            </w:tcBorders>
            <w:shd w:val="clear" w:color="auto" w:fill="FFFFFF"/>
            <w:tcMar>
              <w:top w:w="110" w:type="dxa"/>
            </w:tcMar>
          </w:tcPr>
          <w:p w:rsidR="00794E04" w:rsidRPr="00526311" w:rsidRDefault="00794E04" w:rsidP="0063039A">
            <w:pPr>
              <w:rPr>
                <w:color w:val="000000" w:themeColor="text1"/>
                <w:sz w:val="16"/>
                <w:szCs w:val="16"/>
              </w:rPr>
            </w:pPr>
            <w:r w:rsidRPr="00526311">
              <w:rPr>
                <w:color w:val="000000" w:themeColor="text1"/>
                <w:sz w:val="16"/>
                <w:szCs w:val="16"/>
              </w:rPr>
              <w:t>Se mejoró la capacidad de reacción y recuperación de la infraestructura de las TIC y la continuidad de los servicios.  Se realizaron pruebas preliminares que arrojaron resultados prometedores</w:t>
            </w:r>
          </w:p>
        </w:tc>
        <w:tc>
          <w:tcPr>
            <w:tcW w:w="671" w:type="pct"/>
            <w:tcBorders>
              <w:top w:val="nil"/>
              <w:bottom w:val="nil"/>
              <w:right w:val="single" w:sz="4" w:space="0" w:color="auto"/>
            </w:tcBorders>
            <w:shd w:val="clear" w:color="auto" w:fill="auto"/>
            <w:tcMar>
              <w:top w:w="110" w:type="dxa"/>
            </w:tcMar>
          </w:tcPr>
          <w:p w:rsidR="00794E04" w:rsidRPr="00526311" w:rsidRDefault="00794E04" w:rsidP="0063039A">
            <w:pPr>
              <w:keepNext/>
              <w:keepLines/>
              <w:jc w:val="center"/>
              <w:rPr>
                <w:b/>
                <w:bCs/>
                <w:color w:val="00B050"/>
                <w:sz w:val="16"/>
                <w:szCs w:val="16"/>
              </w:rPr>
            </w:pPr>
            <w:r w:rsidRPr="00526311">
              <w:rPr>
                <w:b/>
                <w:color w:val="00B050"/>
                <w:sz w:val="16"/>
                <w:szCs w:val="16"/>
              </w:rPr>
              <w:t>Avanza</w:t>
            </w:r>
          </w:p>
        </w:tc>
      </w:tr>
      <w:tr w:rsidR="00794E04" w:rsidRPr="00526311" w:rsidTr="0063039A">
        <w:trPr>
          <w:cantSplit/>
        </w:trPr>
        <w:tc>
          <w:tcPr>
            <w:tcW w:w="1120" w:type="pct"/>
            <w:tcBorders>
              <w:top w:val="nil"/>
              <w:left w:val="single" w:sz="4" w:space="0" w:color="auto"/>
              <w:bottom w:val="nil"/>
            </w:tcBorders>
            <w:shd w:val="clear" w:color="auto" w:fill="auto"/>
          </w:tcPr>
          <w:p w:rsidR="00794E04" w:rsidRPr="00526311" w:rsidRDefault="00794E04" w:rsidP="00794E04">
            <w:pPr>
              <w:ind w:leftChars="-11" w:left="-24"/>
              <w:rPr>
                <w:sz w:val="16"/>
                <w:szCs w:val="16"/>
              </w:rPr>
            </w:pPr>
            <w:r w:rsidRPr="00526311">
              <w:rPr>
                <w:sz w:val="16"/>
                <w:szCs w:val="16"/>
              </w:rPr>
              <w:t>Porcentaje de usuarios y sectores de actividades que están satisfechos con los servicios de TIC</w:t>
            </w:r>
          </w:p>
        </w:tc>
        <w:tc>
          <w:tcPr>
            <w:tcW w:w="971" w:type="pct"/>
            <w:tcBorders>
              <w:top w:val="nil"/>
              <w:bottom w:val="nil"/>
            </w:tcBorders>
            <w:shd w:val="clear" w:color="auto" w:fill="auto"/>
          </w:tcPr>
          <w:p w:rsidR="00794E04" w:rsidRPr="00526311" w:rsidRDefault="00794E04" w:rsidP="0063039A">
            <w:pPr>
              <w:rPr>
                <w:color w:val="002060"/>
                <w:sz w:val="16"/>
                <w:szCs w:val="16"/>
              </w:rPr>
            </w:pPr>
            <w:r w:rsidRPr="00526311">
              <w:rPr>
                <w:i/>
                <w:color w:val="002060"/>
                <w:sz w:val="16"/>
                <w:szCs w:val="16"/>
              </w:rPr>
              <w:t>Referencia actualizada a fines de 2013:</w:t>
            </w:r>
            <w:r w:rsidRPr="00526311">
              <w:rPr>
                <w:color w:val="002060"/>
                <w:sz w:val="16"/>
                <w:szCs w:val="16"/>
              </w:rPr>
              <w:t xml:space="preserve"> </w:t>
            </w:r>
          </w:p>
          <w:p w:rsidR="00794E04" w:rsidRPr="00526311" w:rsidRDefault="00794E04" w:rsidP="00794E04">
            <w:pPr>
              <w:ind w:leftChars="-11" w:left="-24"/>
              <w:rPr>
                <w:color w:val="002060"/>
                <w:sz w:val="16"/>
                <w:szCs w:val="16"/>
              </w:rPr>
            </w:pPr>
            <w:r w:rsidRPr="00526311">
              <w:rPr>
                <w:color w:val="002060"/>
                <w:sz w:val="16"/>
                <w:szCs w:val="16"/>
              </w:rPr>
              <w:t>Encuesta del servicio de asistencia en 2013: el 64% de los encuestados se mostraron “muy satisfechos” con el servicio.</w:t>
            </w:r>
          </w:p>
          <w:p w:rsidR="00794E04" w:rsidRPr="00526311" w:rsidRDefault="00794E04" w:rsidP="00794E04">
            <w:pPr>
              <w:ind w:leftChars="-11" w:left="-24"/>
              <w:rPr>
                <w:color w:val="000000" w:themeColor="text1"/>
                <w:sz w:val="16"/>
                <w:szCs w:val="16"/>
              </w:rPr>
            </w:pPr>
          </w:p>
          <w:p w:rsidR="00794E04" w:rsidRPr="00526311" w:rsidRDefault="007B705E" w:rsidP="00794E04">
            <w:pPr>
              <w:ind w:leftChars="-11" w:left="-24"/>
              <w:rPr>
                <w:i/>
                <w:color w:val="002060"/>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Satisfacción del personal directivo al inicio del bienio</w:t>
            </w:r>
          </w:p>
        </w:tc>
        <w:tc>
          <w:tcPr>
            <w:tcW w:w="821" w:type="pct"/>
            <w:tcBorders>
              <w:top w:val="nil"/>
              <w:bottom w:val="nil"/>
            </w:tcBorders>
            <w:shd w:val="clear" w:color="auto" w:fill="auto"/>
            <w:tcMar>
              <w:top w:w="110" w:type="dxa"/>
            </w:tcMar>
          </w:tcPr>
          <w:p w:rsidR="00794E04" w:rsidRPr="00526311" w:rsidRDefault="00794E04" w:rsidP="00794E04">
            <w:pPr>
              <w:ind w:leftChars="-11" w:left="-24"/>
              <w:rPr>
                <w:sz w:val="16"/>
                <w:szCs w:val="16"/>
              </w:rPr>
            </w:pPr>
            <w:r w:rsidRPr="00526311">
              <w:rPr>
                <w:sz w:val="16"/>
                <w:szCs w:val="16"/>
              </w:rPr>
              <w:t>Mantenimiento o mejora en relación con la referencia</w:t>
            </w:r>
          </w:p>
        </w:tc>
        <w:tc>
          <w:tcPr>
            <w:tcW w:w="1417" w:type="pct"/>
            <w:tcBorders>
              <w:top w:val="nil"/>
              <w:bottom w:val="nil"/>
            </w:tcBorders>
            <w:shd w:val="clear" w:color="auto" w:fill="FFFFFF"/>
            <w:tcMar>
              <w:top w:w="110" w:type="dxa"/>
            </w:tcMar>
          </w:tcPr>
          <w:p w:rsidR="00794E04" w:rsidRPr="00526311" w:rsidRDefault="00794E04" w:rsidP="0063039A">
            <w:pPr>
              <w:rPr>
                <w:color w:val="000000" w:themeColor="text1"/>
                <w:sz w:val="16"/>
                <w:szCs w:val="16"/>
              </w:rPr>
            </w:pPr>
            <w:r w:rsidRPr="00526311">
              <w:rPr>
                <w:color w:val="000000" w:themeColor="text1"/>
                <w:sz w:val="16"/>
                <w:szCs w:val="16"/>
              </w:rPr>
              <w:t>En la encuesta del servicio de asistencia en 2014, el 67% de los encuestados se mostraron “muy satisfechos” con el servicio</w:t>
            </w:r>
          </w:p>
        </w:tc>
        <w:tc>
          <w:tcPr>
            <w:tcW w:w="671" w:type="pct"/>
            <w:tcBorders>
              <w:top w:val="nil"/>
              <w:bottom w:val="nil"/>
              <w:right w:val="single" w:sz="4" w:space="0" w:color="auto"/>
            </w:tcBorders>
            <w:shd w:val="clear" w:color="auto" w:fill="auto"/>
            <w:tcMar>
              <w:top w:w="110" w:type="dxa"/>
            </w:tcMar>
          </w:tcPr>
          <w:p w:rsidR="00794E04" w:rsidRPr="00526311" w:rsidRDefault="00794E04" w:rsidP="0063039A">
            <w:pPr>
              <w:keepNext/>
              <w:keepLines/>
              <w:jc w:val="center"/>
              <w:rPr>
                <w:b/>
                <w:bCs/>
                <w:color w:val="00B050"/>
                <w:sz w:val="16"/>
                <w:szCs w:val="16"/>
              </w:rPr>
            </w:pPr>
            <w:r w:rsidRPr="00526311">
              <w:rPr>
                <w:b/>
                <w:color w:val="00B050"/>
                <w:sz w:val="16"/>
                <w:szCs w:val="16"/>
              </w:rPr>
              <w:t>Avanza</w:t>
            </w:r>
          </w:p>
        </w:tc>
      </w:tr>
      <w:tr w:rsidR="00794E04" w:rsidRPr="00526311" w:rsidTr="0063039A">
        <w:trPr>
          <w:cantSplit/>
        </w:trPr>
        <w:tc>
          <w:tcPr>
            <w:tcW w:w="1120" w:type="pct"/>
            <w:tcBorders>
              <w:top w:val="nil"/>
              <w:left w:val="single" w:sz="4" w:space="0" w:color="auto"/>
              <w:bottom w:val="nil"/>
            </w:tcBorders>
            <w:shd w:val="clear" w:color="auto" w:fill="auto"/>
          </w:tcPr>
          <w:p w:rsidR="00794E04" w:rsidRPr="00526311" w:rsidRDefault="00794E04" w:rsidP="00794E04">
            <w:pPr>
              <w:ind w:leftChars="-11" w:left="-24"/>
              <w:rPr>
                <w:sz w:val="16"/>
                <w:szCs w:val="16"/>
              </w:rPr>
            </w:pPr>
            <w:r w:rsidRPr="00526311">
              <w:rPr>
                <w:sz w:val="16"/>
                <w:szCs w:val="16"/>
              </w:rPr>
              <w:t>El personal tiene fácil acceso a tecnologías de las comunicaciones integradas y de amplio alcance</w:t>
            </w:r>
          </w:p>
        </w:tc>
        <w:tc>
          <w:tcPr>
            <w:tcW w:w="971" w:type="pct"/>
            <w:tcBorders>
              <w:top w:val="nil"/>
              <w:bottom w:val="nil"/>
            </w:tcBorders>
            <w:shd w:val="clear" w:color="auto" w:fill="auto"/>
          </w:tcPr>
          <w:p w:rsidR="00794E04" w:rsidRPr="00526311" w:rsidRDefault="00794E04" w:rsidP="0063039A">
            <w:pPr>
              <w:rPr>
                <w:sz w:val="16"/>
                <w:szCs w:val="16"/>
              </w:rPr>
            </w:pPr>
            <w:r w:rsidRPr="00526311">
              <w:rPr>
                <w:sz w:val="16"/>
                <w:szCs w:val="16"/>
              </w:rPr>
              <w:t>Disponibles en las computadoras de escritorio (y en los portátiles)</w:t>
            </w:r>
          </w:p>
        </w:tc>
        <w:tc>
          <w:tcPr>
            <w:tcW w:w="821" w:type="pct"/>
            <w:tcBorders>
              <w:top w:val="nil"/>
              <w:bottom w:val="nil"/>
            </w:tcBorders>
            <w:shd w:val="clear" w:color="auto" w:fill="auto"/>
            <w:tcMar>
              <w:top w:w="110" w:type="dxa"/>
            </w:tcMar>
          </w:tcPr>
          <w:p w:rsidR="00794E04" w:rsidRPr="00526311" w:rsidRDefault="00794E04" w:rsidP="00794E04">
            <w:pPr>
              <w:ind w:leftChars="-11" w:left="-24"/>
              <w:rPr>
                <w:sz w:val="16"/>
                <w:szCs w:val="16"/>
              </w:rPr>
            </w:pPr>
            <w:r w:rsidRPr="00526311">
              <w:rPr>
                <w:sz w:val="16"/>
                <w:szCs w:val="16"/>
              </w:rPr>
              <w:t>Disponibles en otros dispositivos móviles</w:t>
            </w:r>
          </w:p>
        </w:tc>
        <w:tc>
          <w:tcPr>
            <w:tcW w:w="1417" w:type="pct"/>
            <w:tcBorders>
              <w:top w:val="nil"/>
              <w:bottom w:val="nil"/>
            </w:tcBorders>
            <w:shd w:val="clear" w:color="auto" w:fill="FFFFFF"/>
            <w:tcMar>
              <w:top w:w="110" w:type="dxa"/>
            </w:tcMar>
          </w:tcPr>
          <w:p w:rsidR="00794E04" w:rsidRPr="00526311" w:rsidRDefault="00794E04" w:rsidP="0063039A">
            <w:pPr>
              <w:rPr>
                <w:color w:val="000000" w:themeColor="text1"/>
                <w:sz w:val="16"/>
                <w:szCs w:val="16"/>
              </w:rPr>
            </w:pPr>
            <w:r w:rsidRPr="00526311">
              <w:rPr>
                <w:color w:val="000000" w:themeColor="text1"/>
                <w:sz w:val="16"/>
                <w:szCs w:val="16"/>
              </w:rPr>
              <w:t>Acceso a Intranet y al servicio de mensajería vocal de la Organización para los teléfonos móviles de la OMPI</w:t>
            </w:r>
          </w:p>
        </w:tc>
        <w:tc>
          <w:tcPr>
            <w:tcW w:w="671" w:type="pct"/>
            <w:tcBorders>
              <w:top w:val="nil"/>
              <w:bottom w:val="nil"/>
              <w:right w:val="single" w:sz="4" w:space="0" w:color="auto"/>
            </w:tcBorders>
            <w:shd w:val="clear" w:color="auto" w:fill="auto"/>
            <w:tcMar>
              <w:top w:w="110" w:type="dxa"/>
            </w:tcMar>
          </w:tcPr>
          <w:p w:rsidR="00794E04" w:rsidRPr="00526311" w:rsidRDefault="00794E04" w:rsidP="0063039A">
            <w:pPr>
              <w:keepNext/>
              <w:keepLines/>
              <w:jc w:val="center"/>
              <w:rPr>
                <w:b/>
                <w:bCs/>
                <w:color w:val="00B050"/>
                <w:sz w:val="16"/>
                <w:szCs w:val="16"/>
              </w:rPr>
            </w:pPr>
            <w:r w:rsidRPr="00526311">
              <w:rPr>
                <w:b/>
                <w:color w:val="00B050"/>
                <w:sz w:val="16"/>
                <w:szCs w:val="16"/>
              </w:rPr>
              <w:t>Avanza</w:t>
            </w:r>
          </w:p>
        </w:tc>
      </w:tr>
      <w:tr w:rsidR="00794E04" w:rsidRPr="00526311" w:rsidTr="0063039A">
        <w:trPr>
          <w:cantSplit/>
        </w:trPr>
        <w:tc>
          <w:tcPr>
            <w:tcW w:w="5000" w:type="pct"/>
            <w:gridSpan w:val="5"/>
            <w:tcBorders>
              <w:top w:val="single" w:sz="4" w:space="0" w:color="auto"/>
              <w:bottom w:val="single" w:sz="4" w:space="0" w:color="auto"/>
            </w:tcBorders>
            <w:shd w:val="clear" w:color="auto" w:fill="CCFFFF"/>
            <w:vAlign w:val="center"/>
          </w:tcPr>
          <w:p w:rsidR="00794E04" w:rsidRPr="00526311" w:rsidRDefault="00794E04" w:rsidP="0063039A">
            <w:pPr>
              <w:keepNext/>
              <w:keepLines/>
              <w:tabs>
                <w:tab w:val="left" w:pos="1735"/>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bCs/>
                <w:sz w:val="16"/>
                <w:szCs w:val="16"/>
              </w:rPr>
              <w:t>IX.4 Una organización responsable con el medio ambiente y la sociedad en la que se garantiza la seguridad de su personal, los delegados, los visitantes, la información y los activos físicos</w:t>
            </w:r>
          </w:p>
        </w:tc>
      </w:tr>
      <w:tr w:rsidR="00794E04" w:rsidRPr="00526311" w:rsidTr="0063039A">
        <w:trPr>
          <w:cantSplit/>
        </w:trPr>
        <w:tc>
          <w:tcPr>
            <w:tcW w:w="1120" w:type="pct"/>
            <w:tcBorders>
              <w:top w:val="single" w:sz="4" w:space="0" w:color="auto"/>
            </w:tcBorders>
            <w:shd w:val="clear" w:color="auto" w:fill="auto"/>
            <w:vAlign w:val="center"/>
          </w:tcPr>
          <w:p w:rsidR="00794E04" w:rsidRPr="00526311" w:rsidRDefault="00794E04" w:rsidP="0063039A">
            <w:pPr>
              <w:rPr>
                <w:sz w:val="16"/>
                <w:szCs w:val="16"/>
              </w:rPr>
            </w:pPr>
            <w:r w:rsidRPr="00526311">
              <w:rPr>
                <w:b/>
                <w:sz w:val="16"/>
                <w:szCs w:val="16"/>
              </w:rPr>
              <w:t>Indicadores de rendimiento</w:t>
            </w:r>
          </w:p>
        </w:tc>
        <w:tc>
          <w:tcPr>
            <w:tcW w:w="971" w:type="pct"/>
            <w:tcBorders>
              <w:top w:val="single" w:sz="4" w:space="0" w:color="auto"/>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821" w:type="pct"/>
            <w:tcBorders>
              <w:top w:val="single" w:sz="4" w:space="0" w:color="auto"/>
            </w:tcBorders>
            <w:shd w:val="clear" w:color="auto" w:fill="auto"/>
            <w:tcMar>
              <w:top w:w="110" w:type="dxa"/>
            </w:tcMar>
            <w:vAlign w:val="center"/>
          </w:tcPr>
          <w:p w:rsidR="00794E04" w:rsidRPr="00526311" w:rsidRDefault="00794E04" w:rsidP="0063039A">
            <w:pPr>
              <w:rPr>
                <w:b/>
                <w:sz w:val="16"/>
                <w:szCs w:val="16"/>
              </w:rPr>
            </w:pPr>
            <w:r w:rsidRPr="00526311">
              <w:rPr>
                <w:b/>
                <w:sz w:val="16"/>
                <w:szCs w:val="16"/>
              </w:rPr>
              <w:t>Objetivos</w:t>
            </w:r>
          </w:p>
        </w:tc>
        <w:tc>
          <w:tcPr>
            <w:tcW w:w="1417" w:type="pct"/>
            <w:tcBorders>
              <w:top w:val="single" w:sz="4" w:space="0" w:color="auto"/>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71" w:type="pct"/>
            <w:tcBorders>
              <w:top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rPr>
          <w:cantSplit/>
        </w:trPr>
        <w:tc>
          <w:tcPr>
            <w:tcW w:w="1120" w:type="pct"/>
            <w:shd w:val="clear" w:color="auto" w:fill="auto"/>
          </w:tcPr>
          <w:p w:rsidR="00794E04" w:rsidRPr="00526311" w:rsidRDefault="00794E04" w:rsidP="00794E04">
            <w:pPr>
              <w:ind w:leftChars="-11" w:left="-24"/>
              <w:rPr>
                <w:sz w:val="16"/>
                <w:szCs w:val="16"/>
              </w:rPr>
            </w:pPr>
            <w:r w:rsidRPr="00526311">
              <w:rPr>
                <w:sz w:val="16"/>
                <w:szCs w:val="16"/>
              </w:rPr>
              <w:t>Se refuerza la seguridad de la información para protegerse contra los ataques cada vez más frecuentes en Internet</w:t>
            </w:r>
          </w:p>
        </w:tc>
        <w:tc>
          <w:tcPr>
            <w:tcW w:w="971" w:type="pct"/>
            <w:shd w:val="clear" w:color="auto" w:fill="auto"/>
          </w:tcPr>
          <w:p w:rsidR="00794E04" w:rsidRPr="00526311" w:rsidRDefault="00794E04" w:rsidP="00794E04">
            <w:pPr>
              <w:ind w:leftChars="-11" w:left="-24"/>
              <w:rPr>
                <w:sz w:val="16"/>
                <w:szCs w:val="16"/>
              </w:rPr>
            </w:pPr>
            <w:r w:rsidRPr="00526311">
              <w:rPr>
                <w:sz w:val="16"/>
                <w:szCs w:val="16"/>
              </w:rPr>
              <w:t>No se han producido importantes violaciones de la seguridad en los sistemas de información de la OMPI</w:t>
            </w:r>
          </w:p>
        </w:tc>
        <w:tc>
          <w:tcPr>
            <w:tcW w:w="821" w:type="pct"/>
            <w:shd w:val="clear" w:color="auto" w:fill="auto"/>
            <w:tcMar>
              <w:top w:w="110" w:type="dxa"/>
            </w:tcMar>
          </w:tcPr>
          <w:p w:rsidR="00794E04" w:rsidRPr="00526311" w:rsidRDefault="00794E04" w:rsidP="00794E04">
            <w:pPr>
              <w:ind w:leftChars="14" w:left="31"/>
              <w:rPr>
                <w:sz w:val="16"/>
                <w:szCs w:val="16"/>
              </w:rPr>
            </w:pPr>
            <w:r w:rsidRPr="00526311">
              <w:rPr>
                <w:sz w:val="16"/>
                <w:szCs w:val="16"/>
              </w:rPr>
              <w:t>No se han producido importantes violaciones de la seguridad en los sistemas de información de la OMPI</w:t>
            </w:r>
          </w:p>
        </w:tc>
        <w:tc>
          <w:tcPr>
            <w:tcW w:w="1417" w:type="pct"/>
            <w:shd w:val="clear" w:color="auto" w:fill="FFFFFF"/>
            <w:tcMar>
              <w:top w:w="110" w:type="dxa"/>
            </w:tcMar>
          </w:tcPr>
          <w:p w:rsidR="00794E04" w:rsidRPr="00526311" w:rsidRDefault="00794E04" w:rsidP="0063039A">
            <w:pPr>
              <w:rPr>
                <w:sz w:val="16"/>
                <w:szCs w:val="16"/>
              </w:rPr>
            </w:pPr>
            <w:r w:rsidRPr="00526311">
              <w:rPr>
                <w:sz w:val="16"/>
                <w:szCs w:val="16"/>
              </w:rPr>
              <w:t>No se han producido importantes violaciones de la seguridad en los sistemas de información de la OMPI</w:t>
            </w:r>
          </w:p>
        </w:tc>
        <w:tc>
          <w:tcPr>
            <w:tcW w:w="671" w:type="pct"/>
            <w:shd w:val="clear" w:color="auto" w:fill="auto"/>
            <w:tcMar>
              <w:top w:w="110" w:type="dxa"/>
            </w:tcMar>
          </w:tcPr>
          <w:p w:rsidR="00794E04" w:rsidRPr="00526311" w:rsidRDefault="00794E04" w:rsidP="0063039A">
            <w:pPr>
              <w:keepNext/>
              <w:keepLines/>
              <w:jc w:val="center"/>
              <w:rPr>
                <w:bCs/>
                <w:color w:val="00B050"/>
                <w:sz w:val="16"/>
                <w:szCs w:val="16"/>
              </w:rPr>
            </w:pPr>
            <w:r w:rsidRPr="00526311">
              <w:rPr>
                <w:b/>
                <w:color w:val="00B050"/>
                <w:sz w:val="16"/>
                <w:szCs w:val="16"/>
              </w:rPr>
              <w:t>Avanza</w:t>
            </w:r>
          </w:p>
        </w:tc>
      </w:tr>
      <w:tr w:rsidR="00794E04" w:rsidRPr="00526311" w:rsidTr="0063039A">
        <w:trPr>
          <w:cantSplit/>
        </w:trPr>
        <w:tc>
          <w:tcPr>
            <w:tcW w:w="1120" w:type="pct"/>
            <w:tcBorders>
              <w:top w:val="single" w:sz="4" w:space="0" w:color="auto"/>
              <w:left w:val="single" w:sz="4" w:space="0" w:color="auto"/>
              <w:bottom w:val="nil"/>
            </w:tcBorders>
            <w:shd w:val="clear" w:color="auto" w:fill="auto"/>
            <w:vAlign w:val="center"/>
          </w:tcPr>
          <w:p w:rsidR="00794E04" w:rsidRPr="00526311" w:rsidRDefault="00794E04" w:rsidP="0063039A">
            <w:pPr>
              <w:keepNext/>
              <w:keepLines/>
              <w:rPr>
                <w:sz w:val="16"/>
                <w:szCs w:val="16"/>
              </w:rPr>
            </w:pPr>
            <w:r w:rsidRPr="00526311">
              <w:rPr>
                <w:b/>
                <w:sz w:val="16"/>
                <w:szCs w:val="16"/>
              </w:rPr>
              <w:lastRenderedPageBreak/>
              <w:t>Indicadores de rendimiento</w:t>
            </w:r>
          </w:p>
        </w:tc>
        <w:tc>
          <w:tcPr>
            <w:tcW w:w="971" w:type="pct"/>
            <w:tcBorders>
              <w:top w:val="single" w:sz="4" w:space="0" w:color="auto"/>
              <w:bottom w:val="nil"/>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821" w:type="pct"/>
            <w:tcBorders>
              <w:top w:val="single" w:sz="4" w:space="0" w:color="auto"/>
              <w:bottom w:val="nil"/>
            </w:tcBorders>
            <w:shd w:val="clear" w:color="auto" w:fill="auto"/>
            <w:tcMar>
              <w:top w:w="110" w:type="dxa"/>
            </w:tcMar>
            <w:vAlign w:val="center"/>
          </w:tcPr>
          <w:p w:rsidR="00794E04" w:rsidRPr="00526311" w:rsidRDefault="00794E04" w:rsidP="0063039A">
            <w:pPr>
              <w:rPr>
                <w:b/>
                <w:sz w:val="16"/>
                <w:szCs w:val="16"/>
              </w:rPr>
            </w:pPr>
            <w:r w:rsidRPr="00526311">
              <w:rPr>
                <w:b/>
                <w:sz w:val="16"/>
                <w:szCs w:val="16"/>
              </w:rPr>
              <w:t>Objetivos</w:t>
            </w:r>
          </w:p>
        </w:tc>
        <w:tc>
          <w:tcPr>
            <w:tcW w:w="1417" w:type="pct"/>
            <w:tcBorders>
              <w:top w:val="single" w:sz="4" w:space="0" w:color="auto"/>
              <w:bottom w:val="nil"/>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71" w:type="pct"/>
            <w:tcBorders>
              <w:top w:val="single" w:sz="4" w:space="0" w:color="auto"/>
              <w:bottom w:val="nil"/>
              <w:right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rPr>
          <w:cantSplit/>
        </w:trPr>
        <w:tc>
          <w:tcPr>
            <w:tcW w:w="1120" w:type="pct"/>
            <w:shd w:val="clear" w:color="auto" w:fill="auto"/>
          </w:tcPr>
          <w:p w:rsidR="00794E04" w:rsidRPr="00526311" w:rsidRDefault="00794E04" w:rsidP="00794E04">
            <w:pPr>
              <w:keepNext/>
              <w:keepLines/>
              <w:ind w:leftChars="-11" w:left="-24"/>
              <w:rPr>
                <w:sz w:val="16"/>
                <w:szCs w:val="16"/>
              </w:rPr>
            </w:pPr>
            <w:r w:rsidRPr="00526311">
              <w:rPr>
                <w:sz w:val="16"/>
                <w:szCs w:val="16"/>
              </w:rPr>
              <w:t>Situación de la certificación con arreglo a la norma ISO 27001 de los procedimientos de gestión de riesgos para la seguridad de la información</w:t>
            </w:r>
          </w:p>
        </w:tc>
        <w:tc>
          <w:tcPr>
            <w:tcW w:w="971" w:type="pct"/>
            <w:shd w:val="clear" w:color="auto" w:fill="auto"/>
          </w:tcPr>
          <w:p w:rsidR="00794E04" w:rsidRPr="00526311" w:rsidRDefault="00794E04" w:rsidP="0063039A">
            <w:pPr>
              <w:rPr>
                <w:color w:val="002060"/>
                <w:sz w:val="16"/>
                <w:szCs w:val="16"/>
              </w:rPr>
            </w:pPr>
            <w:r w:rsidRPr="00526311">
              <w:rPr>
                <w:i/>
                <w:color w:val="002060"/>
                <w:sz w:val="16"/>
                <w:szCs w:val="16"/>
              </w:rPr>
              <w:t>Referencia actualizada a fines de 2013:</w:t>
            </w:r>
            <w:r w:rsidRPr="00526311">
              <w:rPr>
                <w:color w:val="002060"/>
                <w:sz w:val="16"/>
                <w:szCs w:val="16"/>
              </w:rPr>
              <w:t xml:space="preserve"> </w:t>
            </w:r>
          </w:p>
          <w:p w:rsidR="00794E04" w:rsidRPr="00526311" w:rsidRDefault="00794E04" w:rsidP="00794E04">
            <w:pPr>
              <w:ind w:leftChars="-11" w:left="-24"/>
              <w:rPr>
                <w:color w:val="002060"/>
                <w:sz w:val="16"/>
                <w:szCs w:val="16"/>
              </w:rPr>
            </w:pPr>
            <w:r w:rsidRPr="00526311">
              <w:rPr>
                <w:color w:val="002060"/>
                <w:sz w:val="16"/>
                <w:szCs w:val="16"/>
              </w:rPr>
              <w:t>156</w:t>
            </w:r>
            <w:r w:rsidRPr="00526311">
              <w:t xml:space="preserve"> </w:t>
            </w:r>
            <w:r w:rsidRPr="00526311">
              <w:rPr>
                <w:color w:val="002060"/>
                <w:sz w:val="16"/>
                <w:szCs w:val="16"/>
              </w:rPr>
              <w:t>actividades de mitigación de riesgos pendientes</w:t>
            </w:r>
          </w:p>
          <w:p w:rsidR="00794E04" w:rsidRPr="00526311" w:rsidRDefault="00794E04" w:rsidP="00794E04">
            <w:pPr>
              <w:ind w:leftChars="-11" w:left="-24"/>
              <w:rPr>
                <w:color w:val="002060"/>
                <w:sz w:val="16"/>
                <w:szCs w:val="16"/>
              </w:rPr>
            </w:pPr>
          </w:p>
          <w:p w:rsidR="00794E04" w:rsidRPr="00526311" w:rsidRDefault="00794E04" w:rsidP="00794E04">
            <w:pPr>
              <w:ind w:leftChars="-11" w:left="-24"/>
              <w:rPr>
                <w:color w:val="002060"/>
                <w:sz w:val="16"/>
                <w:szCs w:val="16"/>
              </w:rPr>
            </w:pPr>
            <w:r w:rsidRPr="00526311">
              <w:rPr>
                <w:color w:val="002060"/>
                <w:sz w:val="16"/>
                <w:szCs w:val="16"/>
              </w:rPr>
              <w:t>Certificación ISO 27001 del PCT:2005 (octubre de 2013);</w:t>
            </w:r>
          </w:p>
          <w:p w:rsidR="00794E04" w:rsidRPr="00526311" w:rsidRDefault="00794E04" w:rsidP="00794E04">
            <w:pPr>
              <w:ind w:leftChars="-11" w:left="-24"/>
              <w:rPr>
                <w:color w:val="002060"/>
                <w:sz w:val="16"/>
                <w:szCs w:val="16"/>
              </w:rPr>
            </w:pPr>
          </w:p>
          <w:p w:rsidR="00794E04" w:rsidRPr="00526311" w:rsidRDefault="00794E04" w:rsidP="00794E04">
            <w:pPr>
              <w:ind w:leftChars="-11" w:left="-24"/>
              <w:rPr>
                <w:color w:val="002060"/>
                <w:sz w:val="16"/>
                <w:szCs w:val="16"/>
              </w:rPr>
            </w:pPr>
            <w:r w:rsidRPr="00526311">
              <w:rPr>
                <w:color w:val="002060"/>
                <w:sz w:val="16"/>
                <w:szCs w:val="16"/>
              </w:rPr>
              <w:t>El registro de riesgos relativo a la seguridad de la información se actualizó semestralmente, y se revisó a fondo en el marco de la certificación ISO 27001 de las operaciones del PCT</w:t>
            </w:r>
          </w:p>
          <w:p w:rsidR="00794E04" w:rsidRPr="00526311" w:rsidRDefault="00794E04" w:rsidP="0063039A">
            <w:pPr>
              <w:rPr>
                <w:color w:val="000000" w:themeColor="text1"/>
                <w:sz w:val="16"/>
                <w:szCs w:val="16"/>
              </w:rPr>
            </w:pPr>
          </w:p>
          <w:p w:rsidR="00794E04" w:rsidRPr="00526311" w:rsidRDefault="007B705E" w:rsidP="00794E04">
            <w:pPr>
              <w:ind w:leftChars="-11" w:left="-24"/>
              <w:rPr>
                <w:color w:val="000000" w:themeColor="text1"/>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Número de actividades de mitigación de riesgos pendientes al inicio del bienio;  certificación  de la Sección del PCT con arreglo a la norma ISO 27001</w:t>
            </w:r>
          </w:p>
        </w:tc>
        <w:tc>
          <w:tcPr>
            <w:tcW w:w="821" w:type="pct"/>
            <w:shd w:val="clear" w:color="auto" w:fill="auto"/>
            <w:tcMar>
              <w:top w:w="110" w:type="dxa"/>
            </w:tcMar>
          </w:tcPr>
          <w:p w:rsidR="00794E04" w:rsidRPr="00526311" w:rsidRDefault="00794E04" w:rsidP="00794E04">
            <w:pPr>
              <w:ind w:leftChars="-11" w:left="-24"/>
              <w:rPr>
                <w:sz w:val="16"/>
                <w:szCs w:val="16"/>
              </w:rPr>
            </w:pPr>
            <w:r w:rsidRPr="00526311">
              <w:rPr>
                <w:sz w:val="16"/>
                <w:szCs w:val="16"/>
              </w:rPr>
              <w:t>El 90% de las actividades pendientes se resuelven durante el bienio;  el 60% de nuevos riesgos  se mitigan en un plazo de tres meses a partir del momento en que se señalan;  se obtiene la certificación de las dependencias de la Organización, según sea necesario;  se mantiene la certificación del PCT</w:t>
            </w:r>
          </w:p>
        </w:tc>
        <w:tc>
          <w:tcPr>
            <w:tcW w:w="1417" w:type="pct"/>
            <w:shd w:val="clear" w:color="auto" w:fill="FFFFFF"/>
            <w:tcMar>
              <w:top w:w="110" w:type="dxa"/>
            </w:tcMar>
          </w:tcPr>
          <w:p w:rsidR="00794E04" w:rsidRPr="00526311" w:rsidRDefault="00794E04" w:rsidP="00794E04">
            <w:pPr>
              <w:ind w:leftChars="-11" w:left="-24"/>
              <w:rPr>
                <w:color w:val="000000" w:themeColor="text1"/>
                <w:sz w:val="16"/>
                <w:szCs w:val="16"/>
                <w:lang w:bidi="th-TH"/>
              </w:rPr>
            </w:pPr>
            <w:r w:rsidRPr="00526311">
              <w:rPr>
                <w:color w:val="000000" w:themeColor="text1"/>
                <w:sz w:val="16"/>
                <w:szCs w:val="16"/>
                <w:lang w:bidi="th-TH"/>
              </w:rPr>
              <w:t>17 de los 156 riesgos de referencia seguían pendientes de resolución a finales del cuarto trimestre (11%)</w:t>
            </w:r>
          </w:p>
          <w:p w:rsidR="00794E04" w:rsidRPr="00526311" w:rsidRDefault="00794E04" w:rsidP="00794E04">
            <w:pPr>
              <w:ind w:leftChars="-11" w:left="-24"/>
              <w:rPr>
                <w:color w:val="000000" w:themeColor="text1"/>
                <w:sz w:val="16"/>
                <w:szCs w:val="16"/>
                <w:lang w:bidi="th-TH"/>
              </w:rPr>
            </w:pPr>
          </w:p>
          <w:p w:rsidR="00794E04" w:rsidRPr="00526311" w:rsidRDefault="00794E04" w:rsidP="0063039A">
            <w:pPr>
              <w:rPr>
                <w:color w:val="000000" w:themeColor="text1"/>
                <w:sz w:val="16"/>
                <w:szCs w:val="16"/>
                <w:lang w:bidi="th-TH"/>
              </w:rPr>
            </w:pPr>
            <w:r w:rsidRPr="00526311">
              <w:rPr>
                <w:color w:val="000000" w:themeColor="text1"/>
                <w:sz w:val="16"/>
                <w:szCs w:val="16"/>
                <w:lang w:bidi="th-TH"/>
              </w:rPr>
              <w:t>Se detectaron 12 nuevos riesgos durante el último trimestre o quedaron pendientes de trimestres anteriores, de los que ocho fueron mitigados a los tres meses de su detección (66%)</w:t>
            </w:r>
          </w:p>
          <w:p w:rsidR="00794E04" w:rsidRPr="00526311" w:rsidRDefault="00794E04" w:rsidP="0063039A">
            <w:pPr>
              <w:rPr>
                <w:color w:val="000000" w:themeColor="text1"/>
                <w:sz w:val="16"/>
                <w:szCs w:val="16"/>
                <w:lang w:bidi="th-TH"/>
              </w:rPr>
            </w:pPr>
          </w:p>
          <w:p w:rsidR="00794E04" w:rsidRPr="00526311" w:rsidRDefault="00794E04" w:rsidP="0063039A">
            <w:pPr>
              <w:rPr>
                <w:color w:val="000000" w:themeColor="text1"/>
                <w:sz w:val="16"/>
                <w:szCs w:val="16"/>
              </w:rPr>
            </w:pPr>
            <w:r w:rsidRPr="00526311">
              <w:rPr>
                <w:color w:val="000000" w:themeColor="text1"/>
                <w:sz w:val="16"/>
                <w:szCs w:val="16"/>
                <w:lang w:bidi="th-TH"/>
              </w:rPr>
              <w:t>La transición del PCT a la ISO 27001:2013 desde la ISO 27001:2005 se llevó a cabo satisfactoriamente.  La certificación fue otorgada en octubre de 2014</w:t>
            </w:r>
          </w:p>
        </w:tc>
        <w:tc>
          <w:tcPr>
            <w:tcW w:w="671" w:type="pct"/>
            <w:shd w:val="clear" w:color="auto" w:fill="auto"/>
            <w:tcMar>
              <w:top w:w="110" w:type="dxa"/>
            </w:tcMar>
          </w:tcPr>
          <w:p w:rsidR="00794E04" w:rsidRPr="00526311" w:rsidRDefault="00794E04" w:rsidP="0063039A">
            <w:pPr>
              <w:keepNext/>
              <w:keepLines/>
              <w:jc w:val="center"/>
              <w:rPr>
                <w:b/>
                <w:bCs/>
                <w:color w:val="00B050"/>
                <w:sz w:val="16"/>
                <w:szCs w:val="16"/>
              </w:rPr>
            </w:pPr>
            <w:r w:rsidRPr="00526311">
              <w:rPr>
                <w:b/>
                <w:color w:val="00B050"/>
                <w:sz w:val="16"/>
                <w:szCs w:val="16"/>
              </w:rPr>
              <w:t>Avanza</w:t>
            </w: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
                <w:bCs/>
                <w:color w:val="00B050"/>
                <w:sz w:val="16"/>
                <w:szCs w:val="16"/>
              </w:rPr>
            </w:pPr>
            <w:r w:rsidRPr="00526311">
              <w:rPr>
                <w:b/>
                <w:bCs/>
                <w:color w:val="00B050"/>
                <w:sz w:val="16"/>
                <w:szCs w:val="16"/>
              </w:rPr>
              <w:br/>
            </w: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
                <w:bCs/>
                <w:color w:val="00B050"/>
                <w:sz w:val="16"/>
                <w:szCs w:val="16"/>
              </w:rPr>
            </w:pPr>
            <w:r w:rsidRPr="00526311">
              <w:rPr>
                <w:b/>
                <w:color w:val="00B050"/>
                <w:sz w:val="16"/>
                <w:szCs w:val="16"/>
              </w:rPr>
              <w:t>Avanza</w:t>
            </w: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
                <w:bCs/>
                <w:color w:val="00B050"/>
                <w:sz w:val="16"/>
                <w:szCs w:val="16"/>
              </w:rPr>
            </w:pPr>
            <w:r w:rsidRPr="00526311">
              <w:rPr>
                <w:b/>
                <w:bCs/>
                <w:color w:val="00B050"/>
                <w:sz w:val="16"/>
                <w:szCs w:val="16"/>
              </w:rPr>
              <w:br/>
            </w: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Cs/>
                <w:color w:val="00B050"/>
                <w:sz w:val="16"/>
                <w:szCs w:val="16"/>
              </w:rPr>
            </w:pPr>
            <w:r w:rsidRPr="00526311">
              <w:rPr>
                <w:b/>
                <w:color w:val="00B050"/>
                <w:sz w:val="16"/>
                <w:szCs w:val="16"/>
              </w:rPr>
              <w:t>Avanza</w:t>
            </w:r>
          </w:p>
        </w:tc>
      </w:tr>
      <w:tr w:rsidR="00794E04" w:rsidRPr="00526311" w:rsidTr="0063039A">
        <w:trPr>
          <w:cantSplit/>
        </w:trPr>
        <w:tc>
          <w:tcPr>
            <w:tcW w:w="1120" w:type="pct"/>
            <w:tcBorders>
              <w:bottom w:val="single" w:sz="4" w:space="0" w:color="auto"/>
            </w:tcBorders>
            <w:shd w:val="clear" w:color="auto" w:fill="auto"/>
          </w:tcPr>
          <w:p w:rsidR="00794E04" w:rsidRPr="00526311" w:rsidRDefault="00794E04" w:rsidP="00794E04">
            <w:pPr>
              <w:ind w:leftChars="-11" w:left="-24"/>
              <w:rPr>
                <w:sz w:val="16"/>
                <w:szCs w:val="16"/>
              </w:rPr>
            </w:pPr>
            <w:r w:rsidRPr="00526311">
              <w:rPr>
                <w:sz w:val="16"/>
                <w:szCs w:val="16"/>
              </w:rPr>
              <w:t>Eficacia de los controles de seguridad de la información (a nivel interno y externo)</w:t>
            </w:r>
            <w:r w:rsidR="004C5BCD" w:rsidRPr="00526311">
              <w:rPr>
                <w:sz w:val="16"/>
                <w:szCs w:val="16"/>
              </w:rPr>
              <w:br/>
            </w:r>
          </w:p>
        </w:tc>
        <w:tc>
          <w:tcPr>
            <w:tcW w:w="971" w:type="pct"/>
            <w:tcBorders>
              <w:bottom w:val="single" w:sz="4" w:space="0" w:color="auto"/>
            </w:tcBorders>
            <w:shd w:val="clear" w:color="auto" w:fill="auto"/>
          </w:tcPr>
          <w:p w:rsidR="00794E04" w:rsidRPr="00526311" w:rsidRDefault="00794E04" w:rsidP="00794E04">
            <w:pPr>
              <w:ind w:leftChars="-11" w:left="-24"/>
              <w:rPr>
                <w:sz w:val="16"/>
                <w:szCs w:val="16"/>
              </w:rPr>
            </w:pPr>
            <w:r w:rsidRPr="00526311">
              <w:rPr>
                <w:sz w:val="16"/>
                <w:szCs w:val="16"/>
              </w:rPr>
              <w:t>5 incidentes o menos por año</w:t>
            </w:r>
          </w:p>
          <w:p w:rsidR="00794E04" w:rsidRPr="00526311" w:rsidRDefault="00794E04" w:rsidP="00794E04">
            <w:pPr>
              <w:ind w:leftChars="-11" w:left="-24"/>
              <w:rPr>
                <w:sz w:val="16"/>
                <w:szCs w:val="16"/>
              </w:rPr>
            </w:pPr>
          </w:p>
        </w:tc>
        <w:tc>
          <w:tcPr>
            <w:tcW w:w="821" w:type="pct"/>
            <w:tcBorders>
              <w:bottom w:val="single" w:sz="4" w:space="0" w:color="auto"/>
            </w:tcBorders>
            <w:shd w:val="clear" w:color="auto" w:fill="auto"/>
            <w:tcMar>
              <w:top w:w="110" w:type="dxa"/>
            </w:tcMar>
          </w:tcPr>
          <w:p w:rsidR="00794E04" w:rsidRPr="00526311" w:rsidRDefault="00794E04" w:rsidP="0063039A">
            <w:pPr>
              <w:rPr>
                <w:sz w:val="16"/>
                <w:szCs w:val="16"/>
              </w:rPr>
            </w:pPr>
            <w:r w:rsidRPr="00526311">
              <w:rPr>
                <w:sz w:val="16"/>
                <w:szCs w:val="16"/>
              </w:rPr>
              <w:t>2 incidentes o menos por año</w:t>
            </w:r>
          </w:p>
        </w:tc>
        <w:tc>
          <w:tcPr>
            <w:tcW w:w="1417" w:type="pct"/>
            <w:tcBorders>
              <w:bottom w:val="single" w:sz="4" w:space="0" w:color="auto"/>
            </w:tcBorders>
            <w:shd w:val="clear" w:color="auto" w:fill="FFFFFF"/>
            <w:tcMar>
              <w:top w:w="110" w:type="dxa"/>
            </w:tcMar>
          </w:tcPr>
          <w:p w:rsidR="00794E04" w:rsidRPr="00526311" w:rsidRDefault="00794E04" w:rsidP="0063039A">
            <w:pPr>
              <w:rPr>
                <w:color w:val="000000" w:themeColor="text1"/>
                <w:sz w:val="16"/>
                <w:szCs w:val="16"/>
              </w:rPr>
            </w:pPr>
            <w:r w:rsidRPr="00526311">
              <w:rPr>
                <w:color w:val="000000" w:themeColor="text1"/>
                <w:sz w:val="16"/>
                <w:szCs w:val="16"/>
              </w:rPr>
              <w:t>1 incidente importante en todo el año</w:t>
            </w:r>
          </w:p>
        </w:tc>
        <w:tc>
          <w:tcPr>
            <w:tcW w:w="671" w:type="pct"/>
            <w:tcBorders>
              <w:bottom w:val="single" w:sz="4" w:space="0" w:color="auto"/>
            </w:tcBorders>
            <w:shd w:val="clear" w:color="auto" w:fill="auto"/>
            <w:tcMar>
              <w:top w:w="110" w:type="dxa"/>
            </w:tcMar>
          </w:tcPr>
          <w:p w:rsidR="00794E04" w:rsidRPr="00526311" w:rsidRDefault="00794E04" w:rsidP="0063039A">
            <w:pPr>
              <w:keepNext/>
              <w:keepLines/>
              <w:jc w:val="center"/>
              <w:rPr>
                <w:rStyle w:val="Style5"/>
                <w:color w:val="00B050"/>
                <w:sz w:val="16"/>
                <w:szCs w:val="16"/>
              </w:rPr>
            </w:pPr>
            <w:r w:rsidRPr="00526311">
              <w:rPr>
                <w:b/>
                <w:color w:val="00B050"/>
                <w:sz w:val="16"/>
                <w:szCs w:val="16"/>
              </w:rPr>
              <w:t>Avanza</w:t>
            </w:r>
          </w:p>
          <w:p w:rsidR="00794E04" w:rsidRPr="00526311" w:rsidRDefault="00794E04" w:rsidP="0063039A">
            <w:pPr>
              <w:keepNext/>
              <w:keepLines/>
              <w:jc w:val="center"/>
              <w:rPr>
                <w:bCs/>
                <w:color w:val="00B050"/>
                <w:sz w:val="16"/>
                <w:szCs w:val="16"/>
              </w:rPr>
            </w:pPr>
          </w:p>
        </w:tc>
      </w:tr>
    </w:tbl>
    <w:p w:rsidR="00794E04" w:rsidRPr="00526311" w:rsidRDefault="00794E04" w:rsidP="0063039A">
      <w:pPr>
        <w:rPr>
          <w:bCs/>
          <w:sz w:val="20"/>
        </w:rPr>
      </w:pPr>
    </w:p>
    <w:p w:rsidR="00794E04" w:rsidRPr="00526311" w:rsidRDefault="00794E04" w:rsidP="0063039A">
      <w:pPr>
        <w:rPr>
          <w:bCs/>
          <w:sz w:val="20"/>
        </w:rPr>
      </w:pPr>
    </w:p>
    <w:p w:rsidR="00794E04" w:rsidRPr="00526311" w:rsidRDefault="00794E04" w:rsidP="0063039A">
      <w:pPr>
        <w:rPr>
          <w:b/>
          <w:sz w:val="18"/>
          <w:szCs w:val="18"/>
        </w:rPr>
      </w:pPr>
      <w:r w:rsidRPr="00526311">
        <w:rPr>
          <w:szCs w:val="22"/>
        </w:rPr>
        <w:t>UTILIZACIÓN DE LOS RECURSOS</w:t>
      </w:r>
    </w:p>
    <w:p w:rsidR="00794E04" w:rsidRPr="00526311" w:rsidRDefault="00794E04" w:rsidP="0063039A">
      <w:pPr>
        <w:rPr>
          <w:sz w:val="20"/>
        </w:rPr>
      </w:pPr>
    </w:p>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794E04" w:rsidRPr="00526311" w:rsidRDefault="00794E04" w:rsidP="0063039A">
      <w:pPr>
        <w:pStyle w:val="NormalWeb"/>
        <w:spacing w:before="0" w:beforeAutospacing="0" w:after="0" w:afterAutospacing="0"/>
        <w:jc w:val="center"/>
        <w:rPr>
          <w:sz w:val="20"/>
          <w:szCs w:val="20"/>
          <w:lang w:val="es-ES"/>
        </w:rPr>
      </w:pPr>
    </w:p>
    <w:p w:rsidR="00794E04" w:rsidRPr="00526311" w:rsidRDefault="00DD7B62" w:rsidP="0063039A">
      <w:r w:rsidRPr="00526311">
        <w:rPr>
          <w:noProof/>
          <w:lang w:val="en-US" w:eastAsia="en-US"/>
        </w:rPr>
        <w:drawing>
          <wp:inline distT="0" distB="0" distL="0" distR="0" wp14:anchorId="284F0BDE" wp14:editId="7B870728">
            <wp:extent cx="5762625" cy="1871345"/>
            <wp:effectExtent l="0" t="0" r="9525"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62625" cy="1871345"/>
                    </a:xfrm>
                    <a:prstGeom prst="rect">
                      <a:avLst/>
                    </a:prstGeom>
                    <a:noFill/>
                    <a:ln>
                      <a:noFill/>
                    </a:ln>
                  </pic:spPr>
                </pic:pic>
              </a:graphicData>
            </a:graphic>
          </wp:inline>
        </w:drawing>
      </w:r>
    </w:p>
    <w:p w:rsidR="00794E04" w:rsidRPr="00526311" w:rsidRDefault="00794E04" w:rsidP="0063039A">
      <w:pPr>
        <w:rPr>
          <w:sz w:val="20"/>
        </w:rPr>
      </w:pPr>
    </w:p>
    <w:p w:rsidR="00794E04" w:rsidRPr="00526311" w:rsidRDefault="00794E04" w:rsidP="0063039A">
      <w:pPr>
        <w:rPr>
          <w:sz w:val="20"/>
        </w:rPr>
      </w:pPr>
    </w:p>
    <w:p w:rsidR="00794E04" w:rsidRPr="00526311" w:rsidRDefault="00794E04">
      <w:pPr>
        <w:rPr>
          <w:sz w:val="20"/>
        </w:rPr>
      </w:pPr>
      <w:r w:rsidRPr="00526311">
        <w:rPr>
          <w:sz w:val="20"/>
        </w:rPr>
        <w:br w:type="page"/>
      </w:r>
    </w:p>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lastRenderedPageBreak/>
        <w:t xml:space="preserve">Presupuesto y gastos reales (de personal y no relativos a personal) </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794E04" w:rsidRPr="00526311" w:rsidRDefault="00794E04" w:rsidP="0063039A">
      <w:pPr>
        <w:pStyle w:val="NormalWeb"/>
        <w:spacing w:before="0" w:beforeAutospacing="0" w:after="0" w:afterAutospacing="0"/>
        <w:jc w:val="center"/>
        <w:rPr>
          <w:lang w:val="es-ES"/>
        </w:rPr>
      </w:pPr>
    </w:p>
    <w:p w:rsidR="00794E04" w:rsidRPr="00526311" w:rsidRDefault="00FF6E74" w:rsidP="0063039A">
      <w:bookmarkStart w:id="86" w:name="Punto25"/>
      <w:r w:rsidRPr="00526311">
        <w:rPr>
          <w:noProof/>
          <w:lang w:val="en-US" w:eastAsia="en-US"/>
        </w:rPr>
        <w:drawing>
          <wp:inline distT="0" distB="0" distL="0" distR="0" wp14:anchorId="062A7CA0" wp14:editId="26FBB99A">
            <wp:extent cx="5940425" cy="1170949"/>
            <wp:effectExtent l="0" t="0" r="3175"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0425" cy="1170949"/>
                    </a:xfrm>
                    <a:prstGeom prst="rect">
                      <a:avLst/>
                    </a:prstGeom>
                    <a:noFill/>
                    <a:ln>
                      <a:noFill/>
                    </a:ln>
                  </pic:spPr>
                </pic:pic>
              </a:graphicData>
            </a:graphic>
          </wp:inline>
        </w:drawing>
      </w:r>
      <w:bookmarkEnd w:id="86"/>
    </w:p>
    <w:p w:rsidR="00794E04" w:rsidRPr="00526311" w:rsidRDefault="00794E04" w:rsidP="0063039A">
      <w:pPr>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794E04" w:rsidRPr="00526311" w:rsidRDefault="00794E04" w:rsidP="0063039A">
      <w:pPr>
        <w:autoSpaceDE w:val="0"/>
        <w:autoSpaceDN w:val="0"/>
        <w:adjustRightInd w:val="0"/>
        <w:rPr>
          <w:sz w:val="20"/>
        </w:rPr>
      </w:pPr>
    </w:p>
    <w:p w:rsidR="00794E04" w:rsidRPr="00526311" w:rsidRDefault="00794E04"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794E04" w:rsidRPr="00526311" w:rsidRDefault="00794E04" w:rsidP="0063039A">
      <w:pPr>
        <w:rPr>
          <w:sz w:val="20"/>
          <w:u w:val="single"/>
        </w:rPr>
      </w:pPr>
    </w:p>
    <w:p w:rsidR="00794E04" w:rsidRPr="00526311" w:rsidRDefault="00794E04" w:rsidP="00794E04">
      <w:pPr>
        <w:pStyle w:val="ONUME"/>
        <w:numPr>
          <w:ilvl w:val="0"/>
          <w:numId w:val="91"/>
        </w:numPr>
        <w:tabs>
          <w:tab w:val="left" w:pos="709"/>
        </w:tabs>
        <w:spacing w:after="0"/>
        <w:ind w:left="0" w:firstLine="0"/>
        <w:jc w:val="both"/>
        <w:rPr>
          <w:sz w:val="20"/>
        </w:rPr>
      </w:pPr>
      <w:r w:rsidRPr="00526311">
        <w:rPr>
          <w:sz w:val="20"/>
        </w:rPr>
        <w:t>El aumento general observado de alrededor de un millón de francos suizos en el presupuesto de 2014/15 tras las transferencias, con respecto al presupuesto aprobado de 2014/15, se debe principalmente a un incremento de los recursos no relativos a personal derivado, por una parte, de las medidas de fomento de la eficacia en función de los costos aplicadas en 2014/15 y, por otra parte, de los recursos adicionales asignados al programa para cubrir los costos del Centro Internacional de Cálculos Electrónicos de las Naciones Unidas (CICE), la implantación de una infraestructura con capacidad de reacción y recuperación para las oficinas en el exterior, y los costos relacionados con el alojamiento de la base de datos terminológica Pearl.  El aumento de los recursos de personal se debe fundamentalmente a las reclasificaciones y las regularizaciones finalizadas.  Los aumentos quedan reflejados en el resultado previsto XI.1.</w:t>
      </w:r>
    </w:p>
    <w:p w:rsidR="00794E04" w:rsidRPr="00526311" w:rsidRDefault="00794E04" w:rsidP="00CD437C">
      <w:pPr>
        <w:pStyle w:val="ONUME"/>
        <w:numPr>
          <w:ilvl w:val="0"/>
          <w:numId w:val="0"/>
        </w:numPr>
        <w:tabs>
          <w:tab w:val="left" w:pos="709"/>
        </w:tabs>
        <w:spacing w:after="0"/>
        <w:jc w:val="both"/>
        <w:rPr>
          <w:sz w:val="20"/>
        </w:rPr>
      </w:pPr>
    </w:p>
    <w:p w:rsidR="00794E04" w:rsidRPr="00526311" w:rsidRDefault="00794E04"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794E04" w:rsidRPr="00526311" w:rsidRDefault="00794E04" w:rsidP="0063039A">
      <w:pPr>
        <w:tabs>
          <w:tab w:val="left" w:pos="709"/>
        </w:tabs>
        <w:jc w:val="both"/>
        <w:rPr>
          <w:sz w:val="20"/>
          <w:u w:val="single"/>
          <w:lang w:eastAsia="ko-KR"/>
        </w:rPr>
      </w:pPr>
    </w:p>
    <w:p w:rsidR="00794E04" w:rsidRPr="00526311" w:rsidRDefault="00794E04" w:rsidP="00794E04">
      <w:pPr>
        <w:pStyle w:val="ONUME"/>
        <w:numPr>
          <w:ilvl w:val="0"/>
          <w:numId w:val="91"/>
        </w:numPr>
        <w:tabs>
          <w:tab w:val="left" w:pos="709"/>
        </w:tabs>
        <w:spacing w:after="0"/>
        <w:ind w:left="0" w:firstLine="0"/>
        <w:jc w:val="both"/>
        <w:rPr>
          <w:rFonts w:ascii="Calibri" w:hAnsi="Calibri"/>
          <w:sz w:val="20"/>
        </w:rPr>
      </w:pPr>
      <w:r w:rsidRPr="00526311">
        <w:rPr>
          <w:sz w:val="20"/>
        </w:rPr>
        <w:t>La utilización del presupuesto se ha mantenido dentro de los límites establecidos (40-60%) durante el primer año del bienio y está bien encaminada</w:t>
      </w:r>
      <w:r w:rsidRPr="00526311">
        <w:rPr>
          <w:sz w:val="20"/>
          <w:lang w:eastAsia="ko-KR"/>
        </w:rPr>
        <w:t>.</w:t>
      </w:r>
    </w:p>
    <w:p w:rsidR="00794E04" w:rsidRPr="00526311" w:rsidRDefault="00794E04" w:rsidP="0063039A">
      <w:pPr>
        <w:rPr>
          <w:sz w:val="20"/>
        </w:rPr>
      </w:pPr>
    </w:p>
    <w:p w:rsidR="00794E04" w:rsidRPr="00526311" w:rsidRDefault="00794E04" w:rsidP="0063039A">
      <w:pPr>
        <w:rPr>
          <w:sz w:val="20"/>
        </w:rPr>
      </w:pPr>
    </w:p>
    <w:p w:rsidR="00794E04" w:rsidRPr="00526311" w:rsidRDefault="00794E04">
      <w:pPr>
        <w:rPr>
          <w:bCs/>
          <w:iCs/>
          <w:caps/>
          <w:sz w:val="20"/>
        </w:rPr>
      </w:pPr>
      <w:r w:rsidRPr="00526311">
        <w:rPr>
          <w:sz w:val="20"/>
        </w:rPr>
        <w:br w:type="page"/>
      </w:r>
    </w:p>
    <w:p w:rsidR="00794E04" w:rsidRPr="00526311" w:rsidRDefault="00794E04" w:rsidP="0063039A">
      <w:pPr>
        <w:pStyle w:val="Heading2"/>
        <w:tabs>
          <w:tab w:val="left" w:pos="-3969"/>
        </w:tabs>
        <w:ind w:left="2410" w:hanging="2410"/>
        <w:rPr>
          <w:b/>
          <w:szCs w:val="20"/>
        </w:rPr>
      </w:pPr>
      <w:bookmarkStart w:id="87" w:name="_Toc422927440"/>
      <w:r w:rsidRPr="00526311">
        <w:rPr>
          <w:b/>
          <w:szCs w:val="20"/>
        </w:rPr>
        <w:lastRenderedPageBreak/>
        <w:t>PROGRAMA 26</w:t>
      </w:r>
      <w:r w:rsidRPr="00526311">
        <w:rPr>
          <w:b/>
          <w:szCs w:val="20"/>
        </w:rPr>
        <w:tab/>
        <w:t>SUPERVISIÓN INTERNA</w:t>
      </w:r>
      <w:bookmarkEnd w:id="87"/>
    </w:p>
    <w:p w:rsidR="00794E04" w:rsidRPr="00526311" w:rsidRDefault="00794E04" w:rsidP="0063039A">
      <w:pPr>
        <w:tabs>
          <w:tab w:val="left" w:pos="1985"/>
        </w:tabs>
        <w:rPr>
          <w:sz w:val="20"/>
        </w:rPr>
      </w:pPr>
    </w:p>
    <w:p w:rsidR="00794E04" w:rsidRPr="00526311" w:rsidRDefault="00794E04" w:rsidP="0063039A">
      <w:pPr>
        <w:tabs>
          <w:tab w:val="left" w:pos="2410"/>
        </w:tabs>
        <w:rPr>
          <w:b/>
          <w:sz w:val="20"/>
        </w:rPr>
      </w:pPr>
      <w:r w:rsidRPr="00526311">
        <w:rPr>
          <w:b/>
          <w:sz w:val="20"/>
        </w:rPr>
        <w:t>Director de programa</w:t>
      </w:r>
      <w:r w:rsidRPr="00526311">
        <w:rPr>
          <w:b/>
          <w:sz w:val="20"/>
        </w:rPr>
        <w:tab/>
        <w:t>Sr. T. Efendioglu (Director interino de la DSI)</w:t>
      </w:r>
    </w:p>
    <w:p w:rsidR="00794E04" w:rsidRPr="00526311" w:rsidRDefault="00794E04" w:rsidP="0063039A">
      <w:pPr>
        <w:rPr>
          <w:sz w:val="20"/>
        </w:rPr>
      </w:pPr>
    </w:p>
    <w:p w:rsidR="00794E04" w:rsidRPr="00526311" w:rsidRDefault="00794E04" w:rsidP="0063039A">
      <w:pPr>
        <w:rPr>
          <w:sz w:val="20"/>
        </w:rPr>
      </w:pPr>
    </w:p>
    <w:p w:rsidR="00794E04" w:rsidRPr="00526311" w:rsidRDefault="00794E04" w:rsidP="0063039A">
      <w:pPr>
        <w:rPr>
          <w:bCs/>
        </w:rPr>
      </w:pPr>
      <w:r w:rsidRPr="00526311">
        <w:rPr>
          <w:bCs/>
        </w:rPr>
        <w:t>RESEÑA DE LOS AVANCES LOGRADOS EN 2014</w:t>
      </w:r>
    </w:p>
    <w:p w:rsidR="00794E04" w:rsidRPr="00526311" w:rsidRDefault="00794E04" w:rsidP="0063039A"/>
    <w:p w:rsidR="00794E04" w:rsidRPr="00526311" w:rsidRDefault="00794E04" w:rsidP="00794E04">
      <w:pPr>
        <w:pStyle w:val="ListParagraph"/>
        <w:numPr>
          <w:ilvl w:val="0"/>
          <w:numId w:val="92"/>
        </w:numPr>
        <w:tabs>
          <w:tab w:val="left" w:pos="709"/>
        </w:tabs>
        <w:ind w:left="0" w:firstLine="0"/>
        <w:jc w:val="both"/>
        <w:rPr>
          <w:rFonts w:cs="Arial"/>
          <w:lang w:val="es-ES"/>
        </w:rPr>
      </w:pPr>
      <w:r w:rsidRPr="00526311">
        <w:rPr>
          <w:rFonts w:cs="Arial"/>
          <w:lang w:val="es-ES"/>
        </w:rPr>
        <w:t>La División de Supervisión Interna (DSI) superó satisfactoriamente dos evaluaciones externas de la calidad de sus funciones de auditoría y de evaluación en 2014.  Se concluyó que, en términos generales, la función de auditoría interna</w:t>
      </w:r>
      <w:r w:rsidRPr="00526311">
        <w:rPr>
          <w:rStyle w:val="FootnoteReference"/>
          <w:rFonts w:cs="Arial"/>
          <w:lang w:val="es-ES"/>
        </w:rPr>
        <w:footnoteReference w:id="62"/>
      </w:r>
      <w:r w:rsidRPr="00526311">
        <w:rPr>
          <w:rFonts w:cs="Arial"/>
          <w:lang w:val="es-ES"/>
        </w:rPr>
        <w:t xml:space="preserve"> era conforme con las normas</w:t>
      </w:r>
      <w:r w:rsidR="004C5BCD" w:rsidRPr="00526311">
        <w:rPr>
          <w:rFonts w:cs="Arial"/>
          <w:lang w:val="es-ES"/>
        </w:rPr>
        <w:t>, el código de ética del IIA y la Definición de Auditoría Interna</w:t>
      </w:r>
      <w:r w:rsidRPr="00526311">
        <w:rPr>
          <w:rFonts w:cs="Arial"/>
          <w:lang w:val="es-ES"/>
        </w:rPr>
        <w:t>, lo que equival</w:t>
      </w:r>
      <w:r w:rsidR="004C5BCD" w:rsidRPr="00526311">
        <w:rPr>
          <w:rFonts w:cs="Arial"/>
          <w:lang w:val="es-ES"/>
        </w:rPr>
        <w:t>e</w:t>
      </w:r>
      <w:r w:rsidRPr="00526311">
        <w:rPr>
          <w:rFonts w:cs="Arial"/>
          <w:lang w:val="es-ES"/>
        </w:rPr>
        <w:t xml:space="preserve"> a la más alta clasificación posible.  En cuanto al examen de la función de evaluación de la DSI se concluyó que se ajustaba en general a las normas y las reglas del Grupo de Evaluación de las Naciones Unidas.</w:t>
      </w:r>
    </w:p>
    <w:p w:rsidR="00794E04" w:rsidRPr="00526311" w:rsidRDefault="00794E04" w:rsidP="0063039A">
      <w:pPr>
        <w:tabs>
          <w:tab w:val="left" w:pos="709"/>
        </w:tabs>
        <w:jc w:val="both"/>
      </w:pPr>
    </w:p>
    <w:p w:rsidR="00794E04" w:rsidRPr="00526311" w:rsidRDefault="00794E04" w:rsidP="00794E04">
      <w:pPr>
        <w:pStyle w:val="ListParagraph"/>
        <w:numPr>
          <w:ilvl w:val="0"/>
          <w:numId w:val="92"/>
        </w:numPr>
        <w:tabs>
          <w:tab w:val="left" w:pos="709"/>
        </w:tabs>
        <w:ind w:left="0" w:firstLine="0"/>
        <w:jc w:val="both"/>
        <w:rPr>
          <w:rFonts w:cs="Arial"/>
          <w:lang w:val="es-ES"/>
        </w:rPr>
      </w:pPr>
      <w:r w:rsidRPr="00526311">
        <w:rPr>
          <w:rFonts w:cs="Arial"/>
          <w:lang w:val="es-ES"/>
        </w:rPr>
        <w:t xml:space="preserve">La DSI también contribuyó a la revisión de la Carta de Supervisión Interna de la OMPI, que fue aprobada por la Asamblea General el 30 de septiembre de 2014.  Los resultados de la revisión fueron los siguientes:  i) el nombre de la División de Auditoría y Supervisión Internas se cambió por el de División de Supervisión Interna (DSI);  ii) </w:t>
      </w:r>
      <w:r w:rsidR="004C5BCD" w:rsidRPr="00526311">
        <w:rPr>
          <w:rFonts w:cs="Arial"/>
          <w:lang w:val="es-ES"/>
        </w:rPr>
        <w:t xml:space="preserve">pasó a ser obligatoria </w:t>
      </w:r>
      <w:r w:rsidRPr="00526311">
        <w:rPr>
          <w:rFonts w:cs="Arial"/>
          <w:lang w:val="es-ES"/>
        </w:rPr>
        <w:t>la aplicación de las normas internacionales</w:t>
      </w:r>
      <w:r w:rsidR="004C5BCD" w:rsidRPr="00526311">
        <w:rPr>
          <w:rFonts w:cs="Arial"/>
          <w:lang w:val="es-ES"/>
        </w:rPr>
        <w:t xml:space="preserve"> y las normas y directrices de las NN.UU.</w:t>
      </w:r>
      <w:r w:rsidRPr="00526311">
        <w:rPr>
          <w:rFonts w:cs="Arial"/>
          <w:lang w:val="es-ES"/>
        </w:rPr>
        <w:t xml:space="preserve"> en materia de auditoría interna, evaluación e investigación; iii) se intensificó la participación de la Comisión Consultiva Independiente de Supervisión (CCIS) en la elaboración del plan de trabajo de la DSI;  y iv) </w:t>
      </w:r>
      <w:r w:rsidR="004C5BCD" w:rsidRPr="00526311">
        <w:rPr>
          <w:rFonts w:cs="Arial"/>
          <w:lang w:val="es-ES"/>
        </w:rPr>
        <w:t xml:space="preserve">la divulgación al público de </w:t>
      </w:r>
      <w:r w:rsidRPr="00526311">
        <w:rPr>
          <w:rFonts w:cs="Arial"/>
          <w:lang w:val="es-ES"/>
        </w:rPr>
        <w:t>los informes de auditoría interna</w:t>
      </w:r>
      <w:r w:rsidR="00FC4432" w:rsidRPr="00526311">
        <w:rPr>
          <w:rFonts w:cs="Arial"/>
          <w:lang w:val="es-ES"/>
        </w:rPr>
        <w:t xml:space="preserve"> y </w:t>
      </w:r>
      <w:r w:rsidRPr="00526311">
        <w:rPr>
          <w:rFonts w:cs="Arial"/>
          <w:lang w:val="es-ES"/>
        </w:rPr>
        <w:t>de evaluación</w:t>
      </w:r>
      <w:r w:rsidR="00FC4432" w:rsidRPr="00526311">
        <w:rPr>
          <w:rFonts w:cs="Arial"/>
          <w:lang w:val="es-ES"/>
        </w:rPr>
        <w:t xml:space="preserve"> así como los informes sobre las consecuencias para el equipo directivo</w:t>
      </w:r>
      <w:r w:rsidRPr="00526311">
        <w:rPr>
          <w:rFonts w:cs="Arial"/>
          <w:lang w:val="es-ES"/>
        </w:rPr>
        <w:t>.  La OMPI fue el primer organismo especializado de las Naciones Unidas que aprobó ese ejercicio, que ha pasado a convertirse en una práctica común en la Secretaría de las NN.UU. y en sus fondos y programas.  A finales de 2014 se publicó en Internet el primer informe de la DSI;  sus otros informes estarán disponibles en 2015.</w:t>
      </w:r>
    </w:p>
    <w:p w:rsidR="00794E04" w:rsidRPr="00526311" w:rsidRDefault="00794E04" w:rsidP="0063039A">
      <w:pPr>
        <w:tabs>
          <w:tab w:val="left" w:pos="709"/>
        </w:tabs>
        <w:jc w:val="both"/>
      </w:pPr>
    </w:p>
    <w:p w:rsidR="00794E04" w:rsidRPr="00526311" w:rsidRDefault="00794E04" w:rsidP="00794E04">
      <w:pPr>
        <w:pStyle w:val="ListParagraph"/>
        <w:numPr>
          <w:ilvl w:val="0"/>
          <w:numId w:val="92"/>
        </w:numPr>
        <w:tabs>
          <w:tab w:val="left" w:pos="709"/>
        </w:tabs>
        <w:ind w:left="0" w:firstLine="0"/>
        <w:jc w:val="both"/>
        <w:rPr>
          <w:rFonts w:cs="Arial"/>
          <w:lang w:val="es-ES"/>
        </w:rPr>
      </w:pPr>
      <w:r w:rsidRPr="00526311">
        <w:rPr>
          <w:rFonts w:cs="Arial"/>
          <w:lang w:val="es-ES"/>
        </w:rPr>
        <w:t>La DSI publicó seis informes de autoría, tres informes de evaluación y el informe de validación del PPR de final del bienio 2012/13 (WO/PBC/22/9), y formuló 74 recomendaciones de mejoras.  El plan de supervisión de la DSI fue elaborado sobre la base de su metodología de evaluación de riesgos y teniendo en cuenta las entidades operativas de la OMPI y los correspondientes procesos de trabajo, así como la información recibida de los Estados miembros, la CCIS, el personal directivo superior y el Auditor Externo.  Las actividades de auditoría y de evaluación abarcaron diversas áreas de gestión de programas y proyectos en la Organización, incluida la gestión por resultados, la gestión de los datos, la seguridad de la información, la gestión de los conocimientos y la de eventos.</w:t>
      </w:r>
    </w:p>
    <w:p w:rsidR="00794E04" w:rsidRPr="00526311" w:rsidRDefault="00794E04" w:rsidP="0063039A">
      <w:pPr>
        <w:tabs>
          <w:tab w:val="left" w:pos="709"/>
        </w:tabs>
        <w:jc w:val="both"/>
      </w:pPr>
    </w:p>
    <w:p w:rsidR="00794E04" w:rsidRPr="00526311" w:rsidRDefault="00794E04" w:rsidP="00794E04">
      <w:pPr>
        <w:pStyle w:val="ListParagraph"/>
        <w:numPr>
          <w:ilvl w:val="0"/>
          <w:numId w:val="92"/>
        </w:numPr>
        <w:tabs>
          <w:tab w:val="left" w:pos="0"/>
        </w:tabs>
        <w:ind w:left="0" w:firstLine="0"/>
        <w:jc w:val="both"/>
        <w:rPr>
          <w:rFonts w:cs="Arial"/>
          <w:lang w:val="es-ES"/>
        </w:rPr>
      </w:pPr>
      <w:r w:rsidRPr="00526311">
        <w:rPr>
          <w:rFonts w:cs="Arial"/>
          <w:lang w:val="es-ES"/>
        </w:rPr>
        <w:t>En 2014 la DSI registró 21 casos de investigación y dio por concluidos 19.  En general, todos los casos se concluyeron dentro de los plazos establecidos en la Política de Investigación de la OMPI.  Más del 50% de los casos se relacionaban con hostigamiento, declaraciones y actividades incompatibles con las obligaciones de los funcionarios públicos internacionales, así como con fraudes relacionados con las prestaciones/los derechos del personal.</w:t>
      </w:r>
    </w:p>
    <w:p w:rsidR="00794E04" w:rsidRPr="00526311" w:rsidRDefault="00794E04" w:rsidP="0063039A">
      <w:pPr>
        <w:tabs>
          <w:tab w:val="left" w:pos="709"/>
        </w:tabs>
        <w:jc w:val="both"/>
      </w:pPr>
    </w:p>
    <w:p w:rsidR="00794E04" w:rsidRPr="00526311" w:rsidRDefault="00794E04" w:rsidP="00794E04">
      <w:pPr>
        <w:pStyle w:val="ListParagraph"/>
        <w:numPr>
          <w:ilvl w:val="0"/>
          <w:numId w:val="92"/>
        </w:numPr>
        <w:tabs>
          <w:tab w:val="left" w:pos="0"/>
        </w:tabs>
        <w:ind w:left="0" w:firstLine="0"/>
        <w:jc w:val="both"/>
        <w:rPr>
          <w:rFonts w:cs="Arial"/>
          <w:lang w:val="es-ES"/>
        </w:rPr>
      </w:pPr>
      <w:r w:rsidRPr="00526311">
        <w:rPr>
          <w:rFonts w:cs="Arial"/>
          <w:lang w:val="es-ES"/>
        </w:rPr>
        <w:t>Para comprender mejor las expectativas de los colegas y recabar sus opiniones acerca de la labor de supervisión, la DSI siguió realizando las encuestas de satisfacción de los clientes que inició en 2013.  Dichas encuestas, que mostraron que el índice medio de satisfacción era del 84%, permitieron a la DSI calibrar mejor las expectativas de las partes interesadas respecto de su rendimiento e identificar los aspectos que requerían mejoras.</w:t>
      </w:r>
    </w:p>
    <w:p w:rsidR="00794E04" w:rsidRPr="00526311" w:rsidRDefault="00794E04" w:rsidP="0063039A">
      <w:pPr>
        <w:tabs>
          <w:tab w:val="left" w:pos="709"/>
        </w:tabs>
        <w:jc w:val="both"/>
      </w:pPr>
    </w:p>
    <w:p w:rsidR="00794E04" w:rsidRPr="00526311" w:rsidRDefault="00794E04" w:rsidP="00794E04">
      <w:pPr>
        <w:pStyle w:val="ListParagraph"/>
        <w:numPr>
          <w:ilvl w:val="0"/>
          <w:numId w:val="92"/>
        </w:numPr>
        <w:ind w:left="0" w:firstLine="0"/>
        <w:jc w:val="both"/>
        <w:rPr>
          <w:rFonts w:cs="Arial"/>
          <w:lang w:val="es-ES"/>
        </w:rPr>
      </w:pPr>
      <w:r w:rsidRPr="00526311">
        <w:rPr>
          <w:rFonts w:cs="Arial"/>
          <w:lang w:val="es-ES"/>
        </w:rPr>
        <w:t xml:space="preserve">En 2014, la DSI continuó comunicando con el personal, la dirección y los Estados miembros a través de diversas presentaciones y la publicación de dos boletines de información.  La DSI también organizó la reunión anual de los Jefes de </w:t>
      </w:r>
      <w:r w:rsidR="00FC4432" w:rsidRPr="00526311">
        <w:rPr>
          <w:rFonts w:cs="Arial"/>
          <w:lang w:val="es-ES"/>
        </w:rPr>
        <w:t xml:space="preserve">Servicios </w:t>
      </w:r>
      <w:r w:rsidRPr="00526311">
        <w:rPr>
          <w:rFonts w:cs="Arial"/>
          <w:lang w:val="es-ES"/>
        </w:rPr>
        <w:t xml:space="preserve">de </w:t>
      </w:r>
      <w:r w:rsidR="00FC4432" w:rsidRPr="00526311">
        <w:rPr>
          <w:rFonts w:cs="Arial"/>
          <w:lang w:val="es-ES"/>
        </w:rPr>
        <w:t xml:space="preserve">Auditoría Interna </w:t>
      </w:r>
      <w:r w:rsidRPr="00526311">
        <w:rPr>
          <w:rFonts w:cs="Arial"/>
          <w:lang w:val="es-ES"/>
        </w:rPr>
        <w:t xml:space="preserve">en las organizaciones </w:t>
      </w:r>
      <w:r w:rsidR="00FC4432" w:rsidRPr="00526311">
        <w:rPr>
          <w:rFonts w:cs="Arial"/>
          <w:lang w:val="es-ES"/>
        </w:rPr>
        <w:t>con sede en Europa</w:t>
      </w:r>
      <w:r w:rsidRPr="00526311">
        <w:rPr>
          <w:rFonts w:cs="Arial"/>
          <w:lang w:val="es-ES"/>
        </w:rPr>
        <w:t>.</w:t>
      </w:r>
    </w:p>
    <w:p w:rsidR="00794E04" w:rsidRPr="00526311" w:rsidRDefault="00794E04" w:rsidP="0063039A">
      <w:pPr>
        <w:jc w:val="both"/>
      </w:pPr>
    </w:p>
    <w:p w:rsidR="00794E04" w:rsidRPr="00526311" w:rsidRDefault="00794E04" w:rsidP="00794E04">
      <w:pPr>
        <w:pStyle w:val="ListParagraph"/>
        <w:numPr>
          <w:ilvl w:val="0"/>
          <w:numId w:val="92"/>
        </w:numPr>
        <w:ind w:left="0" w:firstLine="0"/>
        <w:jc w:val="both"/>
        <w:rPr>
          <w:rFonts w:cs="Arial"/>
          <w:lang w:val="es-ES"/>
        </w:rPr>
      </w:pPr>
      <w:r w:rsidRPr="00526311">
        <w:rPr>
          <w:rFonts w:cs="Arial"/>
          <w:lang w:val="es-ES"/>
        </w:rPr>
        <w:t xml:space="preserve">La DSI dio seguimiento a las recomendaciones de supervisión formuladas en años anteriores para determinar si la dirección las había puesto en marcha efectivamente y confirmó la ejecución de 94 recomendaciones en 2014. </w:t>
      </w:r>
      <w:r w:rsidR="00FC4432" w:rsidRPr="00526311">
        <w:rPr>
          <w:rFonts w:cs="Arial"/>
          <w:lang w:val="es-ES"/>
        </w:rPr>
        <w:t xml:space="preserve"> La DSI continuó brindando asesoramiento profesional y retroinformación al equipo directivo</w:t>
      </w:r>
      <w:r w:rsidRPr="00526311">
        <w:rPr>
          <w:rFonts w:cs="Arial"/>
          <w:lang w:val="es-ES"/>
        </w:rPr>
        <w:t xml:space="preserve"> de la OMPI en relación con</w:t>
      </w:r>
      <w:r w:rsidR="00FC4432" w:rsidRPr="00526311">
        <w:rPr>
          <w:rFonts w:cs="Arial"/>
          <w:lang w:val="es-ES"/>
        </w:rPr>
        <w:t xml:space="preserve"> los controles internos, la gestión de riesgos y</w:t>
      </w:r>
      <w:r w:rsidRPr="00526311">
        <w:rPr>
          <w:rFonts w:cs="Arial"/>
          <w:lang w:val="es-ES"/>
        </w:rPr>
        <w:t xml:space="preserve"> otras cuestiones, como la elaboración o revisión de políticas y la preparación de exámenes externos.</w:t>
      </w:r>
    </w:p>
    <w:p w:rsidR="00794E04" w:rsidRPr="00526311" w:rsidRDefault="00794E04" w:rsidP="0063039A">
      <w:pPr>
        <w:jc w:val="both"/>
      </w:pPr>
    </w:p>
    <w:p w:rsidR="00794E04" w:rsidRPr="00526311" w:rsidRDefault="00794E04" w:rsidP="00794E04">
      <w:pPr>
        <w:pStyle w:val="ListParagraph"/>
        <w:numPr>
          <w:ilvl w:val="0"/>
          <w:numId w:val="92"/>
        </w:numPr>
        <w:ind w:left="0" w:firstLine="0"/>
        <w:jc w:val="both"/>
        <w:rPr>
          <w:rFonts w:cs="Arial"/>
          <w:sz w:val="22"/>
          <w:lang w:val="es-ES"/>
        </w:rPr>
      </w:pPr>
      <w:r w:rsidRPr="00526311">
        <w:rPr>
          <w:rFonts w:cs="Arial"/>
          <w:lang w:val="es-ES"/>
        </w:rPr>
        <w:t>La CCIS siguió examinando detenidamente la labor de la DSI.  La DSI se benefició de las orientaciones de la CCIS para la aplicación de su plan de supervisión.</w:t>
      </w:r>
    </w:p>
    <w:p w:rsidR="00794E04" w:rsidRPr="00526311" w:rsidRDefault="00794E04" w:rsidP="00FC4432">
      <w:pPr>
        <w:pStyle w:val="ListParagraph"/>
        <w:ind w:left="0"/>
        <w:jc w:val="both"/>
        <w:rPr>
          <w:rFonts w:cs="Arial"/>
          <w:sz w:val="22"/>
          <w:lang w:val="es-ES"/>
        </w:rPr>
      </w:pPr>
    </w:p>
    <w:p w:rsidR="00FC4432" w:rsidRPr="00526311" w:rsidRDefault="00FC4432" w:rsidP="00FC4432">
      <w:pPr>
        <w:pStyle w:val="ListParagraph"/>
        <w:ind w:left="0"/>
        <w:jc w:val="both"/>
        <w:rPr>
          <w:rFonts w:cs="Arial"/>
          <w:sz w:val="22"/>
          <w:lang w:val="es-ES"/>
        </w:rPr>
      </w:pPr>
    </w:p>
    <w:p w:rsidR="00794E04" w:rsidRPr="00526311" w:rsidRDefault="00794E04" w:rsidP="0063039A">
      <w:pPr>
        <w:jc w:val="both"/>
      </w:pPr>
      <w:r w:rsidRPr="00526311">
        <w:t>DATOS SOBRE EL RENDIMIENTO</w:t>
      </w:r>
    </w:p>
    <w:p w:rsidR="00794E04" w:rsidRPr="00526311" w:rsidRDefault="00794E04" w:rsidP="0063039A">
      <w:pPr>
        <w:jc w:val="both"/>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126"/>
        <w:gridCol w:w="1984"/>
        <w:gridCol w:w="1843"/>
        <w:gridCol w:w="425"/>
        <w:gridCol w:w="851"/>
      </w:tblGrid>
      <w:tr w:rsidR="00794E04" w:rsidRPr="00526311" w:rsidTr="0063039A">
        <w:tc>
          <w:tcPr>
            <w:tcW w:w="5000" w:type="pct"/>
            <w:gridSpan w:val="6"/>
            <w:tcBorders>
              <w:top w:val="single" w:sz="4" w:space="0" w:color="auto"/>
              <w:bottom w:val="single" w:sz="4" w:space="0" w:color="auto"/>
            </w:tcBorders>
            <w:shd w:val="clear" w:color="auto" w:fill="CCFFFF"/>
            <w:vAlign w:val="center"/>
          </w:tcPr>
          <w:p w:rsidR="00794E04" w:rsidRPr="00526311" w:rsidRDefault="00794E04" w:rsidP="0063039A">
            <w:pPr>
              <w:keepNext/>
              <w:keepLines/>
              <w:tabs>
                <w:tab w:val="left" w:pos="1735"/>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sz w:val="16"/>
                <w:szCs w:val="16"/>
                <w:lang w:bidi="th-TH"/>
              </w:rPr>
              <w:t>IX.8 Mejor rendición de cuentas, aprendizaje institucional, uso óptimo de los recursos, administración, control interno y buen gobierno gracias a la asistencia que proporciona una supervisión eficaz e independiente</w:t>
            </w:r>
          </w:p>
        </w:tc>
      </w:tr>
      <w:tr w:rsidR="00794E04" w:rsidRPr="00526311" w:rsidTr="0063039A">
        <w:tc>
          <w:tcPr>
            <w:tcW w:w="1137" w:type="pct"/>
            <w:tcBorders>
              <w:top w:val="single" w:sz="4" w:space="0" w:color="auto"/>
              <w:left w:val="single" w:sz="4" w:space="0" w:color="auto"/>
              <w:bottom w:val="nil"/>
            </w:tcBorders>
            <w:shd w:val="clear" w:color="auto" w:fill="auto"/>
            <w:vAlign w:val="center"/>
          </w:tcPr>
          <w:p w:rsidR="00794E04" w:rsidRPr="00526311" w:rsidRDefault="00794E04" w:rsidP="0063039A">
            <w:pPr>
              <w:rPr>
                <w:sz w:val="16"/>
                <w:szCs w:val="16"/>
              </w:rPr>
            </w:pPr>
            <w:r w:rsidRPr="00526311">
              <w:rPr>
                <w:b/>
                <w:sz w:val="16"/>
                <w:szCs w:val="16"/>
              </w:rPr>
              <w:t>Indicadores de rendimiento</w:t>
            </w:r>
          </w:p>
        </w:tc>
        <w:tc>
          <w:tcPr>
            <w:tcW w:w="1136" w:type="pct"/>
            <w:tcBorders>
              <w:top w:val="single" w:sz="4" w:space="0" w:color="auto"/>
              <w:bottom w:val="nil"/>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1060" w:type="pct"/>
            <w:tcBorders>
              <w:top w:val="single" w:sz="4" w:space="0" w:color="auto"/>
              <w:bottom w:val="nil"/>
            </w:tcBorders>
            <w:shd w:val="clear" w:color="auto" w:fill="auto"/>
            <w:tcMar>
              <w:top w:w="110" w:type="dxa"/>
            </w:tcMar>
            <w:vAlign w:val="center"/>
          </w:tcPr>
          <w:p w:rsidR="00794E04" w:rsidRPr="00526311" w:rsidRDefault="00794E04" w:rsidP="0063039A">
            <w:pPr>
              <w:rPr>
                <w:b/>
                <w:sz w:val="16"/>
                <w:szCs w:val="16"/>
              </w:rPr>
            </w:pPr>
            <w:r w:rsidRPr="00526311">
              <w:rPr>
                <w:b/>
                <w:sz w:val="16"/>
                <w:szCs w:val="16"/>
              </w:rPr>
              <w:t>Objetivos</w:t>
            </w:r>
          </w:p>
        </w:tc>
        <w:tc>
          <w:tcPr>
            <w:tcW w:w="985" w:type="pct"/>
            <w:tcBorders>
              <w:top w:val="single" w:sz="4" w:space="0" w:color="auto"/>
              <w:bottom w:val="nil"/>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82" w:type="pct"/>
            <w:gridSpan w:val="2"/>
            <w:tcBorders>
              <w:top w:val="single" w:sz="4" w:space="0" w:color="auto"/>
              <w:bottom w:val="nil"/>
              <w:right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c>
          <w:tcPr>
            <w:tcW w:w="1137" w:type="pct"/>
            <w:tcBorders>
              <w:top w:val="nil"/>
              <w:left w:val="single" w:sz="4" w:space="0" w:color="auto"/>
              <w:bottom w:val="nil"/>
            </w:tcBorders>
            <w:shd w:val="clear" w:color="auto" w:fill="auto"/>
          </w:tcPr>
          <w:p w:rsidR="00794E04" w:rsidRPr="00526311" w:rsidRDefault="00794E04" w:rsidP="0063039A">
            <w:pPr>
              <w:keepNext/>
              <w:keepLines/>
              <w:rPr>
                <w:sz w:val="16"/>
                <w:szCs w:val="16"/>
                <w:lang w:bidi="th-TH"/>
              </w:rPr>
            </w:pPr>
            <w:r w:rsidRPr="00526311">
              <w:rPr>
                <w:sz w:val="16"/>
                <w:szCs w:val="16"/>
                <w:lang w:bidi="th-TH"/>
              </w:rPr>
              <w:t>Número de interferencias y grado de independencia percibido por las principales partes interesadas</w:t>
            </w:r>
          </w:p>
        </w:tc>
        <w:tc>
          <w:tcPr>
            <w:tcW w:w="1136" w:type="pct"/>
            <w:tcBorders>
              <w:top w:val="nil"/>
              <w:bottom w:val="nil"/>
            </w:tcBorders>
            <w:shd w:val="clear" w:color="auto" w:fill="auto"/>
          </w:tcPr>
          <w:p w:rsidR="00794E04" w:rsidRPr="00526311" w:rsidRDefault="00794E04" w:rsidP="0063039A">
            <w:pPr>
              <w:keepNext/>
              <w:keepLines/>
              <w:rPr>
                <w:i/>
                <w:color w:val="002060"/>
                <w:sz w:val="8"/>
                <w:szCs w:val="8"/>
              </w:rPr>
            </w:pPr>
            <w:r w:rsidRPr="00526311">
              <w:rPr>
                <w:i/>
                <w:iCs/>
                <w:color w:val="002060"/>
                <w:sz w:val="16"/>
                <w:szCs w:val="16"/>
              </w:rPr>
              <w:t>Referencia actualizada a fines de 2013</w:t>
            </w:r>
            <w:r w:rsidRPr="00526311">
              <w:rPr>
                <w:i/>
                <w:color w:val="002060"/>
                <w:sz w:val="16"/>
                <w:szCs w:val="16"/>
              </w:rPr>
              <w:t xml:space="preserve">:  </w:t>
            </w:r>
            <w:r w:rsidRPr="00526311">
              <w:rPr>
                <w:sz w:val="16"/>
                <w:szCs w:val="16"/>
                <w:lang w:bidi="th-TH"/>
              </w:rPr>
              <w:t>no hay interferencias en la labor de la DSI.</w:t>
            </w:r>
          </w:p>
          <w:p w:rsidR="00794E04" w:rsidRPr="00526311" w:rsidRDefault="00794E04" w:rsidP="0063039A">
            <w:pPr>
              <w:keepNext/>
              <w:keepLines/>
              <w:rPr>
                <w:sz w:val="16"/>
                <w:szCs w:val="16"/>
                <w:lang w:bidi="th-TH"/>
              </w:rPr>
            </w:pPr>
            <w:r w:rsidRPr="00526311">
              <w:rPr>
                <w:i/>
                <w:iCs/>
                <w:sz w:val="16"/>
                <w:szCs w:val="16"/>
              </w:rPr>
              <w:t xml:space="preserve">Referencia original en el </w:t>
            </w:r>
            <w:r w:rsidRPr="00526311">
              <w:rPr>
                <w:i/>
                <w:iCs/>
                <w:sz w:val="16"/>
                <w:szCs w:val="16"/>
              </w:rPr>
              <w:br/>
              <w:t>presupuesto de 2014/15</w:t>
            </w:r>
            <w:r w:rsidRPr="00526311">
              <w:rPr>
                <w:i/>
                <w:sz w:val="16"/>
                <w:szCs w:val="16"/>
              </w:rPr>
              <w:t>:</w:t>
            </w:r>
            <w:r w:rsidRPr="00526311">
              <w:rPr>
                <w:sz w:val="16"/>
                <w:szCs w:val="16"/>
              </w:rPr>
              <w:br/>
            </w:r>
            <w:r w:rsidRPr="00526311">
              <w:rPr>
                <w:sz w:val="16"/>
                <w:szCs w:val="16"/>
                <w:lang w:bidi="th-TH"/>
              </w:rPr>
              <w:t>no hay interferencias en la labor de la DSI</w:t>
            </w:r>
          </w:p>
        </w:tc>
        <w:tc>
          <w:tcPr>
            <w:tcW w:w="1060" w:type="pct"/>
            <w:tcBorders>
              <w:top w:val="nil"/>
              <w:bottom w:val="nil"/>
            </w:tcBorders>
            <w:shd w:val="clear" w:color="auto" w:fill="auto"/>
            <w:tcMar>
              <w:top w:w="110" w:type="dxa"/>
            </w:tcMar>
          </w:tcPr>
          <w:p w:rsidR="00794E04" w:rsidRPr="00526311" w:rsidRDefault="00794E04" w:rsidP="0063039A">
            <w:pPr>
              <w:keepNext/>
              <w:keepLines/>
              <w:rPr>
                <w:sz w:val="16"/>
                <w:szCs w:val="16"/>
                <w:lang w:bidi="th-TH"/>
              </w:rPr>
            </w:pPr>
            <w:r w:rsidRPr="00526311">
              <w:rPr>
                <w:sz w:val="16"/>
                <w:szCs w:val="16"/>
                <w:lang w:bidi="th-TH"/>
              </w:rPr>
              <w:t>Las principales partes interesadas (Clientes/CCIS/Estados miembros) perciben un grado de independencia total</w:t>
            </w:r>
          </w:p>
        </w:tc>
        <w:tc>
          <w:tcPr>
            <w:tcW w:w="985" w:type="pct"/>
            <w:tcBorders>
              <w:top w:val="nil"/>
              <w:bottom w:val="nil"/>
            </w:tcBorders>
            <w:shd w:val="clear" w:color="auto" w:fill="FFFFFF"/>
            <w:tcMar>
              <w:top w:w="110" w:type="dxa"/>
            </w:tcMar>
          </w:tcPr>
          <w:p w:rsidR="00794E04" w:rsidRPr="00526311" w:rsidRDefault="00794E04" w:rsidP="0063039A">
            <w:pPr>
              <w:rPr>
                <w:sz w:val="16"/>
                <w:szCs w:val="16"/>
                <w:lang w:bidi="th-TH"/>
              </w:rPr>
            </w:pPr>
            <w:r w:rsidRPr="00526311">
              <w:rPr>
                <w:sz w:val="16"/>
                <w:szCs w:val="16"/>
                <w:lang w:bidi="th-TH"/>
              </w:rPr>
              <w:t>No hay interferencias en la labor de la DSI como se refleja en el informe anual (WO/PBC/22/4)</w:t>
            </w:r>
          </w:p>
          <w:p w:rsidR="00794E04" w:rsidRPr="00526311" w:rsidRDefault="00794E04" w:rsidP="0063039A">
            <w:pPr>
              <w:rPr>
                <w:sz w:val="16"/>
                <w:szCs w:val="16"/>
                <w:lang w:bidi="th-TH"/>
              </w:rPr>
            </w:pPr>
          </w:p>
          <w:p w:rsidR="00794E04" w:rsidRPr="00526311" w:rsidRDefault="00794E04" w:rsidP="0063039A">
            <w:pPr>
              <w:rPr>
                <w:sz w:val="16"/>
                <w:szCs w:val="16"/>
                <w:lang w:bidi="th-TH"/>
              </w:rPr>
            </w:pPr>
            <w:r w:rsidRPr="00526311">
              <w:rPr>
                <w:sz w:val="16"/>
                <w:szCs w:val="16"/>
                <w:lang w:bidi="th-TH"/>
              </w:rPr>
              <w:t>Casos de presunta falta de independencia sometidos a la DSI según lo previsto en el párrafo 18 de la Carta.</w:t>
            </w:r>
          </w:p>
        </w:tc>
        <w:tc>
          <w:tcPr>
            <w:tcW w:w="682" w:type="pct"/>
            <w:gridSpan w:val="2"/>
            <w:tcBorders>
              <w:top w:val="nil"/>
              <w:bottom w:val="nil"/>
              <w:right w:val="single" w:sz="4" w:space="0" w:color="auto"/>
            </w:tcBorders>
            <w:shd w:val="clear" w:color="auto" w:fill="auto"/>
            <w:tcMar>
              <w:top w:w="110" w:type="dxa"/>
            </w:tcMar>
          </w:tcPr>
          <w:p w:rsidR="00794E04" w:rsidRPr="00526311" w:rsidRDefault="00794E04" w:rsidP="0063039A">
            <w:pPr>
              <w:keepNext/>
              <w:keepLines/>
              <w:ind w:left="-107"/>
              <w:jc w:val="center"/>
              <w:rPr>
                <w:b/>
                <w:bCs/>
                <w:color w:val="00B050"/>
                <w:sz w:val="16"/>
                <w:szCs w:val="16"/>
              </w:rPr>
            </w:pPr>
            <w:r w:rsidRPr="00526311">
              <w:rPr>
                <w:b/>
                <w:color w:val="00B050"/>
                <w:sz w:val="16"/>
                <w:szCs w:val="16"/>
              </w:rPr>
              <w:t>Avanza</w:t>
            </w:r>
          </w:p>
        </w:tc>
      </w:tr>
      <w:tr w:rsidR="00794E04" w:rsidRPr="00526311" w:rsidTr="0063039A">
        <w:tc>
          <w:tcPr>
            <w:tcW w:w="1137" w:type="pct"/>
            <w:tcBorders>
              <w:top w:val="nil"/>
              <w:left w:val="single" w:sz="4" w:space="0" w:color="auto"/>
              <w:bottom w:val="nil"/>
            </w:tcBorders>
            <w:shd w:val="clear" w:color="auto" w:fill="auto"/>
          </w:tcPr>
          <w:p w:rsidR="00794E04" w:rsidRPr="00526311" w:rsidRDefault="00794E04" w:rsidP="0063039A">
            <w:pPr>
              <w:rPr>
                <w:sz w:val="16"/>
                <w:szCs w:val="16"/>
                <w:lang w:bidi="th-TH"/>
              </w:rPr>
            </w:pPr>
            <w:r w:rsidRPr="00526311">
              <w:rPr>
                <w:sz w:val="16"/>
                <w:szCs w:val="16"/>
                <w:lang w:bidi="th-TH"/>
              </w:rPr>
              <w:t>Porcentaje de EFICACIA de la labor de la DSI que abarca esferas de alto riesgo y gran pertinencia</w:t>
            </w:r>
          </w:p>
        </w:tc>
        <w:tc>
          <w:tcPr>
            <w:tcW w:w="1136" w:type="pct"/>
            <w:tcBorders>
              <w:top w:val="nil"/>
              <w:bottom w:val="nil"/>
            </w:tcBorders>
            <w:shd w:val="clear" w:color="auto" w:fill="auto"/>
          </w:tcPr>
          <w:p w:rsidR="00794E04" w:rsidRPr="00526311" w:rsidRDefault="00794E04" w:rsidP="0063039A">
            <w:pPr>
              <w:keepNext/>
              <w:keepLines/>
              <w:rPr>
                <w:i/>
                <w:color w:val="002060"/>
                <w:sz w:val="16"/>
                <w:szCs w:val="16"/>
              </w:rPr>
            </w:pPr>
            <w:r w:rsidRPr="00526311">
              <w:rPr>
                <w:i/>
                <w:iCs/>
                <w:color w:val="002060"/>
                <w:sz w:val="16"/>
                <w:szCs w:val="16"/>
              </w:rPr>
              <w:t>Referencia actualizada a fines de 2013</w:t>
            </w:r>
            <w:r w:rsidRPr="00526311">
              <w:rPr>
                <w:i/>
                <w:color w:val="002060"/>
                <w:sz w:val="16"/>
                <w:szCs w:val="16"/>
              </w:rPr>
              <w:t xml:space="preserve">: </w:t>
            </w:r>
            <w:r w:rsidRPr="00526311">
              <w:rPr>
                <w:i/>
                <w:sz w:val="16"/>
                <w:szCs w:val="16"/>
              </w:rPr>
              <w:t xml:space="preserve"> </w:t>
            </w:r>
            <w:r w:rsidRPr="00526311">
              <w:rPr>
                <w:sz w:val="16"/>
                <w:szCs w:val="16"/>
              </w:rPr>
              <w:t>toda la labor</w:t>
            </w:r>
            <w:r w:rsidRPr="00526311">
              <w:rPr>
                <w:sz w:val="16"/>
                <w:szCs w:val="16"/>
                <w:lang w:bidi="th-TH"/>
              </w:rPr>
              <w:t xml:space="preserve"> (100%) abarca esferas de alto riesgo y gran pertinencia</w:t>
            </w:r>
          </w:p>
          <w:p w:rsidR="00794E04" w:rsidRPr="00526311" w:rsidRDefault="00794E04" w:rsidP="0063039A">
            <w:pPr>
              <w:keepNext/>
              <w:keepLines/>
              <w:rPr>
                <w:i/>
                <w:color w:val="002060"/>
                <w:sz w:val="8"/>
                <w:szCs w:val="8"/>
              </w:rPr>
            </w:pPr>
          </w:p>
          <w:p w:rsidR="00794E04" w:rsidRPr="00526311" w:rsidRDefault="00794E04" w:rsidP="0063039A">
            <w:pPr>
              <w:rPr>
                <w:sz w:val="16"/>
                <w:szCs w:val="16"/>
                <w:lang w:bidi="th-TH"/>
              </w:rPr>
            </w:pPr>
            <w:r w:rsidRPr="00526311">
              <w:rPr>
                <w:i/>
                <w:iCs/>
                <w:sz w:val="16"/>
                <w:szCs w:val="16"/>
              </w:rPr>
              <w:t xml:space="preserve">Referencia original en el </w:t>
            </w:r>
            <w:r w:rsidRPr="00526311">
              <w:rPr>
                <w:i/>
                <w:iCs/>
                <w:sz w:val="16"/>
                <w:szCs w:val="16"/>
              </w:rPr>
              <w:br/>
              <w:t>presupuesto de 2014/15</w:t>
            </w:r>
            <w:r w:rsidRPr="00526311">
              <w:rPr>
                <w:i/>
                <w:sz w:val="16"/>
                <w:szCs w:val="16"/>
              </w:rPr>
              <w:t>:</w:t>
            </w:r>
            <w:r w:rsidRPr="00526311">
              <w:rPr>
                <w:sz w:val="16"/>
                <w:szCs w:val="16"/>
              </w:rPr>
              <w:br/>
            </w:r>
            <w:r w:rsidRPr="00526311">
              <w:rPr>
                <w:sz w:val="16"/>
                <w:szCs w:val="16"/>
                <w:lang w:bidi="th-TH"/>
              </w:rPr>
              <w:t>toda la labor (100%) abarca esferas de alto riesgo y gran pertinencia</w:t>
            </w:r>
          </w:p>
        </w:tc>
        <w:tc>
          <w:tcPr>
            <w:tcW w:w="1060" w:type="pct"/>
            <w:tcBorders>
              <w:top w:val="nil"/>
              <w:bottom w:val="nil"/>
            </w:tcBorders>
            <w:shd w:val="clear" w:color="auto" w:fill="auto"/>
            <w:tcMar>
              <w:top w:w="110" w:type="dxa"/>
            </w:tcMar>
          </w:tcPr>
          <w:p w:rsidR="00794E04" w:rsidRPr="00526311" w:rsidRDefault="00794E04" w:rsidP="0063039A">
            <w:pPr>
              <w:rPr>
                <w:sz w:val="16"/>
                <w:szCs w:val="16"/>
                <w:lang w:bidi="th-TH"/>
              </w:rPr>
            </w:pPr>
            <w:r w:rsidRPr="00526311">
              <w:rPr>
                <w:sz w:val="16"/>
                <w:szCs w:val="16"/>
                <w:lang w:bidi="th-TH"/>
              </w:rPr>
              <w:t>Toda la labor (100%) abarca esferas de alto riesgo y gran pertinencia</w:t>
            </w:r>
          </w:p>
        </w:tc>
        <w:tc>
          <w:tcPr>
            <w:tcW w:w="985" w:type="pct"/>
            <w:tcBorders>
              <w:top w:val="nil"/>
              <w:bottom w:val="nil"/>
            </w:tcBorders>
            <w:shd w:val="clear" w:color="auto" w:fill="FFFFFF"/>
            <w:tcMar>
              <w:top w:w="110" w:type="dxa"/>
            </w:tcMar>
          </w:tcPr>
          <w:p w:rsidR="00794E04" w:rsidRPr="00526311" w:rsidRDefault="00794E04" w:rsidP="0063039A">
            <w:pPr>
              <w:rPr>
                <w:sz w:val="16"/>
                <w:szCs w:val="16"/>
              </w:rPr>
            </w:pPr>
            <w:r w:rsidRPr="00526311">
              <w:rPr>
                <w:sz w:val="16"/>
                <w:szCs w:val="16"/>
              </w:rPr>
              <w:t>Toda la labor (100%) abarca esferas de alto riesgo y gran pertinencia</w:t>
            </w:r>
          </w:p>
        </w:tc>
        <w:tc>
          <w:tcPr>
            <w:tcW w:w="682" w:type="pct"/>
            <w:gridSpan w:val="2"/>
            <w:tcBorders>
              <w:top w:val="nil"/>
              <w:bottom w:val="nil"/>
              <w:right w:val="single" w:sz="4" w:space="0" w:color="auto"/>
            </w:tcBorders>
            <w:shd w:val="clear" w:color="auto" w:fill="auto"/>
            <w:tcMar>
              <w:top w:w="110" w:type="dxa"/>
            </w:tcMar>
          </w:tcPr>
          <w:p w:rsidR="00794E04" w:rsidRPr="00526311" w:rsidRDefault="00794E04" w:rsidP="0063039A">
            <w:pPr>
              <w:keepNext/>
              <w:keepLines/>
              <w:ind w:left="-107"/>
              <w:jc w:val="center"/>
              <w:rPr>
                <w:bCs/>
                <w:color w:val="00B050"/>
                <w:sz w:val="16"/>
                <w:szCs w:val="16"/>
              </w:rPr>
            </w:pPr>
            <w:r w:rsidRPr="00526311">
              <w:rPr>
                <w:b/>
                <w:color w:val="00B050"/>
                <w:sz w:val="16"/>
                <w:szCs w:val="16"/>
              </w:rPr>
              <w:t>Avanza</w:t>
            </w:r>
          </w:p>
        </w:tc>
      </w:tr>
      <w:tr w:rsidR="00794E04" w:rsidRPr="00526311" w:rsidTr="0063039A">
        <w:tc>
          <w:tcPr>
            <w:tcW w:w="1137" w:type="pct"/>
            <w:tcBorders>
              <w:top w:val="nil"/>
              <w:left w:val="single" w:sz="4" w:space="0" w:color="auto"/>
              <w:bottom w:val="single" w:sz="4" w:space="0" w:color="auto"/>
            </w:tcBorders>
            <w:shd w:val="clear" w:color="auto" w:fill="auto"/>
          </w:tcPr>
          <w:p w:rsidR="00794E04" w:rsidRPr="00526311" w:rsidRDefault="00794E04" w:rsidP="0063039A">
            <w:pPr>
              <w:rPr>
                <w:sz w:val="16"/>
                <w:szCs w:val="16"/>
                <w:lang w:bidi="th-TH"/>
              </w:rPr>
            </w:pPr>
            <w:r w:rsidRPr="00526311">
              <w:rPr>
                <w:sz w:val="16"/>
                <w:szCs w:val="16"/>
                <w:lang w:bidi="th-TH"/>
              </w:rPr>
              <w:t>EFICIENCIA:  a) Finalización puntual y de calidad de los informes de supervisión;  b) Número de auditorías y evaluaciones ejecutadas en relación con el plan de trabajo en materia de supervisión;  c) Número de denuncias/notificaciones de posible conducta indebida que se han tramitado</w:t>
            </w:r>
          </w:p>
        </w:tc>
        <w:tc>
          <w:tcPr>
            <w:tcW w:w="1136" w:type="pct"/>
            <w:tcBorders>
              <w:top w:val="nil"/>
              <w:bottom w:val="single" w:sz="4" w:space="0" w:color="auto"/>
            </w:tcBorders>
            <w:shd w:val="clear" w:color="auto" w:fill="auto"/>
          </w:tcPr>
          <w:p w:rsidR="00794E04" w:rsidRPr="00526311" w:rsidRDefault="00794E04" w:rsidP="0063039A">
            <w:pPr>
              <w:keepNext/>
              <w:keepLines/>
              <w:rPr>
                <w:color w:val="002060"/>
                <w:sz w:val="16"/>
                <w:szCs w:val="16"/>
              </w:rPr>
            </w:pPr>
            <w:r w:rsidRPr="00526311">
              <w:rPr>
                <w:i/>
                <w:iCs/>
                <w:color w:val="002060"/>
                <w:sz w:val="16"/>
                <w:szCs w:val="16"/>
              </w:rPr>
              <w:t>Referencia actualizada a fines de 2013</w:t>
            </w:r>
            <w:r w:rsidRPr="00526311">
              <w:rPr>
                <w:i/>
                <w:color w:val="002060"/>
                <w:sz w:val="16"/>
                <w:szCs w:val="16"/>
              </w:rPr>
              <w:t xml:space="preserve">:  </w:t>
            </w:r>
            <w:r w:rsidRPr="00526311">
              <w:rPr>
                <w:color w:val="002060"/>
                <w:sz w:val="16"/>
                <w:szCs w:val="16"/>
              </w:rPr>
              <w:t xml:space="preserve">a) </w:t>
            </w:r>
            <w:r w:rsidRPr="00526311">
              <w:rPr>
                <w:bCs/>
                <w:color w:val="002060"/>
                <w:sz w:val="16"/>
                <w:szCs w:val="16"/>
              </w:rPr>
              <w:t>las investigaciones se finalizan como media en tres meses</w:t>
            </w:r>
            <w:r w:rsidRPr="00526311">
              <w:rPr>
                <w:color w:val="002060"/>
                <w:sz w:val="16"/>
                <w:szCs w:val="16"/>
              </w:rPr>
              <w:t>;</w:t>
            </w:r>
          </w:p>
          <w:p w:rsidR="00794E04" w:rsidRPr="00526311" w:rsidRDefault="00794E04" w:rsidP="0063039A">
            <w:pPr>
              <w:keepNext/>
              <w:keepLines/>
              <w:rPr>
                <w:color w:val="002060"/>
                <w:sz w:val="16"/>
                <w:szCs w:val="16"/>
              </w:rPr>
            </w:pPr>
          </w:p>
          <w:p w:rsidR="00794E04" w:rsidRPr="00526311" w:rsidRDefault="00794E04" w:rsidP="0063039A">
            <w:pPr>
              <w:keepNext/>
              <w:keepLines/>
              <w:rPr>
                <w:color w:val="002060"/>
                <w:sz w:val="16"/>
                <w:szCs w:val="16"/>
              </w:rPr>
            </w:pPr>
            <w:r w:rsidRPr="00526311">
              <w:rPr>
                <w:color w:val="002060"/>
                <w:sz w:val="16"/>
                <w:szCs w:val="16"/>
              </w:rPr>
              <w:t>b) siete auditorías y dos evaluaciones;</w:t>
            </w:r>
          </w:p>
          <w:p w:rsidR="00794E04" w:rsidRPr="00526311" w:rsidRDefault="00794E04" w:rsidP="0063039A">
            <w:pPr>
              <w:keepNext/>
              <w:keepLines/>
              <w:rPr>
                <w:color w:val="002060"/>
                <w:sz w:val="16"/>
                <w:szCs w:val="16"/>
              </w:rPr>
            </w:pPr>
          </w:p>
          <w:p w:rsidR="00794E04" w:rsidRPr="00526311" w:rsidRDefault="00794E04" w:rsidP="0063039A">
            <w:pPr>
              <w:keepNext/>
              <w:keepLines/>
              <w:rPr>
                <w:color w:val="002060"/>
                <w:sz w:val="16"/>
                <w:szCs w:val="16"/>
              </w:rPr>
            </w:pPr>
            <w:r w:rsidRPr="00526311">
              <w:rPr>
                <w:color w:val="002060"/>
                <w:sz w:val="16"/>
                <w:szCs w:val="16"/>
              </w:rPr>
              <w:t>c) 19 investigaciones;</w:t>
            </w:r>
          </w:p>
          <w:p w:rsidR="00794E04" w:rsidRPr="00526311" w:rsidRDefault="00794E04" w:rsidP="0063039A">
            <w:pPr>
              <w:keepNext/>
              <w:keepLines/>
              <w:rPr>
                <w:color w:val="002060"/>
                <w:sz w:val="16"/>
                <w:szCs w:val="16"/>
              </w:rPr>
            </w:pPr>
          </w:p>
          <w:p w:rsidR="00794E04" w:rsidRPr="00526311" w:rsidRDefault="00794E04" w:rsidP="0063039A">
            <w:pPr>
              <w:keepNext/>
              <w:keepLines/>
              <w:rPr>
                <w:color w:val="002060"/>
                <w:sz w:val="16"/>
                <w:szCs w:val="16"/>
              </w:rPr>
            </w:pPr>
          </w:p>
          <w:p w:rsidR="00794E04" w:rsidRPr="00526311" w:rsidRDefault="00794E04" w:rsidP="0063039A">
            <w:pPr>
              <w:keepNext/>
              <w:keepLines/>
              <w:rPr>
                <w:color w:val="002060"/>
                <w:sz w:val="16"/>
                <w:szCs w:val="16"/>
              </w:rPr>
            </w:pPr>
            <w:r w:rsidRPr="00526311">
              <w:rPr>
                <w:color w:val="002060"/>
                <w:sz w:val="16"/>
                <w:szCs w:val="16"/>
              </w:rPr>
              <w:t>d) toda la labor de supervisión se ejecuta conforme a las normas</w:t>
            </w:r>
          </w:p>
          <w:p w:rsidR="00794E04" w:rsidRPr="00526311" w:rsidRDefault="00794E04" w:rsidP="0063039A">
            <w:pPr>
              <w:keepNext/>
              <w:keepLines/>
              <w:rPr>
                <w:i/>
                <w:color w:val="002060"/>
                <w:sz w:val="8"/>
                <w:szCs w:val="8"/>
              </w:rPr>
            </w:pPr>
          </w:p>
          <w:p w:rsidR="00794E04" w:rsidRPr="00526311" w:rsidRDefault="00794E04" w:rsidP="0063039A">
            <w:pPr>
              <w:rPr>
                <w:sz w:val="16"/>
                <w:szCs w:val="16"/>
                <w:lang w:bidi="th-TH"/>
              </w:rPr>
            </w:pPr>
            <w:r w:rsidRPr="00526311">
              <w:rPr>
                <w:i/>
                <w:iCs/>
                <w:sz w:val="16"/>
                <w:szCs w:val="16"/>
              </w:rPr>
              <w:t xml:space="preserve">Referencia original en el </w:t>
            </w:r>
            <w:r w:rsidRPr="00526311">
              <w:rPr>
                <w:i/>
                <w:iCs/>
                <w:sz w:val="16"/>
                <w:szCs w:val="16"/>
              </w:rPr>
              <w:br/>
              <w:t>presupuesto de 2014/15</w:t>
            </w:r>
            <w:r w:rsidRPr="00526311">
              <w:rPr>
                <w:i/>
                <w:sz w:val="16"/>
                <w:szCs w:val="16"/>
              </w:rPr>
              <w:t>:</w:t>
            </w:r>
            <w:r w:rsidRPr="00526311">
              <w:rPr>
                <w:sz w:val="16"/>
                <w:szCs w:val="16"/>
              </w:rPr>
              <w:br/>
            </w:r>
            <w:r w:rsidRPr="00526311">
              <w:rPr>
                <w:sz w:val="16"/>
                <w:szCs w:val="16"/>
                <w:lang w:bidi="th-TH"/>
              </w:rPr>
              <w:t xml:space="preserve">a) las investigaciones, auditorías y evaluaciones se llevan a cabo, como media, en 10 y cinco meses en 2012; </w:t>
            </w:r>
          </w:p>
          <w:p w:rsidR="00794E04" w:rsidRPr="00526311" w:rsidRDefault="00794E04" w:rsidP="0063039A">
            <w:pPr>
              <w:rPr>
                <w:sz w:val="16"/>
                <w:szCs w:val="16"/>
                <w:lang w:bidi="th-TH"/>
              </w:rPr>
            </w:pPr>
            <w:r w:rsidRPr="00526311">
              <w:rPr>
                <w:sz w:val="16"/>
                <w:szCs w:val="16"/>
                <w:lang w:bidi="th-TH"/>
              </w:rPr>
              <w:t xml:space="preserve">b) tres auditorías y cinco evaluaciones realizadas en 2012; </w:t>
            </w:r>
          </w:p>
          <w:p w:rsidR="00794E04" w:rsidRPr="00526311" w:rsidRDefault="00794E04" w:rsidP="0063039A">
            <w:pPr>
              <w:rPr>
                <w:sz w:val="16"/>
                <w:szCs w:val="16"/>
                <w:lang w:bidi="th-TH"/>
              </w:rPr>
            </w:pPr>
            <w:r w:rsidRPr="00526311">
              <w:rPr>
                <w:sz w:val="16"/>
                <w:szCs w:val="16"/>
                <w:lang w:bidi="th-TH"/>
              </w:rPr>
              <w:t xml:space="preserve">c) 15 investigaciones concluidas en 2011 y 23 en 2012; </w:t>
            </w:r>
          </w:p>
          <w:p w:rsidR="00794E04" w:rsidRPr="00526311" w:rsidRDefault="00794E04" w:rsidP="0063039A">
            <w:pPr>
              <w:rPr>
                <w:sz w:val="16"/>
                <w:szCs w:val="16"/>
                <w:lang w:bidi="th-TH"/>
              </w:rPr>
            </w:pPr>
            <w:r w:rsidRPr="00526311">
              <w:rPr>
                <w:sz w:val="16"/>
                <w:szCs w:val="16"/>
                <w:lang w:bidi="th-TH"/>
              </w:rPr>
              <w:t>d) toda la labor de supervisión se ejecuta conforme a las normas</w:t>
            </w:r>
            <w:r w:rsidR="00FC4432" w:rsidRPr="00526311">
              <w:rPr>
                <w:sz w:val="16"/>
                <w:szCs w:val="16"/>
                <w:lang w:bidi="th-TH"/>
              </w:rPr>
              <w:br/>
            </w:r>
          </w:p>
        </w:tc>
        <w:tc>
          <w:tcPr>
            <w:tcW w:w="1060" w:type="pct"/>
            <w:tcBorders>
              <w:top w:val="nil"/>
              <w:bottom w:val="single" w:sz="4" w:space="0" w:color="auto"/>
            </w:tcBorders>
            <w:shd w:val="clear" w:color="auto" w:fill="auto"/>
            <w:tcMar>
              <w:top w:w="110" w:type="dxa"/>
            </w:tcMar>
          </w:tcPr>
          <w:p w:rsidR="00794E04" w:rsidRPr="00526311" w:rsidRDefault="00794E04" w:rsidP="0063039A">
            <w:pPr>
              <w:autoSpaceDE w:val="0"/>
              <w:autoSpaceDN w:val="0"/>
              <w:adjustRightInd w:val="0"/>
              <w:rPr>
                <w:sz w:val="16"/>
                <w:szCs w:val="16"/>
              </w:rPr>
            </w:pPr>
            <w:r w:rsidRPr="00526311">
              <w:rPr>
                <w:sz w:val="16"/>
                <w:szCs w:val="16"/>
              </w:rPr>
              <w:t xml:space="preserve">a) </w:t>
            </w:r>
            <w:r w:rsidRPr="00526311">
              <w:rPr>
                <w:bCs/>
                <w:sz w:val="16"/>
                <w:szCs w:val="16"/>
              </w:rPr>
              <w:t xml:space="preserve">Las investigaciones se finalizan como media en </w:t>
            </w:r>
            <w:r w:rsidR="00FC4432" w:rsidRPr="00526311">
              <w:rPr>
                <w:bCs/>
                <w:sz w:val="16"/>
                <w:szCs w:val="16"/>
              </w:rPr>
              <w:t>seis</w:t>
            </w:r>
            <w:r w:rsidRPr="00526311">
              <w:rPr>
                <w:bCs/>
                <w:sz w:val="16"/>
                <w:szCs w:val="16"/>
              </w:rPr>
              <w:t xml:space="preserve"> meses, las auditorías y evaluacio-nes, en </w:t>
            </w:r>
            <w:r w:rsidR="00FC4432" w:rsidRPr="00526311">
              <w:rPr>
                <w:bCs/>
                <w:sz w:val="16"/>
                <w:szCs w:val="16"/>
              </w:rPr>
              <w:t>cinco</w:t>
            </w:r>
            <w:r w:rsidRPr="00526311">
              <w:rPr>
                <w:bCs/>
                <w:sz w:val="16"/>
                <w:szCs w:val="16"/>
              </w:rPr>
              <w:t xml:space="preserve"> meses;</w:t>
            </w:r>
            <w:r w:rsidRPr="00526311">
              <w:rPr>
                <w:sz w:val="16"/>
                <w:szCs w:val="16"/>
              </w:rPr>
              <w:t xml:space="preserve"> </w:t>
            </w:r>
          </w:p>
          <w:p w:rsidR="00794E04" w:rsidRPr="00526311" w:rsidRDefault="00794E04" w:rsidP="0063039A">
            <w:pPr>
              <w:autoSpaceDE w:val="0"/>
              <w:autoSpaceDN w:val="0"/>
              <w:adjustRightInd w:val="0"/>
              <w:rPr>
                <w:sz w:val="16"/>
                <w:szCs w:val="16"/>
              </w:rPr>
            </w:pPr>
          </w:p>
          <w:p w:rsidR="00794E04" w:rsidRPr="00526311" w:rsidRDefault="00794E04" w:rsidP="0063039A">
            <w:pPr>
              <w:autoSpaceDE w:val="0"/>
              <w:autoSpaceDN w:val="0"/>
              <w:adjustRightInd w:val="0"/>
              <w:ind w:right="-107"/>
              <w:rPr>
                <w:sz w:val="16"/>
                <w:szCs w:val="16"/>
              </w:rPr>
            </w:pPr>
            <w:r w:rsidRPr="00526311">
              <w:rPr>
                <w:sz w:val="16"/>
                <w:szCs w:val="16"/>
              </w:rPr>
              <w:t xml:space="preserve">b) 12 auditorías y </w:t>
            </w:r>
            <w:r w:rsidR="00FC4432" w:rsidRPr="00526311">
              <w:rPr>
                <w:sz w:val="16"/>
                <w:szCs w:val="16"/>
              </w:rPr>
              <w:t>seis</w:t>
            </w:r>
            <w:r w:rsidRPr="00526311">
              <w:rPr>
                <w:sz w:val="16"/>
                <w:szCs w:val="16"/>
              </w:rPr>
              <w:t xml:space="preserve"> evaluaciones finalizadas;</w:t>
            </w:r>
            <w:r w:rsidRPr="00526311">
              <w:rPr>
                <w:sz w:val="16"/>
                <w:szCs w:val="16"/>
              </w:rPr>
              <w:br/>
            </w:r>
          </w:p>
          <w:p w:rsidR="00794E04" w:rsidRPr="00526311" w:rsidRDefault="00794E04" w:rsidP="0063039A">
            <w:pPr>
              <w:autoSpaceDE w:val="0"/>
              <w:autoSpaceDN w:val="0"/>
              <w:adjustRightInd w:val="0"/>
              <w:rPr>
                <w:sz w:val="16"/>
                <w:szCs w:val="16"/>
              </w:rPr>
            </w:pPr>
            <w:r w:rsidRPr="00526311">
              <w:rPr>
                <w:sz w:val="16"/>
                <w:szCs w:val="16"/>
              </w:rPr>
              <w:t>c) 15 investigaciones concluidas como mín.;</w:t>
            </w:r>
          </w:p>
          <w:p w:rsidR="00794E04" w:rsidRPr="00526311" w:rsidRDefault="00794E04" w:rsidP="0063039A">
            <w:pPr>
              <w:autoSpaceDE w:val="0"/>
              <w:autoSpaceDN w:val="0"/>
              <w:adjustRightInd w:val="0"/>
              <w:rPr>
                <w:sz w:val="16"/>
                <w:szCs w:val="16"/>
              </w:rPr>
            </w:pPr>
          </w:p>
          <w:p w:rsidR="00794E04" w:rsidRPr="00526311" w:rsidRDefault="00794E04" w:rsidP="0063039A">
            <w:pPr>
              <w:autoSpaceDE w:val="0"/>
              <w:autoSpaceDN w:val="0"/>
              <w:adjustRightInd w:val="0"/>
              <w:rPr>
                <w:sz w:val="16"/>
                <w:szCs w:val="16"/>
              </w:rPr>
            </w:pPr>
            <w:r w:rsidRPr="00526311">
              <w:rPr>
                <w:sz w:val="16"/>
                <w:szCs w:val="16"/>
              </w:rPr>
              <w:t>d) cumplimiento de las normas</w:t>
            </w:r>
          </w:p>
        </w:tc>
        <w:tc>
          <w:tcPr>
            <w:tcW w:w="985" w:type="pct"/>
            <w:tcBorders>
              <w:top w:val="nil"/>
              <w:bottom w:val="single" w:sz="4" w:space="0" w:color="auto"/>
            </w:tcBorders>
            <w:shd w:val="clear" w:color="auto" w:fill="FFFFFF"/>
            <w:tcMar>
              <w:top w:w="110" w:type="dxa"/>
            </w:tcMar>
          </w:tcPr>
          <w:p w:rsidR="00794E04" w:rsidRPr="00526311" w:rsidRDefault="00794E04" w:rsidP="0063039A">
            <w:pPr>
              <w:ind w:right="-107"/>
              <w:rPr>
                <w:sz w:val="16"/>
                <w:szCs w:val="16"/>
                <w:lang w:bidi="th-TH"/>
              </w:rPr>
            </w:pPr>
            <w:r w:rsidRPr="00526311">
              <w:rPr>
                <w:sz w:val="16"/>
                <w:szCs w:val="16"/>
                <w:lang w:bidi="th-TH"/>
              </w:rPr>
              <w:t>a) las</w:t>
            </w:r>
            <w:r w:rsidRPr="00526311">
              <w:rPr>
                <w:bCs/>
                <w:sz w:val="16"/>
                <w:szCs w:val="16"/>
                <w:lang w:bidi="th-TH"/>
              </w:rPr>
              <w:t xml:space="preserve"> investigaciones se llevan a cabo en un plazo medio de</w:t>
            </w:r>
            <w:r w:rsidRPr="00526311">
              <w:rPr>
                <w:sz w:val="16"/>
                <w:szCs w:val="16"/>
                <w:lang w:bidi="th-TH"/>
              </w:rPr>
              <w:t xml:space="preserve"> 79 días; las auditorías y las evaluaciones se realizan en 5 y 6 meses respectivamente; </w:t>
            </w:r>
          </w:p>
          <w:p w:rsidR="00794E04" w:rsidRPr="00526311" w:rsidRDefault="00794E04" w:rsidP="0063039A">
            <w:pPr>
              <w:rPr>
                <w:sz w:val="16"/>
                <w:szCs w:val="16"/>
                <w:lang w:bidi="th-TH"/>
              </w:rPr>
            </w:pPr>
          </w:p>
          <w:p w:rsidR="00794E04" w:rsidRPr="00526311" w:rsidRDefault="00794E04" w:rsidP="0063039A">
            <w:pPr>
              <w:rPr>
                <w:sz w:val="16"/>
                <w:szCs w:val="16"/>
                <w:lang w:bidi="th-TH"/>
              </w:rPr>
            </w:pPr>
            <w:r w:rsidRPr="00526311">
              <w:rPr>
                <w:sz w:val="16"/>
                <w:szCs w:val="16"/>
                <w:lang w:bidi="th-TH"/>
              </w:rPr>
              <w:t>b) finalización de seis informes de auditoría</w:t>
            </w:r>
            <w:r w:rsidRPr="00526311">
              <w:rPr>
                <w:rStyle w:val="FootnoteReference"/>
                <w:sz w:val="16"/>
                <w:szCs w:val="16"/>
                <w:lang w:bidi="th-TH"/>
              </w:rPr>
              <w:footnoteReference w:id="63"/>
            </w:r>
            <w:r w:rsidRPr="00526311">
              <w:rPr>
                <w:sz w:val="16"/>
                <w:szCs w:val="16"/>
                <w:lang w:bidi="th-TH"/>
              </w:rPr>
              <w:t>, tres informes de evaluación</w:t>
            </w:r>
            <w:r w:rsidRPr="00526311">
              <w:rPr>
                <w:rStyle w:val="FootnoteReference"/>
                <w:sz w:val="16"/>
                <w:szCs w:val="16"/>
                <w:lang w:bidi="th-TH"/>
              </w:rPr>
              <w:footnoteReference w:id="64"/>
            </w:r>
            <w:r w:rsidRPr="00526311">
              <w:rPr>
                <w:sz w:val="16"/>
                <w:szCs w:val="16"/>
                <w:lang w:bidi="th-TH"/>
              </w:rPr>
              <w:t xml:space="preserve"> y el informe de validación del </w:t>
            </w:r>
            <w:r w:rsidR="00AA0C32" w:rsidRPr="00526311">
              <w:rPr>
                <w:color w:val="000000"/>
                <w:sz w:val="16"/>
                <w:szCs w:val="16"/>
              </w:rPr>
              <w:t>documento</w:t>
            </w:r>
            <w:r w:rsidR="00AA0C32" w:rsidRPr="00526311">
              <w:rPr>
                <w:sz w:val="16"/>
                <w:szCs w:val="16"/>
                <w:lang w:bidi="th-TH"/>
              </w:rPr>
              <w:t xml:space="preserve"> </w:t>
            </w:r>
            <w:r w:rsidRPr="00526311">
              <w:rPr>
                <w:sz w:val="16"/>
                <w:szCs w:val="16"/>
                <w:lang w:bidi="th-TH"/>
              </w:rPr>
              <w:t>PPR 2012/13;</w:t>
            </w:r>
          </w:p>
          <w:p w:rsidR="00794E04" w:rsidRPr="00526311" w:rsidRDefault="00794E04" w:rsidP="0063039A">
            <w:pPr>
              <w:rPr>
                <w:sz w:val="16"/>
                <w:szCs w:val="16"/>
                <w:lang w:bidi="th-TH"/>
              </w:rPr>
            </w:pPr>
          </w:p>
          <w:p w:rsidR="00794E04" w:rsidRPr="00526311" w:rsidRDefault="00794E04" w:rsidP="0063039A">
            <w:pPr>
              <w:rPr>
                <w:sz w:val="16"/>
                <w:szCs w:val="16"/>
                <w:lang w:bidi="th-TH"/>
              </w:rPr>
            </w:pPr>
            <w:r w:rsidRPr="00526311">
              <w:rPr>
                <w:sz w:val="16"/>
                <w:szCs w:val="16"/>
                <w:lang w:bidi="th-TH"/>
              </w:rPr>
              <w:t>c) finalización de 19 investigaciones;</w:t>
            </w:r>
          </w:p>
          <w:p w:rsidR="00794E04" w:rsidRPr="00526311" w:rsidRDefault="00794E04" w:rsidP="0063039A">
            <w:pPr>
              <w:rPr>
                <w:sz w:val="16"/>
                <w:szCs w:val="16"/>
                <w:lang w:bidi="th-TH"/>
              </w:rPr>
            </w:pPr>
          </w:p>
          <w:p w:rsidR="00794E04" w:rsidRPr="00526311" w:rsidRDefault="00794E04" w:rsidP="0063039A">
            <w:pPr>
              <w:rPr>
                <w:sz w:val="16"/>
                <w:szCs w:val="16"/>
                <w:lang w:bidi="th-TH"/>
              </w:rPr>
            </w:pPr>
            <w:r w:rsidRPr="00526311">
              <w:rPr>
                <w:sz w:val="16"/>
                <w:szCs w:val="16"/>
                <w:lang w:bidi="th-TH"/>
              </w:rPr>
              <w:t>d) cumplimiento de las normas confirmado por las evaluaciones externas de la calidad o la CCIS</w:t>
            </w:r>
          </w:p>
        </w:tc>
        <w:tc>
          <w:tcPr>
            <w:tcW w:w="682" w:type="pct"/>
            <w:gridSpan w:val="2"/>
            <w:tcBorders>
              <w:top w:val="nil"/>
              <w:bottom w:val="single" w:sz="4" w:space="0" w:color="auto"/>
              <w:right w:val="single" w:sz="4" w:space="0" w:color="auto"/>
            </w:tcBorders>
            <w:shd w:val="clear" w:color="auto" w:fill="auto"/>
            <w:tcMar>
              <w:top w:w="110" w:type="dxa"/>
            </w:tcMar>
          </w:tcPr>
          <w:p w:rsidR="00794E04" w:rsidRPr="00526311" w:rsidRDefault="00794E04" w:rsidP="0063039A">
            <w:pPr>
              <w:keepNext/>
              <w:keepLines/>
              <w:ind w:left="-107"/>
              <w:jc w:val="center"/>
              <w:rPr>
                <w:bCs/>
                <w:color w:val="808080"/>
                <w:sz w:val="16"/>
                <w:szCs w:val="16"/>
              </w:rPr>
            </w:pPr>
            <w:r w:rsidRPr="00526311">
              <w:rPr>
                <w:b/>
                <w:color w:val="00B050"/>
                <w:sz w:val="16"/>
                <w:szCs w:val="16"/>
              </w:rPr>
              <w:t>Avanza</w:t>
            </w:r>
          </w:p>
        </w:tc>
      </w:tr>
      <w:tr w:rsidR="00794E04" w:rsidRPr="00526311" w:rsidTr="0063039A">
        <w:tc>
          <w:tcPr>
            <w:tcW w:w="1137" w:type="pct"/>
            <w:tcBorders>
              <w:top w:val="single" w:sz="4" w:space="0" w:color="auto"/>
              <w:left w:val="single" w:sz="4" w:space="0" w:color="auto"/>
              <w:bottom w:val="nil"/>
            </w:tcBorders>
            <w:shd w:val="clear" w:color="auto" w:fill="auto"/>
            <w:vAlign w:val="center"/>
          </w:tcPr>
          <w:p w:rsidR="00794E04" w:rsidRPr="00526311" w:rsidRDefault="00794E04" w:rsidP="0063039A">
            <w:pPr>
              <w:rPr>
                <w:sz w:val="16"/>
                <w:szCs w:val="16"/>
              </w:rPr>
            </w:pPr>
            <w:r w:rsidRPr="00526311">
              <w:rPr>
                <w:b/>
                <w:sz w:val="16"/>
                <w:szCs w:val="16"/>
              </w:rPr>
              <w:lastRenderedPageBreak/>
              <w:t>Indicadores de rendimiento</w:t>
            </w:r>
          </w:p>
        </w:tc>
        <w:tc>
          <w:tcPr>
            <w:tcW w:w="1136" w:type="pct"/>
            <w:tcBorders>
              <w:top w:val="single" w:sz="4" w:space="0" w:color="auto"/>
              <w:bottom w:val="nil"/>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1060" w:type="pct"/>
            <w:tcBorders>
              <w:top w:val="single" w:sz="4" w:space="0" w:color="auto"/>
              <w:bottom w:val="nil"/>
            </w:tcBorders>
            <w:shd w:val="clear" w:color="auto" w:fill="auto"/>
            <w:tcMar>
              <w:top w:w="110" w:type="dxa"/>
            </w:tcMar>
            <w:vAlign w:val="center"/>
          </w:tcPr>
          <w:p w:rsidR="00794E04" w:rsidRPr="00526311" w:rsidRDefault="00794E04" w:rsidP="0063039A">
            <w:pPr>
              <w:rPr>
                <w:b/>
                <w:sz w:val="16"/>
                <w:szCs w:val="16"/>
              </w:rPr>
            </w:pPr>
            <w:r w:rsidRPr="00526311">
              <w:rPr>
                <w:b/>
                <w:sz w:val="16"/>
                <w:szCs w:val="16"/>
              </w:rPr>
              <w:t>Objetivos</w:t>
            </w:r>
          </w:p>
        </w:tc>
        <w:tc>
          <w:tcPr>
            <w:tcW w:w="985" w:type="pct"/>
            <w:tcBorders>
              <w:top w:val="single" w:sz="4" w:space="0" w:color="auto"/>
              <w:bottom w:val="nil"/>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82" w:type="pct"/>
            <w:gridSpan w:val="2"/>
            <w:tcBorders>
              <w:top w:val="single" w:sz="4" w:space="0" w:color="auto"/>
              <w:bottom w:val="nil"/>
              <w:right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c>
          <w:tcPr>
            <w:tcW w:w="1137" w:type="pct"/>
            <w:tcBorders>
              <w:top w:val="nil"/>
              <w:left w:val="single" w:sz="4" w:space="0" w:color="auto"/>
              <w:bottom w:val="nil"/>
            </w:tcBorders>
            <w:shd w:val="clear" w:color="auto" w:fill="auto"/>
          </w:tcPr>
          <w:p w:rsidR="00794E04" w:rsidRPr="00526311" w:rsidRDefault="00794E04" w:rsidP="0063039A">
            <w:pPr>
              <w:rPr>
                <w:sz w:val="16"/>
                <w:szCs w:val="16"/>
                <w:lang w:bidi="th-TH"/>
              </w:rPr>
            </w:pPr>
            <w:r w:rsidRPr="00526311">
              <w:rPr>
                <w:sz w:val="16"/>
                <w:szCs w:val="16"/>
                <w:lang w:bidi="th-TH"/>
              </w:rPr>
              <w:t>PERTINENCIA, VALOR AÑADIDO Y ADMINISTRACIÓN - Ahorros o mejoras tangibles en los procedimientos y sistemas</w:t>
            </w:r>
          </w:p>
        </w:tc>
        <w:tc>
          <w:tcPr>
            <w:tcW w:w="1136" w:type="pct"/>
            <w:tcBorders>
              <w:top w:val="nil"/>
              <w:bottom w:val="nil"/>
            </w:tcBorders>
            <w:shd w:val="clear" w:color="auto" w:fill="auto"/>
          </w:tcPr>
          <w:p w:rsidR="00794E04" w:rsidRPr="00526311" w:rsidRDefault="00794E04" w:rsidP="0063039A">
            <w:pPr>
              <w:keepNext/>
              <w:keepLines/>
              <w:rPr>
                <w:i/>
                <w:color w:val="002060"/>
                <w:sz w:val="16"/>
                <w:szCs w:val="16"/>
              </w:rPr>
            </w:pPr>
            <w:r w:rsidRPr="00526311">
              <w:rPr>
                <w:sz w:val="16"/>
                <w:szCs w:val="16"/>
                <w:lang w:bidi="th-TH"/>
              </w:rPr>
              <w:t>No disponible</w:t>
            </w:r>
          </w:p>
        </w:tc>
        <w:tc>
          <w:tcPr>
            <w:tcW w:w="1060" w:type="pct"/>
            <w:tcBorders>
              <w:top w:val="nil"/>
              <w:bottom w:val="nil"/>
            </w:tcBorders>
            <w:shd w:val="clear" w:color="auto" w:fill="auto"/>
            <w:tcMar>
              <w:top w:w="110" w:type="dxa"/>
            </w:tcMar>
          </w:tcPr>
          <w:p w:rsidR="00794E04" w:rsidRPr="00526311" w:rsidRDefault="00794E04" w:rsidP="0063039A">
            <w:pPr>
              <w:autoSpaceDE w:val="0"/>
              <w:autoSpaceDN w:val="0"/>
              <w:adjustRightInd w:val="0"/>
              <w:rPr>
                <w:sz w:val="16"/>
                <w:szCs w:val="16"/>
              </w:rPr>
            </w:pPr>
            <w:r w:rsidRPr="00526311">
              <w:rPr>
                <w:sz w:val="16"/>
                <w:szCs w:val="16"/>
              </w:rPr>
              <w:t>Por determinar</w:t>
            </w:r>
          </w:p>
        </w:tc>
        <w:tc>
          <w:tcPr>
            <w:tcW w:w="1212" w:type="pct"/>
            <w:gridSpan w:val="2"/>
            <w:tcBorders>
              <w:top w:val="nil"/>
              <w:bottom w:val="nil"/>
            </w:tcBorders>
            <w:shd w:val="clear" w:color="auto" w:fill="FFFFFF"/>
            <w:tcMar>
              <w:top w:w="110" w:type="dxa"/>
            </w:tcMar>
          </w:tcPr>
          <w:p w:rsidR="00794E04" w:rsidRPr="00526311" w:rsidRDefault="00794E04" w:rsidP="0063039A">
            <w:pPr>
              <w:rPr>
                <w:sz w:val="16"/>
                <w:szCs w:val="16"/>
                <w:lang w:bidi="th-TH"/>
              </w:rPr>
            </w:pPr>
            <w:r w:rsidRPr="00526311">
              <w:rPr>
                <w:sz w:val="16"/>
                <w:szCs w:val="16"/>
                <w:lang w:bidi="th-TH"/>
              </w:rPr>
              <w:t xml:space="preserve">Datos disponibles </w:t>
            </w:r>
            <w:r w:rsidRPr="00526311">
              <w:rPr>
                <w:sz w:val="16"/>
                <w:szCs w:val="16"/>
                <w:lang w:bidi="th-TH"/>
              </w:rPr>
              <w:br/>
              <w:t>solo en 2015</w:t>
            </w:r>
          </w:p>
        </w:tc>
        <w:tc>
          <w:tcPr>
            <w:tcW w:w="455" w:type="pct"/>
            <w:tcBorders>
              <w:top w:val="nil"/>
              <w:bottom w:val="nil"/>
              <w:right w:val="single" w:sz="4" w:space="0" w:color="auto"/>
            </w:tcBorders>
            <w:shd w:val="clear" w:color="auto" w:fill="auto"/>
            <w:tcMar>
              <w:top w:w="110" w:type="dxa"/>
            </w:tcMar>
          </w:tcPr>
          <w:p w:rsidR="00794E04" w:rsidRPr="00526311" w:rsidRDefault="00FC4432" w:rsidP="0063039A">
            <w:pPr>
              <w:keepNext/>
              <w:keepLines/>
              <w:ind w:left="-109"/>
              <w:jc w:val="center"/>
              <w:rPr>
                <w:b/>
                <w:bCs/>
                <w:color w:val="808080"/>
                <w:sz w:val="16"/>
                <w:szCs w:val="16"/>
              </w:rPr>
            </w:pPr>
            <w:r w:rsidRPr="00526311">
              <w:rPr>
                <w:b/>
                <w:bCs/>
                <w:color w:val="0070C0"/>
                <w:sz w:val="16"/>
                <w:szCs w:val="16"/>
              </w:rPr>
              <w:t>N</w:t>
            </w:r>
            <w:r w:rsidR="00794E04" w:rsidRPr="00526311">
              <w:rPr>
                <w:b/>
                <w:bCs/>
                <w:color w:val="0070C0"/>
                <w:sz w:val="16"/>
                <w:szCs w:val="16"/>
              </w:rPr>
              <w:t>.d. para 2014</w:t>
            </w:r>
          </w:p>
        </w:tc>
      </w:tr>
      <w:tr w:rsidR="00794E04" w:rsidRPr="00526311" w:rsidTr="0063039A">
        <w:tc>
          <w:tcPr>
            <w:tcW w:w="1137" w:type="pct"/>
            <w:tcBorders>
              <w:top w:val="nil"/>
              <w:left w:val="single" w:sz="4" w:space="0" w:color="auto"/>
              <w:bottom w:val="single" w:sz="4" w:space="0" w:color="auto"/>
            </w:tcBorders>
            <w:shd w:val="clear" w:color="auto" w:fill="auto"/>
          </w:tcPr>
          <w:p w:rsidR="00794E04" w:rsidRPr="00526311" w:rsidRDefault="00794E04" w:rsidP="0063039A">
            <w:pPr>
              <w:rPr>
                <w:sz w:val="16"/>
                <w:szCs w:val="16"/>
                <w:lang w:bidi="th-TH"/>
              </w:rPr>
            </w:pPr>
            <w:r w:rsidRPr="00526311">
              <w:rPr>
                <w:sz w:val="16"/>
                <w:szCs w:val="16"/>
                <w:lang w:bidi="th-TH"/>
              </w:rPr>
              <w:t>APRENDIZAJE INSTITUCIONAL:   Adopción de enseñanzas y recomendaciones extraídas de los procesos de supervisión</w:t>
            </w:r>
          </w:p>
        </w:tc>
        <w:tc>
          <w:tcPr>
            <w:tcW w:w="1136" w:type="pct"/>
            <w:tcBorders>
              <w:top w:val="nil"/>
              <w:bottom w:val="single" w:sz="4" w:space="0" w:color="auto"/>
            </w:tcBorders>
            <w:shd w:val="clear" w:color="auto" w:fill="auto"/>
          </w:tcPr>
          <w:p w:rsidR="00794E04" w:rsidRPr="00526311" w:rsidRDefault="00794E04" w:rsidP="0063039A">
            <w:pPr>
              <w:keepNext/>
              <w:keepLines/>
              <w:rPr>
                <w:i/>
                <w:color w:val="002060"/>
                <w:sz w:val="16"/>
                <w:szCs w:val="16"/>
              </w:rPr>
            </w:pPr>
            <w:r w:rsidRPr="00526311">
              <w:rPr>
                <w:sz w:val="16"/>
                <w:szCs w:val="16"/>
                <w:lang w:bidi="th-TH"/>
              </w:rPr>
              <w:t>90% de las recomendaciones aceptadas y 90% de las recomendaciones aplicadas en un plazo de dos años</w:t>
            </w:r>
          </w:p>
        </w:tc>
        <w:tc>
          <w:tcPr>
            <w:tcW w:w="1060" w:type="pct"/>
            <w:tcBorders>
              <w:top w:val="nil"/>
              <w:bottom w:val="single" w:sz="4" w:space="0" w:color="auto"/>
            </w:tcBorders>
            <w:shd w:val="clear" w:color="auto" w:fill="auto"/>
            <w:tcMar>
              <w:top w:w="110" w:type="dxa"/>
            </w:tcMar>
          </w:tcPr>
          <w:p w:rsidR="00794E04" w:rsidRPr="00526311" w:rsidRDefault="00794E04" w:rsidP="0063039A">
            <w:pPr>
              <w:autoSpaceDE w:val="0"/>
              <w:autoSpaceDN w:val="0"/>
              <w:adjustRightInd w:val="0"/>
              <w:rPr>
                <w:sz w:val="16"/>
                <w:szCs w:val="16"/>
              </w:rPr>
            </w:pPr>
            <w:r w:rsidRPr="00526311">
              <w:rPr>
                <w:sz w:val="16"/>
                <w:szCs w:val="16"/>
              </w:rPr>
              <w:t>90% de las recomendaciones aceptadas y 90% de las recomendaciones aplicadas en un plazo de dos años</w:t>
            </w:r>
          </w:p>
        </w:tc>
        <w:tc>
          <w:tcPr>
            <w:tcW w:w="985" w:type="pct"/>
            <w:tcBorders>
              <w:top w:val="nil"/>
              <w:bottom w:val="single" w:sz="4" w:space="0" w:color="auto"/>
            </w:tcBorders>
            <w:shd w:val="clear" w:color="auto" w:fill="FFFFFF"/>
            <w:tcMar>
              <w:top w:w="110" w:type="dxa"/>
            </w:tcMar>
          </w:tcPr>
          <w:p w:rsidR="00794E04" w:rsidRPr="00526311" w:rsidRDefault="00794E04" w:rsidP="0063039A">
            <w:pPr>
              <w:rPr>
                <w:sz w:val="16"/>
                <w:szCs w:val="16"/>
                <w:lang w:bidi="th-TH"/>
              </w:rPr>
            </w:pPr>
            <w:r w:rsidRPr="00526311">
              <w:rPr>
                <w:sz w:val="16"/>
                <w:szCs w:val="16"/>
                <w:lang w:bidi="th-TH"/>
              </w:rPr>
              <w:t>Índice de satisfacción del 84%; 100% de las recomendaciones aceptadas y 90% de las recomendaciones aplicadas en un plazo de dos años</w:t>
            </w:r>
          </w:p>
        </w:tc>
        <w:tc>
          <w:tcPr>
            <w:tcW w:w="682" w:type="pct"/>
            <w:gridSpan w:val="2"/>
            <w:tcBorders>
              <w:top w:val="nil"/>
              <w:bottom w:val="single" w:sz="4" w:space="0" w:color="auto"/>
              <w:right w:val="single" w:sz="4" w:space="0" w:color="auto"/>
            </w:tcBorders>
            <w:shd w:val="clear" w:color="auto" w:fill="auto"/>
            <w:tcMar>
              <w:top w:w="110" w:type="dxa"/>
            </w:tcMar>
          </w:tcPr>
          <w:p w:rsidR="00794E04" w:rsidRPr="00526311" w:rsidRDefault="00794E04" w:rsidP="0063039A">
            <w:pPr>
              <w:keepNext/>
              <w:keepLines/>
              <w:ind w:left="-107"/>
              <w:jc w:val="center"/>
              <w:rPr>
                <w:b/>
                <w:bCs/>
                <w:color w:val="808080"/>
                <w:sz w:val="16"/>
                <w:szCs w:val="16"/>
              </w:rPr>
            </w:pPr>
            <w:r w:rsidRPr="00526311">
              <w:rPr>
                <w:b/>
                <w:color w:val="00B050"/>
                <w:sz w:val="16"/>
                <w:szCs w:val="16"/>
              </w:rPr>
              <w:t>Avanza</w:t>
            </w:r>
          </w:p>
        </w:tc>
      </w:tr>
    </w:tbl>
    <w:p w:rsidR="00794E04" w:rsidRPr="00526311" w:rsidRDefault="00794E04">
      <w:pPr>
        <w:rPr>
          <w:color w:val="000000"/>
        </w:rPr>
      </w:pPr>
    </w:p>
    <w:p w:rsidR="00794E04" w:rsidRPr="00526311" w:rsidRDefault="00794E04"/>
    <w:p w:rsidR="00794E04" w:rsidRPr="00526311" w:rsidRDefault="00794E04" w:rsidP="0063039A">
      <w:pPr>
        <w:rPr>
          <w:b/>
          <w:szCs w:val="22"/>
        </w:rPr>
      </w:pPr>
      <w:r w:rsidRPr="00526311">
        <w:rPr>
          <w:szCs w:val="22"/>
        </w:rPr>
        <w:t>UTILIZACIÓN DE LOS RECURSOS</w:t>
      </w:r>
    </w:p>
    <w:p w:rsidR="00794E04" w:rsidRPr="00526311" w:rsidRDefault="00794E04"/>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794E04" w:rsidRPr="00526311" w:rsidRDefault="00794E04" w:rsidP="0063039A">
      <w:pPr>
        <w:pStyle w:val="NormalWeb"/>
        <w:spacing w:before="0" w:beforeAutospacing="0" w:after="0" w:afterAutospacing="0"/>
        <w:jc w:val="center"/>
        <w:rPr>
          <w:sz w:val="20"/>
          <w:szCs w:val="20"/>
          <w:lang w:val="es-ES"/>
        </w:rPr>
      </w:pPr>
    </w:p>
    <w:p w:rsidR="00794E04" w:rsidRPr="00526311" w:rsidRDefault="00DD7B62" w:rsidP="0063039A">
      <w:pPr>
        <w:jc w:val="center"/>
      </w:pPr>
      <w:r w:rsidRPr="00526311">
        <w:rPr>
          <w:noProof/>
          <w:lang w:val="en-US" w:eastAsia="en-US"/>
        </w:rPr>
        <w:drawing>
          <wp:inline distT="0" distB="0" distL="0" distR="0" wp14:anchorId="220C1A9F" wp14:editId="4565F8CA">
            <wp:extent cx="5762625" cy="1447800"/>
            <wp:effectExtent l="0" t="0" r="9525"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2625" cy="1447800"/>
                    </a:xfrm>
                    <a:prstGeom prst="rect">
                      <a:avLst/>
                    </a:prstGeom>
                    <a:noFill/>
                    <a:ln>
                      <a:noFill/>
                    </a:ln>
                  </pic:spPr>
                </pic:pic>
              </a:graphicData>
            </a:graphic>
          </wp:inline>
        </w:drawing>
      </w:r>
    </w:p>
    <w:p w:rsidR="00794E04" w:rsidRPr="00526311" w:rsidRDefault="00794E04"/>
    <w:p w:rsidR="00794E04" w:rsidRPr="00526311" w:rsidRDefault="00794E04"/>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794E04" w:rsidRPr="00526311" w:rsidRDefault="00794E04" w:rsidP="0063039A">
      <w:pPr>
        <w:pStyle w:val="NormalWeb"/>
        <w:spacing w:before="0" w:beforeAutospacing="0" w:after="0" w:afterAutospacing="0"/>
        <w:jc w:val="center"/>
        <w:rPr>
          <w:lang w:val="es-ES"/>
        </w:rPr>
      </w:pPr>
    </w:p>
    <w:p w:rsidR="00794E04" w:rsidRPr="00526311" w:rsidRDefault="00FF6E74" w:rsidP="0063039A">
      <w:pPr>
        <w:jc w:val="center"/>
      </w:pPr>
      <w:bookmarkStart w:id="88" w:name="Punto26"/>
      <w:r w:rsidRPr="00526311">
        <w:rPr>
          <w:noProof/>
          <w:lang w:val="en-US" w:eastAsia="en-US"/>
        </w:rPr>
        <w:drawing>
          <wp:inline distT="0" distB="0" distL="0" distR="0" wp14:anchorId="74062B9B" wp14:editId="2BC3CB6D">
            <wp:extent cx="5940425" cy="1209029"/>
            <wp:effectExtent l="0" t="0" r="3175"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0425" cy="1209029"/>
                    </a:xfrm>
                    <a:prstGeom prst="rect">
                      <a:avLst/>
                    </a:prstGeom>
                    <a:noFill/>
                    <a:ln>
                      <a:noFill/>
                    </a:ln>
                  </pic:spPr>
                </pic:pic>
              </a:graphicData>
            </a:graphic>
          </wp:inline>
        </w:drawing>
      </w:r>
      <w:bookmarkEnd w:id="88"/>
    </w:p>
    <w:p w:rsidR="00794E04" w:rsidRPr="00526311" w:rsidRDefault="00794E04" w:rsidP="0063039A">
      <w:pPr>
        <w:autoSpaceDE w:val="0"/>
        <w:autoSpaceDN w:val="0"/>
        <w:rPr>
          <w:sz w:val="16"/>
          <w:szCs w:val="16"/>
        </w:rPr>
      </w:pPr>
      <w:r w:rsidRPr="00526311">
        <w:rPr>
          <w:i/>
          <w:sz w:val="16"/>
          <w:szCs w:val="16"/>
        </w:rPr>
        <w:t xml:space="preserve">NOTA:  </w:t>
      </w:r>
      <w:r w:rsidRPr="00526311">
        <w:rPr>
          <w:i/>
          <w:iCs/>
          <w:sz w:val="16"/>
          <w:szCs w:val="16"/>
        </w:rPr>
        <w:t>El presupuesto de 2014/15 tras las transferencias refleja las transferencias efectuadas al 31 de marzo de 2015 para hacer frente a las necesidades durante el bienio 2014/15, según lo previsto en el artículo 5.5 del Reglamento Financiero</w:t>
      </w:r>
      <w:r w:rsidRPr="00526311">
        <w:rPr>
          <w:i/>
          <w:sz w:val="16"/>
          <w:szCs w:val="16"/>
        </w:rPr>
        <w:t>.</w:t>
      </w:r>
    </w:p>
    <w:p w:rsidR="00794E04" w:rsidRPr="00526311" w:rsidRDefault="00794E04" w:rsidP="0063039A">
      <w:pPr>
        <w:autoSpaceDE w:val="0"/>
        <w:autoSpaceDN w:val="0"/>
        <w:adjustRightInd w:val="0"/>
        <w:rPr>
          <w:sz w:val="20"/>
        </w:rPr>
      </w:pPr>
    </w:p>
    <w:p w:rsidR="00794E04" w:rsidRPr="00526311" w:rsidRDefault="00794E04"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794E04" w:rsidRPr="00526311" w:rsidRDefault="00794E04" w:rsidP="0063039A">
      <w:pPr>
        <w:jc w:val="both"/>
        <w:rPr>
          <w:sz w:val="20"/>
          <w:u w:val="single"/>
          <w:lang w:eastAsia="ko-KR"/>
        </w:rPr>
      </w:pPr>
    </w:p>
    <w:p w:rsidR="00794E04" w:rsidRPr="00526311" w:rsidRDefault="00794E04" w:rsidP="00794E04">
      <w:pPr>
        <w:pStyle w:val="ListParagraph"/>
        <w:numPr>
          <w:ilvl w:val="0"/>
          <w:numId w:val="93"/>
        </w:numPr>
        <w:tabs>
          <w:tab w:val="left" w:pos="567"/>
        </w:tabs>
        <w:ind w:left="0" w:firstLine="0"/>
        <w:jc w:val="both"/>
        <w:rPr>
          <w:rFonts w:ascii="Calibri" w:hAnsi="Calibri"/>
          <w:lang w:val="es-ES"/>
        </w:rPr>
      </w:pPr>
      <w:r w:rsidRPr="00526311">
        <w:rPr>
          <w:rFonts w:cs="Arial"/>
          <w:iCs/>
          <w:lang w:val="es-ES"/>
        </w:rPr>
        <w:t>El presupuesto de 2014/15 tras las transferencias refleja los leves ajustes a la baja efectuados para aumentar la eficacia en función de los costos</w:t>
      </w:r>
      <w:r w:rsidRPr="00526311">
        <w:rPr>
          <w:rFonts w:cs="Arial"/>
          <w:lang w:val="es-ES"/>
        </w:rPr>
        <w:t>.</w:t>
      </w:r>
    </w:p>
    <w:p w:rsidR="00794E04" w:rsidRPr="00526311" w:rsidRDefault="00794E04" w:rsidP="0063039A">
      <w:pPr>
        <w:jc w:val="both"/>
        <w:rPr>
          <w:sz w:val="20"/>
          <w:lang w:eastAsia="ko-KR"/>
        </w:rPr>
      </w:pPr>
    </w:p>
    <w:p w:rsidR="00794E04" w:rsidRPr="00526311" w:rsidRDefault="00794E04"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794E04" w:rsidRPr="00526311" w:rsidRDefault="00794E04" w:rsidP="0063039A">
      <w:pPr>
        <w:pStyle w:val="ListParagraph"/>
        <w:tabs>
          <w:tab w:val="left" w:pos="567"/>
        </w:tabs>
        <w:ind w:left="0"/>
        <w:jc w:val="both"/>
        <w:rPr>
          <w:rFonts w:ascii="Calibri" w:hAnsi="Calibri"/>
          <w:lang w:val="es-ES"/>
        </w:rPr>
      </w:pPr>
    </w:p>
    <w:p w:rsidR="00794E04" w:rsidRPr="00526311" w:rsidRDefault="00794E04" w:rsidP="00794E04">
      <w:pPr>
        <w:pStyle w:val="ListParagraph"/>
        <w:numPr>
          <w:ilvl w:val="0"/>
          <w:numId w:val="93"/>
        </w:numPr>
        <w:tabs>
          <w:tab w:val="left" w:pos="567"/>
        </w:tabs>
        <w:ind w:left="0" w:firstLine="0"/>
        <w:jc w:val="both"/>
        <w:rPr>
          <w:rFonts w:ascii="Calibri" w:hAnsi="Calibri"/>
          <w:lang w:val="es-ES"/>
        </w:rPr>
      </w:pPr>
      <w:r w:rsidRPr="00526311">
        <w:rPr>
          <w:rFonts w:cs="Arial"/>
          <w:lang w:val="es-ES" w:eastAsia="ko-KR"/>
        </w:rPr>
        <w:t xml:space="preserve">La utilización del presupuesto se ha mantenido dentro de los límites establecidos (40-60%) durante el primer año del bienio y está bien encaminada. </w:t>
      </w:r>
    </w:p>
    <w:p w:rsidR="00794E04" w:rsidRPr="00526311" w:rsidRDefault="00794E04" w:rsidP="0063039A">
      <w:pPr>
        <w:tabs>
          <w:tab w:val="left" w:pos="0"/>
        </w:tabs>
        <w:jc w:val="both"/>
        <w:rPr>
          <w:sz w:val="20"/>
        </w:rPr>
      </w:pPr>
    </w:p>
    <w:p w:rsidR="00794E04" w:rsidRPr="00526311" w:rsidRDefault="00794E04" w:rsidP="0063039A">
      <w:pPr>
        <w:tabs>
          <w:tab w:val="left" w:pos="0"/>
        </w:tabs>
        <w:jc w:val="both"/>
        <w:rPr>
          <w:sz w:val="20"/>
        </w:rPr>
      </w:pPr>
    </w:p>
    <w:p w:rsidR="00794E04" w:rsidRPr="00526311" w:rsidRDefault="00794E04">
      <w:pPr>
        <w:rPr>
          <w:bCs/>
          <w:iCs/>
          <w:caps/>
          <w:sz w:val="20"/>
        </w:rPr>
      </w:pPr>
      <w:r w:rsidRPr="00526311">
        <w:rPr>
          <w:sz w:val="20"/>
        </w:rPr>
        <w:br w:type="page"/>
      </w:r>
    </w:p>
    <w:p w:rsidR="00794E04" w:rsidRPr="00526311" w:rsidRDefault="00794E04" w:rsidP="0063039A">
      <w:pPr>
        <w:pStyle w:val="Heading2"/>
        <w:keepNext w:val="0"/>
        <w:tabs>
          <w:tab w:val="left" w:pos="2410"/>
        </w:tabs>
        <w:jc w:val="both"/>
        <w:rPr>
          <w:b/>
        </w:rPr>
      </w:pPr>
      <w:bookmarkStart w:id="89" w:name="_Toc422927441"/>
      <w:r w:rsidRPr="00526311">
        <w:rPr>
          <w:b/>
        </w:rPr>
        <w:lastRenderedPageBreak/>
        <w:t>PROGRAMA 27</w:t>
      </w:r>
      <w:r w:rsidRPr="00526311">
        <w:rPr>
          <w:b/>
        </w:rPr>
        <w:tab/>
        <w:t>SERVICIOS DE CONFERENCIAS Y LINGÜÍSTICOS</w:t>
      </w:r>
      <w:bookmarkEnd w:id="89"/>
    </w:p>
    <w:p w:rsidR="00794E04" w:rsidRPr="00526311" w:rsidRDefault="00794E04" w:rsidP="0063039A">
      <w:pPr>
        <w:jc w:val="both"/>
        <w:rPr>
          <w:sz w:val="20"/>
        </w:rPr>
      </w:pPr>
    </w:p>
    <w:p w:rsidR="00794E04" w:rsidRPr="00526311" w:rsidRDefault="00794E04" w:rsidP="0063039A">
      <w:pPr>
        <w:tabs>
          <w:tab w:val="left" w:pos="2410"/>
        </w:tabs>
        <w:jc w:val="both"/>
        <w:rPr>
          <w:b/>
          <w:sz w:val="20"/>
        </w:rPr>
      </w:pPr>
      <w:r w:rsidRPr="00526311">
        <w:rPr>
          <w:b/>
          <w:sz w:val="20"/>
        </w:rPr>
        <w:t>Director de programa</w:t>
      </w:r>
      <w:r w:rsidRPr="00526311">
        <w:rPr>
          <w:sz w:val="20"/>
        </w:rPr>
        <w:tab/>
      </w:r>
      <w:r w:rsidRPr="00526311">
        <w:rPr>
          <w:b/>
          <w:sz w:val="20"/>
        </w:rPr>
        <w:t>Sr. A. Sundaram</w:t>
      </w:r>
    </w:p>
    <w:p w:rsidR="00794E04" w:rsidRPr="00526311" w:rsidRDefault="00794E04" w:rsidP="0063039A">
      <w:pPr>
        <w:jc w:val="both"/>
        <w:rPr>
          <w:sz w:val="20"/>
        </w:rPr>
      </w:pPr>
    </w:p>
    <w:p w:rsidR="00794E04" w:rsidRPr="00526311" w:rsidRDefault="00794E04" w:rsidP="0063039A">
      <w:pPr>
        <w:jc w:val="both"/>
        <w:rPr>
          <w:sz w:val="20"/>
        </w:rPr>
      </w:pPr>
    </w:p>
    <w:p w:rsidR="00794E04" w:rsidRPr="00526311" w:rsidRDefault="00794E04" w:rsidP="0063039A">
      <w:pPr>
        <w:jc w:val="both"/>
        <w:rPr>
          <w:bCs/>
          <w:szCs w:val="22"/>
        </w:rPr>
      </w:pPr>
      <w:r w:rsidRPr="00526311">
        <w:rPr>
          <w:bCs/>
          <w:szCs w:val="22"/>
        </w:rPr>
        <w:t>RESEÑA DE LOS AVANCES LOGRADOS EN 2014</w:t>
      </w:r>
    </w:p>
    <w:p w:rsidR="00794E04" w:rsidRPr="00526311" w:rsidRDefault="00794E04" w:rsidP="0063039A">
      <w:pPr>
        <w:jc w:val="both"/>
      </w:pPr>
    </w:p>
    <w:p w:rsidR="00794E04" w:rsidRPr="00526311" w:rsidRDefault="00794E04" w:rsidP="00794E04">
      <w:pPr>
        <w:pStyle w:val="ListParagraph"/>
        <w:numPr>
          <w:ilvl w:val="0"/>
          <w:numId w:val="94"/>
        </w:numPr>
        <w:tabs>
          <w:tab w:val="left" w:pos="709"/>
        </w:tabs>
        <w:ind w:left="0" w:firstLine="0"/>
        <w:jc w:val="both"/>
        <w:rPr>
          <w:rFonts w:cs="Arial"/>
          <w:bCs/>
          <w:lang w:val="es-ES" w:eastAsia="zh-CN"/>
        </w:rPr>
      </w:pPr>
      <w:r w:rsidRPr="00526311">
        <w:rPr>
          <w:rFonts w:cs="Arial"/>
          <w:bCs/>
          <w:lang w:val="es-ES" w:eastAsia="zh-CN"/>
        </w:rPr>
        <w:t>Durante el año objeto se examen, la Secretaría siguió aplicando eficazmente la Política lingüística de la OMPI al incluir los grupos de trabajo en la cobertura lingüística que se ofrece en seis idiomas, de manera gradual y eficaz en función de los costos.  Con arreglo al calendario establecido por los Estados miembros, en 2014 se amplió la cobertura para dar cabida al Grupo de Trabajo del PCT y al Grupo de Trabajo sobre el Desarrollo Jurídico del Sistema de La Haya para el Registro Internacional de Dibujos y Modelos Industriales.</w:t>
      </w:r>
    </w:p>
    <w:p w:rsidR="00794E04" w:rsidRPr="00526311" w:rsidRDefault="00794E04" w:rsidP="0063039A">
      <w:pPr>
        <w:tabs>
          <w:tab w:val="left" w:pos="709"/>
        </w:tabs>
        <w:jc w:val="both"/>
        <w:rPr>
          <w:bCs/>
        </w:rPr>
      </w:pPr>
    </w:p>
    <w:p w:rsidR="00794E04" w:rsidRPr="00526311" w:rsidRDefault="00794E04" w:rsidP="00794E04">
      <w:pPr>
        <w:pStyle w:val="ListParagraph"/>
        <w:numPr>
          <w:ilvl w:val="0"/>
          <w:numId w:val="94"/>
        </w:numPr>
        <w:tabs>
          <w:tab w:val="left" w:pos="709"/>
        </w:tabs>
        <w:ind w:left="0" w:firstLine="0"/>
        <w:jc w:val="both"/>
        <w:rPr>
          <w:rFonts w:cs="Arial"/>
          <w:bCs/>
          <w:lang w:val="es-ES" w:eastAsia="zh-CN"/>
        </w:rPr>
      </w:pPr>
      <w:r w:rsidRPr="00526311">
        <w:rPr>
          <w:rFonts w:cs="Arial"/>
          <w:bCs/>
          <w:lang w:val="es-ES" w:eastAsia="zh-CN"/>
        </w:rPr>
        <w:t>Al aplicar rigurosamente las medidas de racionalización y control al número y al tamaño de los documentos de todas las reuniones, el volumen de traducción se mantuvo a un nivel similar al del año anterior, a pesar de haber ampliado la cobertura lingüística para dar cabida a esos dos importantes grupos de trabajo.</w:t>
      </w:r>
    </w:p>
    <w:p w:rsidR="00794E04" w:rsidRPr="00526311" w:rsidRDefault="00794E04" w:rsidP="0063039A">
      <w:pPr>
        <w:tabs>
          <w:tab w:val="left" w:pos="709"/>
        </w:tabs>
        <w:jc w:val="both"/>
        <w:rPr>
          <w:bCs/>
        </w:rPr>
      </w:pPr>
    </w:p>
    <w:p w:rsidR="00794E04" w:rsidRPr="00526311" w:rsidRDefault="00794E04" w:rsidP="00794E04">
      <w:pPr>
        <w:pStyle w:val="ListParagraph"/>
        <w:numPr>
          <w:ilvl w:val="0"/>
          <w:numId w:val="94"/>
        </w:numPr>
        <w:tabs>
          <w:tab w:val="left" w:pos="709"/>
        </w:tabs>
        <w:ind w:left="0" w:firstLine="0"/>
        <w:jc w:val="both"/>
        <w:rPr>
          <w:rFonts w:cs="Arial"/>
          <w:bCs/>
          <w:lang w:val="es-ES" w:eastAsia="zh-CN"/>
        </w:rPr>
      </w:pPr>
      <w:r w:rsidRPr="00526311">
        <w:rPr>
          <w:rFonts w:cs="Arial"/>
          <w:bCs/>
          <w:lang w:val="es-ES" w:eastAsia="zh-CN"/>
        </w:rPr>
        <w:t>Los servicios lingüísticos siguieron recurriendo en mayor medida a la subcontratación de los servicios de traducción, y en 2014 el 59% del volumen de trabajo subcontratado se dirigió a profesionales autónomos y empresas de traducción, en comparación con el 56% de 2013.  A fin de velar por la calidad de la traducción, se fomentaron las medidas de control de calidad gracias a la contribución del equipo básico interno de traductores y revisores.  Se establecieron nuevas medidas y procedimientos de trabajo agilizados en todos los idiomas.  El índice global de control de calidad ascendió de menos del 10% antes de la aplicación de la Política lingüística (a fines de 2011) a alrededor del 39% en 2014.</w:t>
      </w:r>
    </w:p>
    <w:p w:rsidR="00794E04" w:rsidRPr="00526311" w:rsidRDefault="00794E04" w:rsidP="0063039A">
      <w:pPr>
        <w:rPr>
          <w:bCs/>
        </w:rPr>
      </w:pPr>
    </w:p>
    <w:p w:rsidR="00794E04" w:rsidRPr="00526311" w:rsidRDefault="00794E04" w:rsidP="00794E04">
      <w:pPr>
        <w:pStyle w:val="ListParagraph"/>
        <w:numPr>
          <w:ilvl w:val="0"/>
          <w:numId w:val="94"/>
        </w:numPr>
        <w:tabs>
          <w:tab w:val="left" w:pos="709"/>
        </w:tabs>
        <w:ind w:left="0" w:firstLine="0"/>
        <w:jc w:val="both"/>
        <w:rPr>
          <w:rFonts w:cs="Arial"/>
          <w:bCs/>
          <w:lang w:val="es-ES" w:eastAsia="zh-CN"/>
        </w:rPr>
      </w:pPr>
      <w:r w:rsidRPr="00526311">
        <w:rPr>
          <w:rFonts w:cs="Arial"/>
          <w:bCs/>
          <w:lang w:val="es-ES" w:eastAsia="zh-CN"/>
        </w:rPr>
        <w:t>Haciendo uso de las herramientas de terminología y traducción asistida por computadora, que se integraron plenamente en 2014, el programa emprendió un proyecto destinado a publicar terminología, por primera vez, en los seis idiomas de NN.UU. mediante la plataforma de terminología WIPO Pearl puesta en marcha recientemente, que actualmente solo contiene las entradas terminológicas del PCT.</w:t>
      </w:r>
    </w:p>
    <w:p w:rsidR="00794E04" w:rsidRPr="00526311" w:rsidRDefault="00794E04" w:rsidP="0063039A">
      <w:pPr>
        <w:tabs>
          <w:tab w:val="left" w:pos="709"/>
        </w:tabs>
        <w:jc w:val="both"/>
        <w:rPr>
          <w:bCs/>
        </w:rPr>
      </w:pPr>
    </w:p>
    <w:p w:rsidR="00794E04" w:rsidRPr="00526311" w:rsidRDefault="00794E04" w:rsidP="00794E04">
      <w:pPr>
        <w:pStyle w:val="ListParagraph"/>
        <w:numPr>
          <w:ilvl w:val="0"/>
          <w:numId w:val="94"/>
        </w:numPr>
        <w:tabs>
          <w:tab w:val="left" w:pos="709"/>
        </w:tabs>
        <w:ind w:left="0" w:firstLine="0"/>
        <w:jc w:val="both"/>
        <w:rPr>
          <w:rFonts w:cs="Arial"/>
          <w:bCs/>
          <w:lang w:val="es-ES" w:eastAsia="zh-CN"/>
        </w:rPr>
      </w:pPr>
      <w:r w:rsidRPr="00526311">
        <w:rPr>
          <w:rFonts w:cs="Arial"/>
          <w:bCs/>
          <w:lang w:val="es-ES" w:eastAsia="zh-CN"/>
        </w:rPr>
        <w:t>Además, se siguió intensificando el concepto de “calidad en el origen” mediante la revisión general de las relaciones contractuales con los traductores externos.  A la vez que se mantuvo la relación exclusivamente con los traductores que cumplían con los patrones establecidos, se contrataron nuevos traductores por cuenta propia únicamente después de llevar a cabo un proceso de examen intensivo.  Además, se introdujeron sistemas de vinculación de los pagos con la calidad y la entrega puntual de las traducciones subcontratadas.</w:t>
      </w:r>
    </w:p>
    <w:p w:rsidR="00794E04" w:rsidRPr="00526311" w:rsidRDefault="00794E04" w:rsidP="0063039A">
      <w:pPr>
        <w:rPr>
          <w:bCs/>
        </w:rPr>
      </w:pPr>
    </w:p>
    <w:p w:rsidR="00794E04" w:rsidRPr="00526311" w:rsidRDefault="00794E04" w:rsidP="00794E04">
      <w:pPr>
        <w:pStyle w:val="ListParagraph"/>
        <w:numPr>
          <w:ilvl w:val="0"/>
          <w:numId w:val="94"/>
        </w:numPr>
        <w:tabs>
          <w:tab w:val="left" w:pos="709"/>
        </w:tabs>
        <w:ind w:left="0" w:firstLine="0"/>
        <w:jc w:val="both"/>
        <w:rPr>
          <w:rFonts w:cs="Arial"/>
          <w:bCs/>
          <w:lang w:val="es-ES" w:eastAsia="zh-CN"/>
        </w:rPr>
      </w:pPr>
      <w:r w:rsidRPr="00526311">
        <w:rPr>
          <w:rFonts w:cs="Arial"/>
          <w:bCs/>
          <w:lang w:val="es-ES" w:eastAsia="zh-CN"/>
        </w:rPr>
        <w:t>Se seleccionaron otras agencias de traducción mediante licitaciones internacionales para las traducciones al árabe, al chino y al ruso, tomando en consideración la experiencia adquirida en la subcontratación de traducciones al español y al francés.</w:t>
      </w:r>
    </w:p>
    <w:p w:rsidR="00794E04" w:rsidRPr="00526311" w:rsidRDefault="00794E04" w:rsidP="0063039A">
      <w:pPr>
        <w:rPr>
          <w:bCs/>
        </w:rPr>
      </w:pPr>
    </w:p>
    <w:p w:rsidR="00794E04" w:rsidRPr="00526311" w:rsidRDefault="00794E04" w:rsidP="00794E04">
      <w:pPr>
        <w:pStyle w:val="ListParagraph"/>
        <w:numPr>
          <w:ilvl w:val="0"/>
          <w:numId w:val="94"/>
        </w:numPr>
        <w:tabs>
          <w:tab w:val="left" w:pos="709"/>
        </w:tabs>
        <w:ind w:left="0" w:firstLine="0"/>
        <w:jc w:val="both"/>
        <w:rPr>
          <w:rFonts w:cs="Arial"/>
          <w:bCs/>
          <w:lang w:val="es-ES" w:eastAsia="zh-CN"/>
        </w:rPr>
      </w:pPr>
      <w:r w:rsidRPr="00526311">
        <w:rPr>
          <w:rFonts w:cs="Arial"/>
          <w:bCs/>
          <w:lang w:val="es-ES" w:eastAsia="zh-CN"/>
        </w:rPr>
        <w:t>Esas medidas e iniciativas contribuyeron a lograr una mayor eficacia en función de los costos, y se redujo el costo por palabra traducida, que pasó de 0,63 francos suizos en 2013 a 0,59 francos suizos en 2014.</w:t>
      </w:r>
    </w:p>
    <w:p w:rsidR="00794E04" w:rsidRPr="00526311" w:rsidRDefault="00794E04" w:rsidP="0063039A">
      <w:pPr>
        <w:tabs>
          <w:tab w:val="left" w:pos="709"/>
        </w:tabs>
        <w:jc w:val="both"/>
        <w:rPr>
          <w:bCs/>
        </w:rPr>
      </w:pPr>
    </w:p>
    <w:p w:rsidR="00794E04" w:rsidRPr="00526311" w:rsidRDefault="00794E04" w:rsidP="00794E04">
      <w:pPr>
        <w:pStyle w:val="ListParagraph"/>
        <w:numPr>
          <w:ilvl w:val="0"/>
          <w:numId w:val="94"/>
        </w:numPr>
        <w:tabs>
          <w:tab w:val="left" w:pos="709"/>
        </w:tabs>
        <w:ind w:left="0" w:firstLine="0"/>
        <w:jc w:val="both"/>
        <w:rPr>
          <w:rFonts w:cs="Arial"/>
          <w:bCs/>
          <w:lang w:val="es-ES"/>
        </w:rPr>
      </w:pPr>
      <w:r w:rsidRPr="00526311">
        <w:rPr>
          <w:rFonts w:cs="Arial"/>
          <w:bCs/>
          <w:lang w:val="es-ES" w:eastAsia="zh-CN"/>
        </w:rPr>
        <w:t>Se continuó suministrando servicios de interpretación eficaces y de calidad para todas las reuniones y actividades de la OMPI, según las necesidades.</w:t>
      </w:r>
    </w:p>
    <w:p w:rsidR="00794E04" w:rsidRPr="00526311" w:rsidRDefault="00794E04" w:rsidP="0063039A">
      <w:pPr>
        <w:tabs>
          <w:tab w:val="left" w:pos="709"/>
        </w:tabs>
        <w:jc w:val="both"/>
        <w:rPr>
          <w:bCs/>
        </w:rPr>
      </w:pPr>
    </w:p>
    <w:p w:rsidR="00794E04" w:rsidRPr="00526311" w:rsidRDefault="00794E04" w:rsidP="00794E04">
      <w:pPr>
        <w:pStyle w:val="ListParagraph"/>
        <w:numPr>
          <w:ilvl w:val="0"/>
          <w:numId w:val="94"/>
        </w:numPr>
        <w:tabs>
          <w:tab w:val="left" w:pos="709"/>
        </w:tabs>
        <w:ind w:left="0" w:firstLine="0"/>
        <w:jc w:val="both"/>
        <w:rPr>
          <w:lang w:val="es-ES"/>
        </w:rPr>
      </w:pPr>
      <w:r w:rsidRPr="00526311">
        <w:rPr>
          <w:lang w:val="es-ES"/>
        </w:rPr>
        <w:t>Tras varios años de acusado crecimiento, en 2014 se estabilizó el número de reuniones organizadas en Ginebra, que alcanzó su punto álgido en 2013 como consecuencia</w:t>
      </w:r>
      <w:r w:rsidR="00E827F2" w:rsidRPr="00526311">
        <w:rPr>
          <w:lang w:val="es-ES"/>
        </w:rPr>
        <w:t>, principalmente,</w:t>
      </w:r>
      <w:r w:rsidRPr="00526311">
        <w:rPr>
          <w:lang w:val="es-ES"/>
        </w:rPr>
        <w:t xml:space="preserve"> de la conferencia diplomática y el período extraordinario de sesiones de las Asambleas.  </w:t>
      </w:r>
      <w:r w:rsidR="00E827F2" w:rsidRPr="00526311">
        <w:rPr>
          <w:lang w:val="es-ES"/>
        </w:rPr>
        <w:t>Se registró una leve baja en el</w:t>
      </w:r>
      <w:r w:rsidRPr="00526311">
        <w:rPr>
          <w:lang w:val="es-ES"/>
        </w:rPr>
        <w:t xml:space="preserve"> número de conferencias intergubernamentales celebradas en Ginebra</w:t>
      </w:r>
      <w:r w:rsidR="00E827F2" w:rsidRPr="00526311">
        <w:rPr>
          <w:lang w:val="es-ES"/>
        </w:rPr>
        <w:t>, que fue de</w:t>
      </w:r>
      <w:r w:rsidRPr="00526311">
        <w:rPr>
          <w:lang w:val="es-ES"/>
        </w:rPr>
        <w:t xml:space="preserve"> 101</w:t>
      </w:r>
      <w:r w:rsidR="00E827F2" w:rsidRPr="00526311">
        <w:rPr>
          <w:lang w:val="es-ES"/>
        </w:rPr>
        <w:t xml:space="preserve"> en 2014 cuando en 2013 había sido de</w:t>
      </w:r>
      <w:r w:rsidRPr="00526311">
        <w:rPr>
          <w:lang w:val="es-ES"/>
        </w:rPr>
        <w:t xml:space="preserve"> 108</w:t>
      </w:r>
      <w:r w:rsidR="00E827F2" w:rsidRPr="00526311">
        <w:rPr>
          <w:lang w:val="es-ES"/>
        </w:rPr>
        <w:t>, así como en el</w:t>
      </w:r>
      <w:r w:rsidRPr="00526311">
        <w:rPr>
          <w:lang w:val="es-ES"/>
        </w:rPr>
        <w:t xml:space="preserve"> número de reuniones </w:t>
      </w:r>
      <w:r w:rsidRPr="00526311">
        <w:rPr>
          <w:i/>
          <w:lang w:val="es-ES"/>
        </w:rPr>
        <w:t>ad hoc</w:t>
      </w:r>
      <w:r w:rsidRPr="00526311">
        <w:rPr>
          <w:lang w:val="es-ES"/>
        </w:rPr>
        <w:t xml:space="preserve"> atendidas (visitas de estudio, consultas, grupos, reuniones bilaterales, presentación de ponencias, actos paralelos, visitas oficiales y reuniones internas)</w:t>
      </w:r>
      <w:r w:rsidR="00E827F2" w:rsidRPr="00526311">
        <w:rPr>
          <w:lang w:val="es-ES"/>
        </w:rPr>
        <w:t xml:space="preserve"> que fue de 5.400 cuando en 2013 había sido de</w:t>
      </w:r>
      <w:r w:rsidRPr="00526311">
        <w:rPr>
          <w:lang w:val="es-ES"/>
        </w:rPr>
        <w:t xml:space="preserve"> 5.600.  Además, se prestó servicio a un total de 81 reuniones, en comparación con las 80 de 2013, fuera del horario normal, es decir, después de las 18.30 horas o en fines de semana.</w:t>
      </w:r>
    </w:p>
    <w:p w:rsidR="00794E04" w:rsidRPr="00526311" w:rsidRDefault="00794E04" w:rsidP="0063039A"/>
    <w:p w:rsidR="00794E04" w:rsidRPr="00526311" w:rsidRDefault="00794E04" w:rsidP="00794E04">
      <w:pPr>
        <w:pStyle w:val="ListParagraph"/>
        <w:numPr>
          <w:ilvl w:val="0"/>
          <w:numId w:val="94"/>
        </w:numPr>
        <w:tabs>
          <w:tab w:val="left" w:pos="709"/>
        </w:tabs>
        <w:ind w:left="0" w:firstLine="0"/>
        <w:jc w:val="both"/>
        <w:rPr>
          <w:rFonts w:cs="Arial"/>
          <w:lang w:val="es-ES"/>
        </w:rPr>
      </w:pPr>
      <w:r w:rsidRPr="00526311">
        <w:rPr>
          <w:rFonts w:cs="Arial"/>
          <w:lang w:val="es-ES"/>
        </w:rPr>
        <w:lastRenderedPageBreak/>
        <w:t>A fin de mejorar los servicios que se prestan a los participantes en las conferencias, se distribuyó sistemáticamente un cuestionario electrónico entre los participantes en las reuniones principales.  Asimismo, se establecieron mecanismos de supervisión de los comentarios recibidos, análisis de los resultados y aplicación de medidas correctivas.</w:t>
      </w:r>
    </w:p>
    <w:p w:rsidR="00794E04" w:rsidRPr="00526311" w:rsidRDefault="00794E04" w:rsidP="0063039A">
      <w:pPr>
        <w:tabs>
          <w:tab w:val="left" w:pos="709"/>
        </w:tabs>
        <w:jc w:val="both"/>
      </w:pPr>
    </w:p>
    <w:p w:rsidR="00794E04" w:rsidRPr="00526311" w:rsidRDefault="00794E04" w:rsidP="00794E04">
      <w:pPr>
        <w:pStyle w:val="ListParagraph"/>
        <w:numPr>
          <w:ilvl w:val="0"/>
          <w:numId w:val="94"/>
        </w:numPr>
        <w:tabs>
          <w:tab w:val="left" w:pos="709"/>
        </w:tabs>
        <w:ind w:left="0" w:firstLine="0"/>
        <w:jc w:val="both"/>
        <w:rPr>
          <w:rFonts w:cs="Arial"/>
          <w:lang w:val="es-ES"/>
        </w:rPr>
      </w:pPr>
      <w:r w:rsidRPr="00526311">
        <w:rPr>
          <w:rFonts w:cs="Arial"/>
          <w:lang w:val="es-ES"/>
        </w:rPr>
        <w:t>En lo que atañe a la disponibilidad puntual de los documentos de reuniones, en 2014 se desarrolló un sistema de seguimiento y a lo largo del año se recabaron los datos pertinentes.  Los resultados de esta iniciativa, que se llevó a cabo por primera vez, han dado lugar a que se examine la posibilidad de adoptar medidas correctivas en colaboración con las secretarías de las reuniones.</w:t>
      </w:r>
    </w:p>
    <w:p w:rsidR="00794E04" w:rsidRPr="00526311" w:rsidRDefault="00794E04" w:rsidP="0063039A"/>
    <w:p w:rsidR="00794E04" w:rsidRPr="00526311" w:rsidRDefault="00794E04" w:rsidP="00794E04">
      <w:pPr>
        <w:pStyle w:val="Default"/>
        <w:numPr>
          <w:ilvl w:val="0"/>
          <w:numId w:val="94"/>
        </w:numPr>
        <w:tabs>
          <w:tab w:val="left" w:pos="709"/>
        </w:tabs>
        <w:ind w:left="0" w:firstLine="0"/>
        <w:jc w:val="both"/>
        <w:rPr>
          <w:sz w:val="20"/>
          <w:szCs w:val="20"/>
          <w:lang w:val="es-ES"/>
        </w:rPr>
      </w:pPr>
      <w:r w:rsidRPr="00526311">
        <w:rPr>
          <w:sz w:val="20"/>
          <w:szCs w:val="20"/>
          <w:lang w:val="es-ES"/>
        </w:rPr>
        <w:t xml:space="preserve">Cabe señalar especialmente la transición sin dificultades a las nuevas instalaciones de conferencias e infraestructuras relacionadas con la inscripción, inauguradas en el último trimestre del año.  Se introdujo un sistema de pases para los participantes en las conferencias, dotado de medidas de seguridad reforzadas, junto con la inauguración del Centro de acceso y el traslado de las actividades de inscripción en las conferencias a esas nuevas instalaciones.  </w:t>
      </w:r>
    </w:p>
    <w:p w:rsidR="00794E04" w:rsidRPr="00526311" w:rsidRDefault="00794E04" w:rsidP="0063039A">
      <w:pPr>
        <w:tabs>
          <w:tab w:val="left" w:pos="709"/>
        </w:tabs>
        <w:jc w:val="both"/>
      </w:pPr>
    </w:p>
    <w:p w:rsidR="00794E04" w:rsidRPr="00526311" w:rsidRDefault="00794E04" w:rsidP="00794E04">
      <w:pPr>
        <w:pStyle w:val="Default"/>
        <w:numPr>
          <w:ilvl w:val="0"/>
          <w:numId w:val="94"/>
        </w:numPr>
        <w:tabs>
          <w:tab w:val="left" w:pos="709"/>
        </w:tabs>
        <w:ind w:left="0" w:firstLine="0"/>
        <w:jc w:val="both"/>
        <w:rPr>
          <w:sz w:val="20"/>
          <w:szCs w:val="20"/>
          <w:lang w:val="es-ES"/>
        </w:rPr>
      </w:pPr>
      <w:r w:rsidRPr="00526311">
        <w:rPr>
          <w:sz w:val="20"/>
          <w:szCs w:val="20"/>
          <w:lang w:val="es-ES"/>
        </w:rPr>
        <w:t>A lo largo del año, la OMPI siguió proporcionando servicios de impresión de manera eficaz y puntual.  La renegociación de los servicios de arrendamiento dio lugar a que disminuyeran en un 26% los costos de impresión por página, que pasaron de 0,19 francos suizos e</w:t>
      </w:r>
      <w:r w:rsidR="008902F3">
        <w:rPr>
          <w:sz w:val="20"/>
          <w:szCs w:val="20"/>
          <w:lang w:val="es-ES"/>
        </w:rPr>
        <w:t>n 2013 a 0,14 francos suizos en </w:t>
      </w:r>
      <w:r w:rsidRPr="00526311">
        <w:rPr>
          <w:sz w:val="20"/>
          <w:szCs w:val="20"/>
          <w:lang w:val="es-ES"/>
        </w:rPr>
        <w:t>2014.  Con el fin de reducir la huella de carbono de las reuniones de la OMPI, se interrumpió la práctica de enviar por correo copias impresas de los programas de las reuniones, y se siguieron reduciendo las tiradas de los documentos distribuidos en el mostrador de documentos.</w:t>
      </w:r>
    </w:p>
    <w:p w:rsidR="00794E04" w:rsidRPr="00526311" w:rsidRDefault="00794E04" w:rsidP="0063039A"/>
    <w:p w:rsidR="00794E04" w:rsidRPr="00526311" w:rsidRDefault="00794E04" w:rsidP="00794E04">
      <w:pPr>
        <w:pStyle w:val="ListParagraph"/>
        <w:numPr>
          <w:ilvl w:val="0"/>
          <w:numId w:val="94"/>
        </w:numPr>
        <w:tabs>
          <w:tab w:val="left" w:pos="709"/>
        </w:tabs>
        <w:ind w:left="0" w:firstLine="0"/>
        <w:jc w:val="both"/>
        <w:rPr>
          <w:lang w:val="es-ES"/>
        </w:rPr>
      </w:pPr>
      <w:r w:rsidRPr="00526311">
        <w:rPr>
          <w:lang w:val="es-ES"/>
        </w:rPr>
        <w:t>Tras la adopción de la Política de gestión de los expedientes y archivos en el bienio 2012/13, se inició la labor encaminada a establecer los calendarios de conservación de los documentos.</w:t>
      </w:r>
    </w:p>
    <w:p w:rsidR="00794E04" w:rsidRPr="00526311" w:rsidRDefault="00794E04" w:rsidP="0063039A">
      <w:pPr>
        <w:pStyle w:val="ListParagraph"/>
        <w:tabs>
          <w:tab w:val="left" w:pos="709"/>
        </w:tabs>
        <w:ind w:left="0"/>
        <w:jc w:val="both"/>
        <w:rPr>
          <w:lang w:val="es-ES"/>
        </w:rPr>
      </w:pPr>
    </w:p>
    <w:p w:rsidR="00794E04" w:rsidRPr="00526311" w:rsidRDefault="00794E04" w:rsidP="00794E04">
      <w:pPr>
        <w:pStyle w:val="ListParagraph"/>
        <w:numPr>
          <w:ilvl w:val="0"/>
          <w:numId w:val="94"/>
        </w:numPr>
        <w:tabs>
          <w:tab w:val="left" w:pos="709"/>
        </w:tabs>
        <w:ind w:left="0" w:firstLine="0"/>
        <w:jc w:val="both"/>
        <w:rPr>
          <w:rFonts w:cs="Arial"/>
          <w:lang w:val="es-ES"/>
        </w:rPr>
      </w:pPr>
      <w:r w:rsidRPr="00526311">
        <w:rPr>
          <w:rFonts w:cs="Arial"/>
          <w:lang w:val="es-ES"/>
        </w:rPr>
        <w:t>En concordancia con el empeño constante que tiene la OMPI por reducir costos, se siguió negociando las tarifas con los proveedores externos de servicios de correo, lo que dio lugar a otra reducción del 4% en 2014.</w:t>
      </w:r>
    </w:p>
    <w:p w:rsidR="00794E04" w:rsidRPr="00526311" w:rsidRDefault="00794E04" w:rsidP="0063039A">
      <w:pPr>
        <w:keepNext/>
        <w:jc w:val="both"/>
      </w:pPr>
    </w:p>
    <w:p w:rsidR="00794E04" w:rsidRPr="00526311" w:rsidRDefault="00794E04" w:rsidP="0063039A">
      <w:pPr>
        <w:jc w:val="both"/>
      </w:pPr>
    </w:p>
    <w:p w:rsidR="00794E04" w:rsidRPr="00526311" w:rsidRDefault="00794E04" w:rsidP="0063039A">
      <w:pPr>
        <w:rPr>
          <w:szCs w:val="22"/>
        </w:rPr>
      </w:pPr>
      <w:r w:rsidRPr="00526311">
        <w:rPr>
          <w:szCs w:val="22"/>
        </w:rPr>
        <w:t>DATOS SOBRE EL RENDIMIENTO</w:t>
      </w:r>
    </w:p>
    <w:p w:rsidR="00794E04" w:rsidRPr="00526311" w:rsidRDefault="00794E04" w:rsidP="0063039A">
      <w:pPr>
        <w:jc w:val="both"/>
        <w:rPr>
          <w:sz w:val="24"/>
        </w:rPr>
      </w:pPr>
    </w:p>
    <w:tbl>
      <w:tblPr>
        <w:tblW w:w="489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9"/>
        <w:gridCol w:w="2127"/>
        <w:gridCol w:w="1559"/>
        <w:gridCol w:w="2407"/>
        <w:gridCol w:w="288"/>
        <w:gridCol w:w="850"/>
      </w:tblGrid>
      <w:tr w:rsidR="00794E04" w:rsidRPr="00526311" w:rsidTr="0063039A">
        <w:trPr>
          <w:cantSplit/>
        </w:trPr>
        <w:tc>
          <w:tcPr>
            <w:tcW w:w="5000" w:type="pct"/>
            <w:gridSpan w:val="6"/>
            <w:tcBorders>
              <w:top w:val="single" w:sz="4" w:space="0" w:color="auto"/>
              <w:bottom w:val="single" w:sz="4" w:space="0" w:color="auto"/>
            </w:tcBorders>
            <w:shd w:val="clear" w:color="auto" w:fill="CCFFFF"/>
            <w:vAlign w:val="center"/>
          </w:tcPr>
          <w:p w:rsidR="00794E04" w:rsidRPr="00526311" w:rsidRDefault="00794E04" w:rsidP="0063039A">
            <w:pPr>
              <w:tabs>
                <w:tab w:val="left" w:pos="1452"/>
              </w:tabs>
              <w:spacing w:before="120" w:after="120"/>
              <w:ind w:left="1701" w:hanging="1701"/>
              <w:rPr>
                <w:b/>
                <w:bCs/>
                <w:sz w:val="16"/>
                <w:szCs w:val="16"/>
              </w:rPr>
            </w:pPr>
            <w:r w:rsidRPr="00526311">
              <w:rPr>
                <w:b/>
                <w:bCs/>
                <w:sz w:val="16"/>
                <w:szCs w:val="16"/>
              </w:rPr>
              <w:t>Resultado previsto:</w:t>
            </w:r>
            <w:r w:rsidRPr="00526311">
              <w:rPr>
                <w:b/>
                <w:bCs/>
                <w:sz w:val="16"/>
                <w:szCs w:val="16"/>
              </w:rPr>
              <w:tab/>
            </w:r>
            <w:r w:rsidRPr="00526311">
              <w:rPr>
                <w:bCs/>
                <w:sz w:val="16"/>
                <w:szCs w:val="16"/>
              </w:rPr>
              <w:t>IX.1 Servicios de apoyo eficaces, eficientes, de calidad y orientados al cliente, tanto a los clientes internos como a las partes interesadas externas</w:t>
            </w:r>
          </w:p>
        </w:tc>
      </w:tr>
      <w:tr w:rsidR="00794E04" w:rsidRPr="00526311" w:rsidTr="0063039A">
        <w:trPr>
          <w:cantSplit/>
        </w:trPr>
        <w:tc>
          <w:tcPr>
            <w:tcW w:w="1137" w:type="pct"/>
            <w:tcBorders>
              <w:top w:val="single" w:sz="4" w:space="0" w:color="auto"/>
              <w:bottom w:val="nil"/>
              <w:right w:val="nil"/>
            </w:tcBorders>
            <w:shd w:val="clear" w:color="auto" w:fill="auto"/>
            <w:vAlign w:val="center"/>
          </w:tcPr>
          <w:p w:rsidR="00794E04" w:rsidRPr="00526311" w:rsidRDefault="00794E04" w:rsidP="0063039A">
            <w:pPr>
              <w:rPr>
                <w:sz w:val="16"/>
                <w:szCs w:val="16"/>
              </w:rPr>
            </w:pPr>
            <w:r w:rsidRPr="00526311">
              <w:rPr>
                <w:b/>
                <w:sz w:val="16"/>
                <w:szCs w:val="16"/>
              </w:rPr>
              <w:t>Indicadores de rendimiento</w:t>
            </w:r>
          </w:p>
        </w:tc>
        <w:tc>
          <w:tcPr>
            <w:tcW w:w="1136" w:type="pct"/>
            <w:tcBorders>
              <w:top w:val="single" w:sz="4" w:space="0" w:color="auto"/>
              <w:left w:val="nil"/>
              <w:bottom w:val="nil"/>
              <w:right w:val="nil"/>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833" w:type="pct"/>
            <w:tcBorders>
              <w:top w:val="single" w:sz="4" w:space="0" w:color="auto"/>
              <w:left w:val="nil"/>
              <w:bottom w:val="nil"/>
              <w:right w:val="nil"/>
            </w:tcBorders>
            <w:shd w:val="clear" w:color="auto" w:fill="auto"/>
            <w:tcMar>
              <w:top w:w="110" w:type="dxa"/>
            </w:tcMar>
            <w:vAlign w:val="center"/>
          </w:tcPr>
          <w:p w:rsidR="00794E04" w:rsidRPr="00526311" w:rsidRDefault="00794E04" w:rsidP="0063039A">
            <w:pPr>
              <w:rPr>
                <w:b/>
                <w:sz w:val="16"/>
                <w:szCs w:val="16"/>
              </w:rPr>
            </w:pPr>
            <w:r w:rsidRPr="00526311">
              <w:rPr>
                <w:b/>
                <w:sz w:val="16"/>
                <w:szCs w:val="16"/>
              </w:rPr>
              <w:t>Objetivos</w:t>
            </w:r>
          </w:p>
        </w:tc>
        <w:tc>
          <w:tcPr>
            <w:tcW w:w="1286" w:type="pct"/>
            <w:tcBorders>
              <w:top w:val="single" w:sz="4" w:space="0" w:color="auto"/>
              <w:left w:val="nil"/>
              <w:bottom w:val="nil"/>
              <w:right w:val="nil"/>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08" w:type="pct"/>
            <w:gridSpan w:val="2"/>
            <w:tcBorders>
              <w:top w:val="single" w:sz="4" w:space="0" w:color="auto"/>
              <w:left w:val="nil"/>
              <w:bottom w:val="nil"/>
            </w:tcBorders>
            <w:shd w:val="clear" w:color="auto" w:fill="auto"/>
            <w:tcMar>
              <w:top w:w="110" w:type="dxa"/>
            </w:tcMar>
            <w:vAlign w:val="center"/>
          </w:tcPr>
          <w:p w:rsidR="00794E04" w:rsidRPr="00526311" w:rsidRDefault="00794E04" w:rsidP="0063039A">
            <w:pPr>
              <w:jc w:val="center"/>
              <w:rPr>
                <w:b/>
                <w:bCs/>
                <w:sz w:val="16"/>
                <w:szCs w:val="16"/>
              </w:rPr>
            </w:pPr>
            <w:r w:rsidRPr="00526311">
              <w:rPr>
                <w:b/>
                <w:bCs/>
                <w:sz w:val="16"/>
                <w:szCs w:val="16"/>
              </w:rPr>
              <w:t>Clave de colores</w:t>
            </w:r>
          </w:p>
        </w:tc>
      </w:tr>
      <w:tr w:rsidR="00794E04" w:rsidRPr="00526311" w:rsidTr="0063039A">
        <w:trPr>
          <w:cantSplit/>
        </w:trPr>
        <w:tc>
          <w:tcPr>
            <w:tcW w:w="1137" w:type="pct"/>
            <w:tcBorders>
              <w:top w:val="nil"/>
            </w:tcBorders>
            <w:shd w:val="clear" w:color="auto" w:fill="auto"/>
          </w:tcPr>
          <w:p w:rsidR="00794E04" w:rsidRPr="00526311" w:rsidRDefault="00794E04" w:rsidP="0063039A">
            <w:pPr>
              <w:ind w:leftChars="-1" w:left="1" w:hangingChars="2" w:hanging="3"/>
              <w:rPr>
                <w:sz w:val="16"/>
                <w:szCs w:val="16"/>
              </w:rPr>
            </w:pPr>
            <w:r w:rsidRPr="00526311">
              <w:rPr>
                <w:sz w:val="16"/>
                <w:szCs w:val="16"/>
              </w:rPr>
              <w:t>Porcentaje de usuarios internos y externos satisfechos de los Servicios de Conferencias de la OMPI</w:t>
            </w:r>
          </w:p>
        </w:tc>
        <w:tc>
          <w:tcPr>
            <w:tcW w:w="1136" w:type="pct"/>
            <w:tcBorders>
              <w:top w:val="nil"/>
            </w:tcBorders>
            <w:shd w:val="clear" w:color="auto" w:fill="auto"/>
          </w:tcPr>
          <w:p w:rsidR="00794E04" w:rsidRPr="00526311" w:rsidRDefault="00794E04" w:rsidP="0063039A">
            <w:pPr>
              <w:rPr>
                <w:rFonts w:eastAsia="Batang"/>
                <w:sz w:val="16"/>
                <w:szCs w:val="16"/>
                <w:lang w:eastAsia="ja-JP"/>
              </w:rPr>
            </w:pPr>
            <w:r w:rsidRPr="00526311">
              <w:rPr>
                <w:i/>
                <w:color w:val="002060"/>
                <w:sz w:val="16"/>
                <w:szCs w:val="16"/>
              </w:rPr>
              <w:t>Referencia actualizada a fines de 2013:</w:t>
            </w:r>
            <w:r w:rsidRPr="00526311">
              <w:rPr>
                <w:i/>
                <w:sz w:val="16"/>
                <w:szCs w:val="16"/>
              </w:rPr>
              <w:t xml:space="preserve">  </w:t>
            </w:r>
            <w:r w:rsidRPr="00526311">
              <w:rPr>
                <w:rFonts w:eastAsia="Batang"/>
                <w:sz w:val="16"/>
                <w:szCs w:val="16"/>
                <w:lang w:eastAsia="ja-JP"/>
              </w:rPr>
              <w:t>Los resultados de las encuestas de satisfacción realizadas en 2013 indican que el 98% de los usuarios consideró que la calidad general de los servicios de conferencias de la OMPI es excelente (64%) o buena (34%).</w:t>
            </w:r>
          </w:p>
          <w:p w:rsidR="00794E04" w:rsidRPr="00526311" w:rsidRDefault="00794E04" w:rsidP="0063039A">
            <w:pPr>
              <w:rPr>
                <w:rFonts w:eastAsia="Batang"/>
                <w:sz w:val="16"/>
                <w:szCs w:val="16"/>
                <w:lang w:eastAsia="ja-JP"/>
              </w:rPr>
            </w:pPr>
          </w:p>
          <w:p w:rsidR="00794E04" w:rsidRPr="00526311" w:rsidRDefault="007B705E" w:rsidP="00E827F2">
            <w:pPr>
              <w:rPr>
                <w:sz w:val="16"/>
                <w:szCs w:val="16"/>
              </w:rPr>
            </w:pPr>
            <w:r w:rsidRPr="00526311">
              <w:rPr>
                <w:i/>
                <w:sz w:val="16"/>
                <w:szCs w:val="16"/>
              </w:rPr>
              <w:t>Referencia original en el presupuesto de 2014/15</w:t>
            </w:r>
            <w:r w:rsidR="00794E04" w:rsidRPr="00526311">
              <w:rPr>
                <w:i/>
                <w:sz w:val="16"/>
                <w:szCs w:val="16"/>
              </w:rPr>
              <w:t>:</w:t>
            </w:r>
            <w:r w:rsidR="00794E04" w:rsidRPr="00526311">
              <w:rPr>
                <w:sz w:val="16"/>
                <w:szCs w:val="16"/>
              </w:rPr>
              <w:t xml:space="preserve"> Porcentaje a fines de 2013</w:t>
            </w:r>
            <w:r w:rsidR="00E827F2" w:rsidRPr="00526311">
              <w:rPr>
                <w:sz w:val="16"/>
                <w:szCs w:val="16"/>
              </w:rPr>
              <w:br/>
            </w:r>
          </w:p>
        </w:tc>
        <w:tc>
          <w:tcPr>
            <w:tcW w:w="833" w:type="pct"/>
            <w:tcBorders>
              <w:top w:val="nil"/>
            </w:tcBorders>
            <w:shd w:val="clear" w:color="auto" w:fill="auto"/>
            <w:tcMar>
              <w:top w:w="110" w:type="dxa"/>
            </w:tcMar>
          </w:tcPr>
          <w:p w:rsidR="00794E04" w:rsidRPr="00526311" w:rsidRDefault="00794E04" w:rsidP="0063039A">
            <w:pPr>
              <w:rPr>
                <w:sz w:val="16"/>
                <w:szCs w:val="16"/>
              </w:rPr>
            </w:pPr>
            <w:r w:rsidRPr="00526311">
              <w:rPr>
                <w:sz w:val="16"/>
                <w:szCs w:val="16"/>
              </w:rPr>
              <w:t>Aumento del 10% antes de 2015</w:t>
            </w:r>
          </w:p>
        </w:tc>
        <w:tc>
          <w:tcPr>
            <w:tcW w:w="1286" w:type="pct"/>
            <w:tcBorders>
              <w:top w:val="nil"/>
            </w:tcBorders>
            <w:shd w:val="clear" w:color="auto" w:fill="FFFFFF"/>
            <w:tcMar>
              <w:top w:w="110" w:type="dxa"/>
            </w:tcMar>
          </w:tcPr>
          <w:p w:rsidR="00794E04" w:rsidRPr="00526311" w:rsidRDefault="00794E04" w:rsidP="0063039A">
            <w:pPr>
              <w:rPr>
                <w:sz w:val="16"/>
                <w:szCs w:val="16"/>
              </w:rPr>
            </w:pPr>
            <w:r w:rsidRPr="00526311">
              <w:rPr>
                <w:sz w:val="16"/>
                <w:szCs w:val="16"/>
              </w:rPr>
              <w:t>Los resultados de las encuestas de satisfacción realizadas en 2014 indican que el 97% de los usuarios consideró que la calidad general de los servicios de conferencias de la OMPI es excelente (48%) o buena (49%)</w:t>
            </w:r>
          </w:p>
        </w:tc>
        <w:tc>
          <w:tcPr>
            <w:tcW w:w="608" w:type="pct"/>
            <w:gridSpan w:val="2"/>
            <w:tcBorders>
              <w:top w:val="nil"/>
            </w:tcBorders>
            <w:shd w:val="clear" w:color="auto" w:fill="auto"/>
            <w:tcMar>
              <w:top w:w="110" w:type="dxa"/>
            </w:tcMar>
          </w:tcPr>
          <w:p w:rsidR="00794E04" w:rsidRPr="00526311" w:rsidRDefault="00794E04" w:rsidP="0063039A">
            <w:pPr>
              <w:ind w:left="-108"/>
              <w:jc w:val="center"/>
              <w:rPr>
                <w:b/>
                <w:bCs/>
                <w:sz w:val="16"/>
                <w:szCs w:val="16"/>
              </w:rPr>
            </w:pPr>
            <w:r w:rsidRPr="00526311">
              <w:rPr>
                <w:b/>
                <w:color w:val="00B050"/>
                <w:sz w:val="16"/>
                <w:szCs w:val="16"/>
              </w:rPr>
              <w:t>Avanza</w:t>
            </w:r>
          </w:p>
        </w:tc>
      </w:tr>
      <w:tr w:rsidR="00794E04" w:rsidRPr="00526311" w:rsidTr="0063039A">
        <w:trPr>
          <w:cantSplit/>
        </w:trPr>
        <w:tc>
          <w:tcPr>
            <w:tcW w:w="1137" w:type="pct"/>
            <w:shd w:val="clear" w:color="auto" w:fill="auto"/>
            <w:vAlign w:val="center"/>
          </w:tcPr>
          <w:p w:rsidR="00794E04" w:rsidRPr="00526311" w:rsidRDefault="00794E04" w:rsidP="0063039A">
            <w:pPr>
              <w:keepNext/>
              <w:keepLines/>
              <w:rPr>
                <w:sz w:val="16"/>
                <w:szCs w:val="16"/>
              </w:rPr>
            </w:pPr>
            <w:r w:rsidRPr="00526311">
              <w:rPr>
                <w:b/>
                <w:sz w:val="16"/>
                <w:szCs w:val="16"/>
              </w:rPr>
              <w:lastRenderedPageBreak/>
              <w:t>Indicadores de rendimiento</w:t>
            </w:r>
          </w:p>
        </w:tc>
        <w:tc>
          <w:tcPr>
            <w:tcW w:w="1136" w:type="pct"/>
            <w:shd w:val="clear" w:color="auto" w:fill="auto"/>
            <w:vAlign w:val="center"/>
          </w:tcPr>
          <w:p w:rsidR="00794E04" w:rsidRPr="00526311" w:rsidRDefault="00794E04" w:rsidP="0063039A">
            <w:pPr>
              <w:keepNext/>
              <w:keepLines/>
              <w:autoSpaceDE w:val="0"/>
              <w:autoSpaceDN w:val="0"/>
              <w:adjustRightInd w:val="0"/>
              <w:rPr>
                <w:rFonts w:eastAsia="Batang"/>
                <w:sz w:val="16"/>
                <w:szCs w:val="16"/>
                <w:lang w:eastAsia="ja-JP"/>
              </w:rPr>
            </w:pPr>
            <w:r w:rsidRPr="00526311">
              <w:rPr>
                <w:rFonts w:eastAsia="Batang"/>
                <w:b/>
                <w:sz w:val="16"/>
                <w:szCs w:val="16"/>
                <w:lang w:eastAsia="ja-JP"/>
              </w:rPr>
              <w:t>Referencia</w:t>
            </w:r>
          </w:p>
        </w:tc>
        <w:tc>
          <w:tcPr>
            <w:tcW w:w="833" w:type="pct"/>
            <w:shd w:val="clear" w:color="auto" w:fill="auto"/>
            <w:tcMar>
              <w:top w:w="110" w:type="dxa"/>
            </w:tcMar>
            <w:vAlign w:val="center"/>
          </w:tcPr>
          <w:p w:rsidR="00794E04" w:rsidRPr="00526311" w:rsidRDefault="00794E04" w:rsidP="0063039A">
            <w:pPr>
              <w:keepNext/>
              <w:keepLines/>
              <w:autoSpaceDE w:val="0"/>
              <w:autoSpaceDN w:val="0"/>
              <w:adjustRightInd w:val="0"/>
              <w:rPr>
                <w:rFonts w:eastAsia="Batang"/>
                <w:sz w:val="16"/>
                <w:szCs w:val="16"/>
                <w:lang w:eastAsia="ja-JP"/>
              </w:rPr>
            </w:pPr>
            <w:r w:rsidRPr="00526311">
              <w:rPr>
                <w:rFonts w:eastAsia="Batang"/>
                <w:b/>
                <w:sz w:val="16"/>
                <w:szCs w:val="16"/>
                <w:lang w:eastAsia="ja-JP"/>
              </w:rPr>
              <w:t>Objetivos</w:t>
            </w:r>
          </w:p>
        </w:tc>
        <w:tc>
          <w:tcPr>
            <w:tcW w:w="1440" w:type="pct"/>
            <w:gridSpan w:val="2"/>
            <w:shd w:val="clear" w:color="auto" w:fill="FFFFFF"/>
            <w:tcMar>
              <w:top w:w="110" w:type="dxa"/>
            </w:tcMar>
            <w:vAlign w:val="center"/>
          </w:tcPr>
          <w:p w:rsidR="00794E04" w:rsidRPr="00526311" w:rsidRDefault="00794E04" w:rsidP="0063039A">
            <w:pPr>
              <w:keepNext/>
              <w:keepLines/>
              <w:rPr>
                <w:sz w:val="16"/>
                <w:szCs w:val="16"/>
              </w:rPr>
            </w:pPr>
            <w:r w:rsidRPr="00526311">
              <w:rPr>
                <w:b/>
                <w:sz w:val="16"/>
                <w:szCs w:val="16"/>
              </w:rPr>
              <w:t>Datos sobre el rendimiento</w:t>
            </w:r>
          </w:p>
        </w:tc>
        <w:tc>
          <w:tcPr>
            <w:tcW w:w="454" w:type="pct"/>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rPr>
          <w:cantSplit/>
        </w:trPr>
        <w:tc>
          <w:tcPr>
            <w:tcW w:w="1137" w:type="pct"/>
            <w:shd w:val="clear" w:color="auto" w:fill="auto"/>
          </w:tcPr>
          <w:p w:rsidR="00794E04" w:rsidRPr="00526311" w:rsidRDefault="00794E04" w:rsidP="0063039A">
            <w:pPr>
              <w:keepNext/>
              <w:keepLines/>
              <w:rPr>
                <w:sz w:val="16"/>
                <w:szCs w:val="16"/>
              </w:rPr>
            </w:pPr>
            <w:r w:rsidRPr="00526311">
              <w:rPr>
                <w:sz w:val="16"/>
                <w:szCs w:val="16"/>
              </w:rPr>
              <w:t>Aplicación eficaz de la Política lingüística de la OMPI</w:t>
            </w:r>
          </w:p>
        </w:tc>
        <w:tc>
          <w:tcPr>
            <w:tcW w:w="1136" w:type="pct"/>
            <w:shd w:val="clear" w:color="auto" w:fill="auto"/>
          </w:tcPr>
          <w:p w:rsidR="00794E04" w:rsidRPr="00526311" w:rsidRDefault="00794E04" w:rsidP="0063039A">
            <w:pPr>
              <w:keepNext/>
              <w:keepLines/>
              <w:rPr>
                <w:i/>
                <w:color w:val="002060"/>
                <w:sz w:val="16"/>
                <w:szCs w:val="16"/>
              </w:rPr>
            </w:pPr>
            <w:r w:rsidRPr="00526311">
              <w:rPr>
                <w:i/>
                <w:color w:val="002060"/>
                <w:sz w:val="16"/>
                <w:szCs w:val="16"/>
              </w:rPr>
              <w:t xml:space="preserve">Referencia actualizada a fines de 2013: </w:t>
            </w:r>
          </w:p>
          <w:p w:rsidR="00794E04" w:rsidRPr="00526311" w:rsidRDefault="00794E04" w:rsidP="0063039A">
            <w:pPr>
              <w:keepNext/>
              <w:keepLines/>
              <w:rPr>
                <w:i/>
                <w:sz w:val="16"/>
                <w:szCs w:val="16"/>
              </w:rPr>
            </w:pPr>
            <w:r w:rsidRPr="00526311">
              <w:rPr>
                <w:sz w:val="16"/>
                <w:szCs w:val="16"/>
              </w:rPr>
              <w:t>La Política lingüística se amplió a todos los comités permanentes y órganos principales de la OMPI</w:t>
            </w:r>
          </w:p>
          <w:p w:rsidR="00794E04" w:rsidRPr="00526311" w:rsidRDefault="00794E04" w:rsidP="0063039A">
            <w:pPr>
              <w:keepNext/>
              <w:keepLines/>
              <w:rPr>
                <w:i/>
                <w:sz w:val="16"/>
                <w:szCs w:val="16"/>
              </w:rPr>
            </w:pPr>
          </w:p>
          <w:p w:rsidR="00794E04" w:rsidRPr="00526311" w:rsidRDefault="00542D75" w:rsidP="0063039A">
            <w:pPr>
              <w:keepNext/>
              <w:keepLines/>
              <w:autoSpaceDE w:val="0"/>
              <w:autoSpaceDN w:val="0"/>
              <w:adjustRightInd w:val="0"/>
              <w:rPr>
                <w:sz w:val="16"/>
                <w:szCs w:val="16"/>
              </w:rPr>
            </w:pPr>
            <w:r w:rsidRPr="00526311">
              <w:rPr>
                <w:i/>
                <w:sz w:val="16"/>
                <w:szCs w:val="16"/>
              </w:rPr>
              <w:t>Referencia original en el presupuesto de 2014/15</w:t>
            </w:r>
            <w:r w:rsidR="00794E04" w:rsidRPr="00526311">
              <w:rPr>
                <w:i/>
                <w:sz w:val="16"/>
                <w:szCs w:val="16"/>
              </w:rPr>
              <w:t>:</w:t>
            </w:r>
            <w:r w:rsidR="00794E04" w:rsidRPr="00526311">
              <w:rPr>
                <w:sz w:val="16"/>
                <w:szCs w:val="16"/>
              </w:rPr>
              <w:br/>
              <w:t>Cobertura de idiomas</w:t>
            </w:r>
          </w:p>
          <w:p w:rsidR="00794E04" w:rsidRPr="00526311" w:rsidRDefault="00794E04" w:rsidP="0063039A">
            <w:pPr>
              <w:keepNext/>
              <w:keepLines/>
              <w:autoSpaceDE w:val="0"/>
              <w:autoSpaceDN w:val="0"/>
              <w:adjustRightInd w:val="0"/>
              <w:rPr>
                <w:sz w:val="16"/>
                <w:szCs w:val="16"/>
              </w:rPr>
            </w:pPr>
            <w:r w:rsidRPr="00526311">
              <w:rPr>
                <w:sz w:val="16"/>
                <w:szCs w:val="16"/>
              </w:rPr>
              <w:t>limitada a determinados</w:t>
            </w:r>
          </w:p>
          <w:p w:rsidR="00794E04" w:rsidRPr="00526311" w:rsidRDefault="00794E04" w:rsidP="0063039A">
            <w:pPr>
              <w:keepNext/>
              <w:keepLines/>
              <w:autoSpaceDE w:val="0"/>
              <w:autoSpaceDN w:val="0"/>
              <w:adjustRightInd w:val="0"/>
              <w:rPr>
                <w:sz w:val="16"/>
                <w:szCs w:val="16"/>
              </w:rPr>
            </w:pPr>
            <w:r w:rsidRPr="00526311">
              <w:rPr>
                <w:sz w:val="16"/>
                <w:szCs w:val="16"/>
              </w:rPr>
              <w:t>Comités/órganos principales; Documentos de longitud</w:t>
            </w:r>
          </w:p>
          <w:p w:rsidR="00794E04" w:rsidRPr="00526311" w:rsidRDefault="00794E04" w:rsidP="0063039A">
            <w:pPr>
              <w:keepNext/>
              <w:keepLines/>
              <w:rPr>
                <w:sz w:val="16"/>
                <w:szCs w:val="16"/>
              </w:rPr>
            </w:pPr>
            <w:r w:rsidRPr="00526311">
              <w:rPr>
                <w:sz w:val="16"/>
                <w:szCs w:val="16"/>
              </w:rPr>
              <w:t>variable</w:t>
            </w:r>
          </w:p>
        </w:tc>
        <w:tc>
          <w:tcPr>
            <w:tcW w:w="833" w:type="pct"/>
            <w:shd w:val="clear" w:color="auto" w:fill="auto"/>
            <w:tcMar>
              <w:top w:w="110" w:type="dxa"/>
            </w:tcMar>
          </w:tcPr>
          <w:p w:rsidR="00794E04" w:rsidRPr="00526311" w:rsidRDefault="00794E04" w:rsidP="0063039A">
            <w:pPr>
              <w:keepNext/>
              <w:keepLines/>
              <w:autoSpaceDE w:val="0"/>
              <w:autoSpaceDN w:val="0"/>
              <w:adjustRightInd w:val="0"/>
              <w:rPr>
                <w:sz w:val="16"/>
                <w:szCs w:val="16"/>
              </w:rPr>
            </w:pPr>
            <w:r w:rsidRPr="00526311">
              <w:rPr>
                <w:sz w:val="16"/>
                <w:szCs w:val="16"/>
              </w:rPr>
              <w:t>Traducciones de calidad disponibles para todos los Comités/órganos principales;</w:t>
            </w:r>
          </w:p>
          <w:p w:rsidR="00794E04" w:rsidRPr="00526311" w:rsidRDefault="00794E04" w:rsidP="0063039A">
            <w:pPr>
              <w:keepNext/>
              <w:keepLines/>
              <w:autoSpaceDE w:val="0"/>
              <w:autoSpaceDN w:val="0"/>
              <w:adjustRightInd w:val="0"/>
              <w:rPr>
                <w:sz w:val="16"/>
                <w:szCs w:val="16"/>
              </w:rPr>
            </w:pPr>
          </w:p>
          <w:p w:rsidR="00794E04" w:rsidRPr="00526311" w:rsidRDefault="00794E04" w:rsidP="0063039A">
            <w:pPr>
              <w:keepNext/>
              <w:keepLines/>
              <w:rPr>
                <w:sz w:val="16"/>
                <w:szCs w:val="16"/>
              </w:rPr>
            </w:pPr>
            <w:r w:rsidRPr="00526311">
              <w:rPr>
                <w:sz w:val="16"/>
                <w:szCs w:val="16"/>
              </w:rPr>
              <w:t>La longitud de los documentos de los Comités/órganos rectores se reduce a 3.300 palabras</w:t>
            </w:r>
          </w:p>
        </w:tc>
        <w:tc>
          <w:tcPr>
            <w:tcW w:w="1286" w:type="pct"/>
            <w:shd w:val="clear" w:color="auto" w:fill="FFFFFF"/>
            <w:tcMar>
              <w:top w:w="110" w:type="dxa"/>
            </w:tcMar>
          </w:tcPr>
          <w:p w:rsidR="00794E04" w:rsidRPr="00526311" w:rsidRDefault="00794E04" w:rsidP="0063039A">
            <w:pPr>
              <w:keepNext/>
              <w:keepLines/>
              <w:rPr>
                <w:sz w:val="16"/>
                <w:szCs w:val="16"/>
                <w:lang w:bidi="th-TH"/>
              </w:rPr>
            </w:pPr>
            <w:r w:rsidRPr="00526311">
              <w:rPr>
                <w:sz w:val="16"/>
                <w:szCs w:val="16"/>
                <w:lang w:bidi="th-TH"/>
              </w:rPr>
              <w:t>La cobertura en seis idiomas se amplió a dos grupos de trabajo (Grupo de Trabajo del PCT y Grupo de Trabajo sobre el  Desarrollo Jurídico del Sistema de La Haya para el Registro Internacional de Dibujos y Modelos Industriales), según lo determinado por los Estados miembros</w:t>
            </w:r>
          </w:p>
          <w:p w:rsidR="00794E04" w:rsidRPr="00526311" w:rsidRDefault="00794E04" w:rsidP="0063039A">
            <w:pPr>
              <w:keepNext/>
              <w:keepLines/>
              <w:rPr>
                <w:sz w:val="16"/>
                <w:szCs w:val="16"/>
                <w:lang w:bidi="th-TH"/>
              </w:rPr>
            </w:pPr>
          </w:p>
          <w:p w:rsidR="00794E04" w:rsidRPr="00526311" w:rsidRDefault="00794E04" w:rsidP="0063039A">
            <w:pPr>
              <w:keepNext/>
              <w:keepLines/>
              <w:rPr>
                <w:sz w:val="16"/>
                <w:szCs w:val="16"/>
              </w:rPr>
            </w:pPr>
            <w:r w:rsidRPr="00526311">
              <w:rPr>
                <w:sz w:val="16"/>
                <w:szCs w:val="16"/>
                <w:lang w:bidi="th-TH"/>
              </w:rPr>
              <w:t>A pesar de la intensificación de los esfuerzos, no fue posible limitar la longitud de los documentos a 3.300 palabras.  Proseguirán nuevamente los esfuerzos en 2015 para aplicar de manera más rigurosa las medidas de  racionalización  y control</w:t>
            </w:r>
          </w:p>
        </w:tc>
        <w:tc>
          <w:tcPr>
            <w:tcW w:w="608" w:type="pct"/>
            <w:gridSpan w:val="2"/>
            <w:shd w:val="clear" w:color="auto" w:fill="auto"/>
            <w:tcMar>
              <w:top w:w="110" w:type="dxa"/>
            </w:tcMar>
          </w:tcPr>
          <w:p w:rsidR="00794E04" w:rsidRPr="00526311" w:rsidRDefault="00794E04" w:rsidP="0063039A">
            <w:pPr>
              <w:keepNext/>
              <w:keepLines/>
              <w:ind w:left="-112"/>
              <w:jc w:val="center"/>
              <w:rPr>
                <w:b/>
                <w:bCs/>
                <w:color w:val="00B050"/>
                <w:sz w:val="16"/>
                <w:szCs w:val="16"/>
              </w:rPr>
            </w:pPr>
            <w:r w:rsidRPr="00526311">
              <w:rPr>
                <w:b/>
                <w:color w:val="00B050"/>
                <w:sz w:val="16"/>
                <w:szCs w:val="16"/>
              </w:rPr>
              <w:t>Avanza</w:t>
            </w: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
                <w:bCs/>
                <w:color w:val="00B050"/>
                <w:sz w:val="16"/>
                <w:szCs w:val="16"/>
              </w:rPr>
            </w:pPr>
            <w:r w:rsidRPr="00526311">
              <w:rPr>
                <w:b/>
                <w:bCs/>
                <w:color w:val="00B050"/>
                <w:sz w:val="16"/>
                <w:szCs w:val="16"/>
              </w:rPr>
              <w:br/>
            </w:r>
            <w:r w:rsidRPr="00526311">
              <w:rPr>
                <w:b/>
                <w:bCs/>
                <w:color w:val="00B050"/>
                <w:sz w:val="16"/>
                <w:szCs w:val="16"/>
              </w:rPr>
              <w:br/>
            </w:r>
            <w:r w:rsidRPr="00526311">
              <w:rPr>
                <w:b/>
                <w:bCs/>
                <w:color w:val="00B050"/>
                <w:sz w:val="16"/>
                <w:szCs w:val="16"/>
              </w:rPr>
              <w:br/>
            </w:r>
            <w:r w:rsidRPr="00526311">
              <w:rPr>
                <w:b/>
                <w:bCs/>
                <w:color w:val="00B050"/>
                <w:sz w:val="16"/>
                <w:szCs w:val="16"/>
              </w:rPr>
              <w:br/>
            </w:r>
          </w:p>
          <w:p w:rsidR="00794E04" w:rsidRPr="00526311" w:rsidRDefault="00794E04" w:rsidP="0063039A">
            <w:pPr>
              <w:keepNext/>
              <w:keepLines/>
              <w:ind w:left="-108"/>
              <w:jc w:val="center"/>
              <w:rPr>
                <w:bCs/>
                <w:color w:val="808080"/>
                <w:sz w:val="16"/>
                <w:szCs w:val="16"/>
              </w:rPr>
            </w:pPr>
            <w:r w:rsidRPr="00526311">
              <w:rPr>
                <w:b/>
                <w:bCs/>
                <w:color w:val="FF0000"/>
                <w:sz w:val="16"/>
                <w:szCs w:val="16"/>
              </w:rPr>
              <w:t xml:space="preserve">No avanza </w:t>
            </w:r>
          </w:p>
        </w:tc>
      </w:tr>
      <w:tr w:rsidR="00794E04" w:rsidRPr="00526311" w:rsidTr="0063039A">
        <w:trPr>
          <w:cantSplit/>
        </w:trPr>
        <w:tc>
          <w:tcPr>
            <w:tcW w:w="1137" w:type="pct"/>
            <w:shd w:val="clear" w:color="auto" w:fill="auto"/>
          </w:tcPr>
          <w:p w:rsidR="00794E04" w:rsidRPr="00526311" w:rsidRDefault="00794E04" w:rsidP="0063039A">
            <w:pPr>
              <w:keepNext/>
              <w:keepLines/>
              <w:rPr>
                <w:sz w:val="16"/>
                <w:szCs w:val="16"/>
              </w:rPr>
            </w:pPr>
            <w:r w:rsidRPr="00526311">
              <w:rPr>
                <w:sz w:val="16"/>
                <w:szCs w:val="16"/>
              </w:rPr>
              <w:t>Costo por palabra traducida</w:t>
            </w:r>
          </w:p>
        </w:tc>
        <w:tc>
          <w:tcPr>
            <w:tcW w:w="1136" w:type="pct"/>
            <w:shd w:val="clear" w:color="auto" w:fill="auto"/>
          </w:tcPr>
          <w:p w:rsidR="00794E04" w:rsidRPr="00526311" w:rsidRDefault="00794E04" w:rsidP="0063039A">
            <w:pPr>
              <w:keepNext/>
              <w:keepLines/>
              <w:rPr>
                <w:i/>
                <w:color w:val="002060"/>
                <w:sz w:val="16"/>
                <w:szCs w:val="16"/>
              </w:rPr>
            </w:pPr>
            <w:r w:rsidRPr="00526311">
              <w:rPr>
                <w:i/>
                <w:color w:val="002060"/>
                <w:sz w:val="16"/>
                <w:szCs w:val="16"/>
              </w:rPr>
              <w:t xml:space="preserve">Referencia actualizada a fines de 2013: </w:t>
            </w:r>
          </w:p>
          <w:p w:rsidR="00794E04" w:rsidRPr="00526311" w:rsidRDefault="00794E04" w:rsidP="0063039A">
            <w:pPr>
              <w:keepNext/>
              <w:keepLines/>
              <w:autoSpaceDE w:val="0"/>
              <w:autoSpaceDN w:val="0"/>
              <w:adjustRightInd w:val="0"/>
              <w:rPr>
                <w:rFonts w:eastAsia="Batang"/>
                <w:color w:val="002060"/>
                <w:sz w:val="16"/>
                <w:szCs w:val="16"/>
                <w:lang w:eastAsia="ja-JP"/>
              </w:rPr>
            </w:pPr>
            <w:r w:rsidRPr="00526311">
              <w:rPr>
                <w:color w:val="002060"/>
                <w:sz w:val="16"/>
                <w:szCs w:val="16"/>
              </w:rPr>
              <w:t xml:space="preserve">0,63 francos suizos por palabra de media </w:t>
            </w:r>
          </w:p>
          <w:p w:rsidR="00794E04" w:rsidRPr="00526311" w:rsidRDefault="00794E04" w:rsidP="0063039A">
            <w:pPr>
              <w:keepNext/>
              <w:keepLines/>
              <w:rPr>
                <w:i/>
                <w:sz w:val="8"/>
                <w:szCs w:val="8"/>
              </w:rPr>
            </w:pPr>
          </w:p>
          <w:p w:rsidR="00794E04" w:rsidRPr="00526311" w:rsidRDefault="007B705E" w:rsidP="0063039A">
            <w:pPr>
              <w:keepNext/>
              <w:keepLines/>
              <w:rPr>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Por determinar</w:t>
            </w:r>
          </w:p>
          <w:p w:rsidR="00794E04" w:rsidRPr="00526311" w:rsidRDefault="00794E04" w:rsidP="0063039A">
            <w:pPr>
              <w:keepNext/>
              <w:keepLines/>
              <w:rPr>
                <w:sz w:val="16"/>
                <w:szCs w:val="16"/>
              </w:rPr>
            </w:pPr>
          </w:p>
        </w:tc>
        <w:tc>
          <w:tcPr>
            <w:tcW w:w="833" w:type="pct"/>
            <w:shd w:val="clear" w:color="auto" w:fill="auto"/>
            <w:tcMar>
              <w:top w:w="110" w:type="dxa"/>
            </w:tcMar>
          </w:tcPr>
          <w:p w:rsidR="00794E04" w:rsidRPr="00526311" w:rsidRDefault="00794E04" w:rsidP="0063039A">
            <w:pPr>
              <w:keepNext/>
              <w:keepLines/>
              <w:rPr>
                <w:rFonts w:eastAsia="Batang"/>
                <w:color w:val="002060"/>
                <w:sz w:val="16"/>
                <w:szCs w:val="16"/>
                <w:lang w:eastAsia="ja-JP"/>
              </w:rPr>
            </w:pPr>
            <w:r w:rsidRPr="00526311">
              <w:rPr>
                <w:rFonts w:eastAsia="Batang"/>
                <w:i/>
                <w:color w:val="002060"/>
                <w:sz w:val="16"/>
                <w:szCs w:val="16"/>
                <w:lang w:eastAsia="ja-JP"/>
              </w:rPr>
              <w:t xml:space="preserve">Objetivo definido: Mantener la media de traducción </w:t>
            </w:r>
          </w:p>
          <w:p w:rsidR="00794E04" w:rsidRPr="00526311" w:rsidRDefault="00794E04" w:rsidP="0063039A">
            <w:pPr>
              <w:keepNext/>
              <w:keepLines/>
              <w:rPr>
                <w:rFonts w:eastAsia="Batang"/>
                <w:color w:val="002060"/>
                <w:sz w:val="16"/>
                <w:szCs w:val="16"/>
                <w:lang w:eastAsia="ja-JP"/>
              </w:rPr>
            </w:pPr>
          </w:p>
          <w:p w:rsidR="00794E04" w:rsidRPr="00526311" w:rsidRDefault="00794E04" w:rsidP="0063039A">
            <w:pPr>
              <w:keepNext/>
              <w:keepLines/>
              <w:rPr>
                <w:sz w:val="16"/>
                <w:szCs w:val="16"/>
              </w:rPr>
            </w:pPr>
            <w:r w:rsidRPr="00526311">
              <w:rPr>
                <w:rFonts w:eastAsia="Batang"/>
                <w:i/>
                <w:sz w:val="16"/>
                <w:szCs w:val="16"/>
                <w:lang w:eastAsia="ja-JP"/>
              </w:rPr>
              <w:t xml:space="preserve">Objetivo original en el presup. 2014/15: </w:t>
            </w:r>
            <w:r w:rsidRPr="00526311">
              <w:rPr>
                <w:rFonts w:eastAsia="Batang"/>
                <w:sz w:val="16"/>
                <w:szCs w:val="16"/>
                <w:lang w:eastAsia="ja-JP"/>
              </w:rPr>
              <w:t>por determinar</w:t>
            </w:r>
          </w:p>
        </w:tc>
        <w:tc>
          <w:tcPr>
            <w:tcW w:w="1286" w:type="pct"/>
            <w:shd w:val="clear" w:color="auto" w:fill="FFFFFF"/>
            <w:tcMar>
              <w:top w:w="110" w:type="dxa"/>
            </w:tcMar>
          </w:tcPr>
          <w:p w:rsidR="00794E04" w:rsidRPr="00526311" w:rsidRDefault="00794E04" w:rsidP="0063039A">
            <w:pPr>
              <w:keepNext/>
              <w:keepLines/>
              <w:rPr>
                <w:sz w:val="16"/>
                <w:szCs w:val="16"/>
              </w:rPr>
            </w:pPr>
            <w:r w:rsidRPr="00526311">
              <w:rPr>
                <w:sz w:val="16"/>
                <w:szCs w:val="16"/>
              </w:rPr>
              <w:t>0,59 francos suizos por palabra</w:t>
            </w:r>
          </w:p>
        </w:tc>
        <w:tc>
          <w:tcPr>
            <w:tcW w:w="608" w:type="pct"/>
            <w:gridSpan w:val="2"/>
            <w:shd w:val="clear" w:color="auto" w:fill="auto"/>
            <w:tcMar>
              <w:top w:w="110" w:type="dxa"/>
            </w:tcMar>
          </w:tcPr>
          <w:p w:rsidR="00794E04" w:rsidRPr="00526311" w:rsidRDefault="00794E04" w:rsidP="0063039A">
            <w:pPr>
              <w:keepNext/>
              <w:keepLines/>
              <w:ind w:left="-112"/>
              <w:jc w:val="center"/>
              <w:rPr>
                <w:bCs/>
                <w:color w:val="808080"/>
                <w:sz w:val="16"/>
                <w:szCs w:val="16"/>
              </w:rPr>
            </w:pPr>
            <w:r w:rsidRPr="00526311">
              <w:rPr>
                <w:b/>
                <w:color w:val="00B050"/>
                <w:sz w:val="16"/>
                <w:szCs w:val="16"/>
              </w:rPr>
              <w:t>Avanza</w:t>
            </w:r>
          </w:p>
        </w:tc>
      </w:tr>
      <w:tr w:rsidR="00794E04" w:rsidRPr="00526311" w:rsidTr="0063039A">
        <w:trPr>
          <w:cantSplit/>
        </w:trPr>
        <w:tc>
          <w:tcPr>
            <w:tcW w:w="1137" w:type="pct"/>
            <w:shd w:val="clear" w:color="auto" w:fill="auto"/>
          </w:tcPr>
          <w:p w:rsidR="00794E04" w:rsidRPr="00526311" w:rsidRDefault="00794E04" w:rsidP="0063039A">
            <w:pPr>
              <w:rPr>
                <w:sz w:val="16"/>
                <w:szCs w:val="16"/>
              </w:rPr>
            </w:pPr>
            <w:r w:rsidRPr="00526311">
              <w:rPr>
                <w:sz w:val="16"/>
                <w:szCs w:val="16"/>
              </w:rPr>
              <w:t>Calidad de las traducciones</w:t>
            </w:r>
          </w:p>
        </w:tc>
        <w:tc>
          <w:tcPr>
            <w:tcW w:w="1136" w:type="pct"/>
            <w:shd w:val="clear" w:color="auto" w:fill="auto"/>
          </w:tcPr>
          <w:p w:rsidR="00794E04" w:rsidRPr="00526311" w:rsidRDefault="00794E04" w:rsidP="0063039A">
            <w:pPr>
              <w:rPr>
                <w:i/>
                <w:color w:val="002060"/>
                <w:sz w:val="16"/>
                <w:szCs w:val="16"/>
              </w:rPr>
            </w:pPr>
            <w:r w:rsidRPr="00526311">
              <w:rPr>
                <w:i/>
                <w:color w:val="002060"/>
                <w:sz w:val="16"/>
                <w:szCs w:val="16"/>
              </w:rPr>
              <w:t xml:space="preserve">Referencia actualizada a fines de 2013: </w:t>
            </w:r>
          </w:p>
          <w:p w:rsidR="00794E04" w:rsidRPr="00526311" w:rsidRDefault="00794E04" w:rsidP="0063039A">
            <w:pPr>
              <w:autoSpaceDE w:val="0"/>
              <w:autoSpaceDN w:val="0"/>
              <w:adjustRightInd w:val="0"/>
              <w:rPr>
                <w:rFonts w:eastAsia="Batang"/>
                <w:color w:val="002060"/>
                <w:sz w:val="16"/>
                <w:szCs w:val="16"/>
                <w:lang w:eastAsia="ja-JP"/>
              </w:rPr>
            </w:pPr>
            <w:r w:rsidRPr="00526311">
              <w:rPr>
                <w:rFonts w:eastAsia="Batang"/>
                <w:color w:val="002060"/>
                <w:sz w:val="16"/>
                <w:szCs w:val="16"/>
                <w:lang w:eastAsia="ja-JP"/>
              </w:rPr>
              <w:t>96% de documentos que</w:t>
            </w:r>
          </w:p>
          <w:p w:rsidR="00794E04" w:rsidRPr="00526311" w:rsidRDefault="00794E04" w:rsidP="0063039A">
            <w:pPr>
              <w:autoSpaceDE w:val="0"/>
              <w:autoSpaceDN w:val="0"/>
              <w:adjustRightInd w:val="0"/>
              <w:rPr>
                <w:rFonts w:eastAsia="Batang"/>
                <w:color w:val="002060"/>
                <w:sz w:val="16"/>
                <w:szCs w:val="16"/>
                <w:lang w:eastAsia="ja-JP"/>
              </w:rPr>
            </w:pPr>
            <w:r w:rsidRPr="00526311">
              <w:rPr>
                <w:rFonts w:eastAsia="Batang"/>
                <w:color w:val="002060"/>
                <w:sz w:val="16"/>
                <w:szCs w:val="16"/>
                <w:lang w:eastAsia="ja-JP"/>
              </w:rPr>
              <w:t>respetan los criterios</w:t>
            </w:r>
          </w:p>
          <w:p w:rsidR="00794E04" w:rsidRPr="00526311" w:rsidRDefault="00794E04" w:rsidP="0063039A">
            <w:pPr>
              <w:autoSpaceDE w:val="0"/>
              <w:autoSpaceDN w:val="0"/>
              <w:adjustRightInd w:val="0"/>
              <w:rPr>
                <w:rFonts w:eastAsia="Batang"/>
                <w:color w:val="002060"/>
                <w:sz w:val="16"/>
                <w:szCs w:val="16"/>
                <w:lang w:eastAsia="ja-JP"/>
              </w:rPr>
            </w:pPr>
            <w:r w:rsidRPr="00526311">
              <w:rPr>
                <w:rFonts w:eastAsia="Batang"/>
                <w:color w:val="002060"/>
                <w:sz w:val="16"/>
                <w:szCs w:val="16"/>
                <w:lang w:eastAsia="ja-JP"/>
              </w:rPr>
              <w:t xml:space="preserve">de calidad </w:t>
            </w:r>
          </w:p>
          <w:p w:rsidR="00794E04" w:rsidRPr="00526311" w:rsidRDefault="00794E04" w:rsidP="0063039A">
            <w:pPr>
              <w:keepNext/>
              <w:rPr>
                <w:i/>
                <w:sz w:val="8"/>
                <w:szCs w:val="8"/>
              </w:rPr>
            </w:pPr>
          </w:p>
          <w:p w:rsidR="00794E04" w:rsidRPr="00526311" w:rsidRDefault="007B705E" w:rsidP="0063039A">
            <w:pPr>
              <w:rPr>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Porcentaje de documentos que respetan los criterios</w:t>
            </w:r>
          </w:p>
          <w:p w:rsidR="00794E04" w:rsidRPr="00526311" w:rsidRDefault="00794E04" w:rsidP="0063039A">
            <w:pPr>
              <w:rPr>
                <w:sz w:val="16"/>
                <w:szCs w:val="16"/>
              </w:rPr>
            </w:pPr>
            <w:r w:rsidRPr="00526311">
              <w:rPr>
                <w:sz w:val="16"/>
                <w:szCs w:val="16"/>
              </w:rPr>
              <w:t>de calidad</w:t>
            </w:r>
          </w:p>
        </w:tc>
        <w:tc>
          <w:tcPr>
            <w:tcW w:w="833" w:type="pct"/>
            <w:shd w:val="clear" w:color="auto" w:fill="auto"/>
            <w:tcMar>
              <w:top w:w="110" w:type="dxa"/>
            </w:tcMar>
          </w:tcPr>
          <w:p w:rsidR="00794E04" w:rsidRPr="00526311" w:rsidRDefault="00794E04" w:rsidP="0063039A">
            <w:pPr>
              <w:autoSpaceDE w:val="0"/>
              <w:autoSpaceDN w:val="0"/>
              <w:adjustRightInd w:val="0"/>
              <w:rPr>
                <w:rFonts w:eastAsia="Batang"/>
                <w:sz w:val="16"/>
                <w:szCs w:val="16"/>
                <w:lang w:eastAsia="ja-JP"/>
              </w:rPr>
            </w:pPr>
            <w:r w:rsidRPr="00526311">
              <w:rPr>
                <w:rFonts w:eastAsia="Batang"/>
                <w:sz w:val="16"/>
                <w:szCs w:val="16"/>
                <w:lang w:eastAsia="ja-JP"/>
              </w:rPr>
              <w:t>Porcentaje de documentos que respetan los criterios de calidad</w:t>
            </w:r>
          </w:p>
          <w:p w:rsidR="00794E04" w:rsidRPr="00526311" w:rsidRDefault="00794E04" w:rsidP="0063039A">
            <w:pPr>
              <w:autoSpaceDE w:val="0"/>
              <w:autoSpaceDN w:val="0"/>
              <w:adjustRightInd w:val="0"/>
              <w:rPr>
                <w:rFonts w:eastAsia="Batang"/>
                <w:sz w:val="16"/>
                <w:szCs w:val="16"/>
                <w:lang w:eastAsia="ja-JP"/>
              </w:rPr>
            </w:pPr>
          </w:p>
        </w:tc>
        <w:tc>
          <w:tcPr>
            <w:tcW w:w="1286" w:type="pct"/>
            <w:shd w:val="clear" w:color="auto" w:fill="FFFFFF"/>
            <w:tcMar>
              <w:top w:w="110" w:type="dxa"/>
            </w:tcMar>
          </w:tcPr>
          <w:p w:rsidR="00794E04" w:rsidRPr="00526311" w:rsidRDefault="00794E04" w:rsidP="0063039A">
            <w:pPr>
              <w:rPr>
                <w:sz w:val="16"/>
                <w:szCs w:val="16"/>
              </w:rPr>
            </w:pPr>
            <w:r w:rsidRPr="00526311">
              <w:rPr>
                <w:sz w:val="16"/>
                <w:szCs w:val="16"/>
              </w:rPr>
              <w:t>La calidad de las traducciones se elevó al 97% tras la intensificación de los esfuerzos del equipo básico interno al controlar la calidad de las traducciones subcontratadas, confirmado por la encuesta de satisfacción de los Estados miembros y otros sectores interesados</w:t>
            </w:r>
          </w:p>
        </w:tc>
        <w:tc>
          <w:tcPr>
            <w:tcW w:w="608" w:type="pct"/>
            <w:gridSpan w:val="2"/>
            <w:shd w:val="clear" w:color="auto" w:fill="auto"/>
            <w:tcMar>
              <w:top w:w="110" w:type="dxa"/>
            </w:tcMar>
          </w:tcPr>
          <w:p w:rsidR="00794E04" w:rsidRPr="00526311" w:rsidRDefault="00794E04" w:rsidP="0063039A">
            <w:pPr>
              <w:keepNext/>
              <w:keepLines/>
              <w:jc w:val="center"/>
              <w:rPr>
                <w:bCs/>
                <w:color w:val="808080" w:themeColor="background1" w:themeShade="80"/>
                <w:sz w:val="16"/>
                <w:szCs w:val="16"/>
              </w:rPr>
            </w:pPr>
            <w:r w:rsidRPr="00526311">
              <w:rPr>
                <w:bCs/>
                <w:color w:val="808080" w:themeColor="background1" w:themeShade="80"/>
                <w:sz w:val="16"/>
                <w:szCs w:val="16"/>
              </w:rPr>
              <w:t xml:space="preserve">No </w:t>
            </w:r>
          </w:p>
          <w:p w:rsidR="00794E04" w:rsidRPr="00526311" w:rsidRDefault="00794E04" w:rsidP="0063039A">
            <w:pPr>
              <w:keepNext/>
              <w:keepLines/>
              <w:rPr>
                <w:bCs/>
                <w:color w:val="808080"/>
                <w:sz w:val="12"/>
                <w:szCs w:val="12"/>
              </w:rPr>
            </w:pPr>
            <w:r w:rsidRPr="00526311">
              <w:rPr>
                <w:bCs/>
                <w:color w:val="808080" w:themeColor="background1" w:themeShade="80"/>
                <w:sz w:val="16"/>
                <w:szCs w:val="16"/>
              </w:rPr>
              <w:t>mensurable</w:t>
            </w:r>
          </w:p>
        </w:tc>
      </w:tr>
      <w:tr w:rsidR="00794E04" w:rsidRPr="00526311" w:rsidTr="0063039A">
        <w:trPr>
          <w:cantSplit/>
        </w:trPr>
        <w:tc>
          <w:tcPr>
            <w:tcW w:w="1137" w:type="pct"/>
            <w:shd w:val="clear" w:color="auto" w:fill="auto"/>
          </w:tcPr>
          <w:p w:rsidR="00794E04" w:rsidRPr="00526311" w:rsidRDefault="00794E04" w:rsidP="0063039A">
            <w:pPr>
              <w:rPr>
                <w:sz w:val="16"/>
                <w:szCs w:val="16"/>
              </w:rPr>
            </w:pPr>
            <w:r w:rsidRPr="00526311">
              <w:rPr>
                <w:sz w:val="16"/>
                <w:szCs w:val="16"/>
              </w:rPr>
              <w:t>Disminución de los costos de impresión (por página)</w:t>
            </w:r>
          </w:p>
        </w:tc>
        <w:tc>
          <w:tcPr>
            <w:tcW w:w="1136" w:type="pct"/>
            <w:shd w:val="clear" w:color="auto" w:fill="auto"/>
          </w:tcPr>
          <w:p w:rsidR="00794E04" w:rsidRPr="00526311" w:rsidRDefault="00794E04" w:rsidP="0063039A">
            <w:pPr>
              <w:rPr>
                <w:i/>
                <w:color w:val="002060"/>
                <w:sz w:val="16"/>
                <w:szCs w:val="16"/>
              </w:rPr>
            </w:pPr>
            <w:r w:rsidRPr="00526311">
              <w:rPr>
                <w:i/>
                <w:color w:val="002060"/>
                <w:sz w:val="16"/>
                <w:szCs w:val="16"/>
              </w:rPr>
              <w:t xml:space="preserve">Referencia actualizada a fines de 2013: </w:t>
            </w:r>
          </w:p>
          <w:p w:rsidR="00794E04" w:rsidRPr="00526311" w:rsidRDefault="00794E04" w:rsidP="0063039A">
            <w:pPr>
              <w:autoSpaceDE w:val="0"/>
              <w:autoSpaceDN w:val="0"/>
              <w:adjustRightInd w:val="0"/>
              <w:rPr>
                <w:rFonts w:eastAsia="Batang"/>
                <w:color w:val="002060"/>
                <w:sz w:val="16"/>
                <w:szCs w:val="16"/>
                <w:lang w:eastAsia="ja-JP"/>
              </w:rPr>
            </w:pPr>
            <w:r w:rsidRPr="00526311">
              <w:rPr>
                <w:rFonts w:eastAsia="Batang"/>
                <w:color w:val="002060"/>
                <w:sz w:val="16"/>
                <w:szCs w:val="16"/>
                <w:lang w:eastAsia="ja-JP"/>
              </w:rPr>
              <w:t>0,19 francos suizos de media por página en 2013</w:t>
            </w:r>
          </w:p>
          <w:p w:rsidR="00794E04" w:rsidRPr="00526311" w:rsidRDefault="00794E04" w:rsidP="0063039A">
            <w:pPr>
              <w:keepNext/>
              <w:rPr>
                <w:i/>
                <w:sz w:val="8"/>
                <w:szCs w:val="8"/>
              </w:rPr>
            </w:pPr>
          </w:p>
          <w:p w:rsidR="00794E04" w:rsidRPr="00526311" w:rsidRDefault="007B705E" w:rsidP="00E827F2">
            <w:pPr>
              <w:rPr>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Por determinar</w:t>
            </w:r>
          </w:p>
        </w:tc>
        <w:tc>
          <w:tcPr>
            <w:tcW w:w="833" w:type="pct"/>
            <w:shd w:val="clear" w:color="auto" w:fill="auto"/>
            <w:tcMar>
              <w:top w:w="110" w:type="dxa"/>
            </w:tcMar>
          </w:tcPr>
          <w:p w:rsidR="00794E04" w:rsidRPr="00526311" w:rsidRDefault="00794E04" w:rsidP="0063039A">
            <w:pPr>
              <w:rPr>
                <w:rFonts w:eastAsia="Batang"/>
                <w:color w:val="002060"/>
                <w:sz w:val="16"/>
                <w:szCs w:val="16"/>
                <w:lang w:eastAsia="ja-JP"/>
              </w:rPr>
            </w:pPr>
            <w:r w:rsidRPr="00526311">
              <w:rPr>
                <w:rFonts w:eastAsia="Batang"/>
                <w:i/>
                <w:color w:val="002060"/>
                <w:sz w:val="16"/>
                <w:szCs w:val="16"/>
                <w:lang w:eastAsia="ja-JP"/>
              </w:rPr>
              <w:t xml:space="preserve">Objetivo definido: </w:t>
            </w:r>
            <w:r w:rsidRPr="00526311">
              <w:rPr>
                <w:rFonts w:eastAsia="Batang"/>
                <w:color w:val="002060"/>
                <w:sz w:val="16"/>
                <w:szCs w:val="16"/>
                <w:lang w:eastAsia="ja-JP"/>
              </w:rPr>
              <w:t xml:space="preserve">reducción del 5% en el costo medio por página </w:t>
            </w:r>
          </w:p>
          <w:p w:rsidR="00794E04" w:rsidRPr="00526311" w:rsidRDefault="00794E04" w:rsidP="0063039A">
            <w:pPr>
              <w:rPr>
                <w:sz w:val="16"/>
                <w:szCs w:val="16"/>
              </w:rPr>
            </w:pPr>
          </w:p>
          <w:p w:rsidR="00794E04" w:rsidRPr="00526311" w:rsidRDefault="00794E04" w:rsidP="0063039A">
            <w:pPr>
              <w:rPr>
                <w:sz w:val="16"/>
                <w:szCs w:val="16"/>
              </w:rPr>
            </w:pPr>
            <w:r w:rsidRPr="00526311">
              <w:rPr>
                <w:rFonts w:eastAsia="Batang"/>
                <w:i/>
                <w:sz w:val="16"/>
                <w:szCs w:val="16"/>
                <w:lang w:eastAsia="ja-JP"/>
              </w:rPr>
              <w:t xml:space="preserve">Objetivo original en el presup. 2014/15: </w:t>
            </w:r>
            <w:r w:rsidRPr="00526311">
              <w:rPr>
                <w:rFonts w:eastAsia="Batang"/>
                <w:sz w:val="16"/>
                <w:szCs w:val="16"/>
                <w:lang w:eastAsia="ja-JP"/>
              </w:rPr>
              <w:t>por determinar</w:t>
            </w:r>
            <w:r w:rsidRPr="00526311">
              <w:rPr>
                <w:rFonts w:eastAsia="Batang"/>
                <w:i/>
                <w:sz w:val="16"/>
                <w:szCs w:val="16"/>
                <w:lang w:eastAsia="ja-JP"/>
              </w:rPr>
              <w:t xml:space="preserve"> </w:t>
            </w:r>
          </w:p>
        </w:tc>
        <w:tc>
          <w:tcPr>
            <w:tcW w:w="1286" w:type="pct"/>
            <w:shd w:val="clear" w:color="auto" w:fill="FFFFFF"/>
            <w:tcMar>
              <w:top w:w="110" w:type="dxa"/>
            </w:tcMar>
          </w:tcPr>
          <w:p w:rsidR="00794E04" w:rsidRPr="00526311" w:rsidRDefault="00794E04" w:rsidP="0063039A">
            <w:pPr>
              <w:rPr>
                <w:sz w:val="16"/>
                <w:szCs w:val="16"/>
              </w:rPr>
            </w:pPr>
            <w:r w:rsidRPr="00526311">
              <w:rPr>
                <w:sz w:val="16"/>
                <w:szCs w:val="16"/>
                <w:lang w:bidi="th-TH"/>
              </w:rPr>
              <w:t>La mejora de la eficacia en función de los costos dio lugar a una reducción del 26% en el costo por página, que pasó a ser de 0,14 francos suizos en 2014</w:t>
            </w:r>
          </w:p>
        </w:tc>
        <w:tc>
          <w:tcPr>
            <w:tcW w:w="608" w:type="pct"/>
            <w:gridSpan w:val="2"/>
            <w:shd w:val="clear" w:color="auto" w:fill="auto"/>
            <w:tcMar>
              <w:top w:w="110" w:type="dxa"/>
            </w:tcMar>
          </w:tcPr>
          <w:p w:rsidR="00794E04" w:rsidRPr="00526311" w:rsidRDefault="00794E04" w:rsidP="0063039A">
            <w:pPr>
              <w:keepNext/>
              <w:keepLines/>
              <w:ind w:left="-112"/>
              <w:jc w:val="center"/>
              <w:rPr>
                <w:bCs/>
                <w:color w:val="00B050"/>
                <w:sz w:val="16"/>
                <w:szCs w:val="16"/>
              </w:rPr>
            </w:pPr>
            <w:r w:rsidRPr="00526311">
              <w:rPr>
                <w:b/>
                <w:color w:val="00B050"/>
                <w:sz w:val="16"/>
                <w:szCs w:val="16"/>
              </w:rPr>
              <w:t>Avanza</w:t>
            </w:r>
          </w:p>
        </w:tc>
      </w:tr>
      <w:tr w:rsidR="00794E04" w:rsidRPr="00526311" w:rsidTr="0063039A">
        <w:trPr>
          <w:cantSplit/>
        </w:trPr>
        <w:tc>
          <w:tcPr>
            <w:tcW w:w="1137" w:type="pct"/>
            <w:shd w:val="clear" w:color="auto" w:fill="auto"/>
          </w:tcPr>
          <w:p w:rsidR="00794E04" w:rsidRPr="00526311" w:rsidRDefault="00794E04" w:rsidP="0063039A">
            <w:pPr>
              <w:rPr>
                <w:sz w:val="16"/>
                <w:szCs w:val="16"/>
              </w:rPr>
            </w:pPr>
            <w:r w:rsidRPr="00526311">
              <w:rPr>
                <w:sz w:val="16"/>
                <w:szCs w:val="16"/>
              </w:rPr>
              <w:t>Publicación a tiempo de los documentos para los comités y grupos de  trabajo</w:t>
            </w:r>
          </w:p>
        </w:tc>
        <w:tc>
          <w:tcPr>
            <w:tcW w:w="1136" w:type="pct"/>
            <w:shd w:val="clear" w:color="auto" w:fill="auto"/>
          </w:tcPr>
          <w:p w:rsidR="00794E04" w:rsidRPr="00526311" w:rsidRDefault="00794E04" w:rsidP="0063039A">
            <w:pPr>
              <w:rPr>
                <w:i/>
                <w:color w:val="002060"/>
                <w:sz w:val="16"/>
                <w:szCs w:val="16"/>
              </w:rPr>
            </w:pPr>
            <w:r w:rsidRPr="00526311">
              <w:rPr>
                <w:i/>
                <w:color w:val="002060"/>
                <w:sz w:val="16"/>
                <w:szCs w:val="16"/>
              </w:rPr>
              <w:t xml:space="preserve">Referencia actualizada a fines de 2013: </w:t>
            </w:r>
          </w:p>
          <w:p w:rsidR="00794E04" w:rsidRPr="00526311" w:rsidRDefault="00794E04" w:rsidP="0063039A">
            <w:pPr>
              <w:autoSpaceDE w:val="0"/>
              <w:autoSpaceDN w:val="0"/>
              <w:adjustRightInd w:val="0"/>
              <w:rPr>
                <w:rFonts w:eastAsia="Batang"/>
                <w:color w:val="002060"/>
                <w:sz w:val="16"/>
                <w:szCs w:val="16"/>
                <w:lang w:eastAsia="ja-JP"/>
              </w:rPr>
            </w:pPr>
            <w:r w:rsidRPr="00526311">
              <w:rPr>
                <w:rFonts w:eastAsia="Batang"/>
                <w:color w:val="002060"/>
                <w:sz w:val="16"/>
                <w:szCs w:val="16"/>
                <w:lang w:eastAsia="ja-JP"/>
              </w:rPr>
              <w:t xml:space="preserve">26% de los documentos en todos los idiomas publicados dos meses antes de las reuniones pertinentes </w:t>
            </w:r>
          </w:p>
          <w:p w:rsidR="00794E04" w:rsidRPr="00526311" w:rsidRDefault="00794E04" w:rsidP="0063039A">
            <w:pPr>
              <w:keepNext/>
              <w:rPr>
                <w:i/>
                <w:sz w:val="8"/>
                <w:szCs w:val="8"/>
              </w:rPr>
            </w:pPr>
          </w:p>
          <w:p w:rsidR="00794E04" w:rsidRPr="00526311" w:rsidRDefault="007B705E" w:rsidP="00E827F2">
            <w:pPr>
              <w:autoSpaceDE w:val="0"/>
              <w:autoSpaceDN w:val="0"/>
              <w:adjustRightInd w:val="0"/>
              <w:rPr>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Porcentaje de documentos publicados dos meses antes del evento (por determinar)</w:t>
            </w:r>
            <w:r w:rsidR="00E827F2" w:rsidRPr="00526311">
              <w:rPr>
                <w:sz w:val="16"/>
                <w:szCs w:val="16"/>
              </w:rPr>
              <w:br/>
            </w:r>
          </w:p>
        </w:tc>
        <w:tc>
          <w:tcPr>
            <w:tcW w:w="833" w:type="pct"/>
            <w:shd w:val="clear" w:color="auto" w:fill="auto"/>
            <w:tcMar>
              <w:top w:w="110" w:type="dxa"/>
            </w:tcMar>
          </w:tcPr>
          <w:p w:rsidR="00794E04" w:rsidRPr="00526311" w:rsidRDefault="00794E04" w:rsidP="0063039A">
            <w:pPr>
              <w:rPr>
                <w:sz w:val="16"/>
                <w:szCs w:val="16"/>
              </w:rPr>
            </w:pPr>
            <w:r w:rsidRPr="00526311">
              <w:rPr>
                <w:sz w:val="16"/>
                <w:szCs w:val="16"/>
              </w:rPr>
              <w:t>65% de los documentos publicados dos meses antes del evento</w:t>
            </w:r>
          </w:p>
        </w:tc>
        <w:tc>
          <w:tcPr>
            <w:tcW w:w="1286" w:type="pct"/>
            <w:shd w:val="clear" w:color="auto" w:fill="FFFFFF"/>
            <w:tcMar>
              <w:top w:w="110" w:type="dxa"/>
            </w:tcMar>
          </w:tcPr>
          <w:p w:rsidR="00794E04" w:rsidRPr="00526311" w:rsidRDefault="00E827F2" w:rsidP="0063039A">
            <w:pPr>
              <w:rPr>
                <w:rFonts w:eastAsiaTheme="minorHAnsi"/>
                <w:sz w:val="16"/>
                <w:szCs w:val="16"/>
              </w:rPr>
            </w:pPr>
            <w:r w:rsidRPr="00526311">
              <w:rPr>
                <w:rFonts w:eastAsiaTheme="minorHAnsi"/>
                <w:sz w:val="16"/>
                <w:szCs w:val="16"/>
              </w:rPr>
              <w:t>4</w:t>
            </w:r>
            <w:r w:rsidR="00794E04" w:rsidRPr="00526311">
              <w:rPr>
                <w:rFonts w:eastAsiaTheme="minorHAnsi"/>
                <w:sz w:val="16"/>
                <w:szCs w:val="16"/>
              </w:rPr>
              <w:t>1% de los documentos publicados dos meses antes de las reuniones pertinentes</w:t>
            </w:r>
          </w:p>
        </w:tc>
        <w:tc>
          <w:tcPr>
            <w:tcW w:w="608" w:type="pct"/>
            <w:gridSpan w:val="2"/>
            <w:shd w:val="clear" w:color="auto" w:fill="auto"/>
            <w:tcMar>
              <w:top w:w="110" w:type="dxa"/>
            </w:tcMar>
          </w:tcPr>
          <w:p w:rsidR="00794E04" w:rsidRPr="00526311" w:rsidRDefault="00794E04" w:rsidP="0063039A">
            <w:pPr>
              <w:keepNext/>
              <w:keepLines/>
              <w:ind w:left="-108"/>
              <w:jc w:val="center"/>
              <w:rPr>
                <w:b/>
                <w:bCs/>
                <w:color w:val="FF0000"/>
                <w:sz w:val="16"/>
                <w:szCs w:val="16"/>
              </w:rPr>
            </w:pPr>
            <w:r w:rsidRPr="00526311">
              <w:rPr>
                <w:b/>
                <w:bCs/>
                <w:color w:val="FF0000"/>
                <w:sz w:val="16"/>
                <w:szCs w:val="16"/>
              </w:rPr>
              <w:t xml:space="preserve">No avanza </w:t>
            </w:r>
          </w:p>
        </w:tc>
      </w:tr>
    </w:tbl>
    <w:p w:rsidR="00794E04" w:rsidRPr="00526311" w:rsidRDefault="00794E04" w:rsidP="0063039A">
      <w:pPr>
        <w:rPr>
          <w:color w:val="000000"/>
          <w:szCs w:val="22"/>
        </w:rPr>
      </w:pPr>
    </w:p>
    <w:p w:rsidR="00794E04" w:rsidRPr="00526311" w:rsidRDefault="00794E04" w:rsidP="0063039A">
      <w:pPr>
        <w:rPr>
          <w:color w:val="000000"/>
          <w:szCs w:val="22"/>
        </w:rPr>
      </w:pPr>
    </w:p>
    <w:p w:rsidR="00794E04" w:rsidRPr="00526311" w:rsidRDefault="00794E04" w:rsidP="0063039A">
      <w:pPr>
        <w:keepNext/>
        <w:rPr>
          <w:b/>
          <w:sz w:val="18"/>
          <w:szCs w:val="18"/>
        </w:rPr>
      </w:pPr>
      <w:r w:rsidRPr="00526311">
        <w:rPr>
          <w:szCs w:val="22"/>
        </w:rPr>
        <w:lastRenderedPageBreak/>
        <w:t>UTILIZACIÓN DE LOS RECURSOS</w:t>
      </w:r>
    </w:p>
    <w:p w:rsidR="00794E04" w:rsidRPr="00526311" w:rsidRDefault="00794E04" w:rsidP="0063039A">
      <w:pPr>
        <w:keepNext/>
      </w:pPr>
    </w:p>
    <w:p w:rsidR="00794E04" w:rsidRPr="00526311" w:rsidRDefault="00794E04" w:rsidP="0063039A">
      <w:pPr>
        <w:pStyle w:val="NormalWeb"/>
        <w:keepNext/>
        <w:spacing w:before="0" w:beforeAutospacing="0" w:after="0" w:afterAutospacing="0"/>
        <w:jc w:val="center"/>
        <w:rPr>
          <w:sz w:val="20"/>
          <w:szCs w:val="20"/>
          <w:lang w:val="es-ES"/>
        </w:rPr>
      </w:pPr>
      <w:r w:rsidRPr="00526311">
        <w:rPr>
          <w:sz w:val="20"/>
          <w:szCs w:val="20"/>
          <w:lang w:val="es-ES"/>
        </w:rPr>
        <w:t>Presupuesto y gastos reales (por resultado)</w:t>
      </w:r>
    </w:p>
    <w:p w:rsidR="00794E04" w:rsidRPr="00526311" w:rsidRDefault="00794E04" w:rsidP="0063039A">
      <w:pPr>
        <w:pStyle w:val="NormalWeb"/>
        <w:keepNext/>
        <w:spacing w:before="0" w:beforeAutospacing="0" w:after="0" w:afterAutospacing="0"/>
        <w:jc w:val="center"/>
        <w:rPr>
          <w:i/>
          <w:iCs/>
          <w:sz w:val="20"/>
          <w:szCs w:val="20"/>
          <w:lang w:val="es-ES"/>
        </w:rPr>
      </w:pPr>
      <w:r w:rsidRPr="00526311">
        <w:rPr>
          <w:i/>
          <w:iCs/>
          <w:sz w:val="20"/>
          <w:szCs w:val="20"/>
          <w:lang w:val="es-ES"/>
        </w:rPr>
        <w:t>(en miles de francos suizos)</w:t>
      </w:r>
    </w:p>
    <w:p w:rsidR="00794E04" w:rsidRPr="00526311" w:rsidRDefault="00794E04" w:rsidP="0063039A">
      <w:pPr>
        <w:pStyle w:val="NormalWeb"/>
        <w:keepNext/>
        <w:spacing w:before="0" w:beforeAutospacing="0" w:after="0" w:afterAutospacing="0"/>
        <w:jc w:val="center"/>
        <w:rPr>
          <w:sz w:val="20"/>
          <w:szCs w:val="20"/>
          <w:lang w:val="es-ES"/>
        </w:rPr>
      </w:pPr>
    </w:p>
    <w:p w:rsidR="00794E04" w:rsidRPr="00526311" w:rsidRDefault="00DD7B62" w:rsidP="0063039A">
      <w:pPr>
        <w:jc w:val="center"/>
      </w:pPr>
      <w:r w:rsidRPr="00526311">
        <w:rPr>
          <w:noProof/>
          <w:lang w:val="en-US" w:eastAsia="en-US"/>
        </w:rPr>
        <w:drawing>
          <wp:inline distT="0" distB="0" distL="0" distR="0" wp14:anchorId="115FE0A7" wp14:editId="263A2828">
            <wp:extent cx="5838825" cy="1228725"/>
            <wp:effectExtent l="0" t="0" r="9525"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38825" cy="1228725"/>
                    </a:xfrm>
                    <a:prstGeom prst="rect">
                      <a:avLst/>
                    </a:prstGeom>
                    <a:noFill/>
                    <a:ln>
                      <a:noFill/>
                    </a:ln>
                  </pic:spPr>
                </pic:pic>
              </a:graphicData>
            </a:graphic>
          </wp:inline>
        </w:drawing>
      </w:r>
    </w:p>
    <w:p w:rsidR="00794E04" w:rsidRPr="00526311" w:rsidRDefault="00794E04"/>
    <w:p w:rsidR="00794E04" w:rsidRPr="00526311" w:rsidRDefault="00794E04" w:rsidP="0063039A"/>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794E04" w:rsidRPr="00526311" w:rsidRDefault="00794E04" w:rsidP="0063039A">
      <w:pPr>
        <w:pStyle w:val="NormalWeb"/>
        <w:spacing w:before="0" w:beforeAutospacing="0" w:after="0" w:afterAutospacing="0"/>
        <w:jc w:val="center"/>
        <w:rPr>
          <w:lang w:val="es-ES"/>
        </w:rPr>
      </w:pPr>
    </w:p>
    <w:p w:rsidR="00794E04" w:rsidRPr="00526311" w:rsidRDefault="00FF6E74" w:rsidP="0063039A">
      <w:pPr>
        <w:jc w:val="center"/>
      </w:pPr>
      <w:bookmarkStart w:id="90" w:name="Punto27"/>
      <w:r w:rsidRPr="00526311">
        <w:rPr>
          <w:noProof/>
          <w:lang w:val="en-US" w:eastAsia="en-US"/>
        </w:rPr>
        <w:drawing>
          <wp:inline distT="0" distB="0" distL="0" distR="0" wp14:anchorId="202356EE" wp14:editId="06CABE7C">
            <wp:extent cx="5940425" cy="1216645"/>
            <wp:effectExtent l="0" t="0" r="3175" b="3175"/>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0425" cy="1216645"/>
                    </a:xfrm>
                    <a:prstGeom prst="rect">
                      <a:avLst/>
                    </a:prstGeom>
                    <a:noFill/>
                    <a:ln>
                      <a:noFill/>
                    </a:ln>
                  </pic:spPr>
                </pic:pic>
              </a:graphicData>
            </a:graphic>
          </wp:inline>
        </w:drawing>
      </w:r>
      <w:bookmarkEnd w:id="90"/>
    </w:p>
    <w:p w:rsidR="00794E04" w:rsidRPr="00526311" w:rsidRDefault="00794E04" w:rsidP="0063039A">
      <w:pPr>
        <w:autoSpaceDE w:val="0"/>
        <w:autoSpaceDN w:val="0"/>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794E04" w:rsidRPr="00526311" w:rsidRDefault="00794E04" w:rsidP="0063039A">
      <w:pPr>
        <w:widowControl w:val="0"/>
        <w:autoSpaceDE w:val="0"/>
        <w:autoSpaceDN w:val="0"/>
        <w:adjustRightInd w:val="0"/>
        <w:rPr>
          <w:sz w:val="20"/>
        </w:rPr>
      </w:pPr>
    </w:p>
    <w:p w:rsidR="00794E04" w:rsidRPr="00526311" w:rsidRDefault="00794E04" w:rsidP="0063039A">
      <w:pPr>
        <w:jc w:val="both"/>
        <w:rPr>
          <w:sz w:val="20"/>
          <w:u w:val="single"/>
        </w:rPr>
      </w:pPr>
      <w:r w:rsidRPr="00526311">
        <w:rPr>
          <w:sz w:val="20"/>
        </w:rPr>
        <w:t>A.</w:t>
      </w:r>
      <w:r w:rsidRPr="00526311">
        <w:rPr>
          <w:sz w:val="20"/>
        </w:rPr>
        <w:tab/>
      </w:r>
      <w:r w:rsidRPr="00526311">
        <w:rPr>
          <w:sz w:val="20"/>
          <w:u w:val="single"/>
        </w:rPr>
        <w:t>Presupuesto de 2014/15 tras las transferencias</w:t>
      </w:r>
    </w:p>
    <w:p w:rsidR="00794E04" w:rsidRPr="00526311" w:rsidRDefault="00794E04" w:rsidP="0063039A">
      <w:pPr>
        <w:jc w:val="both"/>
        <w:rPr>
          <w:sz w:val="20"/>
          <w:u w:val="single"/>
        </w:rPr>
      </w:pPr>
    </w:p>
    <w:p w:rsidR="00794E04" w:rsidRPr="00526311" w:rsidRDefault="00794E04" w:rsidP="00794E04">
      <w:pPr>
        <w:pStyle w:val="ListParagraph"/>
        <w:numPr>
          <w:ilvl w:val="0"/>
          <w:numId w:val="94"/>
        </w:numPr>
        <w:tabs>
          <w:tab w:val="left" w:pos="709"/>
        </w:tabs>
        <w:ind w:left="0" w:firstLine="0"/>
        <w:jc w:val="both"/>
        <w:rPr>
          <w:rFonts w:cs="Arial"/>
          <w:lang w:val="es-ES"/>
        </w:rPr>
      </w:pPr>
      <w:r w:rsidRPr="00526311">
        <w:rPr>
          <w:rFonts w:cs="Arial"/>
          <w:lang w:val="es-ES"/>
        </w:rPr>
        <w:t xml:space="preserve">La reducción del presupuesto de 2014/15 tras las transferencias refleja </w:t>
      </w:r>
      <w:r w:rsidR="00E827F2" w:rsidRPr="00526311">
        <w:rPr>
          <w:rFonts w:cs="Arial"/>
          <w:lang w:val="es-ES"/>
        </w:rPr>
        <w:t xml:space="preserve">i) la </w:t>
      </w:r>
      <w:r w:rsidR="00A55668" w:rsidRPr="00526311">
        <w:rPr>
          <w:rFonts w:cs="Arial"/>
          <w:lang w:val="es-ES"/>
        </w:rPr>
        <w:t xml:space="preserve">distribución de un puesto para reforzar los servicios administrativos en la Academia de la OMPI, y ii) </w:t>
      </w:r>
      <w:r w:rsidRPr="00526311">
        <w:rPr>
          <w:rFonts w:cs="Arial"/>
          <w:lang w:val="es-ES"/>
        </w:rPr>
        <w:t xml:space="preserve">los ajustes realizados en el presupuesto debido a ahorros obtenidos fundamentalmente en </w:t>
      </w:r>
      <w:r w:rsidR="00A55668" w:rsidRPr="00526311">
        <w:rPr>
          <w:rFonts w:cs="Arial"/>
          <w:lang w:val="es-ES"/>
        </w:rPr>
        <w:t>el servicio lingüístico y en el de imprenta</w:t>
      </w:r>
      <w:r w:rsidRPr="00526311">
        <w:rPr>
          <w:rFonts w:cs="Arial"/>
          <w:lang w:val="es-ES"/>
        </w:rPr>
        <w:t>.</w:t>
      </w:r>
    </w:p>
    <w:p w:rsidR="00794E04" w:rsidRPr="00526311" w:rsidRDefault="00794E04" w:rsidP="0063039A">
      <w:pPr>
        <w:pStyle w:val="ListParagraph"/>
        <w:tabs>
          <w:tab w:val="left" w:pos="709"/>
        </w:tabs>
        <w:ind w:left="0"/>
        <w:jc w:val="both"/>
        <w:rPr>
          <w:rFonts w:cs="Arial"/>
          <w:lang w:val="es-ES"/>
        </w:rPr>
      </w:pPr>
    </w:p>
    <w:p w:rsidR="00794E04" w:rsidRPr="00526311" w:rsidRDefault="00794E04"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794E04" w:rsidRPr="00526311" w:rsidRDefault="00794E04" w:rsidP="0063039A">
      <w:pPr>
        <w:pStyle w:val="ListParagraph"/>
        <w:tabs>
          <w:tab w:val="left" w:pos="709"/>
        </w:tabs>
        <w:ind w:left="0"/>
        <w:jc w:val="both"/>
        <w:rPr>
          <w:rFonts w:cs="Arial"/>
          <w:lang w:val="es-ES"/>
        </w:rPr>
      </w:pPr>
    </w:p>
    <w:p w:rsidR="00794E04" w:rsidRPr="00526311" w:rsidRDefault="00794E04" w:rsidP="00794E04">
      <w:pPr>
        <w:pStyle w:val="ListParagraph"/>
        <w:numPr>
          <w:ilvl w:val="0"/>
          <w:numId w:val="94"/>
        </w:numPr>
        <w:tabs>
          <w:tab w:val="left" w:pos="709"/>
        </w:tabs>
        <w:ind w:left="0" w:firstLine="0"/>
        <w:jc w:val="both"/>
        <w:rPr>
          <w:rFonts w:cs="Arial"/>
          <w:lang w:val="es-ES"/>
        </w:rPr>
      </w:pPr>
      <w:r w:rsidRPr="00526311">
        <w:rPr>
          <w:rFonts w:cs="Arial"/>
          <w:lang w:val="es-ES" w:eastAsia="ko-KR"/>
        </w:rPr>
        <w:t>La utilización del presupuesto se ha mantenido dentro de los límites establecidos (40-60%) durante el primer año del bienio y está bien encaminada.</w:t>
      </w:r>
    </w:p>
    <w:p w:rsidR="00794E04" w:rsidRPr="00526311" w:rsidRDefault="00794E04" w:rsidP="0063039A">
      <w:pPr>
        <w:autoSpaceDE w:val="0"/>
        <w:autoSpaceDN w:val="0"/>
        <w:jc w:val="both"/>
        <w:rPr>
          <w:sz w:val="20"/>
        </w:rPr>
      </w:pPr>
    </w:p>
    <w:p w:rsidR="00794E04" w:rsidRPr="00526311" w:rsidRDefault="00794E04" w:rsidP="0063039A">
      <w:pPr>
        <w:autoSpaceDE w:val="0"/>
        <w:autoSpaceDN w:val="0"/>
        <w:jc w:val="both"/>
        <w:rPr>
          <w:sz w:val="20"/>
        </w:rPr>
      </w:pPr>
    </w:p>
    <w:p w:rsidR="00794E04" w:rsidRPr="00526311" w:rsidRDefault="00794E04">
      <w:pPr>
        <w:rPr>
          <w:bCs/>
          <w:iCs/>
          <w:caps/>
          <w:sz w:val="20"/>
        </w:rPr>
      </w:pPr>
      <w:r w:rsidRPr="00526311">
        <w:rPr>
          <w:sz w:val="20"/>
        </w:rPr>
        <w:br w:type="page"/>
      </w:r>
    </w:p>
    <w:p w:rsidR="00794E04" w:rsidRPr="00526311" w:rsidRDefault="00794E04" w:rsidP="0063039A">
      <w:pPr>
        <w:pStyle w:val="Heading2"/>
        <w:tabs>
          <w:tab w:val="left" w:pos="2410"/>
        </w:tabs>
        <w:rPr>
          <w:b/>
          <w:szCs w:val="22"/>
        </w:rPr>
      </w:pPr>
      <w:bookmarkStart w:id="91" w:name="_Toc422927442"/>
      <w:r w:rsidRPr="00526311">
        <w:rPr>
          <w:b/>
          <w:szCs w:val="22"/>
        </w:rPr>
        <w:lastRenderedPageBreak/>
        <w:t>PROGRAMA 28</w:t>
      </w:r>
      <w:r w:rsidRPr="00526311">
        <w:rPr>
          <w:b/>
          <w:szCs w:val="22"/>
        </w:rPr>
        <w:tab/>
        <w:t>SEGURIDAD Y VIGILANCIA</w:t>
      </w:r>
      <w:bookmarkEnd w:id="91"/>
    </w:p>
    <w:p w:rsidR="00794E04" w:rsidRPr="00526311" w:rsidRDefault="00794E04" w:rsidP="0063039A">
      <w:pPr>
        <w:rPr>
          <w:sz w:val="20"/>
        </w:rPr>
      </w:pPr>
    </w:p>
    <w:p w:rsidR="00794E04" w:rsidRPr="00526311" w:rsidRDefault="00794E04" w:rsidP="0063039A">
      <w:pPr>
        <w:tabs>
          <w:tab w:val="left" w:pos="2410"/>
        </w:tabs>
        <w:rPr>
          <w:b/>
          <w:sz w:val="20"/>
        </w:rPr>
      </w:pPr>
      <w:r w:rsidRPr="00526311">
        <w:rPr>
          <w:b/>
          <w:sz w:val="20"/>
        </w:rPr>
        <w:t>Director de programa</w:t>
      </w:r>
      <w:r w:rsidRPr="00526311">
        <w:rPr>
          <w:sz w:val="20"/>
        </w:rPr>
        <w:tab/>
      </w:r>
      <w:r w:rsidRPr="00526311">
        <w:rPr>
          <w:b/>
          <w:sz w:val="20"/>
        </w:rPr>
        <w:t>Sr. A. Sundaram</w:t>
      </w:r>
    </w:p>
    <w:p w:rsidR="00794E04" w:rsidRPr="00526311" w:rsidRDefault="00794E04" w:rsidP="0063039A">
      <w:pPr>
        <w:rPr>
          <w:sz w:val="20"/>
        </w:rPr>
      </w:pPr>
    </w:p>
    <w:p w:rsidR="00794E04" w:rsidRPr="00526311" w:rsidRDefault="00794E04" w:rsidP="0063039A">
      <w:pPr>
        <w:rPr>
          <w:sz w:val="20"/>
        </w:rPr>
      </w:pPr>
    </w:p>
    <w:p w:rsidR="00794E04" w:rsidRPr="00526311" w:rsidRDefault="00794E04" w:rsidP="0063039A">
      <w:pPr>
        <w:rPr>
          <w:bCs/>
          <w:szCs w:val="22"/>
        </w:rPr>
      </w:pPr>
      <w:r w:rsidRPr="00526311">
        <w:rPr>
          <w:bCs/>
          <w:szCs w:val="22"/>
        </w:rPr>
        <w:t>RESEÑA DE LOS AVANCES LOGRADOS EN 2014</w:t>
      </w:r>
    </w:p>
    <w:p w:rsidR="00794E04" w:rsidRPr="00526311" w:rsidRDefault="00794E04" w:rsidP="0063039A">
      <w:pPr>
        <w:rPr>
          <w:bCs/>
        </w:rPr>
      </w:pPr>
    </w:p>
    <w:p w:rsidR="00794E04" w:rsidRPr="00526311" w:rsidRDefault="00794E04" w:rsidP="00794E04">
      <w:pPr>
        <w:pStyle w:val="ListParagraph"/>
        <w:numPr>
          <w:ilvl w:val="0"/>
          <w:numId w:val="95"/>
        </w:numPr>
        <w:tabs>
          <w:tab w:val="left" w:pos="0"/>
        </w:tabs>
        <w:ind w:left="0" w:firstLine="0"/>
        <w:jc w:val="both"/>
        <w:rPr>
          <w:bCs/>
          <w:lang w:val="es-ES"/>
        </w:rPr>
      </w:pPr>
      <w:r w:rsidRPr="00526311">
        <w:rPr>
          <w:bCs/>
          <w:lang w:val="es-ES"/>
        </w:rPr>
        <w:t>El costo de los servicios de seguridad y vigilancia en 2014 se mantuvo en línea con el costo de años anteriores como porcentaje del gasto total de la Organización.  Se siguieron gestionando en el marco del programa todos los sistemas de seguridad y vigilancia de la Organización a lo largo del año, incluidas las instalaciones de la nueva sala de conferencias de la OMPI, inauguradas en septiembre de 2014.</w:t>
      </w:r>
    </w:p>
    <w:p w:rsidR="00794E04" w:rsidRPr="00526311" w:rsidRDefault="00794E04" w:rsidP="0063039A">
      <w:pPr>
        <w:tabs>
          <w:tab w:val="left" w:pos="709"/>
        </w:tabs>
        <w:jc w:val="both"/>
        <w:rPr>
          <w:bCs/>
        </w:rPr>
      </w:pPr>
    </w:p>
    <w:p w:rsidR="00794E04" w:rsidRPr="00526311" w:rsidRDefault="00794E04" w:rsidP="00794E04">
      <w:pPr>
        <w:pStyle w:val="ListParagraph"/>
        <w:numPr>
          <w:ilvl w:val="0"/>
          <w:numId w:val="95"/>
        </w:numPr>
        <w:tabs>
          <w:tab w:val="left" w:pos="0"/>
        </w:tabs>
        <w:ind w:left="0" w:firstLine="0"/>
        <w:jc w:val="both"/>
        <w:rPr>
          <w:bCs/>
          <w:lang w:val="es-ES"/>
        </w:rPr>
      </w:pPr>
      <w:r w:rsidRPr="00526311">
        <w:rPr>
          <w:bCs/>
          <w:lang w:val="es-ES"/>
        </w:rPr>
        <w:t xml:space="preserve">En 2014 se consiguieron algunos logros importantes en materia de seguridad y vigilancia, entre los que destacó la apertura del nuevo Centro de Acceso de la OMPI (recepción AB) y del Centro de Operaciones de Coordinación en materia de Seguridad (SCOC) en el plazo previsto para brindar un apoyo eficaz a la celebración de la vigesimosegunda sesión del PBC y de la quincuagésima cuarta serie de reuniones de las Asambleas de los Estados miembros de la OMPI.  Por otra parte, estaba a punto de finalizarse el proyecto de Normas mínimas de seguridad operacional para las sedes de las Naciones Unidas (H-MOSS), y el 95% de los nuevos dispositivos, como un nuevo sistema de control del acceso, medidas técnicamente avanzadas para proteger el perímetro del paso de intrusos, un sistema de cámaras de televisión de circuito cerrado (CCTV), un sistema de comunicaciones y de respuesta en situaciones de emergencia y un sistema de detección y control de incendios, entró plenamente en funcionamiento a finales de 2014.  Esas mejoras reforzaron considerablemente la seguridad en todo el recinto de la OMPI y, en consonancia con el plan del proyecto, permitieron una reducción gradual, aunque inferior a lo previsto, del personal de seguridad </w:t>
      </w:r>
      <w:r w:rsidRPr="00526311">
        <w:rPr>
          <w:bCs/>
          <w:i/>
          <w:lang w:val="es-ES"/>
        </w:rPr>
        <w:t>in situ</w:t>
      </w:r>
      <w:r w:rsidRPr="00526311">
        <w:rPr>
          <w:bCs/>
          <w:lang w:val="es-ES"/>
        </w:rPr>
        <w:t xml:space="preserve"> en 2014.  </w:t>
      </w:r>
    </w:p>
    <w:p w:rsidR="00794E04" w:rsidRPr="00526311" w:rsidRDefault="00794E04" w:rsidP="0063039A">
      <w:pPr>
        <w:tabs>
          <w:tab w:val="left" w:pos="709"/>
        </w:tabs>
        <w:jc w:val="both"/>
        <w:rPr>
          <w:bCs/>
        </w:rPr>
      </w:pPr>
    </w:p>
    <w:p w:rsidR="00794E04" w:rsidRPr="00526311" w:rsidRDefault="00794E04" w:rsidP="00794E04">
      <w:pPr>
        <w:pStyle w:val="ListParagraph"/>
        <w:numPr>
          <w:ilvl w:val="0"/>
          <w:numId w:val="95"/>
        </w:numPr>
        <w:tabs>
          <w:tab w:val="left" w:pos="0"/>
        </w:tabs>
        <w:ind w:left="0" w:firstLine="0"/>
        <w:jc w:val="both"/>
        <w:rPr>
          <w:bCs/>
          <w:lang w:val="es-ES"/>
        </w:rPr>
      </w:pPr>
      <w:r w:rsidRPr="00526311">
        <w:rPr>
          <w:bCs/>
          <w:lang w:val="es-ES"/>
        </w:rPr>
        <w:t xml:space="preserve">La finalización del proyecto H-MOSS está prevista para 2015.  En consecuencia, la puesta en aplicación de varias medidas de seguridad y vigilancia secundarias y no esenciales (mejora de los sistemas de iluminación en dos de las instalaciones, perfeccionamiento del sistema de comunicaciones por radio VHF y mejora del acceso y de los sistemas de vigilancia CCTV para el edificio CAM de la OMPI), cuyo comienzo estaba previsto en 2014/15, se ha aplazado al bienio 2016/17. </w:t>
      </w:r>
    </w:p>
    <w:p w:rsidR="00794E04" w:rsidRPr="00526311" w:rsidRDefault="00794E04" w:rsidP="0063039A">
      <w:pPr>
        <w:tabs>
          <w:tab w:val="left" w:pos="709"/>
        </w:tabs>
        <w:jc w:val="both"/>
        <w:rPr>
          <w:bCs/>
        </w:rPr>
      </w:pPr>
    </w:p>
    <w:p w:rsidR="00794E04" w:rsidRPr="00526311" w:rsidRDefault="00794E04" w:rsidP="00794E04">
      <w:pPr>
        <w:pStyle w:val="ListParagraph"/>
        <w:numPr>
          <w:ilvl w:val="0"/>
          <w:numId w:val="95"/>
        </w:numPr>
        <w:tabs>
          <w:tab w:val="left" w:pos="0"/>
          <w:tab w:val="left" w:pos="567"/>
        </w:tabs>
        <w:ind w:left="0" w:firstLine="0"/>
        <w:jc w:val="both"/>
        <w:rPr>
          <w:bCs/>
          <w:lang w:val="es-ES"/>
        </w:rPr>
      </w:pPr>
      <w:r w:rsidRPr="00526311">
        <w:rPr>
          <w:bCs/>
          <w:lang w:val="es-ES"/>
        </w:rPr>
        <w:t xml:space="preserve">Con el fin de optimizar la capacidad operativa del SCOC y de los nuevos sistemas, se impartió formación especializada al personal de vigilancia y seguridad y a los miembros del equipo de guardias de seguridad del recinto de la OMPI.  Se implantaron nuevos procedimientos de gestión de la seguridad y se actualizaron los procedimientos operativos estándar y las políticas específicas actuales.  Asimismo, se elaboraron nuevas medidas sobre el desempeño del personal de seguridad, que fueron incorporadas en los procedimientos operativos estándar con el fin de potenciar la eficacia y la capacidad de respuesta en situaciones de emergencia.  </w:t>
      </w:r>
    </w:p>
    <w:p w:rsidR="00794E04" w:rsidRPr="00526311" w:rsidRDefault="00794E04" w:rsidP="0063039A">
      <w:pPr>
        <w:tabs>
          <w:tab w:val="left" w:pos="709"/>
        </w:tabs>
        <w:jc w:val="both"/>
        <w:rPr>
          <w:bCs/>
        </w:rPr>
      </w:pPr>
    </w:p>
    <w:p w:rsidR="00794E04" w:rsidRPr="00526311" w:rsidRDefault="00794E04" w:rsidP="00794E04">
      <w:pPr>
        <w:pStyle w:val="ListParagraph"/>
        <w:numPr>
          <w:ilvl w:val="0"/>
          <w:numId w:val="95"/>
        </w:numPr>
        <w:ind w:left="0" w:firstLine="0"/>
        <w:jc w:val="both"/>
        <w:rPr>
          <w:bCs/>
          <w:lang w:val="es-ES"/>
        </w:rPr>
      </w:pPr>
      <w:r w:rsidRPr="00526311">
        <w:rPr>
          <w:bCs/>
          <w:lang w:val="es-ES"/>
        </w:rPr>
        <w:t xml:space="preserve">En noviembre de 2014, se realizaron auditorías de evaluación de la seguridad de las oficinas de Río de Janeiro y de Nueva York que dieron lugar a que se recomendara, respecto de ambas oficinas, mejorar la seguridad del personal de la OMPI, proteger mejor los activos de la Organización y asegurar la conformidad con los procedimientos de seguridad y vigilancia de las Naciones Unidas.  Además, se estableció un programa de actividades de divulgación en el marco del SCOC para las oficinas de la OMPI en el exterior, destinado a mejorar la gestión de la seguridad mediante una coordinación concertada y un servicio de asistencia en materia de seguridad disponible día y noche. </w:t>
      </w:r>
    </w:p>
    <w:p w:rsidR="00794E04" w:rsidRPr="00526311" w:rsidRDefault="00794E04" w:rsidP="0063039A">
      <w:pPr>
        <w:tabs>
          <w:tab w:val="left" w:pos="709"/>
        </w:tabs>
        <w:jc w:val="both"/>
        <w:rPr>
          <w:bCs/>
        </w:rPr>
      </w:pPr>
    </w:p>
    <w:p w:rsidR="00794E04" w:rsidRPr="00526311" w:rsidRDefault="00794E04" w:rsidP="00794E04">
      <w:pPr>
        <w:pStyle w:val="ListParagraph"/>
        <w:numPr>
          <w:ilvl w:val="0"/>
          <w:numId w:val="95"/>
        </w:numPr>
        <w:tabs>
          <w:tab w:val="left" w:pos="0"/>
        </w:tabs>
        <w:ind w:left="0" w:firstLine="0"/>
        <w:jc w:val="both"/>
        <w:rPr>
          <w:bCs/>
          <w:lang w:val="es-ES"/>
        </w:rPr>
      </w:pPr>
      <w:r w:rsidRPr="00526311">
        <w:rPr>
          <w:bCs/>
          <w:lang w:val="es-ES"/>
        </w:rPr>
        <w:t xml:space="preserve">El número total de incidentes de seguridad notificados en 2014 siguió siendo bajo, ya que solo se registraron dos incidentes con lesiones.  El porcentaje total de incidentes relacionados con la seguridad que provocaron lesiones fue del 0,9% en todo el año.  </w:t>
      </w:r>
    </w:p>
    <w:p w:rsidR="00794E04" w:rsidRPr="00526311" w:rsidRDefault="00794E04" w:rsidP="0063039A">
      <w:pPr>
        <w:jc w:val="both"/>
        <w:rPr>
          <w:bCs/>
        </w:rPr>
      </w:pPr>
    </w:p>
    <w:p w:rsidR="00794E04" w:rsidRPr="00526311" w:rsidRDefault="00794E04" w:rsidP="0063039A">
      <w:pPr>
        <w:jc w:val="both"/>
        <w:rPr>
          <w:bCs/>
        </w:rPr>
      </w:pPr>
    </w:p>
    <w:p w:rsidR="00794E04" w:rsidRPr="00526311" w:rsidRDefault="00794E04" w:rsidP="0063039A">
      <w:pPr>
        <w:keepNext/>
        <w:keepLines/>
        <w:jc w:val="both"/>
        <w:rPr>
          <w:szCs w:val="22"/>
        </w:rPr>
      </w:pPr>
      <w:r w:rsidRPr="00526311">
        <w:rPr>
          <w:szCs w:val="22"/>
        </w:rPr>
        <w:lastRenderedPageBreak/>
        <w:t>DATOS SOBRE EL RENDIMIENTO</w:t>
      </w:r>
    </w:p>
    <w:p w:rsidR="00794E04" w:rsidRPr="00526311" w:rsidRDefault="00794E04" w:rsidP="0063039A">
      <w:pPr>
        <w:keepNext/>
        <w:keepLines/>
        <w:rPr>
          <w:bCs/>
          <w:szCs w:val="22"/>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266"/>
        <w:gridCol w:w="1277"/>
        <w:gridCol w:w="2551"/>
        <w:gridCol w:w="1277"/>
      </w:tblGrid>
      <w:tr w:rsidR="00794E04" w:rsidRPr="00526311" w:rsidTr="0063039A">
        <w:trPr>
          <w:cantSplit/>
        </w:trPr>
        <w:tc>
          <w:tcPr>
            <w:tcW w:w="5000" w:type="pct"/>
            <w:gridSpan w:val="5"/>
            <w:tcBorders>
              <w:top w:val="single" w:sz="4" w:space="0" w:color="auto"/>
              <w:bottom w:val="single" w:sz="4" w:space="0" w:color="auto"/>
            </w:tcBorders>
            <w:shd w:val="clear" w:color="auto" w:fill="CCFFFF"/>
            <w:vAlign w:val="center"/>
          </w:tcPr>
          <w:p w:rsidR="00794E04" w:rsidRPr="00526311" w:rsidRDefault="00794E04" w:rsidP="0063039A">
            <w:pPr>
              <w:keepNext/>
              <w:keepLines/>
              <w:tabs>
                <w:tab w:val="left" w:pos="1452"/>
              </w:tabs>
              <w:spacing w:before="120" w:after="120"/>
              <w:ind w:left="1701" w:hanging="1701"/>
              <w:rPr>
                <w:b/>
                <w:bCs/>
                <w:sz w:val="16"/>
                <w:szCs w:val="16"/>
              </w:rPr>
            </w:pPr>
            <w:r w:rsidRPr="00526311">
              <w:rPr>
                <w:b/>
                <w:bCs/>
                <w:sz w:val="16"/>
                <w:szCs w:val="16"/>
              </w:rPr>
              <w:t>Resultado previsto:</w:t>
            </w:r>
            <w:r w:rsidRPr="00526311">
              <w:rPr>
                <w:b/>
                <w:bCs/>
                <w:sz w:val="16"/>
                <w:szCs w:val="16"/>
              </w:rPr>
              <w:tab/>
            </w:r>
            <w:r w:rsidRPr="00526311">
              <w:rPr>
                <w:bCs/>
                <w:sz w:val="16"/>
                <w:szCs w:val="16"/>
              </w:rPr>
              <w:t>IX.4 Una organización responsable con el medio ambiente y la sociedad en la que se garantiza la seguridad de su personal, los delegados, los visitantes, la información y los activos físicos</w:t>
            </w:r>
          </w:p>
        </w:tc>
      </w:tr>
      <w:tr w:rsidR="00794E04" w:rsidRPr="00526311" w:rsidTr="0063039A">
        <w:trPr>
          <w:cantSplit/>
        </w:trPr>
        <w:tc>
          <w:tcPr>
            <w:tcW w:w="1120" w:type="pct"/>
            <w:tcBorders>
              <w:top w:val="single" w:sz="4" w:space="0" w:color="auto"/>
            </w:tcBorders>
            <w:shd w:val="clear" w:color="auto" w:fill="auto"/>
            <w:vAlign w:val="center"/>
          </w:tcPr>
          <w:p w:rsidR="00794E04" w:rsidRPr="00526311" w:rsidRDefault="00794E04" w:rsidP="0063039A">
            <w:pPr>
              <w:keepNext/>
              <w:keepLines/>
              <w:rPr>
                <w:sz w:val="16"/>
                <w:szCs w:val="16"/>
              </w:rPr>
            </w:pPr>
            <w:r w:rsidRPr="00526311">
              <w:rPr>
                <w:b/>
                <w:sz w:val="16"/>
                <w:szCs w:val="16"/>
              </w:rPr>
              <w:t>Indicadores de rendimiento</w:t>
            </w:r>
          </w:p>
        </w:tc>
        <w:tc>
          <w:tcPr>
            <w:tcW w:w="1193" w:type="pct"/>
            <w:tcBorders>
              <w:top w:val="single" w:sz="4" w:space="0" w:color="auto"/>
            </w:tcBorders>
            <w:shd w:val="clear" w:color="auto" w:fill="auto"/>
            <w:vAlign w:val="center"/>
          </w:tcPr>
          <w:p w:rsidR="00794E04" w:rsidRPr="00526311" w:rsidRDefault="00794E04" w:rsidP="0063039A">
            <w:pPr>
              <w:keepNext/>
              <w:keepLines/>
              <w:rPr>
                <w:b/>
                <w:bCs/>
                <w:sz w:val="16"/>
                <w:szCs w:val="16"/>
              </w:rPr>
            </w:pPr>
            <w:r w:rsidRPr="00526311">
              <w:rPr>
                <w:b/>
                <w:bCs/>
                <w:sz w:val="16"/>
                <w:szCs w:val="16"/>
              </w:rPr>
              <w:t>Referencia</w:t>
            </w:r>
          </w:p>
        </w:tc>
        <w:tc>
          <w:tcPr>
            <w:tcW w:w="672" w:type="pct"/>
            <w:tcBorders>
              <w:top w:val="single" w:sz="4" w:space="0" w:color="auto"/>
            </w:tcBorders>
            <w:shd w:val="clear" w:color="auto" w:fill="auto"/>
            <w:tcMar>
              <w:top w:w="110" w:type="dxa"/>
            </w:tcMar>
            <w:vAlign w:val="center"/>
          </w:tcPr>
          <w:p w:rsidR="00794E04" w:rsidRPr="00526311" w:rsidRDefault="00794E04" w:rsidP="0063039A">
            <w:pPr>
              <w:keepNext/>
              <w:keepLines/>
              <w:rPr>
                <w:b/>
                <w:sz w:val="16"/>
                <w:szCs w:val="16"/>
              </w:rPr>
            </w:pPr>
            <w:r w:rsidRPr="00526311">
              <w:rPr>
                <w:b/>
                <w:sz w:val="16"/>
                <w:szCs w:val="16"/>
              </w:rPr>
              <w:t>Objetivos</w:t>
            </w:r>
          </w:p>
        </w:tc>
        <w:tc>
          <w:tcPr>
            <w:tcW w:w="1343" w:type="pct"/>
            <w:tcBorders>
              <w:top w:val="single" w:sz="4" w:space="0" w:color="auto"/>
            </w:tcBorders>
            <w:shd w:val="clear" w:color="auto" w:fill="FFFFFF"/>
            <w:tcMar>
              <w:top w:w="110" w:type="dxa"/>
            </w:tcMar>
            <w:vAlign w:val="center"/>
          </w:tcPr>
          <w:p w:rsidR="00794E04" w:rsidRPr="00526311" w:rsidRDefault="00794E04" w:rsidP="0063039A">
            <w:pPr>
              <w:keepNext/>
              <w:keepLines/>
              <w:rPr>
                <w:sz w:val="16"/>
                <w:szCs w:val="16"/>
              </w:rPr>
            </w:pPr>
            <w:r w:rsidRPr="00526311">
              <w:rPr>
                <w:b/>
                <w:sz w:val="16"/>
                <w:szCs w:val="16"/>
              </w:rPr>
              <w:t>Datos sobre el rendimiento</w:t>
            </w:r>
          </w:p>
        </w:tc>
        <w:tc>
          <w:tcPr>
            <w:tcW w:w="672" w:type="pct"/>
            <w:tcBorders>
              <w:top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rPr>
          <w:cantSplit/>
        </w:trPr>
        <w:tc>
          <w:tcPr>
            <w:tcW w:w="1120" w:type="pct"/>
            <w:shd w:val="clear" w:color="auto" w:fill="auto"/>
          </w:tcPr>
          <w:p w:rsidR="00794E04" w:rsidRPr="00526311" w:rsidRDefault="00794E04" w:rsidP="0063039A">
            <w:pPr>
              <w:keepNext/>
              <w:keepLines/>
              <w:rPr>
                <w:sz w:val="16"/>
                <w:szCs w:val="16"/>
              </w:rPr>
            </w:pPr>
            <w:r w:rsidRPr="00526311">
              <w:rPr>
                <w:sz w:val="16"/>
                <w:szCs w:val="16"/>
              </w:rPr>
              <w:t>Porcentaje de miembros del personal, delegados y visitantes que notifican lesiones o incidentes relacionados con el entorno laboral</w:t>
            </w:r>
          </w:p>
        </w:tc>
        <w:tc>
          <w:tcPr>
            <w:tcW w:w="1193" w:type="pct"/>
            <w:shd w:val="clear" w:color="auto" w:fill="auto"/>
          </w:tcPr>
          <w:p w:rsidR="00794E04" w:rsidRPr="00526311" w:rsidRDefault="00794E04" w:rsidP="0063039A">
            <w:pPr>
              <w:keepNext/>
              <w:keepLines/>
              <w:rPr>
                <w:color w:val="002060"/>
                <w:sz w:val="16"/>
                <w:szCs w:val="16"/>
              </w:rPr>
            </w:pPr>
            <w:r w:rsidRPr="00526311">
              <w:rPr>
                <w:i/>
                <w:color w:val="002060"/>
                <w:sz w:val="16"/>
                <w:szCs w:val="16"/>
              </w:rPr>
              <w:t>Referencia actualizada a fines de 2013</w:t>
            </w:r>
            <w:r w:rsidRPr="00526311">
              <w:rPr>
                <w:color w:val="002060"/>
                <w:sz w:val="16"/>
                <w:szCs w:val="16"/>
              </w:rPr>
              <w:t>:  El porcentaje total de incidentes en los que se han visto implicados miembros del personal y se han producido lesiones fue inferior al 2% en 2012/13 (6 en 2012;  4 en 2013)</w:t>
            </w:r>
          </w:p>
          <w:p w:rsidR="00794E04" w:rsidRPr="00526311" w:rsidRDefault="00794E04" w:rsidP="0063039A">
            <w:pPr>
              <w:keepNext/>
              <w:keepLines/>
              <w:rPr>
                <w:sz w:val="16"/>
                <w:szCs w:val="16"/>
              </w:rPr>
            </w:pPr>
          </w:p>
          <w:p w:rsidR="00794E04" w:rsidRPr="00526311" w:rsidRDefault="007B705E" w:rsidP="00A55668">
            <w:pPr>
              <w:keepNext/>
              <w:keepLines/>
              <w:rPr>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el 2% o un porcentaje menor del total de partes interesadas / clientes notifican lesiones o incidentes relacionados con el entorno laboral</w:t>
            </w:r>
          </w:p>
        </w:tc>
        <w:tc>
          <w:tcPr>
            <w:tcW w:w="672" w:type="pct"/>
            <w:shd w:val="clear" w:color="auto" w:fill="auto"/>
            <w:tcMar>
              <w:top w:w="110" w:type="dxa"/>
            </w:tcMar>
          </w:tcPr>
          <w:p w:rsidR="00794E04" w:rsidRPr="00526311" w:rsidRDefault="00794E04" w:rsidP="0063039A">
            <w:pPr>
              <w:keepNext/>
              <w:keepLines/>
              <w:rPr>
                <w:sz w:val="16"/>
                <w:szCs w:val="16"/>
              </w:rPr>
            </w:pPr>
            <w:r w:rsidRPr="00526311">
              <w:rPr>
                <w:sz w:val="16"/>
                <w:szCs w:val="16"/>
              </w:rPr>
              <w:t>2% o menos</w:t>
            </w:r>
          </w:p>
        </w:tc>
        <w:tc>
          <w:tcPr>
            <w:tcW w:w="1343" w:type="pct"/>
            <w:shd w:val="clear" w:color="auto" w:fill="FFFFFF"/>
            <w:tcMar>
              <w:top w:w="110" w:type="dxa"/>
            </w:tcMar>
          </w:tcPr>
          <w:p w:rsidR="00794E04" w:rsidRPr="00526311" w:rsidRDefault="00794E04" w:rsidP="0063039A">
            <w:pPr>
              <w:keepNext/>
              <w:keepLines/>
              <w:rPr>
                <w:sz w:val="16"/>
                <w:szCs w:val="16"/>
              </w:rPr>
            </w:pPr>
            <w:r w:rsidRPr="00526311">
              <w:rPr>
                <w:sz w:val="16"/>
                <w:szCs w:val="16"/>
              </w:rPr>
              <w:t>El porcentaje total de incidentes relacionados con la seguridad que provocaron lesiones fue del 0,9% en 2014. Se notificaron dos incidentes relacionados con la seguridad</w:t>
            </w:r>
          </w:p>
        </w:tc>
        <w:tc>
          <w:tcPr>
            <w:tcW w:w="672" w:type="pct"/>
            <w:shd w:val="clear" w:color="auto" w:fill="auto"/>
            <w:tcMar>
              <w:top w:w="110" w:type="dxa"/>
            </w:tcMar>
          </w:tcPr>
          <w:p w:rsidR="00794E04" w:rsidRPr="00526311" w:rsidRDefault="00794E04" w:rsidP="0063039A">
            <w:pPr>
              <w:keepNext/>
              <w:keepLines/>
              <w:rPr>
                <w:b/>
                <w:bCs/>
                <w:color w:val="00B050"/>
                <w:sz w:val="16"/>
                <w:szCs w:val="16"/>
              </w:rPr>
            </w:pPr>
            <w:r w:rsidRPr="00526311">
              <w:rPr>
                <w:b/>
                <w:color w:val="00B050"/>
                <w:sz w:val="16"/>
                <w:szCs w:val="16"/>
              </w:rPr>
              <w:t>Avanza</w:t>
            </w:r>
          </w:p>
        </w:tc>
      </w:tr>
      <w:tr w:rsidR="00794E04" w:rsidRPr="00526311" w:rsidTr="0063039A">
        <w:trPr>
          <w:cantSplit/>
        </w:trPr>
        <w:tc>
          <w:tcPr>
            <w:tcW w:w="1120" w:type="pct"/>
            <w:shd w:val="clear" w:color="auto" w:fill="auto"/>
          </w:tcPr>
          <w:p w:rsidR="00794E04" w:rsidRPr="00526311" w:rsidRDefault="00794E04" w:rsidP="0063039A">
            <w:pPr>
              <w:rPr>
                <w:sz w:val="16"/>
                <w:szCs w:val="16"/>
              </w:rPr>
            </w:pPr>
            <w:r w:rsidRPr="00526311">
              <w:rPr>
                <w:sz w:val="16"/>
                <w:szCs w:val="16"/>
              </w:rPr>
              <w:t>Porcentaje de peticiones de asistencia relativas a la seguridad atendidas puntualmente en las conferencias o actividades organizadas en o fuera de Ginebra</w:t>
            </w:r>
          </w:p>
        </w:tc>
        <w:tc>
          <w:tcPr>
            <w:tcW w:w="1193" w:type="pct"/>
            <w:shd w:val="clear" w:color="auto" w:fill="auto"/>
          </w:tcPr>
          <w:p w:rsidR="00794E04" w:rsidRPr="00526311" w:rsidRDefault="00794E04" w:rsidP="0063039A">
            <w:pPr>
              <w:keepNext/>
              <w:keepLines/>
              <w:rPr>
                <w:i/>
                <w:color w:val="002060"/>
                <w:sz w:val="16"/>
                <w:szCs w:val="16"/>
              </w:rPr>
            </w:pPr>
            <w:r w:rsidRPr="00526311">
              <w:rPr>
                <w:i/>
                <w:color w:val="002060"/>
                <w:sz w:val="16"/>
                <w:szCs w:val="16"/>
              </w:rPr>
              <w:t xml:space="preserve">Referencia actualizada a fines de 2013: </w:t>
            </w:r>
          </w:p>
          <w:p w:rsidR="00794E04" w:rsidRPr="00526311" w:rsidRDefault="00794E04" w:rsidP="0063039A">
            <w:pPr>
              <w:keepNext/>
              <w:keepLines/>
              <w:rPr>
                <w:color w:val="002060"/>
                <w:sz w:val="16"/>
                <w:szCs w:val="16"/>
              </w:rPr>
            </w:pPr>
            <w:r w:rsidRPr="00526311">
              <w:rPr>
                <w:color w:val="002060"/>
                <w:sz w:val="16"/>
                <w:szCs w:val="16"/>
              </w:rPr>
              <w:t>Durante el bienio se realizó un total de siete auditorías de eventos externos (conferencias o actividades) con la ayuda de las respectivas oficinas nacionales del Departamento de Seguridad y Vigilancia de las Naciones Unidas, que cumplieron todas las normas del sistema de gestión de seguridad de NN.UU.:</w:t>
            </w:r>
          </w:p>
          <w:p w:rsidR="00794E04" w:rsidRPr="00526311" w:rsidRDefault="00794E04" w:rsidP="0063039A">
            <w:pPr>
              <w:keepNext/>
              <w:keepLines/>
              <w:rPr>
                <w:color w:val="002060"/>
                <w:sz w:val="16"/>
                <w:szCs w:val="16"/>
              </w:rPr>
            </w:pPr>
          </w:p>
          <w:p w:rsidR="00794E04" w:rsidRPr="00526311" w:rsidRDefault="00794E04" w:rsidP="0063039A">
            <w:pPr>
              <w:keepNext/>
              <w:keepLines/>
              <w:rPr>
                <w:color w:val="002060"/>
                <w:sz w:val="16"/>
                <w:szCs w:val="16"/>
              </w:rPr>
            </w:pPr>
            <w:r w:rsidRPr="00526311">
              <w:rPr>
                <w:color w:val="002060"/>
                <w:sz w:val="16"/>
                <w:szCs w:val="16"/>
              </w:rPr>
              <w:t>-  tres (2012)</w:t>
            </w:r>
          </w:p>
          <w:p w:rsidR="00794E04" w:rsidRPr="00526311" w:rsidRDefault="00794E04" w:rsidP="0063039A">
            <w:pPr>
              <w:keepNext/>
              <w:keepLines/>
              <w:rPr>
                <w:color w:val="002060"/>
                <w:sz w:val="16"/>
                <w:szCs w:val="16"/>
              </w:rPr>
            </w:pPr>
            <w:r w:rsidRPr="00526311">
              <w:rPr>
                <w:color w:val="002060"/>
                <w:sz w:val="16"/>
                <w:szCs w:val="16"/>
              </w:rPr>
              <w:t>-  cuatro (2013)</w:t>
            </w:r>
          </w:p>
          <w:p w:rsidR="00794E04" w:rsidRPr="00526311" w:rsidRDefault="00794E04" w:rsidP="0063039A">
            <w:pPr>
              <w:keepNext/>
              <w:keepLines/>
              <w:rPr>
                <w:color w:val="002060"/>
                <w:sz w:val="16"/>
                <w:szCs w:val="16"/>
              </w:rPr>
            </w:pPr>
          </w:p>
          <w:p w:rsidR="00794E04" w:rsidRPr="00526311" w:rsidRDefault="00794E04" w:rsidP="0063039A">
            <w:pPr>
              <w:keepNext/>
              <w:keepLines/>
              <w:rPr>
                <w:color w:val="002060"/>
                <w:sz w:val="16"/>
                <w:szCs w:val="16"/>
              </w:rPr>
            </w:pPr>
            <w:r w:rsidRPr="00526311">
              <w:rPr>
                <w:color w:val="002060"/>
                <w:sz w:val="16"/>
                <w:szCs w:val="16"/>
              </w:rPr>
              <w:t>Por otra parte, se llevaron a cabo auditorías de dos eventos externos gestionados directamente por la OMPI (el 100% de las peticiones se atendieron puntualmente)</w:t>
            </w:r>
          </w:p>
          <w:p w:rsidR="00794E04" w:rsidRPr="00526311" w:rsidRDefault="00794E04" w:rsidP="0063039A">
            <w:pPr>
              <w:keepNext/>
              <w:keepLines/>
              <w:rPr>
                <w:color w:val="002060"/>
                <w:sz w:val="16"/>
                <w:szCs w:val="16"/>
              </w:rPr>
            </w:pPr>
          </w:p>
          <w:p w:rsidR="00794E04" w:rsidRPr="00526311" w:rsidRDefault="00794E04" w:rsidP="0063039A">
            <w:pPr>
              <w:keepNext/>
              <w:keepLines/>
              <w:rPr>
                <w:color w:val="002060"/>
                <w:sz w:val="16"/>
                <w:szCs w:val="16"/>
              </w:rPr>
            </w:pPr>
            <w:r w:rsidRPr="00526311">
              <w:rPr>
                <w:color w:val="002060"/>
                <w:sz w:val="16"/>
                <w:szCs w:val="16"/>
              </w:rPr>
              <w:t>En 2012, se emprendieron dos auditorías de las instalaciones de las oficinas de la OMPI en el exterior (Singapur y Tokio)</w:t>
            </w:r>
          </w:p>
          <w:p w:rsidR="00794E04" w:rsidRPr="00526311" w:rsidRDefault="00794E04" w:rsidP="0063039A">
            <w:pPr>
              <w:keepNext/>
              <w:keepLines/>
              <w:rPr>
                <w:color w:val="002060"/>
                <w:sz w:val="16"/>
                <w:szCs w:val="16"/>
              </w:rPr>
            </w:pPr>
          </w:p>
          <w:p w:rsidR="00794E04" w:rsidRPr="00526311" w:rsidRDefault="007B705E" w:rsidP="0063039A">
            <w:pPr>
              <w:rPr>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El 65% o un porcentaje mayor del total de partes interesadas / clientes reciben puntualmente asistencia relativa a la seguridad en las conferencias o actividades organizadas en Ginebra o en otros lugares</w:t>
            </w:r>
            <w:r w:rsidR="00A55668" w:rsidRPr="00526311">
              <w:rPr>
                <w:sz w:val="16"/>
                <w:szCs w:val="16"/>
              </w:rPr>
              <w:br/>
            </w:r>
          </w:p>
        </w:tc>
        <w:tc>
          <w:tcPr>
            <w:tcW w:w="672" w:type="pct"/>
            <w:shd w:val="clear" w:color="auto" w:fill="auto"/>
            <w:tcMar>
              <w:top w:w="110" w:type="dxa"/>
            </w:tcMar>
          </w:tcPr>
          <w:p w:rsidR="00794E04" w:rsidRPr="00526311" w:rsidRDefault="00794E04" w:rsidP="0063039A">
            <w:pPr>
              <w:rPr>
                <w:sz w:val="16"/>
                <w:szCs w:val="16"/>
              </w:rPr>
            </w:pPr>
            <w:r w:rsidRPr="00526311">
              <w:rPr>
                <w:rFonts w:ascii="ArialMT" w:hAnsi="ArialMT" w:cs="ArialMT"/>
                <w:sz w:val="16"/>
                <w:szCs w:val="16"/>
              </w:rPr>
              <w:t>80% o más</w:t>
            </w:r>
          </w:p>
        </w:tc>
        <w:tc>
          <w:tcPr>
            <w:tcW w:w="1343" w:type="pct"/>
            <w:shd w:val="clear" w:color="auto" w:fill="FFFFFF"/>
            <w:tcMar>
              <w:top w:w="110" w:type="dxa"/>
            </w:tcMar>
          </w:tcPr>
          <w:p w:rsidR="00794E04" w:rsidRPr="00526311" w:rsidRDefault="00794E04" w:rsidP="0063039A">
            <w:pPr>
              <w:rPr>
                <w:sz w:val="16"/>
                <w:szCs w:val="16"/>
                <w:lang w:bidi="th-TH"/>
              </w:rPr>
            </w:pPr>
            <w:r w:rsidRPr="00526311">
              <w:rPr>
                <w:sz w:val="16"/>
                <w:szCs w:val="16"/>
                <w:lang w:bidi="th-TH"/>
              </w:rPr>
              <w:t>En 2014, se atendieron todas (100%) las peticiones de asistencia relativas a la seguridad en todas las reuniones o actividades sociales internas organizadas en Ginebra, según las necesidades</w:t>
            </w:r>
          </w:p>
          <w:p w:rsidR="00794E04" w:rsidRPr="00526311" w:rsidRDefault="00794E04" w:rsidP="0063039A">
            <w:pPr>
              <w:rPr>
                <w:sz w:val="16"/>
                <w:szCs w:val="16"/>
                <w:lang w:bidi="th-TH"/>
              </w:rPr>
            </w:pPr>
          </w:p>
          <w:p w:rsidR="00794E04" w:rsidRPr="00526311" w:rsidRDefault="00794E04" w:rsidP="0063039A">
            <w:pPr>
              <w:rPr>
                <w:color w:val="002060"/>
                <w:sz w:val="16"/>
                <w:szCs w:val="16"/>
              </w:rPr>
            </w:pPr>
            <w:r w:rsidRPr="00526311">
              <w:rPr>
                <w:color w:val="002060"/>
                <w:sz w:val="16"/>
                <w:szCs w:val="16"/>
              </w:rPr>
              <w:t>En noviembre de 2014 se realizaron dos auditorías de evaluación de la seguridad en las oficinas de Río de Janeiro y Nueva York</w:t>
            </w:r>
          </w:p>
        </w:tc>
        <w:tc>
          <w:tcPr>
            <w:tcW w:w="672" w:type="pct"/>
            <w:shd w:val="clear" w:color="auto" w:fill="auto"/>
          </w:tcPr>
          <w:p w:rsidR="00794E04" w:rsidRPr="00526311" w:rsidRDefault="00794E04" w:rsidP="0063039A">
            <w:pPr>
              <w:keepNext/>
              <w:keepLines/>
              <w:rPr>
                <w:b/>
                <w:bCs/>
                <w:color w:val="00B050"/>
                <w:sz w:val="16"/>
                <w:szCs w:val="16"/>
              </w:rPr>
            </w:pPr>
            <w:r w:rsidRPr="00526311">
              <w:rPr>
                <w:b/>
                <w:color w:val="00B050"/>
                <w:sz w:val="16"/>
                <w:szCs w:val="16"/>
              </w:rPr>
              <w:t>Avanza</w:t>
            </w:r>
          </w:p>
        </w:tc>
      </w:tr>
    </w:tbl>
    <w:p w:rsidR="00794E04" w:rsidRPr="00526311" w:rsidRDefault="00794E04" w:rsidP="0063039A">
      <w:pPr>
        <w:rPr>
          <w:color w:val="000000"/>
          <w:szCs w:val="22"/>
        </w:rPr>
      </w:pPr>
    </w:p>
    <w:p w:rsidR="00794E04" w:rsidRPr="00526311" w:rsidRDefault="00794E04" w:rsidP="0063039A">
      <w:pPr>
        <w:keepNext/>
        <w:keepLines/>
        <w:rPr>
          <w:color w:val="000000"/>
          <w:szCs w:val="22"/>
        </w:rPr>
      </w:pPr>
    </w:p>
    <w:p w:rsidR="00794E04" w:rsidRPr="00526311" w:rsidRDefault="00794E04" w:rsidP="0063039A">
      <w:pPr>
        <w:keepNext/>
        <w:keepLines/>
        <w:rPr>
          <w:szCs w:val="22"/>
        </w:rPr>
      </w:pPr>
      <w:r w:rsidRPr="00526311">
        <w:rPr>
          <w:szCs w:val="22"/>
        </w:rPr>
        <w:t>UTILIZACIÓN DE LOS RECURSOS</w:t>
      </w:r>
    </w:p>
    <w:p w:rsidR="00794E04" w:rsidRPr="00526311" w:rsidRDefault="00794E04" w:rsidP="0063039A">
      <w:pPr>
        <w:keepNext/>
        <w:keepLines/>
      </w:pPr>
    </w:p>
    <w:p w:rsidR="00794E04" w:rsidRPr="00526311" w:rsidRDefault="00794E04"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794E04" w:rsidRPr="00526311" w:rsidRDefault="00794E04"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(en miles de francos suizos)</w:t>
      </w:r>
    </w:p>
    <w:p w:rsidR="00794E04" w:rsidRPr="00526311" w:rsidRDefault="00794E04" w:rsidP="0063039A">
      <w:pPr>
        <w:pStyle w:val="NormalWeb"/>
        <w:widowControl w:val="0"/>
        <w:spacing w:before="0" w:beforeAutospacing="0" w:after="0" w:afterAutospacing="0"/>
        <w:jc w:val="center"/>
        <w:rPr>
          <w:sz w:val="20"/>
          <w:szCs w:val="20"/>
          <w:lang w:val="es-ES"/>
        </w:rPr>
      </w:pPr>
    </w:p>
    <w:p w:rsidR="00794E04" w:rsidRPr="00526311" w:rsidRDefault="00DD7B62" w:rsidP="0063039A">
      <w:pPr>
        <w:widowControl w:val="0"/>
        <w:jc w:val="center"/>
      </w:pPr>
      <w:r w:rsidRPr="00526311">
        <w:rPr>
          <w:noProof/>
          <w:lang w:val="en-US" w:eastAsia="en-US"/>
        </w:rPr>
        <w:drawing>
          <wp:inline distT="0" distB="0" distL="0" distR="0" wp14:anchorId="2AFA3C3E" wp14:editId="5CE5DBE8">
            <wp:extent cx="5762625" cy="1390650"/>
            <wp:effectExtent l="0" t="0" r="9525"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62625" cy="1390650"/>
                    </a:xfrm>
                    <a:prstGeom prst="rect">
                      <a:avLst/>
                    </a:prstGeom>
                    <a:noFill/>
                    <a:ln>
                      <a:noFill/>
                    </a:ln>
                  </pic:spPr>
                </pic:pic>
              </a:graphicData>
            </a:graphic>
          </wp:inline>
        </w:drawing>
      </w:r>
    </w:p>
    <w:p w:rsidR="00794E04" w:rsidRPr="00526311" w:rsidRDefault="00794E04" w:rsidP="0063039A">
      <w:pPr>
        <w:widowControl w:val="0"/>
      </w:pPr>
    </w:p>
    <w:p w:rsidR="00794E04" w:rsidRPr="00526311" w:rsidRDefault="00794E04" w:rsidP="0063039A">
      <w:pPr>
        <w:pStyle w:val="NormalWeb"/>
        <w:widowControl w:val="0"/>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794E04" w:rsidRPr="00526311" w:rsidRDefault="00794E04" w:rsidP="0063039A">
      <w:pPr>
        <w:pStyle w:val="NormalWeb"/>
        <w:widowControl w:val="0"/>
        <w:spacing w:before="0" w:beforeAutospacing="0" w:after="0" w:afterAutospacing="0"/>
        <w:jc w:val="center"/>
        <w:rPr>
          <w:i/>
          <w:iCs/>
          <w:sz w:val="20"/>
          <w:szCs w:val="20"/>
          <w:lang w:val="es-ES"/>
        </w:rPr>
      </w:pPr>
      <w:r w:rsidRPr="00526311">
        <w:rPr>
          <w:i/>
          <w:iCs/>
          <w:sz w:val="20"/>
          <w:szCs w:val="20"/>
          <w:lang w:val="es-ES"/>
        </w:rPr>
        <w:t>(en miles de francos suizos)</w:t>
      </w:r>
    </w:p>
    <w:p w:rsidR="00794E04" w:rsidRPr="00526311" w:rsidRDefault="00794E04" w:rsidP="0063039A">
      <w:pPr>
        <w:pStyle w:val="NormalWeb"/>
        <w:widowControl w:val="0"/>
        <w:spacing w:before="0" w:beforeAutospacing="0" w:after="0" w:afterAutospacing="0"/>
        <w:jc w:val="center"/>
        <w:rPr>
          <w:lang w:val="es-ES"/>
        </w:rPr>
      </w:pPr>
    </w:p>
    <w:p w:rsidR="00794E04" w:rsidRPr="00526311" w:rsidRDefault="00FF6E74" w:rsidP="0063039A">
      <w:pPr>
        <w:widowControl w:val="0"/>
        <w:jc w:val="center"/>
      </w:pPr>
      <w:bookmarkStart w:id="92" w:name="Punto28"/>
      <w:r w:rsidRPr="00526311">
        <w:rPr>
          <w:noProof/>
          <w:lang w:val="en-US" w:eastAsia="en-US"/>
        </w:rPr>
        <w:drawing>
          <wp:inline distT="0" distB="0" distL="0" distR="0" wp14:anchorId="793234C3" wp14:editId="161F02BF">
            <wp:extent cx="5940425" cy="1178565"/>
            <wp:effectExtent l="0" t="0" r="3175" b="254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0425" cy="1178565"/>
                    </a:xfrm>
                    <a:prstGeom prst="rect">
                      <a:avLst/>
                    </a:prstGeom>
                    <a:noFill/>
                    <a:ln>
                      <a:noFill/>
                    </a:ln>
                  </pic:spPr>
                </pic:pic>
              </a:graphicData>
            </a:graphic>
          </wp:inline>
        </w:drawing>
      </w:r>
      <w:bookmarkEnd w:id="92"/>
    </w:p>
    <w:p w:rsidR="00794E04" w:rsidRPr="00526311" w:rsidRDefault="00794E04" w:rsidP="0063039A">
      <w:pPr>
        <w:widowControl w:val="0"/>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794E04" w:rsidRPr="00526311" w:rsidRDefault="00794E04" w:rsidP="0063039A">
      <w:pPr>
        <w:widowControl w:val="0"/>
        <w:autoSpaceDE w:val="0"/>
        <w:autoSpaceDN w:val="0"/>
        <w:adjustRightInd w:val="0"/>
        <w:rPr>
          <w:sz w:val="20"/>
        </w:rPr>
      </w:pPr>
    </w:p>
    <w:p w:rsidR="00794E04" w:rsidRPr="00526311" w:rsidRDefault="00794E04" w:rsidP="0063039A">
      <w:pPr>
        <w:widowControl w:val="0"/>
        <w:rPr>
          <w:sz w:val="20"/>
          <w:u w:val="single"/>
        </w:rPr>
      </w:pPr>
      <w:r w:rsidRPr="00526311">
        <w:rPr>
          <w:sz w:val="20"/>
        </w:rPr>
        <w:t>A.</w:t>
      </w:r>
      <w:r w:rsidRPr="00526311">
        <w:rPr>
          <w:sz w:val="20"/>
        </w:rPr>
        <w:tab/>
      </w:r>
      <w:r w:rsidRPr="00526311">
        <w:rPr>
          <w:sz w:val="20"/>
          <w:u w:val="single"/>
        </w:rPr>
        <w:t>Presupuesto de 2014/15 tras las transferencias</w:t>
      </w:r>
    </w:p>
    <w:p w:rsidR="00794E04" w:rsidRPr="00526311" w:rsidRDefault="00794E04" w:rsidP="0063039A">
      <w:pPr>
        <w:widowControl w:val="0"/>
        <w:rPr>
          <w:sz w:val="20"/>
          <w:u w:val="single"/>
        </w:rPr>
      </w:pPr>
    </w:p>
    <w:p w:rsidR="00794E04" w:rsidRPr="00526311" w:rsidRDefault="00794E04" w:rsidP="0063039A">
      <w:pPr>
        <w:pStyle w:val="ListParagraph"/>
        <w:widowControl w:val="0"/>
        <w:tabs>
          <w:tab w:val="left" w:pos="567"/>
        </w:tabs>
        <w:ind w:left="0"/>
        <w:jc w:val="both"/>
        <w:rPr>
          <w:lang w:val="es-ES"/>
        </w:rPr>
      </w:pPr>
      <w:r w:rsidRPr="00526311">
        <w:rPr>
          <w:lang w:val="es-ES"/>
        </w:rPr>
        <w:t>28.7</w:t>
      </w:r>
      <w:r w:rsidRPr="00526311">
        <w:rPr>
          <w:lang w:val="es-ES"/>
        </w:rPr>
        <w:tab/>
        <w:t xml:space="preserve">El leve aumento observado en el presupuesto de 2014/15 tras las transferencias se debe, por un lado, a la aplicación de medidas de fomento de la eficacia en función de los costos en 2014/15 (recursos no relativos a personal) y, por otro lado, a un incremento de la dotación de recursos de personal destinado a mejorar la vigilancia y la seguridad en la OMPI, en particular en lo que atañe al mantenimiento de los sistemas y equipos relacionados con la seguridad y a la potenciación de las </w:t>
      </w:r>
      <w:r w:rsidRPr="00526311">
        <w:rPr>
          <w:bCs/>
          <w:lang w:val="es-ES"/>
        </w:rPr>
        <w:t>normas mínimas de seguridad operacional para las sedes de las Naciones Unidas</w:t>
      </w:r>
      <w:r w:rsidRPr="00526311">
        <w:rPr>
          <w:lang w:val="es-ES"/>
        </w:rPr>
        <w:t>.</w:t>
      </w:r>
    </w:p>
    <w:p w:rsidR="00794E04" w:rsidRPr="00526311" w:rsidRDefault="00794E04" w:rsidP="0063039A">
      <w:pPr>
        <w:widowControl w:val="0"/>
        <w:autoSpaceDE w:val="0"/>
        <w:autoSpaceDN w:val="0"/>
        <w:jc w:val="both"/>
        <w:rPr>
          <w:sz w:val="20"/>
          <w:lang w:eastAsia="ko-KR"/>
        </w:rPr>
      </w:pPr>
    </w:p>
    <w:p w:rsidR="00794E04" w:rsidRPr="00526311" w:rsidRDefault="00794E04" w:rsidP="0063039A">
      <w:pPr>
        <w:widowControl w:val="0"/>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794E04" w:rsidRPr="00526311" w:rsidRDefault="00794E04" w:rsidP="0063039A">
      <w:pPr>
        <w:widowControl w:val="0"/>
        <w:tabs>
          <w:tab w:val="left" w:pos="709"/>
        </w:tabs>
        <w:jc w:val="both"/>
        <w:rPr>
          <w:sz w:val="20"/>
          <w:u w:val="single"/>
          <w:lang w:eastAsia="ko-KR"/>
        </w:rPr>
      </w:pPr>
    </w:p>
    <w:p w:rsidR="00794E04" w:rsidRPr="00526311" w:rsidRDefault="00794E04" w:rsidP="0063039A">
      <w:pPr>
        <w:pStyle w:val="ListParagraph"/>
        <w:widowControl w:val="0"/>
        <w:tabs>
          <w:tab w:val="left" w:pos="567"/>
        </w:tabs>
        <w:ind w:left="0"/>
        <w:jc w:val="both"/>
        <w:rPr>
          <w:lang w:val="es-ES"/>
        </w:rPr>
      </w:pPr>
      <w:r w:rsidRPr="00526311">
        <w:rPr>
          <w:lang w:val="es-ES"/>
        </w:rPr>
        <w:t>28.8</w:t>
      </w:r>
      <w:r w:rsidRPr="00526311">
        <w:rPr>
          <w:lang w:val="es-ES"/>
        </w:rPr>
        <w:tab/>
        <w:t>La utilización del presupuesto se ha mantenido dentro de los límites establecidos (40-60%) durante el primer año del bienio y está bien encaminada.</w:t>
      </w:r>
    </w:p>
    <w:p w:rsidR="00794E04" w:rsidRPr="00526311" w:rsidRDefault="00794E04" w:rsidP="0063039A">
      <w:pPr>
        <w:pStyle w:val="ListParagraph"/>
        <w:widowControl w:val="0"/>
        <w:ind w:left="0"/>
        <w:rPr>
          <w:lang w:val="es-ES"/>
        </w:rPr>
      </w:pPr>
    </w:p>
    <w:p w:rsidR="00794E04" w:rsidRPr="00526311" w:rsidRDefault="00794E04" w:rsidP="0063039A">
      <w:pPr>
        <w:pStyle w:val="ListParagraph"/>
        <w:widowControl w:val="0"/>
        <w:ind w:left="0"/>
        <w:rPr>
          <w:lang w:val="es-ES"/>
        </w:rPr>
      </w:pPr>
    </w:p>
    <w:p w:rsidR="00794E04" w:rsidRPr="00526311" w:rsidRDefault="00794E04">
      <w:pPr>
        <w:rPr>
          <w:bCs/>
          <w:iCs/>
          <w:caps/>
          <w:sz w:val="20"/>
        </w:rPr>
      </w:pPr>
      <w:r w:rsidRPr="00526311">
        <w:rPr>
          <w:sz w:val="20"/>
        </w:rPr>
        <w:br w:type="page"/>
      </w:r>
    </w:p>
    <w:p w:rsidR="00794E04" w:rsidRPr="00526311" w:rsidRDefault="00794E04" w:rsidP="0063039A">
      <w:pPr>
        <w:pStyle w:val="Heading2"/>
        <w:keepNext w:val="0"/>
        <w:ind w:left="2410" w:hanging="2410"/>
        <w:rPr>
          <w:b/>
        </w:rPr>
      </w:pPr>
      <w:bookmarkStart w:id="93" w:name="_Toc422927443"/>
      <w:r w:rsidRPr="00526311">
        <w:rPr>
          <w:b/>
        </w:rPr>
        <w:lastRenderedPageBreak/>
        <w:t>PROGRAMA 29</w:t>
      </w:r>
      <w:r w:rsidRPr="00526311">
        <w:rPr>
          <w:b/>
        </w:rPr>
        <w:tab/>
        <w:t>PROYECTOS DE CONSTRUCCIÓN</w:t>
      </w:r>
      <w:bookmarkEnd w:id="93"/>
    </w:p>
    <w:p w:rsidR="00794E04" w:rsidRPr="00526311" w:rsidRDefault="00794E04" w:rsidP="0063039A">
      <w:pPr>
        <w:tabs>
          <w:tab w:val="left" w:pos="1985"/>
        </w:tabs>
        <w:rPr>
          <w:sz w:val="20"/>
        </w:rPr>
      </w:pPr>
    </w:p>
    <w:p w:rsidR="00794E04" w:rsidRPr="00526311" w:rsidRDefault="00794E04" w:rsidP="0063039A">
      <w:pPr>
        <w:ind w:left="2410" w:hanging="2410"/>
        <w:rPr>
          <w:b/>
          <w:sz w:val="20"/>
        </w:rPr>
      </w:pPr>
      <w:r w:rsidRPr="00526311">
        <w:rPr>
          <w:b/>
          <w:sz w:val="20"/>
        </w:rPr>
        <w:t>Director de programa</w:t>
      </w:r>
      <w:r w:rsidRPr="00526311">
        <w:rPr>
          <w:b/>
          <w:sz w:val="20"/>
        </w:rPr>
        <w:tab/>
        <w:t>Sr. A. Sundaram</w:t>
      </w:r>
    </w:p>
    <w:p w:rsidR="00794E04" w:rsidRPr="00526311" w:rsidRDefault="00794E04" w:rsidP="0063039A">
      <w:pPr>
        <w:rPr>
          <w:sz w:val="20"/>
        </w:rPr>
      </w:pPr>
    </w:p>
    <w:p w:rsidR="00794E04" w:rsidRPr="00526311" w:rsidRDefault="00794E04" w:rsidP="0063039A">
      <w:pPr>
        <w:rPr>
          <w:sz w:val="20"/>
        </w:rPr>
      </w:pPr>
    </w:p>
    <w:p w:rsidR="00794E04" w:rsidRPr="00526311" w:rsidRDefault="00794E04" w:rsidP="0063039A">
      <w:pPr>
        <w:rPr>
          <w:bCs/>
          <w:szCs w:val="22"/>
        </w:rPr>
      </w:pPr>
      <w:r w:rsidRPr="00526311">
        <w:rPr>
          <w:bCs/>
          <w:szCs w:val="22"/>
        </w:rPr>
        <w:t>RESEÑA DE LOS AVANCES LOGRADOS EN 2014</w:t>
      </w:r>
    </w:p>
    <w:p w:rsidR="00794E04" w:rsidRPr="00526311" w:rsidRDefault="00794E04" w:rsidP="0063039A">
      <w:pPr>
        <w:rPr>
          <w:bCs/>
          <w:sz w:val="20"/>
        </w:rPr>
      </w:pPr>
    </w:p>
    <w:p w:rsidR="00794E04" w:rsidRPr="00526311" w:rsidRDefault="00794E04" w:rsidP="0063039A">
      <w:pPr>
        <w:rPr>
          <w:sz w:val="20"/>
        </w:rPr>
      </w:pPr>
    </w:p>
    <w:p w:rsidR="00794E04" w:rsidRPr="00526311" w:rsidRDefault="00794E04" w:rsidP="0063039A">
      <w:pPr>
        <w:jc w:val="both"/>
        <w:rPr>
          <w:sz w:val="20"/>
        </w:rPr>
      </w:pPr>
      <w:r w:rsidRPr="00526311">
        <w:rPr>
          <w:sz w:val="20"/>
        </w:rPr>
        <w:t>NUEVO PROYECTO DE CONSTRUCCIÓN</w:t>
      </w:r>
    </w:p>
    <w:p w:rsidR="00794E04" w:rsidRPr="00526311" w:rsidRDefault="00794E04" w:rsidP="0063039A">
      <w:pPr>
        <w:jc w:val="both"/>
        <w:rPr>
          <w:sz w:val="20"/>
        </w:rPr>
      </w:pPr>
    </w:p>
    <w:p w:rsidR="00794E04" w:rsidRPr="00526311" w:rsidRDefault="00794E04" w:rsidP="00794E04">
      <w:pPr>
        <w:pStyle w:val="ListParagraph"/>
        <w:numPr>
          <w:ilvl w:val="0"/>
          <w:numId w:val="96"/>
        </w:numPr>
        <w:tabs>
          <w:tab w:val="left" w:pos="709"/>
        </w:tabs>
        <w:ind w:left="0" w:firstLine="0"/>
        <w:jc w:val="both"/>
        <w:rPr>
          <w:rFonts w:cs="Arial"/>
          <w:lang w:val="es-ES"/>
        </w:rPr>
      </w:pPr>
      <w:r w:rsidRPr="00526311">
        <w:rPr>
          <w:rFonts w:cs="Arial"/>
          <w:lang w:val="es-ES"/>
        </w:rPr>
        <w:t>Prácticamente todas las obras pendientes de reparación, sustitución y acabado que se habían comenzado a mediados de 2011 después de la entrega del nuevo edificio por el anterior contratista general, se terminaron a finales de 2014.  La planificación del reemplazo de las ventanas de la planta baja se finalizó en 2014.  Se preveía el comienzo de las obras en abril de 2015, pero tuvieron que posponerse a junio, debido a la celebración de la conferencia diplomática.  La duración de las obras está prevista hasta finales de 2015.  La conclusión definitiva del acuerdo de rescisión alcanzado en julio de 2012 con el anterior contratista general tuvo lugar amistosamente a finales de agosto de 2014, lo que permitió resolver todos los puntos pendientes en relación con las obras de sustitución en el nuevo edificio.  Cabe señalar que la OMPI disponía de fondos suficientes para cubrir el costo de esas obras.</w:t>
      </w:r>
    </w:p>
    <w:p w:rsidR="00794E04" w:rsidRPr="00526311" w:rsidRDefault="00794E04" w:rsidP="0063039A">
      <w:pPr>
        <w:rPr>
          <w:bCs/>
          <w:sz w:val="20"/>
        </w:rPr>
      </w:pPr>
    </w:p>
    <w:p w:rsidR="00794E04" w:rsidRPr="00526311" w:rsidRDefault="00794E04" w:rsidP="0063039A">
      <w:pPr>
        <w:jc w:val="both"/>
        <w:rPr>
          <w:sz w:val="20"/>
        </w:rPr>
      </w:pPr>
      <w:r w:rsidRPr="00526311">
        <w:rPr>
          <w:sz w:val="20"/>
        </w:rPr>
        <w:t xml:space="preserve">PROYECTO DE NUEVA SALA DE CONFERENCIAS </w:t>
      </w:r>
    </w:p>
    <w:p w:rsidR="00794E04" w:rsidRPr="00526311" w:rsidRDefault="00794E04" w:rsidP="0063039A">
      <w:pPr>
        <w:tabs>
          <w:tab w:val="left" w:pos="4536"/>
        </w:tabs>
        <w:jc w:val="both"/>
        <w:rPr>
          <w:sz w:val="20"/>
        </w:rPr>
      </w:pPr>
    </w:p>
    <w:p w:rsidR="00794E04" w:rsidRPr="00526311" w:rsidRDefault="00794E04" w:rsidP="00794E04">
      <w:pPr>
        <w:pStyle w:val="ListParagraph"/>
        <w:numPr>
          <w:ilvl w:val="0"/>
          <w:numId w:val="96"/>
        </w:numPr>
        <w:tabs>
          <w:tab w:val="left" w:pos="709"/>
        </w:tabs>
        <w:ind w:left="0" w:firstLine="0"/>
        <w:jc w:val="both"/>
        <w:rPr>
          <w:rFonts w:cs="Arial"/>
          <w:lang w:val="es-ES"/>
        </w:rPr>
      </w:pPr>
      <w:r w:rsidRPr="00526311">
        <w:rPr>
          <w:rFonts w:cs="Arial"/>
          <w:lang w:val="es-ES"/>
        </w:rPr>
        <w:t>Como parte de la conclusión definitiva del acuerdo de rescisión concertado en julio de 2012, que se concretó amistosamente a finales de agosto de 2014, el anterior contratista general reembolsó a la OMPI el saldo final que adeudaba en relación con el proyecto.  Se recordará que, en agosto de 2012, la Secretaría había asumido la responsabilidad directa del proyecto, se había reforzado el mandato de los arquitectos, los ingenieros y el piloto del proyecto, y se habían aportado modificaciones en la estructura interna de gobernanza y gestión del proyecto, con el fin de asegurar una mayor flexibilidad y agilidad, y</w:t>
      </w:r>
      <w:r w:rsidRPr="00526311">
        <w:rPr>
          <w:lang w:val="es-ES"/>
        </w:rPr>
        <w:t xml:space="preserve"> poder hacer frente activa y oportunamente</w:t>
      </w:r>
      <w:r w:rsidRPr="00526311">
        <w:rPr>
          <w:rFonts w:cs="Arial"/>
          <w:lang w:val="es-ES"/>
        </w:rPr>
        <w:t xml:space="preserve"> a las diferentes modificaciones del proyecto y a algunos imprevistos surgidos durante su ejecución</w:t>
      </w:r>
      <w:r w:rsidRPr="00526311">
        <w:rPr>
          <w:rFonts w:cs="Arial"/>
          <w:bCs/>
          <w:szCs w:val="24"/>
          <w:lang w:val="es-ES" w:eastAsia="zh-CN"/>
        </w:rPr>
        <w:t xml:space="preserve"> </w:t>
      </w:r>
      <w:r w:rsidRPr="00526311">
        <w:rPr>
          <w:rFonts w:cs="Arial"/>
          <w:bCs/>
          <w:lang w:val="es-ES"/>
        </w:rPr>
        <w:t xml:space="preserve">El proyecto se entregó en varias etapas y se realizaron en paralelo diversas pruebas técnicas y de los sistemas, zona por zona.  El nuevo Centro de Acceso se entregó en julio de 2014 y los elementos paisajísticos exteriores situados entre el nuevo edificio, la nueva sala de conferencias de la OMPI y el edificio AB se entregaron a finales de agosto de 2014.  Al ser entregada en agosto de 2014, la nueva sala de conferencias de la OMPI pudo utilizarse para la sesión del PBC, celebrada del 1 al 5 de septiembre de 2014;  en septiembre de 2014, se terminaron todas las obras de construcción y renovación en la nueva sala de conferencias de la OMPI y en tres plantas del edificio AB, quedando a disposición para celebrar las reuniones de las Asambleas de la OMPI del 22 al 30 de septiembre de 2014, en las que tuvo lugar la inauguración de la sala de conferencias el día de la apertura de las reuniones en presencia de los Estados miembros de la OMPI y los observadores, funcionarios del país anfitrión (de nivel federal, cantonal y municipal), representantes de otros organismos de las NN.UU., y de unas 70 empresas y entidades que habían contribuido a la construcción y finalización del proyecto.  </w:t>
      </w:r>
      <w:r w:rsidRPr="00526311">
        <w:rPr>
          <w:rFonts w:cs="Arial"/>
          <w:lang w:val="es-ES"/>
        </w:rPr>
        <w:t xml:space="preserve">Se dejaron pendientes varios elementos paisajísticos exteriores, que se reanudarán en la primavera de 2015.  La nueva sala de conferencias </w:t>
      </w:r>
      <w:r w:rsidR="00A55668" w:rsidRPr="00526311">
        <w:rPr>
          <w:rFonts w:cs="Arial"/>
          <w:lang w:val="es-ES"/>
        </w:rPr>
        <w:t xml:space="preserve">de la OMPI </w:t>
      </w:r>
      <w:r w:rsidRPr="00526311">
        <w:rPr>
          <w:rFonts w:cs="Arial"/>
          <w:lang w:val="es-ES"/>
        </w:rPr>
        <w:t>y las instalaciones nuevas o rehabilitadas se utilizaron posteriormente en varias ocasiones para reuniones de los Estados miembros de la OMPI y otras.  El proyecto se ejecutó en el plazo previsto para la celebración de las Asambleas de la OMPI, aunque tuvo que posponerse de abril a septiembre de 2014, debido a la complejidad del sitio de la obra, sobre todo en los últimos meses.  Además, se solicitó a los Estados miembros un presupuesto complementario en septiembre de 2014 a través del PBC (documentos WO/PBC/22/14 y A/54/11).  Las cuentas definitivas con algunas empresas y entidades se validaron a finales de 2014, y se espera que la mayoría de las cuentas se concluyan en el primer semestre de 2015.</w:t>
      </w:r>
    </w:p>
    <w:p w:rsidR="00794E04" w:rsidRPr="00526311" w:rsidRDefault="00794E04" w:rsidP="0063039A">
      <w:pPr>
        <w:rPr>
          <w:bCs/>
          <w:sz w:val="20"/>
        </w:rPr>
      </w:pPr>
    </w:p>
    <w:p w:rsidR="00794E04" w:rsidRPr="00526311" w:rsidRDefault="00794E04" w:rsidP="0063039A">
      <w:pPr>
        <w:rPr>
          <w:bCs/>
          <w:sz w:val="20"/>
        </w:rPr>
      </w:pPr>
    </w:p>
    <w:p w:rsidR="00794E04" w:rsidRPr="00526311" w:rsidRDefault="00794E04">
      <w:pPr>
        <w:rPr>
          <w:sz w:val="20"/>
        </w:rPr>
      </w:pPr>
      <w:r w:rsidRPr="00526311">
        <w:rPr>
          <w:sz w:val="20"/>
        </w:rPr>
        <w:br w:type="page"/>
      </w:r>
    </w:p>
    <w:p w:rsidR="00794E04" w:rsidRPr="00526311" w:rsidRDefault="00794E04" w:rsidP="0063039A">
      <w:pPr>
        <w:rPr>
          <w:szCs w:val="22"/>
        </w:rPr>
      </w:pPr>
      <w:r w:rsidRPr="00526311">
        <w:rPr>
          <w:szCs w:val="22"/>
        </w:rPr>
        <w:lastRenderedPageBreak/>
        <w:t>DATOS SOBRE EL RENDIMIENTO</w:t>
      </w:r>
    </w:p>
    <w:p w:rsidR="00794E04" w:rsidRPr="00526311" w:rsidRDefault="00794E04"/>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7"/>
        <w:gridCol w:w="1417"/>
        <w:gridCol w:w="1623"/>
        <w:gridCol w:w="2916"/>
        <w:gridCol w:w="1134"/>
      </w:tblGrid>
      <w:tr w:rsidR="00794E04" w:rsidRPr="00526311" w:rsidTr="0063039A">
        <w:trPr>
          <w:cantSplit/>
          <w:trHeight w:val="677"/>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794E04" w:rsidRPr="00526311" w:rsidRDefault="00794E04" w:rsidP="0063039A">
            <w:pPr>
              <w:tabs>
                <w:tab w:val="left" w:pos="1735"/>
              </w:tabs>
              <w:spacing w:before="120" w:after="120"/>
              <w:ind w:left="1735" w:hanging="1735"/>
              <w:rPr>
                <w:bCs/>
                <w:sz w:val="16"/>
                <w:szCs w:val="16"/>
              </w:rPr>
            </w:pPr>
            <w:r w:rsidRPr="00526311">
              <w:rPr>
                <w:b/>
                <w:bCs/>
                <w:sz w:val="16"/>
                <w:szCs w:val="16"/>
              </w:rPr>
              <w:t>Resultado previsto:</w:t>
            </w:r>
            <w:r w:rsidRPr="00526311">
              <w:rPr>
                <w:bCs/>
                <w:sz w:val="16"/>
                <w:szCs w:val="16"/>
              </w:rPr>
              <w:tab/>
            </w:r>
            <w:r w:rsidRPr="00526311">
              <w:rPr>
                <w:sz w:val="16"/>
                <w:szCs w:val="16"/>
              </w:rPr>
              <w:t>IX.1 Servicios de apoyo eficaces, eficientes, de calidad y orientados al cliente, tanto a los clientes internos como a las partes interesadas externas</w:t>
            </w:r>
          </w:p>
        </w:tc>
      </w:tr>
      <w:tr w:rsidR="00794E04" w:rsidRPr="00526311" w:rsidTr="0063039A">
        <w:trPr>
          <w:cantSplit/>
        </w:trPr>
        <w:tc>
          <w:tcPr>
            <w:tcW w:w="1212" w:type="pct"/>
            <w:tcBorders>
              <w:top w:val="single" w:sz="4" w:space="0" w:color="auto"/>
              <w:left w:val="single" w:sz="4" w:space="0" w:color="auto"/>
              <w:bottom w:val="nil"/>
            </w:tcBorders>
            <w:shd w:val="clear" w:color="auto" w:fill="auto"/>
            <w:vAlign w:val="center"/>
          </w:tcPr>
          <w:p w:rsidR="00794E04" w:rsidRPr="00526311" w:rsidRDefault="00794E04" w:rsidP="0063039A">
            <w:pPr>
              <w:rPr>
                <w:b/>
                <w:sz w:val="16"/>
                <w:szCs w:val="16"/>
              </w:rPr>
            </w:pPr>
            <w:r w:rsidRPr="00526311">
              <w:rPr>
                <w:b/>
                <w:sz w:val="16"/>
                <w:szCs w:val="16"/>
              </w:rPr>
              <w:t>Indicadores de rendimiento</w:t>
            </w:r>
          </w:p>
        </w:tc>
        <w:tc>
          <w:tcPr>
            <w:tcW w:w="757" w:type="pct"/>
            <w:tcBorders>
              <w:top w:val="single" w:sz="4" w:space="0" w:color="auto"/>
              <w:bottom w:val="nil"/>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867" w:type="pct"/>
            <w:tcBorders>
              <w:top w:val="single" w:sz="4" w:space="0" w:color="auto"/>
              <w:bottom w:val="nil"/>
            </w:tcBorders>
            <w:shd w:val="clear" w:color="auto" w:fill="auto"/>
            <w:tcMar>
              <w:top w:w="110" w:type="dxa"/>
            </w:tcMar>
            <w:vAlign w:val="center"/>
          </w:tcPr>
          <w:p w:rsidR="00794E04" w:rsidRPr="00526311" w:rsidRDefault="00794E04" w:rsidP="0063039A">
            <w:pPr>
              <w:rPr>
                <w:b/>
                <w:sz w:val="16"/>
                <w:szCs w:val="16"/>
              </w:rPr>
            </w:pPr>
            <w:r w:rsidRPr="00526311">
              <w:rPr>
                <w:b/>
                <w:sz w:val="16"/>
                <w:szCs w:val="16"/>
              </w:rPr>
              <w:t>Objetivos</w:t>
            </w:r>
          </w:p>
        </w:tc>
        <w:tc>
          <w:tcPr>
            <w:tcW w:w="1558" w:type="pct"/>
            <w:tcBorders>
              <w:top w:val="single" w:sz="4" w:space="0" w:color="auto"/>
              <w:bottom w:val="nil"/>
            </w:tcBorders>
            <w:shd w:val="clear" w:color="auto" w:fill="FFFFFF"/>
            <w:tcMar>
              <w:top w:w="110" w:type="dxa"/>
            </w:tcMar>
            <w:vAlign w:val="center"/>
          </w:tcPr>
          <w:p w:rsidR="00794E04" w:rsidRPr="00526311" w:rsidRDefault="00794E04" w:rsidP="0063039A">
            <w:pPr>
              <w:rPr>
                <w:b/>
                <w:sz w:val="16"/>
                <w:szCs w:val="16"/>
              </w:rPr>
            </w:pPr>
            <w:r w:rsidRPr="00526311">
              <w:rPr>
                <w:b/>
                <w:sz w:val="16"/>
                <w:szCs w:val="16"/>
              </w:rPr>
              <w:t>Datos sobre el rendimiento</w:t>
            </w:r>
          </w:p>
        </w:tc>
        <w:tc>
          <w:tcPr>
            <w:tcW w:w="605" w:type="pct"/>
            <w:tcBorders>
              <w:top w:val="single" w:sz="4" w:space="0" w:color="auto"/>
              <w:bottom w:val="nil"/>
              <w:right w:val="single" w:sz="4" w:space="0" w:color="auto"/>
            </w:tcBorders>
            <w:shd w:val="clear" w:color="auto" w:fill="auto"/>
            <w:tcMar>
              <w:top w:w="110" w:type="dxa"/>
            </w:tcMar>
            <w:vAlign w:val="center"/>
          </w:tcPr>
          <w:p w:rsidR="00794E04" w:rsidRPr="00526311" w:rsidRDefault="00794E04" w:rsidP="0063039A">
            <w:pPr>
              <w:ind w:left="-109"/>
              <w:jc w:val="center"/>
              <w:rPr>
                <w:b/>
                <w:bCs/>
                <w:sz w:val="16"/>
                <w:szCs w:val="16"/>
              </w:rPr>
            </w:pPr>
            <w:r w:rsidRPr="00526311">
              <w:rPr>
                <w:b/>
                <w:bCs/>
                <w:sz w:val="16"/>
                <w:szCs w:val="16"/>
              </w:rPr>
              <w:t>Clave de colores</w:t>
            </w:r>
          </w:p>
        </w:tc>
      </w:tr>
      <w:tr w:rsidR="00794E04" w:rsidRPr="00526311" w:rsidTr="0063039A">
        <w:trPr>
          <w:cantSplit/>
        </w:trPr>
        <w:tc>
          <w:tcPr>
            <w:tcW w:w="1212" w:type="pct"/>
            <w:tcBorders>
              <w:top w:val="nil"/>
              <w:left w:val="single" w:sz="4" w:space="0" w:color="auto"/>
              <w:bottom w:val="nil"/>
            </w:tcBorders>
            <w:shd w:val="clear" w:color="auto" w:fill="auto"/>
          </w:tcPr>
          <w:p w:rsidR="00794E04" w:rsidRPr="00526311" w:rsidRDefault="00794E04" w:rsidP="0063039A">
            <w:pPr>
              <w:rPr>
                <w:sz w:val="16"/>
                <w:szCs w:val="16"/>
              </w:rPr>
            </w:pPr>
            <w:r w:rsidRPr="00526311">
              <w:rPr>
                <w:sz w:val="16"/>
                <w:szCs w:val="16"/>
              </w:rPr>
              <w:t>Finalización del proyecto de construcción de la nueva sala de conferencias atendiendo a los requisitos de calidad, de manera puntual y dentro de los límites presupuestarios</w:t>
            </w:r>
          </w:p>
        </w:tc>
        <w:tc>
          <w:tcPr>
            <w:tcW w:w="757" w:type="pct"/>
            <w:tcBorders>
              <w:top w:val="nil"/>
              <w:bottom w:val="nil"/>
            </w:tcBorders>
            <w:shd w:val="clear" w:color="auto" w:fill="auto"/>
          </w:tcPr>
          <w:p w:rsidR="00794E04" w:rsidRPr="00526311" w:rsidRDefault="00794E04" w:rsidP="00A55668">
            <w:pPr>
              <w:ind w:left="-108"/>
              <w:rPr>
                <w:sz w:val="16"/>
                <w:szCs w:val="16"/>
              </w:rPr>
            </w:pPr>
            <w:r w:rsidRPr="00526311">
              <w:rPr>
                <w:sz w:val="16"/>
                <w:szCs w:val="16"/>
              </w:rPr>
              <w:t>Garantizar que se haga entrega de la sala de conferencias dentro de lo presupuestado y en el plazo</w:t>
            </w:r>
            <w:r w:rsidR="00A55668" w:rsidRPr="00526311">
              <w:rPr>
                <w:sz w:val="16"/>
                <w:szCs w:val="16"/>
              </w:rPr>
              <w:t xml:space="preserve"> revisado (debido a la rescisión del contrato con el contratista general)</w:t>
            </w:r>
            <w:r w:rsidRPr="00526311">
              <w:rPr>
                <w:sz w:val="16"/>
                <w:szCs w:val="16"/>
              </w:rPr>
              <w:t xml:space="preserve"> para la celebración de las Asambleas de los Estados miembros de 2014</w:t>
            </w:r>
          </w:p>
        </w:tc>
        <w:tc>
          <w:tcPr>
            <w:tcW w:w="867" w:type="pct"/>
            <w:tcBorders>
              <w:top w:val="nil"/>
              <w:bottom w:val="nil"/>
            </w:tcBorders>
            <w:shd w:val="clear" w:color="auto" w:fill="auto"/>
            <w:tcMar>
              <w:top w:w="110" w:type="dxa"/>
            </w:tcMar>
          </w:tcPr>
          <w:p w:rsidR="00794E04" w:rsidRPr="00526311" w:rsidRDefault="00794E04" w:rsidP="0063039A">
            <w:pPr>
              <w:rPr>
                <w:sz w:val="16"/>
                <w:szCs w:val="16"/>
              </w:rPr>
            </w:pPr>
            <w:r w:rsidRPr="00526311">
              <w:rPr>
                <w:sz w:val="16"/>
                <w:szCs w:val="16"/>
              </w:rPr>
              <w:t>Las Asambleas de los Estados miembros de 2014 se celebrarán en la nueva sala de conferencias</w:t>
            </w:r>
          </w:p>
        </w:tc>
        <w:tc>
          <w:tcPr>
            <w:tcW w:w="1558" w:type="pct"/>
            <w:tcBorders>
              <w:top w:val="nil"/>
              <w:bottom w:val="nil"/>
            </w:tcBorders>
            <w:shd w:val="clear" w:color="auto" w:fill="FFFFFF"/>
            <w:tcMar>
              <w:top w:w="110" w:type="dxa"/>
            </w:tcMar>
          </w:tcPr>
          <w:p w:rsidR="00794E04" w:rsidRPr="00526311" w:rsidRDefault="00794E04" w:rsidP="0063039A">
            <w:pPr>
              <w:rPr>
                <w:sz w:val="16"/>
                <w:szCs w:val="16"/>
              </w:rPr>
            </w:pPr>
            <w:r w:rsidRPr="00526311">
              <w:rPr>
                <w:sz w:val="16"/>
                <w:szCs w:val="16"/>
              </w:rPr>
              <w:t>La nueva sala de conferencias se finalizó y entregó en el plazo previsto y cumplía los requisitos de calidad prescritos</w:t>
            </w:r>
            <w:r w:rsidR="00A55668" w:rsidRPr="00526311">
              <w:rPr>
                <w:sz w:val="16"/>
                <w:szCs w:val="16"/>
              </w:rPr>
              <w:t>.</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La primera reunión oficial que se llevó a cabo en la nueva sala de conferencias</w:t>
            </w:r>
            <w:r w:rsidR="00A55668" w:rsidRPr="00526311">
              <w:rPr>
                <w:sz w:val="16"/>
                <w:szCs w:val="16"/>
              </w:rPr>
              <w:t xml:space="preserve"> de la OMPI</w:t>
            </w:r>
            <w:r w:rsidRPr="00526311">
              <w:rPr>
                <w:sz w:val="16"/>
                <w:szCs w:val="16"/>
              </w:rPr>
              <w:t xml:space="preserve"> en 2014 fue la sesión del PBC, que se celebró del 1 al 5 de septiembre de 2014.  Tal como se había previsto, las reuniones de las Asambleas de los Estados miembros de la OMPI se celebraron del 22 al 30 de septiembre de 2014 en la nueva sala de conferencias</w:t>
            </w:r>
            <w:r w:rsidR="00A55668" w:rsidRPr="00526311">
              <w:rPr>
                <w:sz w:val="16"/>
                <w:szCs w:val="16"/>
              </w:rPr>
              <w:t xml:space="preserve"> de la OMPI</w:t>
            </w:r>
            <w:r w:rsidRPr="00526311">
              <w:rPr>
                <w:sz w:val="16"/>
                <w:szCs w:val="16"/>
              </w:rPr>
              <w:t>, y la ceremonia de inauguración tuvo lugar el primer día</w:t>
            </w:r>
            <w:r w:rsidR="00A55668" w:rsidRPr="00526311">
              <w:rPr>
                <w:sz w:val="16"/>
                <w:szCs w:val="16"/>
              </w:rPr>
              <w:t>.</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La situación presupuestaria se determinará una vez que se validen las cuentas definitivas en 2015</w:t>
            </w:r>
          </w:p>
        </w:tc>
        <w:tc>
          <w:tcPr>
            <w:tcW w:w="605" w:type="pct"/>
            <w:tcBorders>
              <w:top w:val="nil"/>
              <w:bottom w:val="nil"/>
              <w:right w:val="single" w:sz="4" w:space="0" w:color="auto"/>
            </w:tcBorders>
            <w:shd w:val="clear" w:color="auto" w:fill="auto"/>
            <w:tcMar>
              <w:top w:w="110" w:type="dxa"/>
            </w:tcMar>
          </w:tcPr>
          <w:p w:rsidR="00794E04" w:rsidRPr="00526311" w:rsidRDefault="00794E04" w:rsidP="0063039A">
            <w:pPr>
              <w:ind w:left="-109"/>
              <w:jc w:val="center"/>
              <w:rPr>
                <w:b/>
                <w:bCs/>
                <w:color w:val="00B050"/>
                <w:sz w:val="16"/>
                <w:szCs w:val="16"/>
              </w:rPr>
            </w:pPr>
            <w:r w:rsidRPr="00526311">
              <w:rPr>
                <w:b/>
                <w:color w:val="00B050"/>
                <w:sz w:val="16"/>
                <w:szCs w:val="16"/>
              </w:rPr>
              <w:t>Avanza</w:t>
            </w:r>
          </w:p>
        </w:tc>
      </w:tr>
      <w:tr w:rsidR="00794E04" w:rsidRPr="00526311" w:rsidTr="0063039A">
        <w:trPr>
          <w:cantSplit/>
        </w:trPr>
        <w:tc>
          <w:tcPr>
            <w:tcW w:w="1212" w:type="pct"/>
            <w:tcBorders>
              <w:top w:val="nil"/>
              <w:left w:val="single" w:sz="4" w:space="0" w:color="auto"/>
              <w:bottom w:val="single" w:sz="4" w:space="0" w:color="auto"/>
            </w:tcBorders>
            <w:shd w:val="clear" w:color="auto" w:fill="auto"/>
          </w:tcPr>
          <w:p w:rsidR="00794E04" w:rsidRPr="00526311" w:rsidRDefault="00794E04" w:rsidP="00A55668">
            <w:pPr>
              <w:rPr>
                <w:sz w:val="16"/>
                <w:szCs w:val="16"/>
              </w:rPr>
            </w:pPr>
            <w:r w:rsidRPr="00526311">
              <w:rPr>
                <w:sz w:val="16"/>
                <w:szCs w:val="16"/>
              </w:rPr>
              <w:t xml:space="preserve">Uso de la sala de conferencias como lugar preferido para las reuniones y actividades </w:t>
            </w:r>
            <w:r w:rsidR="00A55668" w:rsidRPr="00526311">
              <w:rPr>
                <w:sz w:val="16"/>
                <w:szCs w:val="16"/>
              </w:rPr>
              <w:t>que organicen</w:t>
            </w:r>
            <w:r w:rsidRPr="00526311">
              <w:rPr>
                <w:sz w:val="16"/>
                <w:szCs w:val="16"/>
              </w:rPr>
              <w:t xml:space="preserve"> los Estados miembros</w:t>
            </w:r>
          </w:p>
        </w:tc>
        <w:tc>
          <w:tcPr>
            <w:tcW w:w="757" w:type="pct"/>
            <w:tcBorders>
              <w:top w:val="nil"/>
              <w:bottom w:val="single" w:sz="4" w:space="0" w:color="auto"/>
            </w:tcBorders>
            <w:shd w:val="clear" w:color="auto" w:fill="auto"/>
          </w:tcPr>
          <w:p w:rsidR="00794E04" w:rsidRPr="00526311" w:rsidRDefault="00794E04" w:rsidP="0063039A">
            <w:pPr>
              <w:ind w:left="-108"/>
              <w:rPr>
                <w:sz w:val="16"/>
                <w:szCs w:val="16"/>
              </w:rPr>
            </w:pPr>
            <w:r w:rsidRPr="00526311">
              <w:rPr>
                <w:sz w:val="16"/>
                <w:szCs w:val="16"/>
              </w:rPr>
              <w:t>A partir de 2015, peticiones de uso de las instalaciones por los Estados miembros (para reuniones y actividades distintas de las organizadas por la OMPI)</w:t>
            </w:r>
          </w:p>
        </w:tc>
        <w:tc>
          <w:tcPr>
            <w:tcW w:w="867" w:type="pct"/>
            <w:tcBorders>
              <w:top w:val="nil"/>
              <w:bottom w:val="single" w:sz="4" w:space="0" w:color="auto"/>
            </w:tcBorders>
            <w:shd w:val="clear" w:color="auto" w:fill="auto"/>
            <w:tcMar>
              <w:top w:w="110" w:type="dxa"/>
            </w:tcMar>
          </w:tcPr>
          <w:p w:rsidR="00794E04" w:rsidRPr="00526311" w:rsidRDefault="00794E04" w:rsidP="0063039A">
            <w:pPr>
              <w:rPr>
                <w:sz w:val="16"/>
                <w:szCs w:val="16"/>
              </w:rPr>
            </w:pPr>
            <w:r w:rsidRPr="00526311">
              <w:rPr>
                <w:sz w:val="16"/>
                <w:szCs w:val="16"/>
              </w:rPr>
              <w:t>Al menos dos  peticiones anuales de uso de las instalaciones por los Estados miembros,</w:t>
            </w:r>
            <w:r w:rsidR="00A55668" w:rsidRPr="00526311">
              <w:rPr>
                <w:sz w:val="16"/>
                <w:szCs w:val="16"/>
              </w:rPr>
              <w:t xml:space="preserve"> u otras</w:t>
            </w:r>
            <w:r w:rsidRPr="00526311">
              <w:rPr>
                <w:sz w:val="16"/>
                <w:szCs w:val="16"/>
              </w:rPr>
              <w:t xml:space="preserve"> organizaciones internacionales  u otras entidades para la organización de reuniones y/o actividades (distintas de las organizadas por la OMPI)</w:t>
            </w:r>
          </w:p>
          <w:p w:rsidR="00794E04" w:rsidRPr="00526311" w:rsidRDefault="00794E04" w:rsidP="0063039A">
            <w:pPr>
              <w:rPr>
                <w:sz w:val="16"/>
                <w:szCs w:val="16"/>
              </w:rPr>
            </w:pPr>
          </w:p>
        </w:tc>
        <w:tc>
          <w:tcPr>
            <w:tcW w:w="1558" w:type="pct"/>
            <w:tcBorders>
              <w:top w:val="nil"/>
              <w:bottom w:val="single" w:sz="4" w:space="0" w:color="auto"/>
            </w:tcBorders>
            <w:shd w:val="clear" w:color="auto" w:fill="FFFFFF"/>
            <w:tcMar>
              <w:top w:w="110" w:type="dxa"/>
            </w:tcMar>
          </w:tcPr>
          <w:p w:rsidR="00794E04" w:rsidRPr="00526311" w:rsidRDefault="00794E04" w:rsidP="0063039A">
            <w:pPr>
              <w:rPr>
                <w:sz w:val="16"/>
                <w:szCs w:val="16"/>
                <w:lang w:bidi="th-TH"/>
              </w:rPr>
            </w:pPr>
            <w:r w:rsidRPr="00526311">
              <w:rPr>
                <w:sz w:val="16"/>
                <w:szCs w:val="16"/>
                <w:lang w:bidi="th-TH"/>
              </w:rPr>
              <w:t>Los datos estarán disponibles a finales de 2015</w:t>
            </w:r>
          </w:p>
        </w:tc>
        <w:tc>
          <w:tcPr>
            <w:tcW w:w="605" w:type="pct"/>
            <w:tcBorders>
              <w:top w:val="nil"/>
              <w:bottom w:val="single" w:sz="4" w:space="0" w:color="auto"/>
              <w:right w:val="single" w:sz="4" w:space="0" w:color="auto"/>
            </w:tcBorders>
            <w:shd w:val="clear" w:color="auto" w:fill="auto"/>
            <w:tcMar>
              <w:top w:w="110" w:type="dxa"/>
            </w:tcMar>
          </w:tcPr>
          <w:p w:rsidR="00794E04" w:rsidRPr="00526311" w:rsidRDefault="00794E04" w:rsidP="00A55668">
            <w:pPr>
              <w:jc w:val="center"/>
              <w:rPr>
                <w:rStyle w:val="Style5"/>
                <w:b/>
                <w:bCs/>
                <w:color w:val="595959" w:themeColor="text1" w:themeTint="A6"/>
                <w:sz w:val="16"/>
                <w:szCs w:val="16"/>
              </w:rPr>
            </w:pPr>
            <w:r w:rsidRPr="00526311">
              <w:rPr>
                <w:b/>
                <w:bCs/>
                <w:color w:val="0070C0"/>
                <w:sz w:val="16"/>
                <w:szCs w:val="16"/>
              </w:rPr>
              <w:t>N</w:t>
            </w:r>
            <w:r w:rsidR="00A55668" w:rsidRPr="00526311">
              <w:rPr>
                <w:b/>
                <w:bCs/>
                <w:color w:val="0070C0"/>
                <w:sz w:val="16"/>
                <w:szCs w:val="16"/>
              </w:rPr>
              <w:t>.d.</w:t>
            </w:r>
            <w:r w:rsidRPr="00526311">
              <w:rPr>
                <w:b/>
                <w:bCs/>
                <w:color w:val="0070C0"/>
                <w:sz w:val="16"/>
                <w:szCs w:val="16"/>
              </w:rPr>
              <w:t xml:space="preserve"> para 2014</w:t>
            </w:r>
          </w:p>
        </w:tc>
      </w:tr>
    </w:tbl>
    <w:p w:rsidR="00794E04" w:rsidRPr="00526311" w:rsidRDefault="00794E04">
      <w:r w:rsidRPr="00526311">
        <w:br w:type="page"/>
      </w:r>
    </w:p>
    <w:tbl>
      <w:tblPr>
        <w:tblW w:w="484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1526"/>
        <w:gridCol w:w="1649"/>
        <w:gridCol w:w="3117"/>
        <w:gridCol w:w="1137"/>
      </w:tblGrid>
      <w:tr w:rsidR="00794E04" w:rsidRPr="00526311" w:rsidTr="0063039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794E04" w:rsidRPr="00526311" w:rsidRDefault="00794E04" w:rsidP="0063039A">
            <w:pPr>
              <w:tabs>
                <w:tab w:val="left" w:pos="1735"/>
              </w:tabs>
              <w:spacing w:before="120" w:after="120"/>
              <w:ind w:left="1735" w:hanging="1735"/>
              <w:rPr>
                <w:bCs/>
                <w:sz w:val="16"/>
                <w:szCs w:val="16"/>
              </w:rPr>
            </w:pPr>
            <w:r w:rsidRPr="00526311">
              <w:rPr>
                <w:b/>
                <w:bCs/>
                <w:sz w:val="16"/>
                <w:szCs w:val="16"/>
              </w:rPr>
              <w:lastRenderedPageBreak/>
              <w:t>Resultado previsto:</w:t>
            </w:r>
            <w:r w:rsidRPr="00526311">
              <w:rPr>
                <w:bCs/>
                <w:sz w:val="16"/>
                <w:szCs w:val="16"/>
              </w:rPr>
              <w:tab/>
            </w:r>
            <w:r w:rsidRPr="00526311">
              <w:rPr>
                <w:sz w:val="16"/>
                <w:szCs w:val="16"/>
              </w:rPr>
              <w:t>IX.4 Una organización responsable con el medio ambiente y la sociedad en la que se garantiza la seguridad de su personal, los delegados, los visitantes, la información y los activos físicos</w:t>
            </w:r>
          </w:p>
        </w:tc>
      </w:tr>
      <w:tr w:rsidR="00794E04" w:rsidRPr="00526311" w:rsidTr="0063039A">
        <w:trPr>
          <w:cantSplit/>
        </w:trPr>
        <w:tc>
          <w:tcPr>
            <w:tcW w:w="994" w:type="pct"/>
            <w:tcBorders>
              <w:top w:val="single" w:sz="4" w:space="0" w:color="auto"/>
              <w:left w:val="single" w:sz="4" w:space="0" w:color="auto"/>
              <w:bottom w:val="nil"/>
            </w:tcBorders>
            <w:shd w:val="clear" w:color="auto" w:fill="auto"/>
            <w:vAlign w:val="center"/>
          </w:tcPr>
          <w:p w:rsidR="00794E04" w:rsidRPr="00526311" w:rsidRDefault="00794E04" w:rsidP="0063039A">
            <w:pPr>
              <w:rPr>
                <w:b/>
                <w:sz w:val="16"/>
                <w:szCs w:val="16"/>
              </w:rPr>
            </w:pPr>
            <w:r w:rsidRPr="00526311">
              <w:rPr>
                <w:b/>
                <w:color w:val="000000"/>
                <w:sz w:val="16"/>
                <w:szCs w:val="16"/>
              </w:rPr>
              <w:t>Indicadores de rendimiento</w:t>
            </w:r>
          </w:p>
        </w:tc>
        <w:tc>
          <w:tcPr>
            <w:tcW w:w="823" w:type="pct"/>
            <w:tcBorders>
              <w:top w:val="single" w:sz="4" w:space="0" w:color="auto"/>
              <w:bottom w:val="nil"/>
            </w:tcBorders>
            <w:shd w:val="clear" w:color="auto" w:fill="auto"/>
            <w:vAlign w:val="center"/>
          </w:tcPr>
          <w:p w:rsidR="00794E04" w:rsidRPr="00526311" w:rsidRDefault="00794E04" w:rsidP="0063039A">
            <w:pPr>
              <w:rPr>
                <w:b/>
                <w:bCs/>
                <w:sz w:val="16"/>
                <w:szCs w:val="16"/>
              </w:rPr>
            </w:pPr>
            <w:r w:rsidRPr="00526311">
              <w:rPr>
                <w:b/>
                <w:bCs/>
                <w:color w:val="000000"/>
                <w:sz w:val="16"/>
                <w:szCs w:val="16"/>
              </w:rPr>
              <w:t>Referencia</w:t>
            </w:r>
          </w:p>
        </w:tc>
        <w:tc>
          <w:tcPr>
            <w:tcW w:w="889" w:type="pct"/>
            <w:tcBorders>
              <w:top w:val="single" w:sz="4" w:space="0" w:color="auto"/>
              <w:bottom w:val="nil"/>
            </w:tcBorders>
            <w:shd w:val="clear" w:color="auto" w:fill="auto"/>
            <w:tcMar>
              <w:top w:w="110" w:type="dxa"/>
            </w:tcMar>
            <w:vAlign w:val="center"/>
          </w:tcPr>
          <w:p w:rsidR="00794E04" w:rsidRPr="00526311" w:rsidRDefault="00794E04" w:rsidP="0063039A">
            <w:pPr>
              <w:rPr>
                <w:b/>
                <w:sz w:val="16"/>
                <w:szCs w:val="16"/>
              </w:rPr>
            </w:pPr>
            <w:r w:rsidRPr="00526311">
              <w:rPr>
                <w:b/>
                <w:color w:val="000000"/>
                <w:sz w:val="16"/>
                <w:szCs w:val="16"/>
              </w:rPr>
              <w:t>Objetivos</w:t>
            </w:r>
          </w:p>
        </w:tc>
        <w:tc>
          <w:tcPr>
            <w:tcW w:w="1681" w:type="pct"/>
            <w:tcBorders>
              <w:top w:val="single" w:sz="4" w:space="0" w:color="auto"/>
              <w:bottom w:val="nil"/>
            </w:tcBorders>
            <w:shd w:val="clear" w:color="auto" w:fill="FFFFFF"/>
            <w:tcMar>
              <w:top w:w="110" w:type="dxa"/>
            </w:tcMar>
            <w:vAlign w:val="center"/>
          </w:tcPr>
          <w:p w:rsidR="00794E04" w:rsidRPr="00526311" w:rsidRDefault="00794E04" w:rsidP="0063039A">
            <w:pPr>
              <w:rPr>
                <w:b/>
                <w:sz w:val="16"/>
                <w:szCs w:val="16"/>
              </w:rPr>
            </w:pPr>
            <w:r w:rsidRPr="00526311">
              <w:rPr>
                <w:b/>
                <w:color w:val="000000"/>
                <w:sz w:val="16"/>
                <w:szCs w:val="16"/>
              </w:rPr>
              <w:t>Datos sobre el rendimiento</w:t>
            </w:r>
          </w:p>
        </w:tc>
        <w:tc>
          <w:tcPr>
            <w:tcW w:w="613" w:type="pct"/>
            <w:tcBorders>
              <w:top w:val="single" w:sz="4" w:space="0" w:color="auto"/>
              <w:bottom w:val="nil"/>
              <w:right w:val="single" w:sz="4" w:space="0" w:color="auto"/>
            </w:tcBorders>
            <w:shd w:val="clear" w:color="auto" w:fill="auto"/>
            <w:tcMar>
              <w:top w:w="110" w:type="dxa"/>
            </w:tcMar>
            <w:vAlign w:val="center"/>
          </w:tcPr>
          <w:p w:rsidR="00794E04" w:rsidRPr="00526311" w:rsidRDefault="00794E04" w:rsidP="0063039A">
            <w:pPr>
              <w:jc w:val="center"/>
              <w:rPr>
                <w:b/>
                <w:bCs/>
                <w:sz w:val="16"/>
                <w:szCs w:val="16"/>
              </w:rPr>
            </w:pPr>
            <w:r w:rsidRPr="00526311">
              <w:rPr>
                <w:b/>
                <w:bCs/>
                <w:color w:val="000000"/>
                <w:sz w:val="16"/>
                <w:szCs w:val="16"/>
              </w:rPr>
              <w:t>Clave de colores</w:t>
            </w:r>
          </w:p>
        </w:tc>
      </w:tr>
      <w:tr w:rsidR="00794E04" w:rsidRPr="00526311" w:rsidTr="0063039A">
        <w:trPr>
          <w:cantSplit/>
        </w:trPr>
        <w:tc>
          <w:tcPr>
            <w:tcW w:w="994" w:type="pct"/>
            <w:tcBorders>
              <w:top w:val="nil"/>
              <w:left w:val="single" w:sz="4" w:space="0" w:color="auto"/>
              <w:bottom w:val="single" w:sz="4" w:space="0" w:color="auto"/>
            </w:tcBorders>
            <w:shd w:val="clear" w:color="auto" w:fill="auto"/>
          </w:tcPr>
          <w:p w:rsidR="00794E04" w:rsidRPr="00526311" w:rsidRDefault="00794E04" w:rsidP="0063039A">
            <w:pPr>
              <w:rPr>
                <w:sz w:val="16"/>
                <w:szCs w:val="16"/>
              </w:rPr>
            </w:pPr>
            <w:r w:rsidRPr="00526311">
              <w:rPr>
                <w:sz w:val="16"/>
                <w:szCs w:val="16"/>
              </w:rPr>
              <w:t>Supervisión de las medidas de acceso físico para velar por que se cumplan plenamente las normas aplicables durante el período de construcción de la nueva sala de conferencias y las instalaciones conexas</w:t>
            </w:r>
          </w:p>
        </w:tc>
        <w:tc>
          <w:tcPr>
            <w:tcW w:w="823" w:type="pct"/>
            <w:tcBorders>
              <w:top w:val="nil"/>
              <w:bottom w:val="single" w:sz="4" w:space="0" w:color="auto"/>
            </w:tcBorders>
            <w:shd w:val="clear" w:color="auto" w:fill="auto"/>
          </w:tcPr>
          <w:p w:rsidR="00794E04" w:rsidRPr="00526311" w:rsidRDefault="00794E04" w:rsidP="0063039A">
            <w:pPr>
              <w:ind w:left="-108"/>
              <w:rPr>
                <w:color w:val="002060"/>
                <w:sz w:val="16"/>
                <w:szCs w:val="16"/>
              </w:rPr>
            </w:pPr>
            <w:r w:rsidRPr="00526311">
              <w:rPr>
                <w:i/>
                <w:color w:val="002060"/>
                <w:sz w:val="16"/>
                <w:szCs w:val="16"/>
              </w:rPr>
              <w:t xml:space="preserve">Referencia actualizada a fines de 2013: </w:t>
            </w:r>
            <w:r w:rsidRPr="00526311">
              <w:rPr>
                <w:color w:val="002060"/>
                <w:sz w:val="16"/>
                <w:szCs w:val="16"/>
              </w:rPr>
              <w:t>n.d.</w:t>
            </w:r>
            <w:r w:rsidRPr="00526311">
              <w:rPr>
                <w:i/>
                <w:color w:val="002060"/>
                <w:sz w:val="16"/>
                <w:szCs w:val="16"/>
              </w:rPr>
              <w:br/>
            </w:r>
          </w:p>
          <w:p w:rsidR="00794E04" w:rsidRPr="00526311" w:rsidRDefault="00794E04" w:rsidP="0063039A">
            <w:pPr>
              <w:ind w:left="-108"/>
              <w:rPr>
                <w:color w:val="002060"/>
                <w:sz w:val="16"/>
                <w:szCs w:val="16"/>
              </w:rPr>
            </w:pPr>
          </w:p>
          <w:p w:rsidR="00794E04" w:rsidRPr="00526311" w:rsidRDefault="007B705E" w:rsidP="0063039A">
            <w:pPr>
              <w:ind w:left="-108"/>
              <w:rPr>
                <w:sz w:val="16"/>
                <w:szCs w:val="16"/>
              </w:rPr>
            </w:pPr>
            <w:r w:rsidRPr="00526311">
              <w:rPr>
                <w:i/>
                <w:iCs/>
                <w:sz w:val="16"/>
                <w:szCs w:val="16"/>
              </w:rPr>
              <w:t>Referencia original en el presupuesto de 2014/15</w:t>
            </w:r>
            <w:r w:rsidR="00794E04" w:rsidRPr="00526311">
              <w:rPr>
                <w:i/>
                <w:sz w:val="16"/>
                <w:szCs w:val="16"/>
              </w:rPr>
              <w:t>:  se establecerá a comienzos de 2014 cuando se haya hecho entrega de la nueva sala de conferencias y sobre la base de la evaluación específica de carácter arquitectónico y técnico realizada en 2013</w:t>
            </w:r>
          </w:p>
        </w:tc>
        <w:tc>
          <w:tcPr>
            <w:tcW w:w="889" w:type="pct"/>
            <w:tcBorders>
              <w:top w:val="nil"/>
              <w:bottom w:val="single" w:sz="4" w:space="0" w:color="auto"/>
            </w:tcBorders>
            <w:shd w:val="clear" w:color="auto" w:fill="auto"/>
            <w:tcMar>
              <w:top w:w="110" w:type="dxa"/>
            </w:tcMar>
          </w:tcPr>
          <w:p w:rsidR="00794E04" w:rsidRPr="00526311" w:rsidRDefault="00794E04" w:rsidP="0063039A">
            <w:pPr>
              <w:rPr>
                <w:bCs/>
                <w:sz w:val="16"/>
                <w:szCs w:val="16"/>
              </w:rPr>
            </w:pPr>
            <w:r w:rsidRPr="00526311">
              <w:rPr>
                <w:bCs/>
                <w:sz w:val="16"/>
                <w:szCs w:val="16"/>
              </w:rPr>
              <w:t>Se establecerá a comienzos de 2014 cuando se haya hecho entrega de la nueva sala de conferencias y sobre la base de la evaluación específica de carácter arquitectónico y técnico realizada en 2013</w:t>
            </w:r>
          </w:p>
        </w:tc>
        <w:tc>
          <w:tcPr>
            <w:tcW w:w="1681" w:type="pct"/>
            <w:tcBorders>
              <w:top w:val="nil"/>
              <w:bottom w:val="single" w:sz="4" w:space="0" w:color="auto"/>
            </w:tcBorders>
            <w:shd w:val="clear" w:color="auto" w:fill="FFFFFF"/>
            <w:tcMar>
              <w:top w:w="110" w:type="dxa"/>
            </w:tcMar>
          </w:tcPr>
          <w:p w:rsidR="00794E04" w:rsidRPr="00526311" w:rsidRDefault="00794E04" w:rsidP="0063039A">
            <w:pPr>
              <w:rPr>
                <w:sz w:val="16"/>
                <w:szCs w:val="16"/>
              </w:rPr>
            </w:pPr>
            <w:r w:rsidRPr="00526311">
              <w:rPr>
                <w:sz w:val="16"/>
                <w:szCs w:val="16"/>
              </w:rPr>
              <w:t>Las principales medidas de acceso físico aplicadas durante el periodo de construcción (hasta el final de las obras en agosto de 2014, en vez de comienzos de 2014) fueron, entre otras, las siguientes:  i)  rampas para acceder con silla de ruedas a la tribuna y a todos los asientos de la tribuna (31, si se usa la configuración plena) de la nueva sala de conferencias</w:t>
            </w:r>
            <w:r w:rsidR="00A55668" w:rsidRPr="00526311">
              <w:rPr>
                <w:sz w:val="16"/>
                <w:szCs w:val="16"/>
              </w:rPr>
              <w:t xml:space="preserve"> de la OMPI</w:t>
            </w:r>
            <w:r w:rsidRPr="00526311">
              <w:rPr>
                <w:sz w:val="16"/>
                <w:szCs w:val="16"/>
              </w:rPr>
              <w:t xml:space="preserve">;  ii) acceso para sillas de ruedas a 26 asientos en tres zonas diferentes reservadas para los delegados;  iii) posibilidad de remoción de la totalidad de los asientos (unos 850) para los delegados, que pueden sustituirse,  previa petición, por cualquier otro asiento adaptado a las necesidades de las personas con discapacidad;  iv) nueva puerta de emergencia en el fondo de la </w:t>
            </w:r>
            <w:r w:rsidR="00A55668" w:rsidRPr="00526311">
              <w:rPr>
                <w:sz w:val="16"/>
                <w:szCs w:val="16"/>
              </w:rPr>
              <w:t xml:space="preserve">nueva </w:t>
            </w:r>
            <w:r w:rsidRPr="00526311">
              <w:rPr>
                <w:sz w:val="16"/>
                <w:szCs w:val="16"/>
              </w:rPr>
              <w:t xml:space="preserve">sala de conferencias </w:t>
            </w:r>
            <w:r w:rsidR="00A55668" w:rsidRPr="00526311">
              <w:rPr>
                <w:sz w:val="16"/>
                <w:szCs w:val="16"/>
              </w:rPr>
              <w:t xml:space="preserve">de la OMPI </w:t>
            </w:r>
            <w:r w:rsidRPr="00526311">
              <w:rPr>
                <w:sz w:val="16"/>
                <w:szCs w:val="16"/>
              </w:rPr>
              <w:t>que posibilite el acceso directo e independiente en silla de ruedas a una rampa exterior que desemboca en la explanada exterior;  v) rampas para acceder a las cabinas de interpretación en silla de ruedas en dos nuevas salas de reuniones en una planta renovada del edificio AB;  vi) salas de descanso con acceso para sillas de ruedas;  vii) bandas antideslizantes en los escalones de todas las escaleras dentro y fuera de la nueva sala de conferencias</w:t>
            </w:r>
            <w:r w:rsidR="00A55668" w:rsidRPr="00526311">
              <w:rPr>
                <w:sz w:val="16"/>
                <w:szCs w:val="16"/>
              </w:rPr>
              <w:t xml:space="preserve"> de la OMPI</w:t>
            </w:r>
            <w:r w:rsidRPr="00526311">
              <w:rPr>
                <w:sz w:val="16"/>
                <w:szCs w:val="16"/>
              </w:rPr>
              <w:t>;  viii) rampa para el acceso en silla de ruedas que parte de las puertas del vestíbulo de la nueva sala de conferencias y conduce a la salida de emergencia del perímetro del recinto de la OMPI;  ix) acceso para sillas de ruedas desde la calle por la nueva entrada principal de la OMPI y puertas interiores de acceso prioritario independiente para sillas de ruedas a los mostradores de recepción y registro;  x) asiento especial amovible para personas con discapacidad, disponible en caso de emergencia, previa solicitud, en la planta en que se encuentran las cabinas de interpretación</w:t>
            </w:r>
            <w:r w:rsidR="00A55668" w:rsidRPr="00526311">
              <w:rPr>
                <w:sz w:val="16"/>
                <w:szCs w:val="16"/>
              </w:rPr>
              <w:t>.</w:t>
            </w:r>
            <w:r w:rsidR="00A55668" w:rsidRPr="00526311">
              <w:rPr>
                <w:sz w:val="16"/>
                <w:szCs w:val="16"/>
              </w:rPr>
              <w:br/>
            </w:r>
          </w:p>
        </w:tc>
        <w:tc>
          <w:tcPr>
            <w:tcW w:w="613" w:type="pct"/>
            <w:tcBorders>
              <w:top w:val="nil"/>
              <w:bottom w:val="single" w:sz="4" w:space="0" w:color="auto"/>
              <w:right w:val="single" w:sz="4" w:space="0" w:color="auto"/>
            </w:tcBorders>
            <w:shd w:val="clear" w:color="auto" w:fill="auto"/>
            <w:tcMar>
              <w:top w:w="110" w:type="dxa"/>
            </w:tcMar>
          </w:tcPr>
          <w:p w:rsidR="00794E04" w:rsidRPr="00526311" w:rsidRDefault="00794E04" w:rsidP="0063039A">
            <w:pPr>
              <w:jc w:val="center"/>
              <w:rPr>
                <w:b/>
                <w:color w:val="A6A6A6" w:themeColor="background1" w:themeShade="A6"/>
                <w:sz w:val="16"/>
                <w:szCs w:val="16"/>
              </w:rPr>
            </w:pPr>
            <w:r w:rsidRPr="00526311">
              <w:rPr>
                <w:b/>
                <w:color w:val="A6A6A6" w:themeColor="background1" w:themeShade="A6"/>
                <w:sz w:val="16"/>
                <w:szCs w:val="16"/>
              </w:rPr>
              <w:t>No mensurable</w:t>
            </w:r>
          </w:p>
        </w:tc>
      </w:tr>
    </w:tbl>
    <w:p w:rsidR="00794E04" w:rsidRPr="00526311" w:rsidRDefault="00794E04">
      <w:r w:rsidRPr="00526311">
        <w:br w:type="page"/>
      </w:r>
    </w:p>
    <w:tbl>
      <w:tblPr>
        <w:tblW w:w="484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1526"/>
        <w:gridCol w:w="1649"/>
        <w:gridCol w:w="3117"/>
        <w:gridCol w:w="1137"/>
      </w:tblGrid>
      <w:tr w:rsidR="00794E04" w:rsidRPr="00526311" w:rsidTr="0063039A">
        <w:trPr>
          <w:cantSplit/>
        </w:trPr>
        <w:tc>
          <w:tcPr>
            <w:tcW w:w="994" w:type="pct"/>
            <w:tcBorders>
              <w:top w:val="single" w:sz="4" w:space="0" w:color="auto"/>
              <w:left w:val="single" w:sz="4" w:space="0" w:color="auto"/>
              <w:bottom w:val="nil"/>
            </w:tcBorders>
            <w:shd w:val="clear" w:color="auto" w:fill="auto"/>
            <w:vAlign w:val="center"/>
          </w:tcPr>
          <w:p w:rsidR="00794E04" w:rsidRPr="00526311" w:rsidRDefault="00794E04" w:rsidP="0063039A">
            <w:pPr>
              <w:rPr>
                <w:b/>
                <w:sz w:val="16"/>
                <w:szCs w:val="16"/>
              </w:rPr>
            </w:pPr>
            <w:r w:rsidRPr="00526311">
              <w:rPr>
                <w:b/>
                <w:color w:val="000000"/>
                <w:sz w:val="16"/>
                <w:szCs w:val="16"/>
              </w:rPr>
              <w:lastRenderedPageBreak/>
              <w:t>Indicadores de rendimiento</w:t>
            </w:r>
          </w:p>
        </w:tc>
        <w:tc>
          <w:tcPr>
            <w:tcW w:w="823" w:type="pct"/>
            <w:tcBorders>
              <w:top w:val="single" w:sz="4" w:space="0" w:color="auto"/>
              <w:bottom w:val="nil"/>
            </w:tcBorders>
            <w:shd w:val="clear" w:color="auto" w:fill="auto"/>
            <w:vAlign w:val="center"/>
          </w:tcPr>
          <w:p w:rsidR="00794E04" w:rsidRPr="00526311" w:rsidRDefault="00794E04" w:rsidP="0063039A">
            <w:pPr>
              <w:rPr>
                <w:b/>
                <w:bCs/>
                <w:sz w:val="16"/>
                <w:szCs w:val="16"/>
              </w:rPr>
            </w:pPr>
            <w:r w:rsidRPr="00526311">
              <w:rPr>
                <w:b/>
                <w:bCs/>
                <w:color w:val="000000"/>
                <w:sz w:val="16"/>
                <w:szCs w:val="16"/>
              </w:rPr>
              <w:t>Referencia</w:t>
            </w:r>
          </w:p>
        </w:tc>
        <w:tc>
          <w:tcPr>
            <w:tcW w:w="889" w:type="pct"/>
            <w:tcBorders>
              <w:top w:val="single" w:sz="4" w:space="0" w:color="auto"/>
              <w:bottom w:val="nil"/>
            </w:tcBorders>
            <w:shd w:val="clear" w:color="auto" w:fill="auto"/>
            <w:tcMar>
              <w:top w:w="110" w:type="dxa"/>
            </w:tcMar>
            <w:vAlign w:val="center"/>
          </w:tcPr>
          <w:p w:rsidR="00794E04" w:rsidRPr="00526311" w:rsidRDefault="00794E04" w:rsidP="0063039A">
            <w:pPr>
              <w:rPr>
                <w:b/>
                <w:sz w:val="16"/>
                <w:szCs w:val="16"/>
              </w:rPr>
            </w:pPr>
            <w:r w:rsidRPr="00526311">
              <w:rPr>
                <w:b/>
                <w:color w:val="000000"/>
                <w:sz w:val="16"/>
                <w:szCs w:val="16"/>
              </w:rPr>
              <w:t>Objetivos</w:t>
            </w:r>
          </w:p>
        </w:tc>
        <w:tc>
          <w:tcPr>
            <w:tcW w:w="1681" w:type="pct"/>
            <w:tcBorders>
              <w:top w:val="single" w:sz="4" w:space="0" w:color="auto"/>
              <w:bottom w:val="nil"/>
            </w:tcBorders>
            <w:shd w:val="clear" w:color="auto" w:fill="FFFFFF"/>
            <w:tcMar>
              <w:top w:w="110" w:type="dxa"/>
            </w:tcMar>
            <w:vAlign w:val="center"/>
          </w:tcPr>
          <w:p w:rsidR="00794E04" w:rsidRPr="00526311" w:rsidRDefault="00794E04" w:rsidP="0063039A">
            <w:pPr>
              <w:rPr>
                <w:b/>
                <w:sz w:val="16"/>
                <w:szCs w:val="16"/>
              </w:rPr>
            </w:pPr>
            <w:r w:rsidRPr="00526311">
              <w:rPr>
                <w:b/>
                <w:color w:val="000000"/>
                <w:sz w:val="16"/>
                <w:szCs w:val="16"/>
              </w:rPr>
              <w:t>Datos sobre el rendimiento</w:t>
            </w:r>
          </w:p>
        </w:tc>
        <w:tc>
          <w:tcPr>
            <w:tcW w:w="613" w:type="pct"/>
            <w:tcBorders>
              <w:top w:val="single" w:sz="4" w:space="0" w:color="auto"/>
              <w:bottom w:val="nil"/>
              <w:right w:val="single" w:sz="4" w:space="0" w:color="auto"/>
            </w:tcBorders>
            <w:shd w:val="clear" w:color="auto" w:fill="auto"/>
            <w:tcMar>
              <w:top w:w="110" w:type="dxa"/>
            </w:tcMar>
            <w:vAlign w:val="center"/>
          </w:tcPr>
          <w:p w:rsidR="00794E04" w:rsidRPr="00526311" w:rsidRDefault="00794E04" w:rsidP="0063039A">
            <w:pPr>
              <w:jc w:val="center"/>
              <w:rPr>
                <w:b/>
                <w:bCs/>
                <w:sz w:val="16"/>
                <w:szCs w:val="16"/>
              </w:rPr>
            </w:pPr>
            <w:r w:rsidRPr="00526311">
              <w:rPr>
                <w:b/>
                <w:bCs/>
                <w:color w:val="000000"/>
                <w:sz w:val="16"/>
                <w:szCs w:val="16"/>
              </w:rPr>
              <w:t>Clave de colores</w:t>
            </w:r>
          </w:p>
        </w:tc>
      </w:tr>
      <w:tr w:rsidR="00794E04" w:rsidRPr="00526311" w:rsidTr="0063039A">
        <w:trPr>
          <w:cantSplit/>
        </w:trPr>
        <w:tc>
          <w:tcPr>
            <w:tcW w:w="994" w:type="pct"/>
            <w:tcBorders>
              <w:top w:val="nil"/>
              <w:left w:val="single" w:sz="4" w:space="0" w:color="auto"/>
              <w:bottom w:val="nil"/>
            </w:tcBorders>
            <w:shd w:val="clear" w:color="auto" w:fill="auto"/>
          </w:tcPr>
          <w:p w:rsidR="00794E04" w:rsidRPr="00526311" w:rsidRDefault="00794E04" w:rsidP="0063039A">
            <w:pPr>
              <w:rPr>
                <w:sz w:val="16"/>
                <w:szCs w:val="16"/>
              </w:rPr>
            </w:pPr>
            <w:r w:rsidRPr="00526311">
              <w:rPr>
                <w:sz w:val="16"/>
                <w:szCs w:val="16"/>
              </w:rPr>
              <w:t>Supervisión de las medidas aplicadas durante el período de construcción con el fin de respetar el medio ambiente y reducir el consumo de energía</w:t>
            </w:r>
          </w:p>
        </w:tc>
        <w:tc>
          <w:tcPr>
            <w:tcW w:w="823" w:type="pct"/>
            <w:tcBorders>
              <w:top w:val="nil"/>
              <w:bottom w:val="nil"/>
            </w:tcBorders>
            <w:shd w:val="clear" w:color="auto" w:fill="auto"/>
          </w:tcPr>
          <w:p w:rsidR="00794E04" w:rsidRPr="00526311" w:rsidRDefault="00794E04" w:rsidP="0063039A">
            <w:pPr>
              <w:ind w:left="-108"/>
              <w:rPr>
                <w:color w:val="002060"/>
                <w:sz w:val="16"/>
                <w:szCs w:val="16"/>
              </w:rPr>
            </w:pPr>
            <w:r w:rsidRPr="00526311">
              <w:rPr>
                <w:i/>
                <w:iCs/>
                <w:color w:val="002060"/>
                <w:sz w:val="16"/>
                <w:szCs w:val="16"/>
              </w:rPr>
              <w:t>Referencia actualizada a fines de 2013</w:t>
            </w:r>
            <w:r w:rsidRPr="00526311">
              <w:rPr>
                <w:i/>
                <w:color w:val="002060"/>
                <w:sz w:val="16"/>
                <w:szCs w:val="16"/>
              </w:rPr>
              <w:t>:</w:t>
            </w:r>
            <w:r w:rsidRPr="00526311">
              <w:rPr>
                <w:color w:val="002060"/>
                <w:sz w:val="16"/>
                <w:szCs w:val="16"/>
              </w:rPr>
              <w:t xml:space="preserve"> n.d.</w:t>
            </w:r>
          </w:p>
          <w:p w:rsidR="00794E04" w:rsidRPr="00526311" w:rsidRDefault="00794E04" w:rsidP="0063039A">
            <w:pPr>
              <w:ind w:left="-108"/>
              <w:rPr>
                <w:color w:val="002060"/>
                <w:sz w:val="16"/>
                <w:szCs w:val="16"/>
              </w:rPr>
            </w:pPr>
          </w:p>
          <w:p w:rsidR="00794E04" w:rsidRPr="00526311" w:rsidRDefault="00794E04" w:rsidP="0063039A">
            <w:pPr>
              <w:ind w:left="-108"/>
              <w:rPr>
                <w:sz w:val="16"/>
                <w:szCs w:val="16"/>
              </w:rPr>
            </w:pPr>
            <w:r w:rsidRPr="00526311">
              <w:rPr>
                <w:i/>
                <w:iCs/>
                <w:sz w:val="16"/>
                <w:szCs w:val="16"/>
              </w:rPr>
              <w:t>Referencia original en el presup. de 2014/15</w:t>
            </w:r>
            <w:r w:rsidRPr="00526311">
              <w:rPr>
                <w:i/>
                <w:sz w:val="16"/>
                <w:szCs w:val="16"/>
              </w:rPr>
              <w:t>:  se establecerá a comienzos de 2014 cuando se haya hecho entrega de la nueva sala de conferencias</w:t>
            </w:r>
          </w:p>
        </w:tc>
        <w:tc>
          <w:tcPr>
            <w:tcW w:w="889" w:type="pct"/>
            <w:tcBorders>
              <w:top w:val="nil"/>
              <w:bottom w:val="nil"/>
            </w:tcBorders>
            <w:shd w:val="clear" w:color="auto" w:fill="auto"/>
            <w:tcMar>
              <w:top w:w="110" w:type="dxa"/>
            </w:tcMar>
          </w:tcPr>
          <w:p w:rsidR="00794E04" w:rsidRPr="00526311" w:rsidRDefault="00794E04" w:rsidP="0063039A">
            <w:pPr>
              <w:rPr>
                <w:sz w:val="16"/>
                <w:szCs w:val="16"/>
              </w:rPr>
            </w:pPr>
            <w:r w:rsidRPr="00526311">
              <w:rPr>
                <w:sz w:val="16"/>
                <w:szCs w:val="16"/>
              </w:rPr>
              <w:t>Se establecerá a comienzos de 2014 cuando se haya hecho entrega de la nueva sala de conferencias</w:t>
            </w:r>
          </w:p>
        </w:tc>
        <w:tc>
          <w:tcPr>
            <w:tcW w:w="1681" w:type="pct"/>
            <w:tcBorders>
              <w:top w:val="nil"/>
              <w:bottom w:val="nil"/>
            </w:tcBorders>
            <w:shd w:val="clear" w:color="auto" w:fill="FFFFFF"/>
            <w:tcMar>
              <w:top w:w="110" w:type="dxa"/>
            </w:tcMar>
          </w:tcPr>
          <w:p w:rsidR="00794E04" w:rsidRPr="00526311" w:rsidRDefault="00794E04" w:rsidP="0063039A">
            <w:pPr>
              <w:rPr>
                <w:sz w:val="16"/>
                <w:szCs w:val="16"/>
              </w:rPr>
            </w:pPr>
            <w:r w:rsidRPr="00526311">
              <w:rPr>
                <w:sz w:val="16"/>
                <w:szCs w:val="16"/>
              </w:rPr>
              <w:t>Las principales medidas respetuosas del medio ambiente aplicadas durante el periodo de construcción (hasta el final de las obras en agosto de 2014, en vez de comienzos de 2014) fueron, entre otras, las siguientes:  i) utilización de madera local para la estructura principal y los revestimientos interiores de madera (techos, suelos y paredes) de la nueva sala de conferencias</w:t>
            </w:r>
            <w:r w:rsidR="00A55668" w:rsidRPr="00526311">
              <w:rPr>
                <w:sz w:val="16"/>
                <w:szCs w:val="16"/>
              </w:rPr>
              <w:t xml:space="preserve"> de la OMPI</w:t>
            </w:r>
            <w:r w:rsidRPr="00526311">
              <w:rPr>
                <w:sz w:val="16"/>
                <w:szCs w:val="16"/>
              </w:rPr>
              <w:t>;  ii) gas natural para la calefacción;  iii) sistema de refrigeración que aprovecha el agua fría del lago de Ginebra;  iv) reducción del consumo de luz artificial mediante el uso generalizado de la tecnología LED (en todas las zonas cubiertas por el proyecto) y luz natural gracias a los grandes ventanales y las numerosas claraboyas (en la nueva sala de conferencias</w:t>
            </w:r>
            <w:r w:rsidR="00A55668" w:rsidRPr="00526311">
              <w:rPr>
                <w:sz w:val="16"/>
                <w:szCs w:val="16"/>
              </w:rPr>
              <w:t xml:space="preserve"> de la OMPI</w:t>
            </w:r>
            <w:r w:rsidRPr="00526311">
              <w:rPr>
                <w:sz w:val="16"/>
                <w:szCs w:val="16"/>
              </w:rPr>
              <w:t>);  v) máximo aprovechamiento del aire del exterior gracias a un sistema de ventilación combinado;  vi) cubierta vegetal de la techumbre del Centro de Acceso, que aumenta la capacidad de enfriamiento y de escurrimiento de las aguas de lluvia;  vii) iluminación activada por detectores de presencia fuera del horario de oficina</w:t>
            </w:r>
          </w:p>
        </w:tc>
        <w:tc>
          <w:tcPr>
            <w:tcW w:w="613" w:type="pct"/>
            <w:tcBorders>
              <w:top w:val="nil"/>
              <w:bottom w:val="nil"/>
              <w:right w:val="single" w:sz="4" w:space="0" w:color="auto"/>
            </w:tcBorders>
            <w:shd w:val="clear" w:color="auto" w:fill="auto"/>
            <w:tcMar>
              <w:top w:w="110" w:type="dxa"/>
            </w:tcMar>
          </w:tcPr>
          <w:p w:rsidR="00794E04" w:rsidRPr="00526311" w:rsidRDefault="00794E04" w:rsidP="0063039A">
            <w:pPr>
              <w:jc w:val="center"/>
              <w:rPr>
                <w:rStyle w:val="Style5"/>
                <w:color w:val="002060"/>
                <w:sz w:val="16"/>
                <w:szCs w:val="16"/>
              </w:rPr>
            </w:pPr>
            <w:r w:rsidRPr="00526311">
              <w:rPr>
                <w:b/>
                <w:color w:val="A6A6A6" w:themeColor="background1" w:themeShade="A6"/>
                <w:sz w:val="16"/>
                <w:szCs w:val="16"/>
              </w:rPr>
              <w:t>No mensurable</w:t>
            </w:r>
          </w:p>
        </w:tc>
      </w:tr>
      <w:tr w:rsidR="00794E04" w:rsidRPr="00526311" w:rsidTr="0063039A">
        <w:trPr>
          <w:cantSplit/>
        </w:trPr>
        <w:tc>
          <w:tcPr>
            <w:tcW w:w="994" w:type="pct"/>
            <w:tcBorders>
              <w:top w:val="nil"/>
              <w:left w:val="single" w:sz="4" w:space="0" w:color="auto"/>
              <w:bottom w:val="single" w:sz="4" w:space="0" w:color="auto"/>
            </w:tcBorders>
            <w:shd w:val="clear" w:color="auto" w:fill="auto"/>
          </w:tcPr>
          <w:p w:rsidR="00794E04" w:rsidRPr="00526311" w:rsidRDefault="00794E04" w:rsidP="0063039A">
            <w:pPr>
              <w:rPr>
                <w:sz w:val="16"/>
                <w:szCs w:val="16"/>
              </w:rPr>
            </w:pPr>
            <w:r w:rsidRPr="00526311">
              <w:rPr>
                <w:sz w:val="16"/>
                <w:szCs w:val="16"/>
              </w:rPr>
              <w:t>Finalización de la aplicación de las medidas de seguridad del perímetro de la nueva sala de conferencias con arreglo a las normas mínimas operativas de seguridad para las sedes de NN.UU</w:t>
            </w:r>
          </w:p>
        </w:tc>
        <w:tc>
          <w:tcPr>
            <w:tcW w:w="823" w:type="pct"/>
            <w:tcBorders>
              <w:top w:val="nil"/>
              <w:bottom w:val="single" w:sz="4" w:space="0" w:color="auto"/>
            </w:tcBorders>
            <w:shd w:val="clear" w:color="auto" w:fill="auto"/>
          </w:tcPr>
          <w:p w:rsidR="00794E04" w:rsidRPr="00526311" w:rsidRDefault="00794E04" w:rsidP="0063039A">
            <w:pPr>
              <w:rPr>
                <w:i/>
                <w:sz w:val="16"/>
                <w:szCs w:val="16"/>
              </w:rPr>
            </w:pPr>
            <w:r w:rsidRPr="00526311">
              <w:rPr>
                <w:i/>
                <w:sz w:val="16"/>
                <w:szCs w:val="16"/>
              </w:rPr>
              <w:t>n.d.</w:t>
            </w:r>
          </w:p>
        </w:tc>
        <w:tc>
          <w:tcPr>
            <w:tcW w:w="889" w:type="pct"/>
            <w:tcBorders>
              <w:top w:val="nil"/>
              <w:bottom w:val="single" w:sz="4" w:space="0" w:color="auto"/>
            </w:tcBorders>
            <w:shd w:val="clear" w:color="auto" w:fill="auto"/>
            <w:tcMar>
              <w:top w:w="110" w:type="dxa"/>
            </w:tcMar>
          </w:tcPr>
          <w:p w:rsidR="00794E04" w:rsidRPr="00526311" w:rsidRDefault="00794E04" w:rsidP="0063039A">
            <w:pPr>
              <w:rPr>
                <w:sz w:val="16"/>
                <w:szCs w:val="16"/>
              </w:rPr>
            </w:pPr>
            <w:r w:rsidRPr="00526311">
              <w:rPr>
                <w:sz w:val="16"/>
                <w:szCs w:val="16"/>
              </w:rPr>
              <w:t>Finalización de la aplicación de las medidas de seguridad del perímetro con arreglo a las normas mínimas operativas de seguridad para las sedes de NN.UU. para finales de 2015</w:t>
            </w:r>
          </w:p>
        </w:tc>
        <w:tc>
          <w:tcPr>
            <w:tcW w:w="1681" w:type="pct"/>
            <w:tcBorders>
              <w:top w:val="nil"/>
              <w:bottom w:val="single" w:sz="4" w:space="0" w:color="auto"/>
            </w:tcBorders>
            <w:shd w:val="clear" w:color="auto" w:fill="FFFFFF"/>
            <w:tcMar>
              <w:top w:w="110" w:type="dxa"/>
            </w:tcMar>
          </w:tcPr>
          <w:p w:rsidR="00794E04" w:rsidRPr="00526311" w:rsidRDefault="00794E04" w:rsidP="0063039A">
            <w:pPr>
              <w:rPr>
                <w:sz w:val="16"/>
                <w:szCs w:val="16"/>
              </w:rPr>
            </w:pPr>
            <w:r w:rsidRPr="00526311">
              <w:rPr>
                <w:sz w:val="16"/>
                <w:szCs w:val="16"/>
              </w:rPr>
              <w:t xml:space="preserve">El perímetro de seguridad frente a la nueva sala de conferencias </w:t>
            </w:r>
            <w:r w:rsidR="00534121" w:rsidRPr="00526311">
              <w:rPr>
                <w:sz w:val="16"/>
                <w:szCs w:val="16"/>
              </w:rPr>
              <w:t xml:space="preserve">de la OMPI </w:t>
            </w:r>
            <w:r w:rsidRPr="00526311">
              <w:rPr>
                <w:sz w:val="16"/>
                <w:szCs w:val="16"/>
              </w:rPr>
              <w:t>del lado del edificio AB y el muro antiexplosión del lado de la Route de Ferney se finalizaron en agosto de 2014. La terminación de las demás medidas está prevista a finales de 2015</w:t>
            </w:r>
          </w:p>
        </w:tc>
        <w:tc>
          <w:tcPr>
            <w:tcW w:w="613" w:type="pct"/>
            <w:tcBorders>
              <w:top w:val="nil"/>
              <w:bottom w:val="single" w:sz="4" w:space="0" w:color="auto"/>
              <w:right w:val="single" w:sz="4" w:space="0" w:color="auto"/>
            </w:tcBorders>
            <w:shd w:val="clear" w:color="auto" w:fill="auto"/>
            <w:tcMar>
              <w:top w:w="110" w:type="dxa"/>
            </w:tcMar>
          </w:tcPr>
          <w:p w:rsidR="00794E04" w:rsidRPr="00526311" w:rsidRDefault="00794E04" w:rsidP="0063039A">
            <w:pPr>
              <w:ind w:left="-109"/>
              <w:jc w:val="center"/>
              <w:rPr>
                <w:b/>
                <w:bCs/>
                <w:color w:val="00B050"/>
                <w:sz w:val="16"/>
                <w:szCs w:val="16"/>
              </w:rPr>
            </w:pPr>
            <w:r w:rsidRPr="00526311">
              <w:rPr>
                <w:b/>
                <w:color w:val="00B050"/>
                <w:sz w:val="16"/>
                <w:szCs w:val="16"/>
              </w:rPr>
              <w:t>Avanza</w:t>
            </w:r>
          </w:p>
        </w:tc>
      </w:tr>
    </w:tbl>
    <w:p w:rsidR="00794E04" w:rsidRPr="00526311" w:rsidRDefault="00794E04">
      <w:pPr>
        <w:rPr>
          <w:color w:val="000000"/>
          <w:sz w:val="20"/>
        </w:rPr>
      </w:pPr>
    </w:p>
    <w:p w:rsidR="00794E04" w:rsidRPr="00526311" w:rsidRDefault="00794E04">
      <w:pPr>
        <w:rPr>
          <w:color w:val="000000"/>
          <w:sz w:val="20"/>
        </w:rPr>
      </w:pPr>
    </w:p>
    <w:p w:rsidR="00794E04" w:rsidRPr="00526311" w:rsidRDefault="00794E04" w:rsidP="0063039A">
      <w:pPr>
        <w:rPr>
          <w:b/>
        </w:rPr>
      </w:pPr>
      <w:r w:rsidRPr="00526311">
        <w:rPr>
          <w:szCs w:val="22"/>
        </w:rPr>
        <w:t>UTILIZACIÓN DE LOS RECURSOS</w:t>
      </w:r>
    </w:p>
    <w:p w:rsidR="00794E04" w:rsidRPr="00526311" w:rsidRDefault="00794E04">
      <w:pPr>
        <w:rPr>
          <w:sz w:val="20"/>
        </w:rPr>
      </w:pPr>
    </w:p>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794E04" w:rsidRPr="00526311" w:rsidRDefault="00794E04" w:rsidP="0063039A">
      <w:pPr>
        <w:pStyle w:val="NormalWeb"/>
        <w:spacing w:before="0" w:beforeAutospacing="0" w:after="0" w:afterAutospacing="0"/>
        <w:jc w:val="center"/>
        <w:rPr>
          <w:sz w:val="20"/>
          <w:szCs w:val="20"/>
          <w:lang w:val="es-ES"/>
        </w:rPr>
      </w:pPr>
    </w:p>
    <w:p w:rsidR="00794E04" w:rsidRPr="00526311" w:rsidRDefault="00DD7B62" w:rsidP="0063039A">
      <w:pPr>
        <w:jc w:val="center"/>
      </w:pPr>
      <w:r w:rsidRPr="00526311">
        <w:rPr>
          <w:noProof/>
          <w:lang w:val="en-US" w:eastAsia="en-US"/>
        </w:rPr>
        <w:drawing>
          <wp:inline distT="0" distB="0" distL="0" distR="0" wp14:anchorId="3EB90E10" wp14:editId="5C5D49E3">
            <wp:extent cx="5762625" cy="1828800"/>
            <wp:effectExtent l="0" t="0" r="9525"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62625" cy="1828800"/>
                    </a:xfrm>
                    <a:prstGeom prst="rect">
                      <a:avLst/>
                    </a:prstGeom>
                    <a:noFill/>
                    <a:ln>
                      <a:noFill/>
                    </a:ln>
                  </pic:spPr>
                </pic:pic>
              </a:graphicData>
            </a:graphic>
          </wp:inline>
        </w:drawing>
      </w:r>
    </w:p>
    <w:p w:rsidR="00794E04" w:rsidRPr="00526311" w:rsidRDefault="00794E04">
      <w:pPr>
        <w:rPr>
          <w:sz w:val="20"/>
        </w:rPr>
      </w:pPr>
    </w:p>
    <w:p w:rsidR="00794E04" w:rsidRPr="00526311" w:rsidRDefault="00794E04" w:rsidP="0063039A">
      <w:pPr>
        <w:rPr>
          <w:sz w:val="20"/>
        </w:rPr>
      </w:pPr>
    </w:p>
    <w:p w:rsidR="00794E04" w:rsidRPr="00526311" w:rsidRDefault="00794E04">
      <w:pPr>
        <w:rPr>
          <w:color w:val="808080"/>
          <w:sz w:val="20"/>
        </w:rPr>
      </w:pPr>
      <w:r w:rsidRPr="00526311">
        <w:rPr>
          <w:color w:val="808080"/>
          <w:sz w:val="20"/>
        </w:rPr>
        <w:br w:type="page"/>
      </w:r>
    </w:p>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lastRenderedPageBreak/>
        <w:t xml:space="preserve">Presupuesto y gastos reales (de personal y no relativos a personal) </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794E04" w:rsidRPr="00526311" w:rsidRDefault="00794E04" w:rsidP="0063039A">
      <w:pPr>
        <w:pStyle w:val="NormalWeb"/>
        <w:spacing w:before="0" w:beforeAutospacing="0" w:after="0" w:afterAutospacing="0"/>
        <w:jc w:val="center"/>
        <w:rPr>
          <w:lang w:val="es-ES"/>
        </w:rPr>
      </w:pPr>
    </w:p>
    <w:p w:rsidR="00794E04" w:rsidRPr="00526311" w:rsidRDefault="00FF6E74" w:rsidP="0063039A">
      <w:pPr>
        <w:jc w:val="center"/>
      </w:pPr>
      <w:bookmarkStart w:id="94" w:name="Punto29"/>
      <w:r w:rsidRPr="00526311">
        <w:rPr>
          <w:noProof/>
          <w:lang w:val="en-US" w:eastAsia="en-US"/>
        </w:rPr>
        <w:drawing>
          <wp:inline distT="0" distB="0" distL="0" distR="0" wp14:anchorId="01E86DA6" wp14:editId="4CC32729">
            <wp:extent cx="5940425" cy="1209029"/>
            <wp:effectExtent l="0" t="0" r="3175"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0425" cy="1209029"/>
                    </a:xfrm>
                    <a:prstGeom prst="rect">
                      <a:avLst/>
                    </a:prstGeom>
                    <a:noFill/>
                    <a:ln>
                      <a:noFill/>
                    </a:ln>
                  </pic:spPr>
                </pic:pic>
              </a:graphicData>
            </a:graphic>
          </wp:inline>
        </w:drawing>
      </w:r>
      <w:bookmarkEnd w:id="94"/>
    </w:p>
    <w:p w:rsidR="00794E04" w:rsidRPr="00526311" w:rsidRDefault="00794E04" w:rsidP="0063039A">
      <w:pPr>
        <w:autoSpaceDE w:val="0"/>
        <w:autoSpaceDN w:val="0"/>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794E04" w:rsidRPr="00526311" w:rsidRDefault="00794E04" w:rsidP="0063039A">
      <w:pPr>
        <w:autoSpaceDE w:val="0"/>
        <w:autoSpaceDN w:val="0"/>
        <w:adjustRightInd w:val="0"/>
        <w:rPr>
          <w:sz w:val="20"/>
        </w:rPr>
      </w:pPr>
    </w:p>
    <w:p w:rsidR="00794E04" w:rsidRPr="00526311" w:rsidRDefault="00794E04" w:rsidP="0063039A">
      <w:pPr>
        <w:autoSpaceDE w:val="0"/>
        <w:autoSpaceDN w:val="0"/>
        <w:adjustRightInd w:val="0"/>
        <w:rPr>
          <w:sz w:val="20"/>
        </w:rPr>
      </w:pPr>
    </w:p>
    <w:p w:rsidR="00794E04" w:rsidRPr="00526311" w:rsidRDefault="00794E04"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794E04" w:rsidRPr="00526311" w:rsidRDefault="00794E04" w:rsidP="0063039A">
      <w:pPr>
        <w:rPr>
          <w:sz w:val="20"/>
          <w:u w:val="single"/>
        </w:rPr>
      </w:pPr>
    </w:p>
    <w:p w:rsidR="00794E04" w:rsidRPr="00526311" w:rsidRDefault="00794E04" w:rsidP="00794E04">
      <w:pPr>
        <w:pStyle w:val="ListParagraph"/>
        <w:numPr>
          <w:ilvl w:val="0"/>
          <w:numId w:val="96"/>
        </w:numPr>
        <w:tabs>
          <w:tab w:val="left" w:pos="709"/>
        </w:tabs>
        <w:ind w:left="0" w:firstLine="0"/>
        <w:jc w:val="both"/>
        <w:rPr>
          <w:rFonts w:cs="Arial"/>
          <w:lang w:val="es-ES"/>
        </w:rPr>
      </w:pPr>
      <w:r w:rsidRPr="00526311">
        <w:rPr>
          <w:rFonts w:cs="Arial"/>
          <w:lang w:val="es-ES"/>
        </w:rPr>
        <w:t>La leve reducción observada en el presupuesto de 2014/15 tras las transferencias se debe a la aplicación de medidas para fomentar la eficacia en función de los costos en 2014/15.  La ligera variación en la dotación de recursos por resultado previsto se debe principalmente a la reasignación de recursos de personal destinada a asegurar el cumplimiento de las normas técnicas aplicables en relación con la accesibilidad física, eficiencia energética y respeto del medio ambiente, así como a la aplicación de las medidas de seguridad del perímetro con arreglo a las normas mínimas operativas de seguridad para las sedes de NN.UU. (en coordinación con el programa 28) para la nueva sala de conferencias</w:t>
      </w:r>
      <w:r w:rsidR="00534121" w:rsidRPr="00526311">
        <w:rPr>
          <w:rFonts w:cs="Arial"/>
          <w:lang w:val="es-ES"/>
        </w:rPr>
        <w:t xml:space="preserve"> de la OMPI</w:t>
      </w:r>
      <w:r w:rsidRPr="00526311">
        <w:rPr>
          <w:rFonts w:cs="Arial"/>
          <w:lang w:val="es-ES"/>
        </w:rPr>
        <w:t xml:space="preserve">. </w:t>
      </w:r>
    </w:p>
    <w:p w:rsidR="00794E04" w:rsidRPr="00526311" w:rsidRDefault="00794E04" w:rsidP="0063039A">
      <w:pPr>
        <w:autoSpaceDE w:val="0"/>
        <w:autoSpaceDN w:val="0"/>
        <w:jc w:val="both"/>
        <w:rPr>
          <w:sz w:val="20"/>
          <w:lang w:eastAsia="ko-KR"/>
        </w:rPr>
      </w:pPr>
    </w:p>
    <w:p w:rsidR="00794E04" w:rsidRPr="00526311" w:rsidRDefault="00794E04"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794E04" w:rsidRPr="00526311" w:rsidRDefault="00794E04" w:rsidP="0063039A">
      <w:pPr>
        <w:tabs>
          <w:tab w:val="left" w:pos="709"/>
        </w:tabs>
        <w:jc w:val="both"/>
        <w:rPr>
          <w:sz w:val="20"/>
          <w:u w:val="single"/>
          <w:lang w:eastAsia="ko-KR"/>
        </w:rPr>
      </w:pPr>
    </w:p>
    <w:p w:rsidR="00794E04" w:rsidRPr="00526311" w:rsidRDefault="00794E04" w:rsidP="00794E04">
      <w:pPr>
        <w:pStyle w:val="ListParagraph"/>
        <w:numPr>
          <w:ilvl w:val="0"/>
          <w:numId w:val="96"/>
        </w:numPr>
        <w:tabs>
          <w:tab w:val="left" w:pos="709"/>
        </w:tabs>
        <w:ind w:left="0" w:firstLine="0"/>
        <w:jc w:val="both"/>
        <w:rPr>
          <w:rFonts w:cs="Arial"/>
          <w:lang w:val="es-ES"/>
        </w:rPr>
      </w:pPr>
      <w:r w:rsidRPr="00526311">
        <w:rPr>
          <w:rFonts w:cs="Arial"/>
          <w:lang w:val="es-ES"/>
        </w:rPr>
        <w:t>La utilización del presupuesto se ha mantenido dentro de los límites establecidos (40-60%) durante el primer año del bienio y está bien encaminada</w:t>
      </w:r>
      <w:r w:rsidRPr="00526311">
        <w:rPr>
          <w:rFonts w:cs="Arial"/>
          <w:lang w:val="es-ES" w:eastAsia="ko-KR"/>
        </w:rPr>
        <w:t xml:space="preserve">. </w:t>
      </w:r>
    </w:p>
    <w:p w:rsidR="00794E04" w:rsidRPr="00526311" w:rsidRDefault="00794E04" w:rsidP="0063039A">
      <w:pPr>
        <w:autoSpaceDE w:val="0"/>
        <w:autoSpaceDN w:val="0"/>
        <w:jc w:val="both"/>
        <w:rPr>
          <w:sz w:val="20"/>
        </w:rPr>
      </w:pPr>
    </w:p>
    <w:p w:rsidR="004A0B71" w:rsidRPr="00526311" w:rsidRDefault="004A0B71" w:rsidP="0063039A">
      <w:pPr>
        <w:autoSpaceDE w:val="0"/>
        <w:autoSpaceDN w:val="0"/>
        <w:jc w:val="both"/>
        <w:rPr>
          <w:sz w:val="20"/>
        </w:rPr>
      </w:pPr>
    </w:p>
    <w:p w:rsidR="00E50524" w:rsidRPr="00526311" w:rsidRDefault="00E50524" w:rsidP="0063039A">
      <w:pPr>
        <w:autoSpaceDE w:val="0"/>
        <w:autoSpaceDN w:val="0"/>
        <w:jc w:val="both"/>
        <w:rPr>
          <w:sz w:val="20"/>
        </w:rPr>
        <w:sectPr w:rsidR="00E50524" w:rsidRPr="00526311" w:rsidSect="00491B18">
          <w:headerReference w:type="even" r:id="rId162"/>
          <w:headerReference w:type="default" r:id="rId163"/>
          <w:footerReference w:type="even" r:id="rId164"/>
          <w:headerReference w:type="first" r:id="rId165"/>
          <w:footerReference w:type="first" r:id="rId166"/>
          <w:pgSz w:w="11907" w:h="16840" w:code="9"/>
          <w:pgMar w:top="567" w:right="1134" w:bottom="1247" w:left="1418" w:header="510" w:footer="1021" w:gutter="0"/>
          <w:pgNumType w:start="1"/>
          <w:cols w:space="720"/>
          <w:titlePg/>
          <w:docGrid w:linePitch="299"/>
        </w:sectPr>
      </w:pPr>
    </w:p>
    <w:p w:rsidR="00C91295" w:rsidRPr="00526311" w:rsidRDefault="00C91295" w:rsidP="00F1387F">
      <w:pPr>
        <w:pStyle w:val="Heading1"/>
        <w:ind w:left="567" w:hanging="567"/>
        <w:rPr>
          <w:rFonts w:eastAsia="Times New Roman"/>
          <w:caps w:val="0"/>
        </w:rPr>
      </w:pPr>
      <w:bookmarkStart w:id="95" w:name="_Toc422927444"/>
      <w:r w:rsidRPr="00526311">
        <w:rPr>
          <w:rFonts w:eastAsia="Times New Roman"/>
          <w:caps w:val="0"/>
        </w:rPr>
        <w:lastRenderedPageBreak/>
        <w:t>IV.</w:t>
      </w:r>
      <w:r w:rsidRPr="00526311">
        <w:rPr>
          <w:rFonts w:eastAsia="Times New Roman"/>
          <w:caps w:val="0"/>
        </w:rPr>
        <w:tab/>
        <w:t>APÉNDICES</w:t>
      </w:r>
      <w:bookmarkEnd w:id="95"/>
    </w:p>
    <w:p w:rsidR="00C91295" w:rsidRPr="00526311" w:rsidRDefault="00C91295" w:rsidP="00F1387F">
      <w:pPr>
        <w:rPr>
          <w:b/>
          <w:bCs/>
          <w:szCs w:val="28"/>
        </w:rPr>
      </w:pPr>
    </w:p>
    <w:p w:rsidR="00C91295" w:rsidRPr="00526311" w:rsidRDefault="00C91295" w:rsidP="00F1387F">
      <w:pPr>
        <w:rPr>
          <w:b/>
          <w:bCs/>
          <w:szCs w:val="28"/>
        </w:rPr>
      </w:pPr>
    </w:p>
    <w:p w:rsidR="00C91295" w:rsidRPr="00526311" w:rsidRDefault="00C91295" w:rsidP="00F1387F">
      <w:pPr>
        <w:pStyle w:val="Heading2"/>
        <w:tabs>
          <w:tab w:val="left" w:pos="2268"/>
          <w:tab w:val="right" w:pos="9072"/>
        </w:tabs>
        <w:spacing w:before="0" w:after="0"/>
        <w:rPr>
          <w:rFonts w:eastAsia="Times New Roman"/>
          <w:b/>
          <w:caps w:val="0"/>
        </w:rPr>
      </w:pPr>
      <w:bookmarkStart w:id="96" w:name="_Toc422927445"/>
      <w:r w:rsidRPr="00526311">
        <w:rPr>
          <w:rFonts w:eastAsia="Times New Roman"/>
          <w:b/>
          <w:caps w:val="0"/>
        </w:rPr>
        <w:t>APÉNDICE I</w:t>
      </w:r>
      <w:r w:rsidRPr="00526311">
        <w:rPr>
          <w:rFonts w:eastAsia="Times New Roman"/>
          <w:b/>
          <w:caps w:val="0"/>
        </w:rPr>
        <w:br/>
      </w:r>
      <w:r w:rsidRPr="00526311">
        <w:rPr>
          <w:rFonts w:eastAsia="Times New Roman"/>
          <w:b/>
          <w:caps w:val="0"/>
        </w:rPr>
        <w:br/>
        <w:t>DESGLOSE DE LA EVALUACIÓN DEL RENDIMIENTO DE CADA PROGRAMA</w:t>
      </w:r>
      <w:bookmarkEnd w:id="96"/>
    </w:p>
    <w:p w:rsidR="00C91295" w:rsidRPr="00526311" w:rsidRDefault="00C91295" w:rsidP="00F1387F">
      <w:pPr>
        <w:rPr>
          <w:sz w:val="20"/>
        </w:rPr>
      </w:pPr>
    </w:p>
    <w:p w:rsidR="00C91295" w:rsidRPr="00526311" w:rsidRDefault="00C91295" w:rsidP="00F1387F">
      <w:pPr>
        <w:rPr>
          <w:sz w:val="20"/>
        </w:rPr>
      </w:pPr>
    </w:p>
    <w:p w:rsidR="00C91295" w:rsidRPr="00526311" w:rsidRDefault="00C91295" w:rsidP="00F1387F">
      <w:pPr>
        <w:jc w:val="both"/>
        <w:rPr>
          <w:sz w:val="20"/>
        </w:rPr>
      </w:pPr>
      <w:r w:rsidRPr="00526311">
        <w:rPr>
          <w:sz w:val="20"/>
        </w:rPr>
        <w:t xml:space="preserve">La evaluación del rendimiento de cada uno de los programas que se incluyen en el </w:t>
      </w:r>
      <w:r w:rsidR="00AA0C32" w:rsidRPr="00526311">
        <w:rPr>
          <w:color w:val="000000"/>
          <w:sz w:val="16"/>
          <w:szCs w:val="16"/>
        </w:rPr>
        <w:t>documento</w:t>
      </w:r>
      <w:r w:rsidRPr="00526311">
        <w:rPr>
          <w:sz w:val="20"/>
        </w:rPr>
        <w:t xml:space="preserve"> PPR </w:t>
      </w:r>
      <w:r w:rsidR="00AA0C32" w:rsidRPr="00526311" w:rsidDel="00AA0C32">
        <w:rPr>
          <w:sz w:val="20"/>
        </w:rPr>
        <w:t xml:space="preserve"> </w:t>
      </w:r>
      <w:r w:rsidRPr="00526311">
        <w:rPr>
          <w:sz w:val="20"/>
        </w:rPr>
        <w:t>2014 comprende las siguientes secciones:</w:t>
      </w:r>
    </w:p>
    <w:p w:rsidR="00C91295" w:rsidRPr="00526311" w:rsidRDefault="00C91295" w:rsidP="00F1387F">
      <w:pPr>
        <w:jc w:val="both"/>
        <w:rPr>
          <w:i/>
          <w:iCs/>
          <w:sz w:val="20"/>
        </w:rPr>
      </w:pPr>
    </w:p>
    <w:p w:rsidR="00C91295" w:rsidRPr="00526311" w:rsidRDefault="00C91295" w:rsidP="00F1387F">
      <w:pPr>
        <w:jc w:val="both"/>
        <w:rPr>
          <w:bCs/>
          <w:i/>
          <w:iCs/>
          <w:sz w:val="20"/>
        </w:rPr>
      </w:pPr>
      <w:r w:rsidRPr="00526311">
        <w:rPr>
          <w:bCs/>
          <w:i/>
          <w:iCs/>
          <w:sz w:val="20"/>
        </w:rPr>
        <w:t>Sección I:  Reseña de los avances logrados en 2014</w:t>
      </w:r>
    </w:p>
    <w:p w:rsidR="00C91295" w:rsidRPr="00526311" w:rsidRDefault="00C91295" w:rsidP="00F1387F">
      <w:pPr>
        <w:jc w:val="both"/>
        <w:rPr>
          <w:sz w:val="20"/>
        </w:rPr>
      </w:pPr>
    </w:p>
    <w:p w:rsidR="00C91295" w:rsidRPr="00526311" w:rsidRDefault="00C91295" w:rsidP="00F1387F">
      <w:pPr>
        <w:jc w:val="both"/>
        <w:rPr>
          <w:sz w:val="20"/>
        </w:rPr>
      </w:pPr>
      <w:r w:rsidRPr="00526311">
        <w:rPr>
          <w:sz w:val="20"/>
        </w:rPr>
        <w:t>En esta sección se ofrece un resumen analítico de los avances logrados en 2014 en relación con los resultados por programa, y las dificultades experimentadas durante el período examinado.  Por primera vez en 2014, se ha incluido la evaluación de la aplicación de la Agenda para el Desarrollo (A.D.) que se ha integrado en la reseña de los avances logrados.  En consonancia con el proceso presupuestario aplicado a los proyectos propuestos por el Comité de Desarrollo y Propiedad Intelectual (CDIP) para dar aplicación a las recomendaciones de la A.D., aprobado por las Asambleas de la OMPI en 2010,</w:t>
      </w:r>
      <w:r w:rsidRPr="00526311">
        <w:rPr>
          <w:rStyle w:val="FootnoteReference"/>
          <w:sz w:val="20"/>
        </w:rPr>
        <w:footnoteReference w:id="65"/>
      </w:r>
      <w:r w:rsidRPr="00526311">
        <w:rPr>
          <w:sz w:val="20"/>
        </w:rPr>
        <w:t xml:space="preserve"> en la información relativa a la A.D. se siguen incluyendo datos detallados tanto sobre la ejecución de los proyectos de la A.D. como sobre sus recomendaciones.</w:t>
      </w:r>
    </w:p>
    <w:p w:rsidR="00C91295" w:rsidRPr="00526311" w:rsidRDefault="00C91295" w:rsidP="00F1387F">
      <w:pPr>
        <w:jc w:val="both"/>
        <w:rPr>
          <w:sz w:val="20"/>
        </w:rPr>
      </w:pPr>
    </w:p>
    <w:p w:rsidR="00C91295" w:rsidRPr="00526311" w:rsidRDefault="00C91295" w:rsidP="00F1387F">
      <w:pPr>
        <w:autoSpaceDE w:val="0"/>
        <w:autoSpaceDN w:val="0"/>
        <w:adjustRightInd w:val="0"/>
        <w:jc w:val="both"/>
        <w:rPr>
          <w:i/>
          <w:iCs/>
          <w:sz w:val="20"/>
        </w:rPr>
      </w:pPr>
      <w:r w:rsidRPr="00526311">
        <w:rPr>
          <w:i/>
          <w:iCs/>
          <w:sz w:val="20"/>
        </w:rPr>
        <w:t>Sección II:  Datos sobre el rendimiento</w:t>
      </w:r>
    </w:p>
    <w:p w:rsidR="00C91295" w:rsidRPr="00526311" w:rsidRDefault="00C91295" w:rsidP="00F1387F">
      <w:pPr>
        <w:jc w:val="both"/>
        <w:rPr>
          <w:sz w:val="20"/>
        </w:rPr>
      </w:pPr>
    </w:p>
    <w:p w:rsidR="00C91295" w:rsidRPr="00526311" w:rsidRDefault="00C91295" w:rsidP="00F1387F">
      <w:pPr>
        <w:jc w:val="both"/>
        <w:rPr>
          <w:sz w:val="20"/>
        </w:rPr>
      </w:pPr>
      <w:r w:rsidRPr="00526311">
        <w:rPr>
          <w:sz w:val="20"/>
        </w:rPr>
        <w:t>En el cuadro que se incluye en esta sección se resumen los resultados previstos a cuya consecución contribuye el programa así como los indicadores de rendimiento, que miden dicha contribución, aprobados por los Estados miembros en el presupuesto por programas del bienio 2014/15.  Se han actualizado, según corresponda, las referencias con el fin de reflejar la situación existente a fines de 2013.  Los cuadros de los datos sobre el rendimiento siguen reflejando las referencias originales (de acuerdo con el presupuesto por programas de 2014/15), las referencias actualizadas (con datos de fines de 2013), y los objetivos (de acuerdo con el presupuesto por programas del bienio 2014/15) a efectos comparativos en relación con los datos y evaluaciones de rendimiento.  En respuesta a la solicitud formulada por los Estados miembros, en 2014 se volvieron a ampliar los cuadros.  En el marco de los programas, se pudieron definir objetivos que no habían sido definidos en el presupuesto por programas de 2014/15, es decir, objetivos "por determinar", durante el ejercicio de actualización de las referencias (iniciado el 1 de julio de 2014), utilizando como base los datos de fines de 2013.  Los objetivos no definidos durante ese proceso siguen sin definirse, por consiguiente, los datos sobre el rendimiento figuran como "no mensurables".  En la cuarta columna se presentan los datos sobre el rendimiento en 2014 correspondientes a cada indicador.  En la quinta columna se evalúa el rendimiento mediante la "clave de colores".</w:t>
      </w:r>
    </w:p>
    <w:p w:rsidR="00C91295" w:rsidRPr="00526311" w:rsidRDefault="00C91295" w:rsidP="00F1387F">
      <w:pPr>
        <w:jc w:val="both"/>
        <w:rPr>
          <w:iCs/>
          <w:sz w:val="20"/>
        </w:rPr>
      </w:pPr>
    </w:p>
    <w:p w:rsidR="00C91295" w:rsidRPr="00526311" w:rsidRDefault="00C91295" w:rsidP="00F1387F">
      <w:pPr>
        <w:jc w:val="both"/>
        <w:rPr>
          <w:i/>
          <w:iCs/>
          <w:sz w:val="20"/>
        </w:rPr>
      </w:pPr>
      <w:r w:rsidRPr="00526311">
        <w:rPr>
          <w:i/>
          <w:iCs/>
          <w:sz w:val="20"/>
        </w:rPr>
        <w:t>Sección III:  Utilización de los recursos</w:t>
      </w:r>
    </w:p>
    <w:p w:rsidR="00C91295" w:rsidRPr="00526311" w:rsidRDefault="00C91295" w:rsidP="00F1387F">
      <w:pPr>
        <w:jc w:val="both"/>
        <w:rPr>
          <w:sz w:val="20"/>
        </w:rPr>
      </w:pPr>
    </w:p>
    <w:p w:rsidR="00C91295" w:rsidRPr="00526311" w:rsidRDefault="00C91295" w:rsidP="00F1387F">
      <w:pPr>
        <w:tabs>
          <w:tab w:val="left" w:pos="851"/>
        </w:tabs>
        <w:jc w:val="both"/>
        <w:rPr>
          <w:sz w:val="20"/>
        </w:rPr>
      </w:pPr>
      <w:r w:rsidRPr="00526311">
        <w:rPr>
          <w:sz w:val="20"/>
        </w:rPr>
        <w:t>En la última sección se ofrece información sobre el presupuesto aprobado de 2014/15, el presupuesto de 2014/15 tras las transferencias, y los gastos reales y la utilización del presupuesto en 2014.  La información relativa a esta sección está organizada en dos cuadros:</w:t>
      </w:r>
    </w:p>
    <w:p w:rsidR="00C91295" w:rsidRPr="00526311" w:rsidRDefault="00C91295" w:rsidP="00F1387F">
      <w:pPr>
        <w:jc w:val="both"/>
        <w:rPr>
          <w:sz w:val="20"/>
        </w:rPr>
      </w:pPr>
    </w:p>
    <w:p w:rsidR="00C91295" w:rsidRPr="00526311" w:rsidRDefault="00C91295" w:rsidP="00F1387F">
      <w:pPr>
        <w:pStyle w:val="ListParagraph"/>
        <w:ind w:left="0"/>
        <w:jc w:val="both"/>
        <w:rPr>
          <w:rFonts w:cs="Arial"/>
          <w:lang w:val="es-ES" w:eastAsia="ko-KR"/>
        </w:rPr>
      </w:pPr>
      <w:r w:rsidRPr="00526311">
        <w:rPr>
          <w:lang w:val="es-ES"/>
        </w:rPr>
        <w:t xml:space="preserve">En el cuadro de presupuesto y gastos reales (por resultado) se ofrece información sobre el presupuesto aprobado de 2014/15, el presupuesto de 2014/15 tras las transferencias, y los gastos reales (por resultado).  En 2014, se llevaron a cabo mejoras en el sistema de gestión del rendimiento institucional con el fin de apoyar el cambio en la Organización hacia una planificación basada en los cargos.  </w:t>
      </w:r>
      <w:r w:rsidRPr="00526311">
        <w:rPr>
          <w:rFonts w:cs="Arial"/>
          <w:lang w:val="es-ES" w:eastAsia="ko-KR"/>
        </w:rPr>
        <w:t>Los ajustes efectuados respecto de los resultados de los programas en el presupuesto de 2014/15 tras las transferencias reflejan esa nueva metodología más precisa de asignación de recursos de personal.</w:t>
      </w:r>
    </w:p>
    <w:p w:rsidR="00C91295" w:rsidRPr="00526311" w:rsidRDefault="00C91295" w:rsidP="00F1387F">
      <w:pPr>
        <w:jc w:val="both"/>
        <w:rPr>
          <w:sz w:val="20"/>
        </w:rPr>
      </w:pPr>
    </w:p>
    <w:p w:rsidR="00C91295" w:rsidRPr="00526311" w:rsidRDefault="00C91295" w:rsidP="00F1387F">
      <w:pPr>
        <w:keepLines/>
        <w:autoSpaceDE w:val="0"/>
        <w:autoSpaceDN w:val="0"/>
        <w:adjustRightInd w:val="0"/>
        <w:jc w:val="both"/>
        <w:rPr>
          <w:sz w:val="20"/>
        </w:rPr>
      </w:pPr>
      <w:r w:rsidRPr="00526311">
        <w:rPr>
          <w:sz w:val="20"/>
        </w:rPr>
        <w:lastRenderedPageBreak/>
        <w:t>En el cuadro de presupuesto y gastos reales (de personal y no relativos a personal)</w:t>
      </w:r>
      <w:r w:rsidRPr="00526311">
        <w:rPr>
          <w:i/>
          <w:sz w:val="20"/>
        </w:rPr>
        <w:t xml:space="preserve"> </w:t>
      </w:r>
      <w:r w:rsidRPr="00526311">
        <w:rPr>
          <w:sz w:val="20"/>
        </w:rPr>
        <w:t>se ofrece información acerca del presupuesto aprobado de 2014/15, el presupuesto de 2014/15 tras las transferencias y los gastos reales (de personal y no relativos a personal) realizados en 2014.  Se incluyen explicaciones de las diferencias entre el presupuesto aprobado y el presupuesto tras las trasferencias, así como de la utilización del presupuesto, teniendo en cuenta tanto una perspectiva de resultados como una perspectiva del tipo de gastos (de personal y no relativos a personal).</w:t>
      </w:r>
    </w:p>
    <w:p w:rsidR="00C91295" w:rsidRPr="00526311" w:rsidRDefault="00C91295" w:rsidP="00F1387F">
      <w:pPr>
        <w:autoSpaceDE w:val="0"/>
        <w:autoSpaceDN w:val="0"/>
        <w:adjustRightInd w:val="0"/>
        <w:jc w:val="both"/>
        <w:rPr>
          <w:sz w:val="20"/>
        </w:rPr>
      </w:pPr>
    </w:p>
    <w:p w:rsidR="00C91295" w:rsidRPr="00526311" w:rsidRDefault="00C91295" w:rsidP="00F1387F">
      <w:pPr>
        <w:autoSpaceDE w:val="0"/>
        <w:autoSpaceDN w:val="0"/>
        <w:adjustRightInd w:val="0"/>
        <w:jc w:val="both"/>
        <w:rPr>
          <w:sz w:val="20"/>
        </w:rPr>
      </w:pPr>
    </w:p>
    <w:p w:rsidR="00C91295" w:rsidRPr="00526311" w:rsidRDefault="00C91295" w:rsidP="00F1387F">
      <w:pPr>
        <w:autoSpaceDE w:val="0"/>
        <w:autoSpaceDN w:val="0"/>
        <w:adjustRightInd w:val="0"/>
        <w:jc w:val="right"/>
        <w:rPr>
          <w:rFonts w:eastAsiaTheme="minorHAnsi"/>
          <w:sz w:val="20"/>
        </w:rPr>
      </w:pPr>
      <w:r w:rsidRPr="00526311">
        <w:rPr>
          <w:rFonts w:eastAsiaTheme="minorHAnsi"/>
          <w:sz w:val="20"/>
        </w:rPr>
        <w:t>[Sigue el Apéndice II]</w:t>
      </w:r>
    </w:p>
    <w:p w:rsidR="00C91295" w:rsidRPr="00526311" w:rsidRDefault="00C91295" w:rsidP="00F1387F">
      <w:pPr>
        <w:rPr>
          <w:rFonts w:eastAsiaTheme="minorHAnsi"/>
          <w:sz w:val="20"/>
        </w:rPr>
      </w:pPr>
    </w:p>
    <w:p w:rsidR="00C91295" w:rsidRPr="00526311" w:rsidRDefault="00C91295" w:rsidP="00F1387F">
      <w:pPr>
        <w:rPr>
          <w:rFonts w:eastAsiaTheme="minorHAnsi"/>
          <w:sz w:val="20"/>
        </w:rPr>
      </w:pPr>
    </w:p>
    <w:p w:rsidR="00425C2C" w:rsidRPr="00526311" w:rsidRDefault="00425C2C">
      <w:pPr>
        <w:rPr>
          <w:b/>
          <w:iCs/>
          <w:caps/>
          <w:szCs w:val="22"/>
        </w:rPr>
      </w:pPr>
      <w:r w:rsidRPr="00526311">
        <w:rPr>
          <w:b/>
          <w:bCs/>
          <w:szCs w:val="22"/>
        </w:rPr>
        <w:br w:type="page"/>
      </w:r>
    </w:p>
    <w:p w:rsidR="00C91295" w:rsidRPr="00526311" w:rsidRDefault="00C91295" w:rsidP="00F1387F">
      <w:pPr>
        <w:pStyle w:val="Heading2"/>
        <w:rPr>
          <w:b/>
          <w:bCs w:val="0"/>
          <w:szCs w:val="22"/>
        </w:rPr>
      </w:pPr>
      <w:bookmarkStart w:id="97" w:name="_Toc422927446"/>
      <w:r w:rsidRPr="00526311">
        <w:rPr>
          <w:b/>
          <w:bCs w:val="0"/>
          <w:szCs w:val="22"/>
        </w:rPr>
        <w:lastRenderedPageBreak/>
        <w:t>APÉNDICE II</w:t>
      </w:r>
      <w:r w:rsidRPr="00526311">
        <w:rPr>
          <w:b/>
          <w:bCs w:val="0"/>
          <w:szCs w:val="22"/>
        </w:rPr>
        <w:br/>
      </w:r>
      <w:r w:rsidRPr="00526311">
        <w:rPr>
          <w:b/>
          <w:bCs w:val="0"/>
          <w:szCs w:val="22"/>
        </w:rPr>
        <w:br/>
      </w:r>
      <w:r w:rsidRPr="00526311">
        <w:rPr>
          <w:b/>
          <w:szCs w:val="22"/>
        </w:rPr>
        <w:t>ACTIVIDADES REALIZADAS CON CARGO A LOS FONDOS FIDUCIARIOS EN 2014</w:t>
      </w:r>
      <w:bookmarkEnd w:id="97"/>
    </w:p>
    <w:p w:rsidR="00C91295" w:rsidRPr="00526311" w:rsidRDefault="00C91295" w:rsidP="00F1387F">
      <w:pPr>
        <w:rPr>
          <w:sz w:val="20"/>
        </w:rPr>
      </w:pPr>
    </w:p>
    <w:p w:rsidR="00C91295" w:rsidRPr="00526311" w:rsidRDefault="00C91295" w:rsidP="00F1387F">
      <w:pPr>
        <w:jc w:val="both"/>
        <w:rPr>
          <w:sz w:val="20"/>
        </w:rPr>
      </w:pPr>
      <w:r w:rsidRPr="00526311">
        <w:rPr>
          <w:sz w:val="20"/>
        </w:rPr>
        <w:t xml:space="preserve">Como parte de los esfuerzos realizados por la Organización para mejorar la integración de todas sus actividades en un mismo marco de gestión por resultados, indistintamente de las fuentes de procedencia de los fondos, el presente Apéndice proporciona un panorama general sobre las actividades llevadas a cabo con cargo a los fondos fiduciarios de la OMPI.  Al mismo tiempo, este informe responde a la petición realizada por los donantes en relación con la elaboración de un informe más completo sobre todos los fondos fiduciarios, que incluya tanto datos programáticos como financieros.  Con vistas a agilizar la presentación de información, el presente informe sobre fondos fiduciarios forma parte del Informe sobre el rendimiento de los programas, y en él se expone un panorama anual de las actividades realizadas en 2014.  El próximo informe anual sobre los fondos fiduciarios se incluirá en el </w:t>
      </w:r>
      <w:r w:rsidR="00AA0C32" w:rsidRPr="00526311">
        <w:rPr>
          <w:color w:val="000000"/>
          <w:sz w:val="16"/>
          <w:szCs w:val="16"/>
        </w:rPr>
        <w:t>documento</w:t>
      </w:r>
      <w:r w:rsidRPr="00526311">
        <w:rPr>
          <w:sz w:val="20"/>
        </w:rPr>
        <w:t xml:space="preserve"> PPR 2014/15.  En este Apéndice se informa sobre los fondos fiduciarios enumerados en el siguiente cuadro y se excluyen los fondos fiduciarios para funcionarios subalternos del cuadro orgánico.</w:t>
      </w:r>
    </w:p>
    <w:p w:rsidR="00C91295" w:rsidRPr="00526311" w:rsidRDefault="00C91295" w:rsidP="00F1387F">
      <w:pPr>
        <w:jc w:val="center"/>
        <w:rPr>
          <w:sz w:val="20"/>
        </w:rPr>
      </w:pPr>
    </w:p>
    <w:tbl>
      <w:tblPr>
        <w:tblpPr w:leftFromText="180" w:rightFromText="180" w:vertAnchor="page" w:horzAnchor="margin" w:tblpY="5329"/>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220"/>
      </w:tblGrid>
      <w:tr w:rsidR="00C91295" w:rsidRPr="00526311" w:rsidTr="00F1387F">
        <w:trPr>
          <w:trHeight w:val="293"/>
        </w:trPr>
        <w:tc>
          <w:tcPr>
            <w:tcW w:w="4068" w:type="dxa"/>
            <w:shd w:val="clear" w:color="auto" w:fill="CCFFFF"/>
            <w:tcMar>
              <w:top w:w="57" w:type="dxa"/>
              <w:left w:w="57" w:type="dxa"/>
              <w:bottom w:w="57" w:type="dxa"/>
              <w:right w:w="57" w:type="dxa"/>
            </w:tcMar>
          </w:tcPr>
          <w:p w:rsidR="00C91295" w:rsidRPr="00526311" w:rsidRDefault="00C91295" w:rsidP="00F1387F">
            <w:pPr>
              <w:jc w:val="center"/>
              <w:rPr>
                <w:b/>
                <w:bCs/>
                <w:sz w:val="18"/>
                <w:szCs w:val="18"/>
              </w:rPr>
            </w:pPr>
            <w:r w:rsidRPr="00526311">
              <w:rPr>
                <w:b/>
                <w:bCs/>
                <w:sz w:val="18"/>
                <w:szCs w:val="18"/>
              </w:rPr>
              <w:t>FONDO FIDUCIARIO</w:t>
            </w:r>
          </w:p>
        </w:tc>
        <w:tc>
          <w:tcPr>
            <w:tcW w:w="5220" w:type="dxa"/>
            <w:shd w:val="clear" w:color="auto" w:fill="CCFFFF"/>
            <w:tcMar>
              <w:top w:w="57" w:type="dxa"/>
              <w:left w:w="57" w:type="dxa"/>
              <w:bottom w:w="57" w:type="dxa"/>
              <w:right w:w="57" w:type="dxa"/>
            </w:tcMar>
          </w:tcPr>
          <w:p w:rsidR="00C91295" w:rsidRPr="00526311" w:rsidRDefault="00C91295" w:rsidP="00F1387F">
            <w:pPr>
              <w:jc w:val="center"/>
              <w:rPr>
                <w:b/>
                <w:bCs/>
                <w:sz w:val="18"/>
                <w:szCs w:val="18"/>
              </w:rPr>
            </w:pPr>
            <w:r w:rsidRPr="00526311">
              <w:rPr>
                <w:b/>
                <w:bCs/>
                <w:sz w:val="18"/>
                <w:szCs w:val="18"/>
              </w:rPr>
              <w:t>SECTOR DE APLICACIÓN</w:t>
            </w:r>
          </w:p>
        </w:tc>
      </w:tr>
      <w:tr w:rsidR="00C91295" w:rsidRPr="00526311" w:rsidTr="00F1387F">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Australia</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Oficina del Director General</w:t>
            </w:r>
          </w:p>
        </w:tc>
      </w:tr>
      <w:tr w:rsidR="00C91295" w:rsidRPr="00526311" w:rsidTr="00F1387F">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Brasil</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Oficina del Director General</w:t>
            </w:r>
          </w:p>
        </w:tc>
      </w:tr>
      <w:tr w:rsidR="00C91295" w:rsidRPr="00526311" w:rsidTr="00F1387F">
        <w:tc>
          <w:tcPr>
            <w:tcW w:w="4068" w:type="dxa"/>
            <w:tcMar>
              <w:top w:w="57" w:type="dxa"/>
              <w:left w:w="57" w:type="dxa"/>
              <w:bottom w:w="57" w:type="dxa"/>
              <w:right w:w="57" w:type="dxa"/>
            </w:tcMar>
            <w:vAlign w:val="center"/>
          </w:tcPr>
          <w:p w:rsidR="00C91295" w:rsidRPr="00526311" w:rsidRDefault="00C91295" w:rsidP="00F1387F">
            <w:pPr>
              <w:rPr>
                <w:sz w:val="18"/>
                <w:szCs w:val="18"/>
              </w:rPr>
            </w:pPr>
            <w:r w:rsidRPr="00526311">
              <w:rPr>
                <w:sz w:val="18"/>
                <w:szCs w:val="18"/>
              </w:rPr>
              <w:t>Brasil Sur</w:t>
            </w:r>
          </w:p>
        </w:tc>
        <w:tc>
          <w:tcPr>
            <w:tcW w:w="5220" w:type="dxa"/>
            <w:tcMar>
              <w:top w:w="57" w:type="dxa"/>
              <w:left w:w="57" w:type="dxa"/>
              <w:bottom w:w="57" w:type="dxa"/>
              <w:right w:w="57" w:type="dxa"/>
            </w:tcMar>
            <w:vAlign w:val="center"/>
          </w:tcPr>
          <w:p w:rsidR="00C91295" w:rsidRPr="00526311" w:rsidRDefault="00C91295" w:rsidP="00F1387F">
            <w:pPr>
              <w:rPr>
                <w:sz w:val="18"/>
                <w:szCs w:val="18"/>
              </w:rPr>
            </w:pPr>
            <w:r w:rsidRPr="00526311">
              <w:rPr>
                <w:sz w:val="18"/>
                <w:szCs w:val="18"/>
              </w:rPr>
              <w:t>Oficina del Director General</w:t>
            </w:r>
          </w:p>
        </w:tc>
      </w:tr>
      <w:tr w:rsidR="00C91295" w:rsidRPr="00526311" w:rsidTr="00F1387F">
        <w:tc>
          <w:tcPr>
            <w:tcW w:w="4068" w:type="dxa"/>
            <w:tcMar>
              <w:top w:w="57" w:type="dxa"/>
              <w:left w:w="57" w:type="dxa"/>
              <w:bottom w:w="57" w:type="dxa"/>
              <w:right w:w="57" w:type="dxa"/>
            </w:tcMar>
            <w:vAlign w:val="center"/>
          </w:tcPr>
          <w:p w:rsidR="00C91295" w:rsidRPr="00526311" w:rsidRDefault="00C91295" w:rsidP="00F1387F">
            <w:pPr>
              <w:rPr>
                <w:sz w:val="18"/>
                <w:szCs w:val="18"/>
              </w:rPr>
            </w:pPr>
            <w:r w:rsidRPr="00526311">
              <w:rPr>
                <w:sz w:val="18"/>
                <w:szCs w:val="18"/>
              </w:rPr>
              <w:t>UE / Pakistán</w:t>
            </w:r>
          </w:p>
        </w:tc>
        <w:tc>
          <w:tcPr>
            <w:tcW w:w="5220" w:type="dxa"/>
            <w:tcMar>
              <w:top w:w="57" w:type="dxa"/>
              <w:left w:w="57" w:type="dxa"/>
              <w:bottom w:w="57" w:type="dxa"/>
              <w:right w:w="57" w:type="dxa"/>
            </w:tcMar>
            <w:vAlign w:val="center"/>
          </w:tcPr>
          <w:p w:rsidR="00C91295" w:rsidRPr="00526311" w:rsidRDefault="00C91295" w:rsidP="00F1387F">
            <w:pPr>
              <w:rPr>
                <w:sz w:val="18"/>
                <w:szCs w:val="18"/>
              </w:rPr>
            </w:pPr>
            <w:r w:rsidRPr="00526311">
              <w:rPr>
                <w:sz w:val="18"/>
                <w:szCs w:val="18"/>
              </w:rPr>
              <w:t>Sector de Desarrollo</w:t>
            </w:r>
          </w:p>
        </w:tc>
      </w:tr>
      <w:tr w:rsidR="00C91295" w:rsidRPr="00526311" w:rsidTr="00F1387F">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Finlandia – Derecho de autor</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Cultura e Industrias Creativas</w:t>
            </w:r>
          </w:p>
        </w:tc>
      </w:tr>
      <w:tr w:rsidR="00C91295" w:rsidRPr="00526311" w:rsidTr="00F1387F">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Francia – P.I.</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 xml:space="preserve">Sector de Desarrollo  </w:t>
            </w:r>
          </w:p>
        </w:tc>
      </w:tr>
      <w:tr w:rsidR="00C91295" w:rsidRPr="00526311" w:rsidTr="00F1387F">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Programa Iberoamericano de propiedad industrial</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Desarrollo</w:t>
            </w:r>
          </w:p>
        </w:tc>
      </w:tr>
      <w:tr w:rsidR="00C91295" w:rsidRPr="00526311" w:rsidTr="00F1387F">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Italia</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Desarrollo</w:t>
            </w:r>
          </w:p>
        </w:tc>
      </w:tr>
      <w:tr w:rsidR="00C91295" w:rsidRPr="00526311" w:rsidTr="00F1387F">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Japón – Derecho de autor</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Cultura e Industrias Creativas</w:t>
            </w:r>
          </w:p>
        </w:tc>
      </w:tr>
      <w:tr w:rsidR="00C91295" w:rsidRPr="00526311" w:rsidTr="00F1387F">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Japón – P.I.</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Desarrollo</w:t>
            </w:r>
          </w:p>
        </w:tc>
      </w:tr>
      <w:tr w:rsidR="00C91295" w:rsidRPr="00526311" w:rsidTr="00F1387F">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Japón – P.I. / África</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Desarrollo</w:t>
            </w:r>
          </w:p>
        </w:tc>
      </w:tr>
      <w:tr w:rsidR="00C91295" w:rsidRPr="00526311" w:rsidTr="00F1387F">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República de Corea – Fomentar el respeto por la P.I.</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Cuestiones Mundiales</w:t>
            </w:r>
          </w:p>
        </w:tc>
      </w:tr>
      <w:tr w:rsidR="00C91295" w:rsidRPr="00526311" w:rsidTr="00F1387F">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República de Corea – Derecho de autor</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Cultura e Industrias Creativas</w:t>
            </w:r>
          </w:p>
        </w:tc>
      </w:tr>
      <w:tr w:rsidR="00C91295" w:rsidRPr="00526311" w:rsidTr="00F1387F">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República de Corea – Educación</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Desarrollo</w:t>
            </w:r>
          </w:p>
        </w:tc>
      </w:tr>
      <w:tr w:rsidR="00C91295" w:rsidRPr="00526311" w:rsidTr="00F1387F">
        <w:trPr>
          <w:trHeight w:val="238"/>
        </w:trPr>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República de Corea – P.I.</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Desarrollo</w:t>
            </w:r>
          </w:p>
        </w:tc>
      </w:tr>
      <w:tr w:rsidR="00C91295" w:rsidRPr="00526311" w:rsidTr="00F1387F">
        <w:trPr>
          <w:trHeight w:val="238"/>
        </w:trPr>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España</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Desarrollo</w:t>
            </w:r>
          </w:p>
        </w:tc>
      </w:tr>
      <w:tr w:rsidR="00C91295" w:rsidRPr="00526311" w:rsidTr="00F1387F">
        <w:trPr>
          <w:trHeight w:val="238"/>
        </w:trPr>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Uruguay</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Desarrollo</w:t>
            </w:r>
          </w:p>
        </w:tc>
      </w:tr>
      <w:tr w:rsidR="00C91295" w:rsidRPr="00526311" w:rsidTr="00F1387F">
        <w:trPr>
          <w:trHeight w:val="238"/>
        </w:trPr>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Estados Unidos de América – Derecho de autor</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Cultura e Industrias Creativas</w:t>
            </w:r>
          </w:p>
        </w:tc>
      </w:tr>
      <w:tr w:rsidR="00C91295" w:rsidRPr="00526311" w:rsidTr="00F1387F">
        <w:trPr>
          <w:trHeight w:val="238"/>
        </w:trPr>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Estados Unidos de América  – Pymes</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Oficina del Director General</w:t>
            </w:r>
          </w:p>
        </w:tc>
      </w:tr>
    </w:tbl>
    <w:p w:rsidR="00C91295" w:rsidRPr="00526311" w:rsidRDefault="00C91295" w:rsidP="00F1387F">
      <w:r w:rsidRPr="00526311">
        <w:br w:type="page"/>
      </w:r>
    </w:p>
    <w:p w:rsidR="00C91295" w:rsidRPr="00526311" w:rsidRDefault="00C91295" w:rsidP="00F1387F">
      <w:pPr>
        <w:rPr>
          <w:b/>
          <w:sz w:val="20"/>
        </w:rPr>
      </w:pPr>
      <w:r w:rsidRPr="00526311">
        <w:rPr>
          <w:b/>
          <w:sz w:val="20"/>
        </w:rPr>
        <w:lastRenderedPageBreak/>
        <w:t>AUSTRALIA</w:t>
      </w:r>
    </w:p>
    <w:p w:rsidR="00C91295" w:rsidRPr="00526311" w:rsidRDefault="00C91295" w:rsidP="00F1387F">
      <w:pPr>
        <w:rPr>
          <w:b/>
          <w:sz w:val="20"/>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42"/>
        <w:gridCol w:w="1417"/>
        <w:gridCol w:w="284"/>
        <w:gridCol w:w="130"/>
        <w:gridCol w:w="12"/>
        <w:gridCol w:w="4394"/>
      </w:tblGrid>
      <w:tr w:rsidR="00C91295" w:rsidRPr="00526311" w:rsidTr="00F1387F">
        <w:trPr>
          <w:cantSplit/>
        </w:trPr>
        <w:tc>
          <w:tcPr>
            <w:tcW w:w="9356" w:type="dxa"/>
            <w:gridSpan w:val="8"/>
            <w:tcBorders>
              <w:top w:val="single" w:sz="4" w:space="0" w:color="000000"/>
              <w:bottom w:val="single" w:sz="4" w:space="0" w:color="000000"/>
            </w:tcBorders>
            <w:shd w:val="clear" w:color="auto" w:fill="CCFFFF"/>
            <w:vAlign w:val="center"/>
          </w:tcPr>
          <w:p w:rsidR="00C91295" w:rsidRPr="00526311" w:rsidRDefault="00C91295" w:rsidP="00F1387F">
            <w:pPr>
              <w:widowControl w:val="0"/>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rFonts w:eastAsia="MS Mincho"/>
                <w:bCs/>
                <w:sz w:val="16"/>
                <w:szCs w:val="16"/>
                <w:lang w:eastAsia="ja-JP" w:bidi="th-TH"/>
              </w:rPr>
              <w:t>II.1 Fomento del uso de la vía del PCT para la presentación de solicitudes internacionales de patente</w:t>
            </w:r>
          </w:p>
        </w:tc>
      </w:tr>
      <w:tr w:rsidR="00C91295" w:rsidRPr="00526311" w:rsidTr="00F1387F">
        <w:trPr>
          <w:cantSplit/>
        </w:trPr>
        <w:tc>
          <w:tcPr>
            <w:tcW w:w="1843" w:type="dxa"/>
            <w:tcBorders>
              <w:top w:val="single" w:sz="4" w:space="0" w:color="000000"/>
            </w:tcBorders>
            <w:vAlign w:val="center"/>
          </w:tcPr>
          <w:p w:rsidR="00C91295" w:rsidRPr="00526311" w:rsidRDefault="00C91295" w:rsidP="00F1387F">
            <w:pPr>
              <w:widowControl w:val="0"/>
              <w:rPr>
                <w:b/>
                <w:bCs/>
                <w:sz w:val="16"/>
                <w:szCs w:val="16"/>
              </w:rPr>
            </w:pPr>
            <w:r w:rsidRPr="00526311">
              <w:rPr>
                <w:b/>
                <w:bCs/>
                <w:sz w:val="16"/>
                <w:szCs w:val="16"/>
              </w:rPr>
              <w:t>Actividad</w:t>
            </w:r>
          </w:p>
        </w:tc>
        <w:tc>
          <w:tcPr>
            <w:tcW w:w="1276" w:type="dxa"/>
            <w:gridSpan w:val="2"/>
            <w:tcBorders>
              <w:top w:val="single" w:sz="4" w:space="0" w:color="000000"/>
            </w:tcBorders>
            <w:shd w:val="clear" w:color="auto" w:fill="auto"/>
            <w:tcMar>
              <w:top w:w="110" w:type="dxa"/>
            </w:tcMar>
            <w:vAlign w:val="center"/>
          </w:tcPr>
          <w:p w:rsidR="00C91295" w:rsidRPr="00526311" w:rsidRDefault="00C91295" w:rsidP="00F1387F">
            <w:pPr>
              <w:widowControl w:val="0"/>
              <w:rPr>
                <w:sz w:val="16"/>
                <w:szCs w:val="16"/>
              </w:rPr>
            </w:pPr>
            <w:r w:rsidRPr="00526311">
              <w:rPr>
                <w:b/>
                <w:sz w:val="16"/>
                <w:szCs w:val="16"/>
              </w:rPr>
              <w:t>Fecha</w:t>
            </w:r>
          </w:p>
        </w:tc>
        <w:tc>
          <w:tcPr>
            <w:tcW w:w="1843" w:type="dxa"/>
            <w:gridSpan w:val="4"/>
            <w:tcBorders>
              <w:top w:val="single" w:sz="4" w:space="0" w:color="000000"/>
            </w:tcBorders>
            <w:shd w:val="clear" w:color="auto" w:fill="auto"/>
            <w:tcMar>
              <w:top w:w="110" w:type="dxa"/>
            </w:tcMar>
            <w:vAlign w:val="center"/>
          </w:tcPr>
          <w:p w:rsidR="00C91295" w:rsidRPr="00526311" w:rsidRDefault="00C91295" w:rsidP="00F1387F">
            <w:pPr>
              <w:widowControl w:val="0"/>
              <w:rPr>
                <w:sz w:val="16"/>
                <w:szCs w:val="16"/>
              </w:rPr>
            </w:pPr>
            <w:r w:rsidRPr="00526311">
              <w:rPr>
                <w:b/>
                <w:sz w:val="16"/>
                <w:szCs w:val="16"/>
              </w:rPr>
              <w:t>País anfitrión / Beneficiarios</w:t>
            </w:r>
          </w:p>
        </w:tc>
        <w:tc>
          <w:tcPr>
            <w:tcW w:w="4394" w:type="dxa"/>
            <w:tcBorders>
              <w:top w:val="single" w:sz="4" w:space="0" w:color="000000"/>
            </w:tcBorders>
            <w:shd w:val="clear" w:color="auto" w:fill="FFFFFF"/>
            <w:tcMar>
              <w:top w:w="110" w:type="dxa"/>
            </w:tcMar>
            <w:vAlign w:val="center"/>
          </w:tcPr>
          <w:p w:rsidR="00C91295" w:rsidRPr="00526311" w:rsidRDefault="00C91295" w:rsidP="00F1387F">
            <w:pPr>
              <w:widowControl w:val="0"/>
              <w:rPr>
                <w:sz w:val="16"/>
                <w:szCs w:val="16"/>
              </w:rPr>
            </w:pPr>
            <w:r w:rsidRPr="00526311">
              <w:rPr>
                <w:b/>
                <w:sz w:val="16"/>
                <w:szCs w:val="16"/>
              </w:rPr>
              <w:t>Propósito(s)/Descripción</w:t>
            </w:r>
          </w:p>
        </w:tc>
      </w:tr>
      <w:tr w:rsidR="00C91295" w:rsidRPr="00526311" w:rsidTr="00F1387F">
        <w:trPr>
          <w:cantSplit/>
          <w:trHeight w:val="495"/>
        </w:trPr>
        <w:tc>
          <w:tcPr>
            <w:tcW w:w="1843"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 xml:space="preserve">Seminario y Taller nacional sobre procedimientos de examen de patentes </w:t>
            </w:r>
          </w:p>
        </w:tc>
        <w:tc>
          <w:tcPr>
            <w:tcW w:w="1276"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8 a 11 de julio de 2014</w:t>
            </w:r>
          </w:p>
        </w:tc>
        <w:tc>
          <w:tcPr>
            <w:tcW w:w="1843" w:type="dxa"/>
            <w:gridSpan w:val="4"/>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Filipinas / 45 participantes</w:t>
            </w:r>
          </w:p>
        </w:tc>
        <w:tc>
          <w:tcPr>
            <w:tcW w:w="4394"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Proporcionar formación exhaustiva, sin olvidarse de información actualizada sobre novedades recientes del PCT y el examen sustantivo de patentes.</w:t>
            </w:r>
          </w:p>
        </w:tc>
      </w:tr>
      <w:tr w:rsidR="00C91295" w:rsidRPr="00526311" w:rsidTr="00F1387F">
        <w:trPr>
          <w:cantSplit/>
          <w:trHeight w:val="530"/>
        </w:trPr>
        <w:tc>
          <w:tcPr>
            <w:tcW w:w="1843"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Formación de dos funcionarios del Instituto Nacional de la Propiedad Industrial de Chile en Administraciones encargadas de la búsqueda internacional (ISA) / Administraciones encargadas del examen preliminar internacional (IPEA) – Procedimientos de examen de patentes</w:t>
            </w:r>
          </w:p>
        </w:tc>
        <w:tc>
          <w:tcPr>
            <w:tcW w:w="1276"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9 a 11 de julio de 2014</w:t>
            </w:r>
          </w:p>
        </w:tc>
        <w:tc>
          <w:tcPr>
            <w:tcW w:w="1843" w:type="dxa"/>
            <w:gridSpan w:val="4"/>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Australia / 2 participantes de Chile</w:t>
            </w:r>
          </w:p>
        </w:tc>
        <w:tc>
          <w:tcPr>
            <w:tcW w:w="4394"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Proporcionar un panorama administrativo y técnico sólido de la tramitación de las solicitudes internacionales en el Sistema del PCT, de la recepción al procedimiento de concesión, a cargo de IP Australia en calidad de Oficina experimentada que desempeña todas las funciones del PCT (Oficina receptora, designada y elegida, e ISA/IPEA).</w:t>
            </w:r>
          </w:p>
        </w:tc>
      </w:tr>
      <w:tr w:rsidR="00C91295" w:rsidRPr="00526311" w:rsidTr="00F1387F">
        <w:trPr>
          <w:cantSplit/>
          <w:trHeight w:val="552"/>
        </w:trPr>
        <w:tc>
          <w:tcPr>
            <w:tcW w:w="1843"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Taller del PCT para Camboya, República Democrática Popular Lao y Myanmar</w:t>
            </w:r>
          </w:p>
        </w:tc>
        <w:tc>
          <w:tcPr>
            <w:tcW w:w="1276"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9 a 11 de julio de 2014</w:t>
            </w:r>
          </w:p>
        </w:tc>
        <w:tc>
          <w:tcPr>
            <w:tcW w:w="1843" w:type="dxa"/>
            <w:gridSpan w:val="4"/>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 xml:space="preserve">Singapur / 3 participantes de Camboya, República Democrática Popular Lao y Myanmar </w:t>
            </w:r>
          </w:p>
        </w:tc>
        <w:tc>
          <w:tcPr>
            <w:tcW w:w="4394"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Proporcionar un panorama general de las funciones de Oficina receptora y de la tramitación de solicitudes internacionales a cargo de una Oficina experimentada del PCT para la posible adhesión futura al PCT.</w:t>
            </w:r>
          </w:p>
        </w:tc>
      </w:tr>
      <w:tr w:rsidR="00C91295" w:rsidRPr="00526311" w:rsidTr="00F1387F">
        <w:trPr>
          <w:cantSplit/>
        </w:trPr>
        <w:tc>
          <w:tcPr>
            <w:tcW w:w="9356" w:type="dxa"/>
            <w:gridSpan w:val="8"/>
            <w:tcBorders>
              <w:top w:val="single" w:sz="4" w:space="0" w:color="000000"/>
              <w:bottom w:val="single" w:sz="4" w:space="0" w:color="000000"/>
            </w:tcBorders>
            <w:shd w:val="clear" w:color="auto" w:fill="CCFFFF"/>
            <w:vAlign w:val="center"/>
          </w:tcPr>
          <w:p w:rsidR="00C91295" w:rsidRPr="00526311" w:rsidRDefault="00C91295" w:rsidP="00F1387F">
            <w:pPr>
              <w:widowControl w:val="0"/>
              <w:tabs>
                <w:tab w:val="left" w:pos="1740"/>
              </w:tabs>
              <w:spacing w:before="120" w:after="120"/>
              <w:ind w:left="1740" w:hanging="1740"/>
              <w:rPr>
                <w:bCs/>
                <w:sz w:val="16"/>
                <w:szCs w:val="16"/>
              </w:rPr>
            </w:pPr>
            <w:r w:rsidRPr="00526311">
              <w:rPr>
                <w:b/>
                <w:sz w:val="16"/>
                <w:szCs w:val="16"/>
              </w:rPr>
              <w:t>RESULTADO</w:t>
            </w:r>
            <w:r w:rsidRPr="00526311">
              <w:rPr>
                <w:bCs/>
                <w:sz w:val="16"/>
                <w:szCs w:val="16"/>
              </w:rPr>
              <w:t>:</w:t>
            </w:r>
            <w:r w:rsidRPr="00526311">
              <w:rPr>
                <w:bCs/>
                <w:sz w:val="16"/>
                <w:szCs w:val="16"/>
              </w:rPr>
              <w:tab/>
              <w:t>II.6 Mayor y más eficaz utilización de los Sistemas de Madrid y de Lisboa por los países en desarrollo y los PMA, entre otros</w:t>
            </w:r>
          </w:p>
        </w:tc>
      </w:tr>
      <w:tr w:rsidR="00C91295" w:rsidRPr="00526311" w:rsidTr="00F1387F">
        <w:trPr>
          <w:cantSplit/>
        </w:trPr>
        <w:tc>
          <w:tcPr>
            <w:tcW w:w="1843" w:type="dxa"/>
            <w:tcBorders>
              <w:top w:val="single" w:sz="4" w:space="0" w:color="000000"/>
            </w:tcBorders>
            <w:vAlign w:val="center"/>
          </w:tcPr>
          <w:p w:rsidR="00C91295" w:rsidRPr="00526311" w:rsidRDefault="00C91295" w:rsidP="00F1387F">
            <w:pPr>
              <w:widowControl w:val="0"/>
              <w:rPr>
                <w:b/>
                <w:bCs/>
                <w:sz w:val="16"/>
                <w:szCs w:val="16"/>
              </w:rPr>
            </w:pPr>
            <w:r w:rsidRPr="00526311">
              <w:rPr>
                <w:b/>
                <w:bCs/>
                <w:sz w:val="16"/>
                <w:szCs w:val="16"/>
              </w:rPr>
              <w:t>Actividad</w:t>
            </w:r>
          </w:p>
        </w:tc>
        <w:tc>
          <w:tcPr>
            <w:tcW w:w="1276" w:type="dxa"/>
            <w:gridSpan w:val="2"/>
            <w:tcBorders>
              <w:top w:val="single" w:sz="4" w:space="0" w:color="000000"/>
            </w:tcBorders>
            <w:shd w:val="clear" w:color="auto" w:fill="auto"/>
            <w:tcMar>
              <w:top w:w="110" w:type="dxa"/>
            </w:tcMar>
            <w:vAlign w:val="center"/>
          </w:tcPr>
          <w:p w:rsidR="00C91295" w:rsidRPr="00526311" w:rsidRDefault="00C91295" w:rsidP="00F1387F">
            <w:pPr>
              <w:widowControl w:val="0"/>
              <w:rPr>
                <w:sz w:val="16"/>
                <w:szCs w:val="16"/>
              </w:rPr>
            </w:pPr>
            <w:r w:rsidRPr="00526311">
              <w:rPr>
                <w:b/>
                <w:sz w:val="16"/>
                <w:szCs w:val="16"/>
              </w:rPr>
              <w:t>Fecha</w:t>
            </w:r>
          </w:p>
        </w:tc>
        <w:tc>
          <w:tcPr>
            <w:tcW w:w="1843" w:type="dxa"/>
            <w:gridSpan w:val="4"/>
            <w:tcBorders>
              <w:top w:val="single" w:sz="4" w:space="0" w:color="000000"/>
            </w:tcBorders>
            <w:shd w:val="clear" w:color="auto" w:fill="auto"/>
            <w:tcMar>
              <w:top w:w="110" w:type="dxa"/>
            </w:tcMar>
            <w:vAlign w:val="center"/>
          </w:tcPr>
          <w:p w:rsidR="00C91295" w:rsidRPr="00526311" w:rsidRDefault="00C91295" w:rsidP="00F1387F">
            <w:pPr>
              <w:widowControl w:val="0"/>
              <w:rPr>
                <w:sz w:val="16"/>
                <w:szCs w:val="16"/>
              </w:rPr>
            </w:pPr>
            <w:r w:rsidRPr="00526311">
              <w:rPr>
                <w:b/>
                <w:sz w:val="16"/>
                <w:szCs w:val="16"/>
              </w:rPr>
              <w:t>País anfitrión / Beneficiarios</w:t>
            </w:r>
          </w:p>
        </w:tc>
        <w:tc>
          <w:tcPr>
            <w:tcW w:w="4394" w:type="dxa"/>
            <w:tcBorders>
              <w:top w:val="single" w:sz="4" w:space="0" w:color="000000"/>
            </w:tcBorders>
            <w:shd w:val="clear" w:color="auto" w:fill="FFFFFF"/>
            <w:tcMar>
              <w:top w:w="110" w:type="dxa"/>
            </w:tcMar>
            <w:vAlign w:val="center"/>
          </w:tcPr>
          <w:p w:rsidR="00C91295" w:rsidRPr="00526311" w:rsidRDefault="00C91295" w:rsidP="00F1387F">
            <w:pPr>
              <w:widowControl w:val="0"/>
              <w:rPr>
                <w:sz w:val="16"/>
                <w:szCs w:val="16"/>
              </w:rPr>
            </w:pPr>
            <w:r w:rsidRPr="00526311">
              <w:rPr>
                <w:b/>
                <w:sz w:val="16"/>
                <w:szCs w:val="16"/>
              </w:rPr>
              <w:t>Propósito(s)/Descripción</w:t>
            </w:r>
          </w:p>
        </w:tc>
      </w:tr>
      <w:tr w:rsidR="00C91295" w:rsidRPr="00526311" w:rsidTr="00F1387F">
        <w:trPr>
          <w:cantSplit/>
          <w:trHeight w:val="520"/>
        </w:trPr>
        <w:tc>
          <w:tcPr>
            <w:tcW w:w="1843"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Visita de estudio a la Oficina de P.I. de Nueva Zelandia en apoyo a la adhesión al Sistema de Madrid</w:t>
            </w:r>
          </w:p>
        </w:tc>
        <w:tc>
          <w:tcPr>
            <w:tcW w:w="1276"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17 a 21 de febrero de 2014</w:t>
            </w:r>
          </w:p>
        </w:tc>
        <w:tc>
          <w:tcPr>
            <w:tcW w:w="1843" w:type="dxa"/>
            <w:gridSpan w:val="4"/>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Nueva Zelandia / Camboya (2), Indonesia (2),</w:t>
            </w:r>
            <w:r w:rsidRPr="00526311">
              <w:t xml:space="preserve"> </w:t>
            </w:r>
            <w:r w:rsidRPr="00526311">
              <w:rPr>
                <w:sz w:val="16"/>
                <w:szCs w:val="16"/>
              </w:rPr>
              <w:t>República Democrática Popular Lao (2)</w:t>
            </w:r>
          </w:p>
        </w:tc>
        <w:tc>
          <w:tcPr>
            <w:tcW w:w="4394"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Dar a conocer más adecuadamente la manera en que se aplica el Sistema de Madrid en Nueva Zelandia desde una perspectiva operacional.</w:t>
            </w:r>
          </w:p>
        </w:tc>
      </w:tr>
      <w:tr w:rsidR="00C91295" w:rsidRPr="00526311" w:rsidTr="00F1387F">
        <w:trPr>
          <w:cantSplit/>
        </w:trPr>
        <w:tc>
          <w:tcPr>
            <w:tcW w:w="9356" w:type="dxa"/>
            <w:gridSpan w:val="8"/>
            <w:tcBorders>
              <w:top w:val="single" w:sz="4" w:space="0" w:color="000000"/>
              <w:bottom w:val="single" w:sz="4" w:space="0" w:color="000000"/>
            </w:tcBorders>
            <w:shd w:val="clear" w:color="auto" w:fill="CCFFFF"/>
            <w:vAlign w:val="center"/>
          </w:tcPr>
          <w:p w:rsidR="00C91295" w:rsidRPr="00526311" w:rsidRDefault="00C91295" w:rsidP="00F1387F">
            <w:pPr>
              <w:widowControl w:val="0"/>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III.1 Estrategias y planes nacionales de innovación y de P.I. que estén en sintonía con los objetivos nacionales de desarrollo</w:t>
            </w:r>
          </w:p>
        </w:tc>
      </w:tr>
      <w:tr w:rsidR="00C91295" w:rsidRPr="00526311" w:rsidTr="00F1387F">
        <w:trPr>
          <w:cantSplit/>
          <w:trHeight w:val="512"/>
        </w:trPr>
        <w:tc>
          <w:tcPr>
            <w:tcW w:w="1843" w:type="dxa"/>
            <w:tcBorders>
              <w:top w:val="single" w:sz="4" w:space="0" w:color="000000"/>
              <w:bottom w:val="nil"/>
            </w:tcBorders>
            <w:vAlign w:val="center"/>
          </w:tcPr>
          <w:p w:rsidR="00C91295" w:rsidRPr="00526311" w:rsidRDefault="00C91295" w:rsidP="00F1387F">
            <w:pPr>
              <w:widowControl w:val="0"/>
              <w:rPr>
                <w:b/>
                <w:bCs/>
                <w:sz w:val="16"/>
                <w:szCs w:val="16"/>
              </w:rPr>
            </w:pPr>
            <w:r w:rsidRPr="00526311">
              <w:rPr>
                <w:b/>
                <w:bCs/>
                <w:sz w:val="16"/>
                <w:szCs w:val="16"/>
              </w:rPr>
              <w:t>Actividad</w:t>
            </w:r>
          </w:p>
        </w:tc>
        <w:tc>
          <w:tcPr>
            <w:tcW w:w="1276" w:type="dxa"/>
            <w:gridSpan w:val="2"/>
            <w:tcBorders>
              <w:top w:val="single" w:sz="4" w:space="0" w:color="000000"/>
              <w:bottom w:val="nil"/>
            </w:tcBorders>
            <w:shd w:val="clear" w:color="auto" w:fill="auto"/>
            <w:tcMar>
              <w:top w:w="110" w:type="dxa"/>
            </w:tcMar>
            <w:vAlign w:val="center"/>
          </w:tcPr>
          <w:p w:rsidR="00C91295" w:rsidRPr="00526311" w:rsidRDefault="00C91295" w:rsidP="00F1387F">
            <w:pPr>
              <w:widowControl w:val="0"/>
              <w:rPr>
                <w:sz w:val="16"/>
                <w:szCs w:val="16"/>
              </w:rPr>
            </w:pPr>
            <w:r w:rsidRPr="00526311">
              <w:rPr>
                <w:b/>
                <w:sz w:val="16"/>
                <w:szCs w:val="16"/>
              </w:rPr>
              <w:t>Fecha</w:t>
            </w:r>
          </w:p>
        </w:tc>
        <w:tc>
          <w:tcPr>
            <w:tcW w:w="1843" w:type="dxa"/>
            <w:gridSpan w:val="4"/>
            <w:tcBorders>
              <w:top w:val="single" w:sz="4" w:space="0" w:color="000000"/>
              <w:bottom w:val="nil"/>
            </w:tcBorders>
            <w:shd w:val="clear" w:color="auto" w:fill="auto"/>
            <w:tcMar>
              <w:top w:w="110" w:type="dxa"/>
            </w:tcMar>
            <w:vAlign w:val="center"/>
          </w:tcPr>
          <w:p w:rsidR="00C91295" w:rsidRPr="00526311" w:rsidRDefault="00C91295" w:rsidP="00F1387F">
            <w:pPr>
              <w:widowControl w:val="0"/>
              <w:rPr>
                <w:sz w:val="16"/>
                <w:szCs w:val="16"/>
              </w:rPr>
            </w:pPr>
            <w:r w:rsidRPr="00526311">
              <w:rPr>
                <w:b/>
                <w:sz w:val="16"/>
                <w:szCs w:val="16"/>
              </w:rPr>
              <w:t>País anfitrión / Beneficiarios</w:t>
            </w:r>
          </w:p>
        </w:tc>
        <w:tc>
          <w:tcPr>
            <w:tcW w:w="4394" w:type="dxa"/>
            <w:tcBorders>
              <w:top w:val="single" w:sz="4" w:space="0" w:color="000000"/>
              <w:bottom w:val="nil"/>
            </w:tcBorders>
            <w:shd w:val="clear" w:color="auto" w:fill="FFFFFF"/>
            <w:tcMar>
              <w:top w:w="110" w:type="dxa"/>
            </w:tcMar>
            <w:vAlign w:val="center"/>
          </w:tcPr>
          <w:p w:rsidR="00C91295" w:rsidRPr="00526311" w:rsidRDefault="00C91295" w:rsidP="00F1387F">
            <w:pPr>
              <w:widowControl w:val="0"/>
              <w:rPr>
                <w:sz w:val="16"/>
                <w:szCs w:val="16"/>
              </w:rPr>
            </w:pPr>
            <w:r w:rsidRPr="00526311">
              <w:rPr>
                <w:b/>
                <w:sz w:val="16"/>
                <w:szCs w:val="16"/>
              </w:rPr>
              <w:t>Propósito(s)/Descripción</w:t>
            </w:r>
          </w:p>
        </w:tc>
      </w:tr>
      <w:tr w:rsidR="00C91295" w:rsidRPr="00526311" w:rsidTr="00F1387F">
        <w:trPr>
          <w:cantSplit/>
          <w:trHeight w:val="473"/>
        </w:trPr>
        <w:tc>
          <w:tcPr>
            <w:tcW w:w="1843" w:type="dxa"/>
            <w:tcBorders>
              <w:top w:val="nil"/>
              <w:bottom w:val="single" w:sz="4" w:space="0" w:color="auto"/>
            </w:tcBorders>
          </w:tcPr>
          <w:p w:rsidR="00C91295" w:rsidRPr="00526311" w:rsidRDefault="00C91295" w:rsidP="00F1387F">
            <w:pPr>
              <w:widowControl w:val="0"/>
              <w:autoSpaceDE w:val="0"/>
              <w:autoSpaceDN w:val="0"/>
              <w:adjustRightInd w:val="0"/>
              <w:spacing w:after="120"/>
              <w:rPr>
                <w:sz w:val="16"/>
                <w:szCs w:val="16"/>
              </w:rPr>
            </w:pPr>
            <w:r w:rsidRPr="00526311">
              <w:rPr>
                <w:sz w:val="16"/>
                <w:szCs w:val="16"/>
              </w:rPr>
              <w:t>Misión asesora para elaborar una estrategia nacional de P.I.</w:t>
            </w:r>
          </w:p>
        </w:tc>
        <w:tc>
          <w:tcPr>
            <w:tcW w:w="1276" w:type="dxa"/>
            <w:gridSpan w:val="2"/>
            <w:tcBorders>
              <w:top w:val="nil"/>
              <w:bottom w:val="single" w:sz="4" w:space="0" w:color="auto"/>
            </w:tcBorders>
          </w:tcPr>
          <w:p w:rsidR="00C91295" w:rsidRPr="00526311" w:rsidRDefault="00C91295" w:rsidP="00F1387F">
            <w:pPr>
              <w:widowControl w:val="0"/>
              <w:autoSpaceDE w:val="0"/>
              <w:autoSpaceDN w:val="0"/>
              <w:adjustRightInd w:val="0"/>
              <w:spacing w:after="120"/>
              <w:rPr>
                <w:sz w:val="16"/>
                <w:szCs w:val="16"/>
              </w:rPr>
            </w:pPr>
            <w:r w:rsidRPr="00526311">
              <w:rPr>
                <w:sz w:val="16"/>
                <w:szCs w:val="16"/>
              </w:rPr>
              <w:t>28 de abril a 6 de mayo de 2014</w:t>
            </w:r>
          </w:p>
        </w:tc>
        <w:tc>
          <w:tcPr>
            <w:tcW w:w="1831" w:type="dxa"/>
            <w:gridSpan w:val="3"/>
            <w:tcBorders>
              <w:top w:val="nil"/>
              <w:bottom w:val="single" w:sz="4" w:space="0" w:color="auto"/>
            </w:tcBorders>
          </w:tcPr>
          <w:p w:rsidR="00C91295" w:rsidRPr="00526311" w:rsidRDefault="00C91295" w:rsidP="00F1387F">
            <w:pPr>
              <w:widowControl w:val="0"/>
              <w:autoSpaceDE w:val="0"/>
              <w:autoSpaceDN w:val="0"/>
              <w:adjustRightInd w:val="0"/>
              <w:spacing w:after="120"/>
              <w:rPr>
                <w:sz w:val="16"/>
                <w:szCs w:val="16"/>
              </w:rPr>
            </w:pPr>
            <w:r w:rsidRPr="00526311">
              <w:rPr>
                <w:sz w:val="16"/>
                <w:szCs w:val="16"/>
              </w:rPr>
              <w:t>Islas Salomón</w:t>
            </w:r>
          </w:p>
        </w:tc>
        <w:tc>
          <w:tcPr>
            <w:tcW w:w="4406" w:type="dxa"/>
            <w:gridSpan w:val="2"/>
            <w:tcBorders>
              <w:top w:val="nil"/>
              <w:bottom w:val="single" w:sz="4" w:space="0" w:color="auto"/>
            </w:tcBorders>
          </w:tcPr>
          <w:p w:rsidR="00C91295" w:rsidRPr="00526311" w:rsidRDefault="00C91295" w:rsidP="00F1387F">
            <w:pPr>
              <w:widowControl w:val="0"/>
              <w:autoSpaceDE w:val="0"/>
              <w:autoSpaceDN w:val="0"/>
              <w:adjustRightInd w:val="0"/>
              <w:rPr>
                <w:sz w:val="16"/>
                <w:szCs w:val="16"/>
              </w:rPr>
            </w:pPr>
            <w:r w:rsidRPr="00526311">
              <w:rPr>
                <w:sz w:val="16"/>
                <w:szCs w:val="16"/>
              </w:rPr>
              <w:t xml:space="preserve">i) Poner en práctica las recomendaciones formuladas en el informe de evaluación de necesidades de mayo de 2013 y ii) proporcionar un marco estratégico (es decir, una estrategia nacional de P.I.) para el desarrollo de un sistema de P.I. en las Islas Salomón. </w:t>
            </w:r>
          </w:p>
          <w:p w:rsidR="00C91295" w:rsidRPr="00526311" w:rsidRDefault="00C91295" w:rsidP="00F1387F">
            <w:pPr>
              <w:widowControl w:val="0"/>
              <w:autoSpaceDE w:val="0"/>
              <w:autoSpaceDN w:val="0"/>
              <w:adjustRightInd w:val="0"/>
              <w:rPr>
                <w:sz w:val="16"/>
                <w:szCs w:val="16"/>
              </w:rPr>
            </w:pPr>
            <w:r w:rsidRPr="00526311">
              <w:rPr>
                <w:sz w:val="16"/>
                <w:szCs w:val="16"/>
              </w:rPr>
              <w:t xml:space="preserve"> </w:t>
            </w:r>
          </w:p>
          <w:p w:rsidR="00C91295" w:rsidRPr="00526311" w:rsidRDefault="00C91295" w:rsidP="00F1387F">
            <w:pPr>
              <w:widowControl w:val="0"/>
              <w:autoSpaceDE w:val="0"/>
              <w:autoSpaceDN w:val="0"/>
              <w:adjustRightInd w:val="0"/>
              <w:rPr>
                <w:sz w:val="16"/>
                <w:szCs w:val="16"/>
              </w:rPr>
            </w:pPr>
            <w:r w:rsidRPr="00526311">
              <w:rPr>
                <w:sz w:val="16"/>
                <w:szCs w:val="16"/>
              </w:rPr>
              <w:t>En el proyecto de estrategia se definen las medidas prioritarias que han de adoptarse para modernizar el sistema nacional de P.I., entre otras, la legislación, administración y fortalecimiento de capacidades de P.I.  Las consultas finales con el gobierno y otros sectores interesados tendrán lugar del 14 al 16 de abril de 2015 y está previsto que el proyecto final de estrategia se presente al Gobierno en mayo de 2015.</w:t>
            </w:r>
          </w:p>
          <w:p w:rsidR="00C91295" w:rsidRPr="00526311" w:rsidRDefault="00C91295" w:rsidP="00F1387F">
            <w:pPr>
              <w:widowControl w:val="0"/>
              <w:autoSpaceDE w:val="0"/>
              <w:autoSpaceDN w:val="0"/>
              <w:adjustRightInd w:val="0"/>
              <w:rPr>
                <w:sz w:val="16"/>
                <w:szCs w:val="16"/>
              </w:rPr>
            </w:pPr>
          </w:p>
        </w:tc>
      </w:tr>
      <w:tr w:rsidR="00C91295" w:rsidRPr="00526311" w:rsidTr="00F1387F">
        <w:trPr>
          <w:cantSplit/>
          <w:trHeight w:val="473"/>
        </w:trPr>
        <w:tc>
          <w:tcPr>
            <w:tcW w:w="1843" w:type="dxa"/>
            <w:tcBorders>
              <w:top w:val="single" w:sz="4" w:space="0" w:color="auto"/>
              <w:bottom w:val="nil"/>
            </w:tcBorders>
            <w:vAlign w:val="center"/>
          </w:tcPr>
          <w:p w:rsidR="00C91295" w:rsidRPr="00526311" w:rsidRDefault="00C91295" w:rsidP="00F1387F">
            <w:pPr>
              <w:keepNext/>
              <w:widowControl w:val="0"/>
              <w:rPr>
                <w:b/>
                <w:bCs/>
                <w:sz w:val="16"/>
                <w:szCs w:val="16"/>
              </w:rPr>
            </w:pPr>
            <w:r w:rsidRPr="00526311">
              <w:rPr>
                <w:b/>
                <w:bCs/>
                <w:sz w:val="16"/>
                <w:szCs w:val="16"/>
              </w:rPr>
              <w:lastRenderedPageBreak/>
              <w:t>Actividad</w:t>
            </w:r>
          </w:p>
        </w:tc>
        <w:tc>
          <w:tcPr>
            <w:tcW w:w="1276" w:type="dxa"/>
            <w:gridSpan w:val="2"/>
            <w:tcBorders>
              <w:top w:val="single" w:sz="4" w:space="0" w:color="auto"/>
              <w:bottom w:val="nil"/>
            </w:tcBorders>
            <w:vAlign w:val="center"/>
          </w:tcPr>
          <w:p w:rsidR="00C91295" w:rsidRPr="00526311" w:rsidRDefault="00C91295" w:rsidP="00F1387F">
            <w:pPr>
              <w:keepNext/>
              <w:widowControl w:val="0"/>
              <w:rPr>
                <w:sz w:val="16"/>
                <w:szCs w:val="16"/>
              </w:rPr>
            </w:pPr>
            <w:r w:rsidRPr="00526311">
              <w:rPr>
                <w:b/>
                <w:sz w:val="16"/>
                <w:szCs w:val="16"/>
              </w:rPr>
              <w:t>Fecha</w:t>
            </w:r>
          </w:p>
        </w:tc>
        <w:tc>
          <w:tcPr>
            <w:tcW w:w="1831" w:type="dxa"/>
            <w:gridSpan w:val="3"/>
            <w:tcBorders>
              <w:top w:val="single" w:sz="4" w:space="0" w:color="auto"/>
              <w:bottom w:val="nil"/>
            </w:tcBorders>
            <w:vAlign w:val="center"/>
          </w:tcPr>
          <w:p w:rsidR="00C91295" w:rsidRPr="00526311" w:rsidRDefault="00C91295" w:rsidP="00F1387F">
            <w:pPr>
              <w:keepNext/>
              <w:widowControl w:val="0"/>
              <w:rPr>
                <w:sz w:val="16"/>
                <w:szCs w:val="16"/>
              </w:rPr>
            </w:pPr>
            <w:r w:rsidRPr="00526311">
              <w:rPr>
                <w:b/>
                <w:sz w:val="16"/>
                <w:szCs w:val="16"/>
              </w:rPr>
              <w:t>País anfitrión / Beneficiarios</w:t>
            </w:r>
          </w:p>
        </w:tc>
        <w:tc>
          <w:tcPr>
            <w:tcW w:w="4406" w:type="dxa"/>
            <w:gridSpan w:val="2"/>
            <w:tcBorders>
              <w:top w:val="single" w:sz="4" w:space="0" w:color="auto"/>
              <w:bottom w:val="nil"/>
            </w:tcBorders>
            <w:vAlign w:val="center"/>
          </w:tcPr>
          <w:p w:rsidR="00C91295" w:rsidRPr="00526311" w:rsidRDefault="00C91295" w:rsidP="00F1387F">
            <w:pPr>
              <w:keepNext/>
              <w:widowControl w:val="0"/>
              <w:rPr>
                <w:sz w:val="16"/>
                <w:szCs w:val="16"/>
              </w:rPr>
            </w:pPr>
            <w:r w:rsidRPr="00526311">
              <w:rPr>
                <w:b/>
                <w:sz w:val="16"/>
                <w:szCs w:val="16"/>
              </w:rPr>
              <w:t>Propósito(s)/Descripción</w:t>
            </w:r>
          </w:p>
        </w:tc>
      </w:tr>
      <w:tr w:rsidR="00C91295" w:rsidRPr="00526311" w:rsidTr="00F1387F">
        <w:trPr>
          <w:cantSplit/>
          <w:trHeight w:val="473"/>
        </w:trPr>
        <w:tc>
          <w:tcPr>
            <w:tcW w:w="1843" w:type="dxa"/>
            <w:tcBorders>
              <w:top w:val="nil"/>
              <w:bottom w:val="nil"/>
            </w:tcBorders>
          </w:tcPr>
          <w:p w:rsidR="00C91295" w:rsidRPr="00526311" w:rsidRDefault="00C91295" w:rsidP="00F1387F">
            <w:pPr>
              <w:widowControl w:val="0"/>
              <w:autoSpaceDE w:val="0"/>
              <w:autoSpaceDN w:val="0"/>
              <w:adjustRightInd w:val="0"/>
              <w:spacing w:after="120"/>
              <w:rPr>
                <w:sz w:val="16"/>
                <w:szCs w:val="16"/>
              </w:rPr>
            </w:pPr>
            <w:r w:rsidRPr="00526311">
              <w:rPr>
                <w:sz w:val="16"/>
                <w:szCs w:val="16"/>
              </w:rPr>
              <w:t>Misión asesora para elaborar una estrategia nacional de P.I.</w:t>
            </w:r>
          </w:p>
        </w:tc>
        <w:tc>
          <w:tcPr>
            <w:tcW w:w="1276" w:type="dxa"/>
            <w:gridSpan w:val="2"/>
            <w:tcBorders>
              <w:top w:val="nil"/>
              <w:bottom w:val="nil"/>
            </w:tcBorders>
          </w:tcPr>
          <w:p w:rsidR="00C91295" w:rsidRPr="00526311" w:rsidRDefault="00C91295" w:rsidP="00F1387F">
            <w:pPr>
              <w:widowControl w:val="0"/>
              <w:autoSpaceDE w:val="0"/>
              <w:autoSpaceDN w:val="0"/>
              <w:adjustRightInd w:val="0"/>
              <w:spacing w:after="120"/>
              <w:rPr>
                <w:sz w:val="16"/>
                <w:szCs w:val="16"/>
              </w:rPr>
            </w:pPr>
            <w:r w:rsidRPr="00526311">
              <w:rPr>
                <w:sz w:val="16"/>
                <w:szCs w:val="16"/>
              </w:rPr>
              <w:t>5 y 6 de mayo de 2014</w:t>
            </w:r>
          </w:p>
        </w:tc>
        <w:tc>
          <w:tcPr>
            <w:tcW w:w="1831" w:type="dxa"/>
            <w:gridSpan w:val="3"/>
            <w:tcBorders>
              <w:top w:val="nil"/>
              <w:bottom w:val="nil"/>
            </w:tcBorders>
          </w:tcPr>
          <w:p w:rsidR="00C91295" w:rsidRPr="00526311" w:rsidRDefault="00C91295" w:rsidP="00F1387F">
            <w:pPr>
              <w:widowControl w:val="0"/>
              <w:autoSpaceDE w:val="0"/>
              <w:autoSpaceDN w:val="0"/>
              <w:adjustRightInd w:val="0"/>
              <w:spacing w:after="120"/>
              <w:rPr>
                <w:sz w:val="16"/>
                <w:szCs w:val="16"/>
              </w:rPr>
            </w:pPr>
            <w:r w:rsidRPr="00526311">
              <w:rPr>
                <w:sz w:val="16"/>
                <w:szCs w:val="16"/>
              </w:rPr>
              <w:t>Vanuatu</w:t>
            </w:r>
          </w:p>
        </w:tc>
        <w:tc>
          <w:tcPr>
            <w:tcW w:w="4406" w:type="dxa"/>
            <w:gridSpan w:val="2"/>
            <w:tcBorders>
              <w:top w:val="nil"/>
              <w:bottom w:val="nil"/>
            </w:tcBorders>
          </w:tcPr>
          <w:p w:rsidR="00C91295" w:rsidRPr="00526311" w:rsidRDefault="00C91295" w:rsidP="00F1387F">
            <w:pPr>
              <w:widowControl w:val="0"/>
              <w:autoSpaceDE w:val="0"/>
              <w:autoSpaceDN w:val="0"/>
              <w:adjustRightInd w:val="0"/>
              <w:rPr>
                <w:sz w:val="16"/>
                <w:szCs w:val="16"/>
              </w:rPr>
            </w:pPr>
            <w:r w:rsidRPr="00526311">
              <w:rPr>
                <w:sz w:val="16"/>
                <w:szCs w:val="16"/>
              </w:rPr>
              <w:t>Celebrar reuniones de consulta a nivel nacional sobre el proyecto de estrategia nacional de P.I. con miras a finalizar dicho proyecto y a dar curso al proceso de aprobación nacional por conducto del Consejo de Ministros y el Consejo de Jefes.</w:t>
            </w:r>
          </w:p>
          <w:p w:rsidR="00C91295" w:rsidRPr="00526311" w:rsidRDefault="00C91295" w:rsidP="00F1387F">
            <w:pPr>
              <w:widowControl w:val="0"/>
              <w:autoSpaceDE w:val="0"/>
              <w:autoSpaceDN w:val="0"/>
              <w:adjustRightInd w:val="0"/>
              <w:rPr>
                <w:sz w:val="16"/>
                <w:szCs w:val="16"/>
              </w:rPr>
            </w:pPr>
          </w:p>
          <w:p w:rsidR="00C91295" w:rsidRPr="00526311" w:rsidRDefault="00C91295" w:rsidP="00F1387F">
            <w:pPr>
              <w:widowControl w:val="0"/>
              <w:autoSpaceDE w:val="0"/>
              <w:autoSpaceDN w:val="0"/>
              <w:adjustRightInd w:val="0"/>
              <w:rPr>
                <w:sz w:val="16"/>
                <w:szCs w:val="16"/>
              </w:rPr>
            </w:pPr>
            <w:r w:rsidRPr="00526311">
              <w:rPr>
                <w:sz w:val="16"/>
                <w:szCs w:val="16"/>
              </w:rPr>
              <w:t xml:space="preserve">Se trataba de la fase final del proceso de preparación de la estrategia de P.I.  El proyecto final presentado por la OMPI fue aprobado por el Consejo de Ministros del Gobierno de Vanuatu en noviembre de 2014. </w:t>
            </w:r>
          </w:p>
          <w:p w:rsidR="00C91295" w:rsidRPr="00526311" w:rsidRDefault="00C91295" w:rsidP="00F1387F">
            <w:pPr>
              <w:widowControl w:val="0"/>
              <w:autoSpaceDE w:val="0"/>
              <w:autoSpaceDN w:val="0"/>
              <w:adjustRightInd w:val="0"/>
              <w:rPr>
                <w:sz w:val="16"/>
                <w:szCs w:val="16"/>
              </w:rPr>
            </w:pPr>
          </w:p>
        </w:tc>
      </w:tr>
      <w:tr w:rsidR="00C91295" w:rsidRPr="00526311" w:rsidTr="00F1387F">
        <w:trPr>
          <w:cantSplit/>
          <w:trHeight w:val="473"/>
        </w:trPr>
        <w:tc>
          <w:tcPr>
            <w:tcW w:w="1843" w:type="dxa"/>
            <w:tcBorders>
              <w:top w:val="nil"/>
              <w:bottom w:val="nil"/>
            </w:tcBorders>
          </w:tcPr>
          <w:p w:rsidR="00C91295" w:rsidRPr="00526311" w:rsidRDefault="00C91295" w:rsidP="00F1387F">
            <w:pPr>
              <w:widowControl w:val="0"/>
              <w:autoSpaceDE w:val="0"/>
              <w:autoSpaceDN w:val="0"/>
              <w:adjustRightInd w:val="0"/>
              <w:spacing w:after="120"/>
              <w:rPr>
                <w:sz w:val="16"/>
                <w:szCs w:val="16"/>
              </w:rPr>
            </w:pPr>
            <w:r w:rsidRPr="00526311">
              <w:rPr>
                <w:sz w:val="16"/>
                <w:szCs w:val="16"/>
              </w:rPr>
              <w:t>Misión asesora para elaborar una estrategia nacional de P.I.</w:t>
            </w:r>
          </w:p>
        </w:tc>
        <w:tc>
          <w:tcPr>
            <w:tcW w:w="1276" w:type="dxa"/>
            <w:gridSpan w:val="2"/>
            <w:tcBorders>
              <w:top w:val="nil"/>
              <w:bottom w:val="nil"/>
            </w:tcBorders>
          </w:tcPr>
          <w:p w:rsidR="00C91295" w:rsidRPr="00526311" w:rsidRDefault="00C91295" w:rsidP="00F1387F">
            <w:pPr>
              <w:widowControl w:val="0"/>
              <w:autoSpaceDE w:val="0"/>
              <w:autoSpaceDN w:val="0"/>
              <w:adjustRightInd w:val="0"/>
              <w:spacing w:after="120"/>
              <w:rPr>
                <w:sz w:val="16"/>
                <w:szCs w:val="16"/>
              </w:rPr>
            </w:pPr>
            <w:r w:rsidRPr="00526311">
              <w:rPr>
                <w:sz w:val="16"/>
                <w:szCs w:val="16"/>
              </w:rPr>
              <w:t>8 y 9 de mayo de 2014</w:t>
            </w:r>
          </w:p>
        </w:tc>
        <w:tc>
          <w:tcPr>
            <w:tcW w:w="1831" w:type="dxa"/>
            <w:gridSpan w:val="3"/>
            <w:tcBorders>
              <w:top w:val="nil"/>
              <w:bottom w:val="nil"/>
            </w:tcBorders>
          </w:tcPr>
          <w:p w:rsidR="00C91295" w:rsidRPr="00526311" w:rsidRDefault="00C91295" w:rsidP="00F1387F">
            <w:pPr>
              <w:widowControl w:val="0"/>
              <w:autoSpaceDE w:val="0"/>
              <w:autoSpaceDN w:val="0"/>
              <w:adjustRightInd w:val="0"/>
              <w:spacing w:after="120"/>
              <w:rPr>
                <w:sz w:val="16"/>
                <w:szCs w:val="16"/>
              </w:rPr>
            </w:pPr>
            <w:r w:rsidRPr="00526311">
              <w:rPr>
                <w:sz w:val="16"/>
                <w:szCs w:val="16"/>
              </w:rPr>
              <w:t>Tonga</w:t>
            </w:r>
          </w:p>
        </w:tc>
        <w:tc>
          <w:tcPr>
            <w:tcW w:w="4406" w:type="dxa"/>
            <w:gridSpan w:val="2"/>
            <w:tcBorders>
              <w:top w:val="nil"/>
              <w:bottom w:val="nil"/>
            </w:tcBorders>
          </w:tcPr>
          <w:p w:rsidR="00C91295" w:rsidRPr="00526311" w:rsidRDefault="00C91295" w:rsidP="00F1387F">
            <w:pPr>
              <w:widowControl w:val="0"/>
              <w:autoSpaceDE w:val="0"/>
              <w:autoSpaceDN w:val="0"/>
              <w:adjustRightInd w:val="0"/>
              <w:rPr>
                <w:sz w:val="16"/>
                <w:szCs w:val="16"/>
              </w:rPr>
            </w:pPr>
            <w:r w:rsidRPr="00526311">
              <w:rPr>
                <w:sz w:val="16"/>
                <w:szCs w:val="16"/>
              </w:rPr>
              <w:t>Se trataba de la fase final del proceso de preparación de estrategia de P.I. en el que se celebraron consultas con sectores interesados nacionales sobre el proyecto de estrategia nacional de P.I.</w:t>
            </w:r>
          </w:p>
          <w:p w:rsidR="00C91295" w:rsidRPr="00526311" w:rsidRDefault="00C91295" w:rsidP="00F1387F">
            <w:pPr>
              <w:widowControl w:val="0"/>
              <w:autoSpaceDE w:val="0"/>
              <w:autoSpaceDN w:val="0"/>
              <w:adjustRightInd w:val="0"/>
              <w:rPr>
                <w:sz w:val="16"/>
                <w:szCs w:val="16"/>
              </w:rPr>
            </w:pPr>
          </w:p>
          <w:p w:rsidR="00C91295" w:rsidRPr="00526311" w:rsidRDefault="00C91295" w:rsidP="00F1387F">
            <w:pPr>
              <w:widowControl w:val="0"/>
              <w:autoSpaceDE w:val="0"/>
              <w:autoSpaceDN w:val="0"/>
              <w:adjustRightInd w:val="0"/>
              <w:rPr>
                <w:sz w:val="16"/>
                <w:szCs w:val="16"/>
              </w:rPr>
            </w:pPr>
            <w:r w:rsidRPr="00526311">
              <w:rPr>
                <w:sz w:val="16"/>
                <w:szCs w:val="16"/>
              </w:rPr>
              <w:t>El Ministro encargado de la P.I. y el Ministro de Educación proporcionaron comentarios positivos sobre el informe.  En noviembre de 2014 el Gobierno de Tonga aprobó el proyecto final presentado por la OMPI.</w:t>
            </w:r>
          </w:p>
        </w:tc>
      </w:tr>
      <w:tr w:rsidR="00C91295" w:rsidRPr="00526311" w:rsidTr="00F1387F">
        <w:trPr>
          <w:cantSplit/>
          <w:trHeight w:val="473"/>
        </w:trPr>
        <w:tc>
          <w:tcPr>
            <w:tcW w:w="1843" w:type="dxa"/>
            <w:tcBorders>
              <w:top w:val="nil"/>
              <w:bottom w:val="nil"/>
            </w:tcBorders>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Misión asesora para elaborar una estrategia nacional de P.I.</w:t>
            </w:r>
          </w:p>
        </w:tc>
        <w:tc>
          <w:tcPr>
            <w:tcW w:w="1276" w:type="dxa"/>
            <w:gridSpan w:val="2"/>
            <w:tcBorders>
              <w:top w:val="nil"/>
              <w:bottom w:val="nil"/>
            </w:tcBorders>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10 a 14 de noviembre de 2014</w:t>
            </w:r>
          </w:p>
        </w:tc>
        <w:tc>
          <w:tcPr>
            <w:tcW w:w="1831" w:type="dxa"/>
            <w:gridSpan w:val="3"/>
            <w:tcBorders>
              <w:top w:val="nil"/>
              <w:bottom w:val="nil"/>
            </w:tcBorders>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 xml:space="preserve">Islas Cook </w:t>
            </w:r>
          </w:p>
        </w:tc>
        <w:tc>
          <w:tcPr>
            <w:tcW w:w="4406" w:type="dxa"/>
            <w:gridSpan w:val="2"/>
            <w:tcBorders>
              <w:top w:val="nil"/>
              <w:bottom w:val="nil"/>
            </w:tcBorders>
          </w:tcPr>
          <w:p w:rsidR="00C91295" w:rsidRPr="00526311" w:rsidRDefault="00C91295" w:rsidP="00F1387F">
            <w:pPr>
              <w:widowControl w:val="0"/>
              <w:autoSpaceDE w:val="0"/>
              <w:autoSpaceDN w:val="0"/>
              <w:adjustRightInd w:val="0"/>
              <w:rPr>
                <w:sz w:val="16"/>
                <w:szCs w:val="16"/>
              </w:rPr>
            </w:pPr>
          </w:p>
          <w:p w:rsidR="00C91295" w:rsidRPr="00526311" w:rsidRDefault="00C91295" w:rsidP="00F1387F">
            <w:pPr>
              <w:widowControl w:val="0"/>
              <w:autoSpaceDE w:val="0"/>
              <w:autoSpaceDN w:val="0"/>
              <w:adjustRightInd w:val="0"/>
              <w:rPr>
                <w:sz w:val="16"/>
                <w:szCs w:val="16"/>
              </w:rPr>
            </w:pPr>
            <w:r w:rsidRPr="00526311">
              <w:rPr>
                <w:sz w:val="16"/>
                <w:szCs w:val="16"/>
              </w:rPr>
              <w:t xml:space="preserve">Preparar la estrategia nacional de P.I. para las Islas Cook, lo que implicaba celebrar reuniones colectivas e individuales con los sectores interesados y reuniones con miembros del Gobierno. Se está preparando el proyecto final de estrategia. </w:t>
            </w:r>
          </w:p>
        </w:tc>
      </w:tr>
      <w:tr w:rsidR="00C91295" w:rsidRPr="00526311" w:rsidTr="00F1387F">
        <w:trPr>
          <w:cantSplit/>
          <w:trHeight w:val="315"/>
        </w:trPr>
        <w:tc>
          <w:tcPr>
            <w:tcW w:w="9356" w:type="dxa"/>
            <w:gridSpan w:val="8"/>
            <w:tcBorders>
              <w:top w:val="single" w:sz="4" w:space="0" w:color="000000"/>
              <w:bottom w:val="single" w:sz="4" w:space="0" w:color="000000"/>
            </w:tcBorders>
            <w:shd w:val="clear" w:color="auto" w:fill="CCFFFF"/>
          </w:tcPr>
          <w:p w:rsidR="00C91295" w:rsidRPr="00526311" w:rsidRDefault="00C91295" w:rsidP="00F1387F">
            <w:pPr>
              <w:widowControl w:val="0"/>
              <w:tabs>
                <w:tab w:val="left" w:pos="1740"/>
              </w:tabs>
              <w:spacing w:before="120" w:after="120"/>
              <w:ind w:left="1740" w:hanging="1740"/>
              <w:rPr>
                <w:sz w:val="16"/>
                <w:szCs w:val="16"/>
              </w:rPr>
            </w:pPr>
            <w:r w:rsidRPr="00526311">
              <w:rPr>
                <w:b/>
                <w:bCs/>
                <w:sz w:val="16"/>
                <w:szCs w:val="16"/>
              </w:rPr>
              <w:t>RESULTADO</w:t>
            </w:r>
            <w:r w:rsidRPr="00526311">
              <w:rPr>
                <w:bCs/>
                <w:sz w:val="16"/>
                <w:szCs w:val="16"/>
              </w:rPr>
              <w:t>:</w:t>
            </w:r>
            <w:r w:rsidRPr="00526311">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rPr>
          <w:cantSplit/>
          <w:trHeight w:val="405"/>
        </w:trPr>
        <w:tc>
          <w:tcPr>
            <w:tcW w:w="1843" w:type="dxa"/>
            <w:tcBorders>
              <w:top w:val="single" w:sz="4" w:space="0" w:color="000000"/>
            </w:tcBorders>
            <w:vAlign w:val="center"/>
          </w:tcPr>
          <w:p w:rsidR="00C91295" w:rsidRPr="00526311" w:rsidRDefault="00C91295" w:rsidP="00F1387F">
            <w:pPr>
              <w:widowControl w:val="0"/>
              <w:spacing w:before="120" w:after="120"/>
              <w:rPr>
                <w:b/>
                <w:bCs/>
                <w:sz w:val="16"/>
                <w:szCs w:val="16"/>
              </w:rPr>
            </w:pPr>
            <w:r w:rsidRPr="00526311">
              <w:rPr>
                <w:b/>
                <w:bCs/>
                <w:sz w:val="16"/>
                <w:szCs w:val="16"/>
              </w:rPr>
              <w:t>Actividad</w:t>
            </w:r>
          </w:p>
        </w:tc>
        <w:tc>
          <w:tcPr>
            <w:tcW w:w="1276" w:type="dxa"/>
            <w:gridSpan w:val="2"/>
            <w:tcBorders>
              <w:top w:val="single" w:sz="4" w:space="0" w:color="000000"/>
            </w:tcBorders>
            <w:vAlign w:val="center"/>
          </w:tcPr>
          <w:p w:rsidR="00C91295" w:rsidRPr="00526311" w:rsidRDefault="00C91295" w:rsidP="00F1387F">
            <w:pPr>
              <w:widowControl w:val="0"/>
              <w:spacing w:before="120" w:after="120"/>
              <w:rPr>
                <w:sz w:val="16"/>
                <w:szCs w:val="16"/>
              </w:rPr>
            </w:pPr>
            <w:r w:rsidRPr="00526311">
              <w:rPr>
                <w:b/>
                <w:sz w:val="16"/>
                <w:szCs w:val="16"/>
              </w:rPr>
              <w:t>Fecha</w:t>
            </w:r>
          </w:p>
        </w:tc>
        <w:tc>
          <w:tcPr>
            <w:tcW w:w="1701" w:type="dxa"/>
            <w:gridSpan w:val="2"/>
            <w:tcBorders>
              <w:top w:val="single" w:sz="4" w:space="0" w:color="000000"/>
            </w:tcBorders>
            <w:vAlign w:val="center"/>
          </w:tcPr>
          <w:p w:rsidR="00C91295" w:rsidRPr="00526311" w:rsidRDefault="00C91295" w:rsidP="00F1387F">
            <w:pPr>
              <w:widowControl w:val="0"/>
              <w:spacing w:before="120" w:after="120"/>
              <w:rPr>
                <w:sz w:val="16"/>
                <w:szCs w:val="16"/>
              </w:rPr>
            </w:pPr>
            <w:r w:rsidRPr="00526311">
              <w:rPr>
                <w:b/>
                <w:sz w:val="16"/>
                <w:szCs w:val="16"/>
              </w:rPr>
              <w:t>País anfitrión / Beneficiarios</w:t>
            </w:r>
          </w:p>
        </w:tc>
        <w:tc>
          <w:tcPr>
            <w:tcW w:w="4536" w:type="dxa"/>
            <w:gridSpan w:val="3"/>
            <w:tcBorders>
              <w:top w:val="single" w:sz="4" w:space="0" w:color="000000"/>
            </w:tcBorders>
            <w:vAlign w:val="center"/>
          </w:tcPr>
          <w:p w:rsidR="00C91295" w:rsidRPr="00526311" w:rsidRDefault="00C91295" w:rsidP="00F1387F">
            <w:pPr>
              <w:widowControl w:val="0"/>
              <w:spacing w:before="120" w:after="120"/>
              <w:rPr>
                <w:sz w:val="16"/>
                <w:szCs w:val="16"/>
              </w:rPr>
            </w:pPr>
            <w:r w:rsidRPr="00526311">
              <w:rPr>
                <w:b/>
                <w:sz w:val="16"/>
                <w:szCs w:val="16"/>
              </w:rPr>
              <w:t>Propósito(s)/Descripción</w:t>
            </w:r>
          </w:p>
        </w:tc>
      </w:tr>
      <w:tr w:rsidR="00C91295" w:rsidRPr="00526311" w:rsidTr="00F1387F">
        <w:trPr>
          <w:cantSplit/>
          <w:trHeight w:val="315"/>
        </w:trPr>
        <w:tc>
          <w:tcPr>
            <w:tcW w:w="1843"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Visita de estudio a IP Australia de examinadores de marcas y de patentes de la Oficina de Propiedad Intelectual de Papua Nueva Guinea (IPOPNG)</w:t>
            </w:r>
          </w:p>
        </w:tc>
        <w:tc>
          <w:tcPr>
            <w:tcW w:w="1276"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24 de febrero a 7 de marzo de 2014</w:t>
            </w:r>
          </w:p>
        </w:tc>
        <w:tc>
          <w:tcPr>
            <w:tcW w:w="1701"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Australia /</w:t>
            </w:r>
            <w:r w:rsidRPr="00526311">
              <w:t xml:space="preserve"> </w:t>
            </w:r>
            <w:r w:rsidRPr="00526311">
              <w:rPr>
                <w:sz w:val="16"/>
                <w:szCs w:val="16"/>
              </w:rPr>
              <w:t>Tres examinadores de marcas y uno de patentes de la IPOPNG (Papua New Guinea)</w:t>
            </w:r>
          </w:p>
        </w:tc>
        <w:tc>
          <w:tcPr>
            <w:tcW w:w="4536" w:type="dxa"/>
            <w:gridSpan w:val="3"/>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i) Prestar asistencia a los examinadores en la verificación de los requisitos de forma, la búsqueda y el examen y el examen sustantivo.</w:t>
            </w:r>
          </w:p>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 xml:space="preserve">Los conocimientos adquiridos en esta formación se utilizarán en la formación de otros examinadores de la IPOPNG y en la labor cotidiana de los participantes. </w:t>
            </w:r>
          </w:p>
          <w:p w:rsidR="00C91295" w:rsidRPr="00526311" w:rsidRDefault="00C91295" w:rsidP="00F1387F">
            <w:pPr>
              <w:widowControl w:val="0"/>
              <w:autoSpaceDE w:val="0"/>
              <w:autoSpaceDN w:val="0"/>
              <w:adjustRightInd w:val="0"/>
              <w:spacing w:before="120" w:after="120"/>
              <w:rPr>
                <w:sz w:val="16"/>
                <w:szCs w:val="16"/>
              </w:rPr>
            </w:pPr>
          </w:p>
        </w:tc>
      </w:tr>
      <w:tr w:rsidR="00C91295" w:rsidRPr="00526311" w:rsidTr="00F1387F">
        <w:trPr>
          <w:cantSplit/>
          <w:trHeight w:val="315"/>
        </w:trPr>
        <w:tc>
          <w:tcPr>
            <w:tcW w:w="1843"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 xml:space="preserve">Taller subregional sobre derecho de autor, creatividad y desarrollo destinado a los encargados de la toma de decisiones </w:t>
            </w:r>
          </w:p>
        </w:tc>
        <w:tc>
          <w:tcPr>
            <w:tcW w:w="1276"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24 a 26 de marzo de</w:t>
            </w:r>
          </w:p>
        </w:tc>
        <w:tc>
          <w:tcPr>
            <w:tcW w:w="1701"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Nueva Zelandia  / Islas Cook, Fiji, Kiribati, Islas Marshall, Niue, Papua New Guinea, Samoa, Islas Salomón, Tonga, Tuvalu, Vanuatu</w:t>
            </w:r>
          </w:p>
        </w:tc>
        <w:tc>
          <w:tcPr>
            <w:tcW w:w="4536" w:type="dxa"/>
            <w:gridSpan w:val="3"/>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i) Fomentar la toma de conciencia sobre la función del derecho de autor en la promoción y la protección de la creatividad,  ii) mejorar la comprensión y la capacidad de los encargados de formular políticas y iii) alentar el establecimiento y el perfeccionamiento de los sistemas de derecho de autor y la participación en el marco internacional de derecho de autor y derechos conexos.</w:t>
            </w:r>
          </w:p>
          <w:p w:rsidR="00C91295" w:rsidRPr="00526311" w:rsidRDefault="00C91295" w:rsidP="00F1387F">
            <w:pPr>
              <w:widowControl w:val="0"/>
              <w:autoSpaceDE w:val="0"/>
              <w:autoSpaceDN w:val="0"/>
              <w:adjustRightInd w:val="0"/>
              <w:spacing w:before="120" w:after="120"/>
              <w:rPr>
                <w:sz w:val="16"/>
                <w:szCs w:val="16"/>
              </w:rPr>
            </w:pPr>
          </w:p>
        </w:tc>
      </w:tr>
      <w:tr w:rsidR="00C91295" w:rsidRPr="00526311" w:rsidTr="00F1387F">
        <w:trPr>
          <w:cantSplit/>
          <w:trHeight w:val="315"/>
        </w:trPr>
        <w:tc>
          <w:tcPr>
            <w:tcW w:w="1843"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 xml:space="preserve">Programa de formación sobre gestión de recursos financieros y humanos de una Oficina nacional de P.I. </w:t>
            </w:r>
          </w:p>
        </w:tc>
        <w:tc>
          <w:tcPr>
            <w:tcW w:w="1276"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10 a 14 de noviembre de 2014</w:t>
            </w:r>
          </w:p>
        </w:tc>
        <w:tc>
          <w:tcPr>
            <w:tcW w:w="1701"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 xml:space="preserve">Myanmar / aproximadamente 30 funcionarios del Ministerio de Ciencia y Tecnología </w:t>
            </w:r>
          </w:p>
        </w:tc>
        <w:tc>
          <w:tcPr>
            <w:tcW w:w="4536" w:type="dxa"/>
            <w:gridSpan w:val="3"/>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Proporcionar formación al personal designado de la futura Oficina nacional de P.I. sobre los aspectos relativos a los recursos financieros y humanos de la gestión de una oficina de P.I.</w:t>
            </w:r>
          </w:p>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 xml:space="preserve">Esta formación fue ofrecida por funcionarios experimentados de IP Australia y formaba parte de las iniciativas existentes para prestar asistencia al Gobierno de Myanmar a la hora de fortalecer la capacidad del personal designado del Ministerio de Ciencia y Tecnología que desempeñará las funciones correspondientes en la futura Oficina nacional de P.I. </w:t>
            </w:r>
          </w:p>
        </w:tc>
      </w:tr>
      <w:tr w:rsidR="00C91295" w:rsidRPr="00526311" w:rsidTr="00F1387F">
        <w:trPr>
          <w:cantSplit/>
          <w:trHeight w:val="315"/>
        </w:trPr>
        <w:tc>
          <w:tcPr>
            <w:tcW w:w="1843" w:type="dxa"/>
            <w:tcBorders>
              <w:left w:val="single" w:sz="4" w:space="0" w:color="000000"/>
            </w:tcBorders>
          </w:tcPr>
          <w:p w:rsidR="00C91295" w:rsidRPr="00526311" w:rsidRDefault="00C91295" w:rsidP="00F1387F">
            <w:pPr>
              <w:keepNext/>
              <w:widowControl w:val="0"/>
              <w:autoSpaceDE w:val="0"/>
              <w:autoSpaceDN w:val="0"/>
              <w:adjustRightInd w:val="0"/>
              <w:spacing w:before="120" w:after="120"/>
              <w:rPr>
                <w:b/>
                <w:bCs/>
                <w:sz w:val="16"/>
                <w:szCs w:val="16"/>
              </w:rPr>
            </w:pPr>
            <w:r w:rsidRPr="00526311">
              <w:rPr>
                <w:b/>
                <w:bCs/>
                <w:sz w:val="16"/>
                <w:szCs w:val="16"/>
              </w:rPr>
              <w:lastRenderedPageBreak/>
              <w:t>Actividad</w:t>
            </w:r>
          </w:p>
        </w:tc>
        <w:tc>
          <w:tcPr>
            <w:tcW w:w="1276" w:type="dxa"/>
            <w:gridSpan w:val="2"/>
            <w:shd w:val="clear" w:color="auto" w:fill="auto"/>
          </w:tcPr>
          <w:p w:rsidR="00C91295" w:rsidRPr="00526311" w:rsidRDefault="00C91295" w:rsidP="00F1387F">
            <w:pPr>
              <w:keepNext/>
              <w:widowControl w:val="0"/>
              <w:autoSpaceDE w:val="0"/>
              <w:autoSpaceDN w:val="0"/>
              <w:adjustRightInd w:val="0"/>
              <w:spacing w:before="120" w:after="120"/>
              <w:rPr>
                <w:b/>
                <w:bCs/>
                <w:sz w:val="16"/>
                <w:szCs w:val="16"/>
              </w:rPr>
            </w:pPr>
            <w:r w:rsidRPr="00526311">
              <w:rPr>
                <w:b/>
                <w:bCs/>
                <w:sz w:val="16"/>
                <w:szCs w:val="16"/>
              </w:rPr>
              <w:t>Fecha</w:t>
            </w:r>
          </w:p>
        </w:tc>
        <w:tc>
          <w:tcPr>
            <w:tcW w:w="1701" w:type="dxa"/>
            <w:gridSpan w:val="2"/>
            <w:shd w:val="clear" w:color="auto" w:fill="auto"/>
          </w:tcPr>
          <w:p w:rsidR="00C91295" w:rsidRPr="00526311" w:rsidRDefault="00C91295" w:rsidP="00F1387F">
            <w:pPr>
              <w:keepNext/>
              <w:widowControl w:val="0"/>
              <w:autoSpaceDE w:val="0"/>
              <w:autoSpaceDN w:val="0"/>
              <w:adjustRightInd w:val="0"/>
              <w:spacing w:before="120" w:after="120"/>
              <w:rPr>
                <w:b/>
                <w:bCs/>
                <w:sz w:val="16"/>
                <w:szCs w:val="16"/>
              </w:rPr>
            </w:pPr>
            <w:r w:rsidRPr="00526311">
              <w:rPr>
                <w:b/>
                <w:bCs/>
                <w:sz w:val="16"/>
                <w:szCs w:val="16"/>
              </w:rPr>
              <w:t>País anfitrión / Beneficiarios</w:t>
            </w:r>
          </w:p>
        </w:tc>
        <w:tc>
          <w:tcPr>
            <w:tcW w:w="4536" w:type="dxa"/>
            <w:gridSpan w:val="3"/>
            <w:tcBorders>
              <w:right w:val="single" w:sz="4" w:space="0" w:color="000000"/>
            </w:tcBorders>
            <w:shd w:val="clear" w:color="auto" w:fill="FFFFFF"/>
          </w:tcPr>
          <w:p w:rsidR="00C91295" w:rsidRPr="00526311" w:rsidRDefault="00C91295" w:rsidP="00F1387F">
            <w:pPr>
              <w:keepNext/>
              <w:widowControl w:val="0"/>
              <w:autoSpaceDE w:val="0"/>
              <w:autoSpaceDN w:val="0"/>
              <w:adjustRightInd w:val="0"/>
              <w:spacing w:before="120" w:after="120"/>
              <w:rPr>
                <w:b/>
                <w:bCs/>
                <w:sz w:val="16"/>
                <w:szCs w:val="16"/>
              </w:rPr>
            </w:pPr>
            <w:r w:rsidRPr="00526311">
              <w:rPr>
                <w:b/>
                <w:bCs/>
                <w:sz w:val="16"/>
                <w:szCs w:val="16"/>
              </w:rPr>
              <w:t>Propósito(s)/Descripción</w:t>
            </w:r>
          </w:p>
        </w:tc>
      </w:tr>
      <w:tr w:rsidR="00C91295" w:rsidRPr="00526311" w:rsidTr="00F1387F">
        <w:trPr>
          <w:cantSplit/>
          <w:trHeight w:val="315"/>
        </w:trPr>
        <w:tc>
          <w:tcPr>
            <w:tcW w:w="1843"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Programa de formación sobre la presentación de solicitudes y la gestión de los registros de marca</w:t>
            </w:r>
          </w:p>
        </w:tc>
        <w:tc>
          <w:tcPr>
            <w:tcW w:w="1276"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17 a 21 de noviembre de 2014</w:t>
            </w:r>
          </w:p>
        </w:tc>
        <w:tc>
          <w:tcPr>
            <w:tcW w:w="1701"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Myanmar / aproximadamente 30 funcionarios del Ministerio de Ciencia y Tecnología</w:t>
            </w:r>
          </w:p>
        </w:tc>
        <w:tc>
          <w:tcPr>
            <w:tcW w:w="4536" w:type="dxa"/>
            <w:gridSpan w:val="3"/>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i) Fomentar los conocimientos y las capacidades de los participantes, ii) fomentar su seguridad al ocuparse de los registros de marcas y cuestiones conexas y iii) mejorar  la gestión del volumen de trabajo y minimizar las demoras en la tramitación de los registros de marcas.</w:t>
            </w:r>
          </w:p>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Esta formación fue ofrecida por funcionarios experimentados de IP Australia y formaba parte de las iniciativas existentes para prestar asistencia al Gobierno de Myanmar a la hora de fortalecer la capacidad del personal designado del Ministerio de Ciencia y Tecnología que desempeñará las funciones correspondientes en la futura Oficina nacional de P.I.</w:t>
            </w:r>
          </w:p>
        </w:tc>
      </w:tr>
      <w:tr w:rsidR="00C91295" w:rsidRPr="00526311" w:rsidTr="00F1387F">
        <w:trPr>
          <w:cantSplit/>
          <w:trHeight w:val="315"/>
        </w:trPr>
        <w:tc>
          <w:tcPr>
            <w:tcW w:w="9356" w:type="dxa"/>
            <w:gridSpan w:val="8"/>
            <w:tcBorders>
              <w:top w:val="single" w:sz="4" w:space="0" w:color="000000"/>
              <w:bottom w:val="single" w:sz="4" w:space="0" w:color="000000"/>
            </w:tcBorders>
            <w:shd w:val="clear" w:color="auto" w:fill="CCFFFF"/>
          </w:tcPr>
          <w:p w:rsidR="00C91295" w:rsidRPr="00526311" w:rsidRDefault="00C91295" w:rsidP="00F1387F">
            <w:pPr>
              <w:widowControl w:val="0"/>
              <w:tabs>
                <w:tab w:val="left" w:pos="1740"/>
              </w:tabs>
              <w:spacing w:before="120" w:after="120"/>
              <w:ind w:left="1740" w:hanging="1740"/>
              <w:rPr>
                <w:sz w:val="16"/>
                <w:szCs w:val="16"/>
              </w:rPr>
            </w:pPr>
            <w:r w:rsidRPr="00526311">
              <w:rPr>
                <w:b/>
                <w:bCs/>
                <w:sz w:val="16"/>
                <w:szCs w:val="16"/>
              </w:rPr>
              <w:t>RESULTADO</w:t>
            </w:r>
            <w:r w:rsidRPr="00526311">
              <w:rPr>
                <w:bCs/>
                <w:sz w:val="16"/>
                <w:szCs w:val="16"/>
              </w:rPr>
              <w:t>:</w:t>
            </w:r>
            <w:r w:rsidRPr="00526311">
              <w:rPr>
                <w:bCs/>
                <w:sz w:val="16"/>
                <w:szCs w:val="16"/>
              </w:rPr>
              <w:tab/>
              <w:t>IV.2 Mejora del acceso y uso de información de P.I. por parte de instituciones de P.I. y el público para fomentar la innovación y la creatividad</w:t>
            </w:r>
          </w:p>
        </w:tc>
      </w:tr>
      <w:tr w:rsidR="00C91295" w:rsidRPr="00526311" w:rsidTr="00F1387F">
        <w:trPr>
          <w:cantSplit/>
          <w:trHeight w:val="429"/>
        </w:trPr>
        <w:tc>
          <w:tcPr>
            <w:tcW w:w="1843" w:type="dxa"/>
            <w:tcBorders>
              <w:top w:val="single" w:sz="4" w:space="0" w:color="000000"/>
            </w:tcBorders>
            <w:vAlign w:val="center"/>
          </w:tcPr>
          <w:p w:rsidR="00C91295" w:rsidRPr="00526311" w:rsidRDefault="00C91295" w:rsidP="00F1387F">
            <w:pPr>
              <w:widowControl w:val="0"/>
              <w:spacing w:before="120" w:after="120"/>
              <w:rPr>
                <w:b/>
                <w:bCs/>
                <w:sz w:val="16"/>
                <w:szCs w:val="16"/>
              </w:rPr>
            </w:pPr>
            <w:r w:rsidRPr="00526311">
              <w:rPr>
                <w:b/>
                <w:bCs/>
                <w:sz w:val="16"/>
                <w:szCs w:val="16"/>
              </w:rPr>
              <w:t>Actividad</w:t>
            </w:r>
          </w:p>
        </w:tc>
        <w:tc>
          <w:tcPr>
            <w:tcW w:w="1134" w:type="dxa"/>
            <w:tcBorders>
              <w:top w:val="single" w:sz="4" w:space="0" w:color="000000"/>
            </w:tcBorders>
            <w:vAlign w:val="center"/>
          </w:tcPr>
          <w:p w:rsidR="00C91295" w:rsidRPr="00526311" w:rsidRDefault="00C91295" w:rsidP="00F1387F">
            <w:pPr>
              <w:widowControl w:val="0"/>
              <w:spacing w:before="120" w:after="120"/>
              <w:rPr>
                <w:sz w:val="16"/>
                <w:szCs w:val="16"/>
              </w:rPr>
            </w:pPr>
            <w:r w:rsidRPr="00526311">
              <w:rPr>
                <w:b/>
                <w:sz w:val="16"/>
                <w:szCs w:val="16"/>
              </w:rPr>
              <w:t>Fecha</w:t>
            </w:r>
          </w:p>
        </w:tc>
        <w:tc>
          <w:tcPr>
            <w:tcW w:w="1559" w:type="dxa"/>
            <w:gridSpan w:val="2"/>
            <w:tcBorders>
              <w:top w:val="single" w:sz="4" w:space="0" w:color="000000"/>
            </w:tcBorders>
            <w:vAlign w:val="center"/>
          </w:tcPr>
          <w:p w:rsidR="00C91295" w:rsidRPr="00526311" w:rsidRDefault="00C91295" w:rsidP="00F1387F">
            <w:pPr>
              <w:widowControl w:val="0"/>
              <w:spacing w:before="120" w:after="120"/>
              <w:rPr>
                <w:sz w:val="16"/>
                <w:szCs w:val="16"/>
              </w:rPr>
            </w:pPr>
            <w:r w:rsidRPr="00526311">
              <w:rPr>
                <w:b/>
                <w:sz w:val="16"/>
                <w:szCs w:val="16"/>
              </w:rPr>
              <w:t>País anfitrión / Beneficiarios</w:t>
            </w:r>
          </w:p>
        </w:tc>
        <w:tc>
          <w:tcPr>
            <w:tcW w:w="4820" w:type="dxa"/>
            <w:gridSpan w:val="4"/>
            <w:tcBorders>
              <w:top w:val="single" w:sz="4" w:space="0" w:color="000000"/>
            </w:tcBorders>
            <w:vAlign w:val="center"/>
          </w:tcPr>
          <w:p w:rsidR="00C91295" w:rsidRPr="00526311" w:rsidRDefault="00C91295" w:rsidP="00F1387F">
            <w:pPr>
              <w:widowControl w:val="0"/>
              <w:spacing w:before="120" w:after="120"/>
              <w:rPr>
                <w:sz w:val="16"/>
                <w:szCs w:val="16"/>
              </w:rPr>
            </w:pPr>
            <w:r w:rsidRPr="00526311">
              <w:rPr>
                <w:b/>
                <w:sz w:val="16"/>
                <w:szCs w:val="16"/>
              </w:rPr>
              <w:t>Propósito(s)/Descripción</w:t>
            </w:r>
          </w:p>
        </w:tc>
      </w:tr>
      <w:tr w:rsidR="00C91295" w:rsidRPr="00526311" w:rsidTr="00F1387F">
        <w:trPr>
          <w:cantSplit/>
          <w:trHeight w:val="315"/>
        </w:trPr>
        <w:tc>
          <w:tcPr>
            <w:tcW w:w="1843"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Fortalecimiento de la capacidad (mediante un memorando de entendimiento)</w:t>
            </w:r>
          </w:p>
        </w:tc>
        <w:tc>
          <w:tcPr>
            <w:tcW w:w="1134"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A lo largo del año</w:t>
            </w:r>
          </w:p>
        </w:tc>
        <w:tc>
          <w:tcPr>
            <w:tcW w:w="1559"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Sri Lanka</w:t>
            </w:r>
          </w:p>
        </w:tc>
        <w:tc>
          <w:tcPr>
            <w:tcW w:w="4820" w:type="dxa"/>
            <w:gridSpan w:val="4"/>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 xml:space="preserve">i) Proporcionar a una organización local, la DAISY Lanka Foundation (DLF), los conocimientos especializados y la financiación necesarios para llevar a cabo actividades de fortalecimiento de capacidades en Sri Lanka. </w:t>
            </w:r>
          </w:p>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Entre las actividades figuran i) la formación de editores locales, públicos y privados, así como de ONG locales, en la producción de libros en formato accesible,  ii) la producción de 870 libros educativos en formato accesible en cingalés y iii) la compra de 80 dispositivos DAISY de lectura que se prestarán a estudiantes discapacitados visuales para que puedan leer esos libros.</w:t>
            </w:r>
          </w:p>
        </w:tc>
      </w:tr>
      <w:tr w:rsidR="00C91295" w:rsidRPr="00526311" w:rsidTr="00F1387F">
        <w:trPr>
          <w:cantSplit/>
          <w:trHeight w:val="315"/>
        </w:trPr>
        <w:tc>
          <w:tcPr>
            <w:tcW w:w="1843" w:type="dxa"/>
          </w:tcPr>
          <w:p w:rsidR="00C91295" w:rsidRPr="00526311" w:rsidRDefault="00C91295" w:rsidP="00F1387F">
            <w:pPr>
              <w:widowControl w:val="0"/>
              <w:spacing w:before="120" w:after="120"/>
              <w:rPr>
                <w:sz w:val="16"/>
                <w:szCs w:val="16"/>
              </w:rPr>
            </w:pPr>
            <w:r w:rsidRPr="00526311">
              <w:rPr>
                <w:sz w:val="16"/>
                <w:szCs w:val="16"/>
              </w:rPr>
              <w:t>Fortalecimiento de la capacidad (mediante un memorando de entendimiento)</w:t>
            </w:r>
          </w:p>
        </w:tc>
        <w:tc>
          <w:tcPr>
            <w:tcW w:w="1134"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A lo largo del año</w:t>
            </w:r>
          </w:p>
        </w:tc>
        <w:tc>
          <w:tcPr>
            <w:tcW w:w="1559"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Sri Lanka</w:t>
            </w:r>
          </w:p>
        </w:tc>
        <w:tc>
          <w:tcPr>
            <w:tcW w:w="4820" w:type="dxa"/>
            <w:gridSpan w:val="4"/>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Elaborar una aplicación de lectura de texto de alta calidad en cingalés para su uso por los discapacitados visuales a la hora de leer libros en formato accesible en ese idioma.  La aplicación está siendo puesta a punto por la Facultad de Informática de la Universidad de Colombo.  Actualmente, solo hay una aplicación de lectura de texto en cingalés de sonido sumamente sintético.</w:t>
            </w:r>
          </w:p>
        </w:tc>
      </w:tr>
      <w:tr w:rsidR="00C91295" w:rsidRPr="00526311" w:rsidTr="00F1387F">
        <w:trPr>
          <w:cantSplit/>
          <w:trHeight w:val="315"/>
        </w:trPr>
        <w:tc>
          <w:tcPr>
            <w:tcW w:w="1843"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Fortalecimiento de la capacidad (mediante un memorando de entendimiento)</w:t>
            </w:r>
          </w:p>
        </w:tc>
        <w:tc>
          <w:tcPr>
            <w:tcW w:w="1134" w:type="dxa"/>
          </w:tcPr>
          <w:p w:rsidR="00C91295" w:rsidRPr="00526311" w:rsidRDefault="00C91295" w:rsidP="00F1387F">
            <w:pPr>
              <w:widowControl w:val="0"/>
              <w:spacing w:before="120" w:after="120"/>
              <w:rPr>
                <w:sz w:val="16"/>
                <w:szCs w:val="16"/>
              </w:rPr>
            </w:pPr>
            <w:r w:rsidRPr="00526311">
              <w:rPr>
                <w:sz w:val="16"/>
                <w:szCs w:val="16"/>
              </w:rPr>
              <w:t>A lo largo del año</w:t>
            </w:r>
          </w:p>
        </w:tc>
        <w:tc>
          <w:tcPr>
            <w:tcW w:w="1559"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Nepal</w:t>
            </w:r>
          </w:p>
        </w:tc>
        <w:tc>
          <w:tcPr>
            <w:tcW w:w="4820" w:type="dxa"/>
            <w:gridSpan w:val="4"/>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 xml:space="preserve">Proporcionar a una organización local, la </w:t>
            </w:r>
            <w:r w:rsidRPr="008902F3">
              <w:rPr>
                <w:i/>
                <w:sz w:val="16"/>
                <w:szCs w:val="16"/>
              </w:rPr>
              <w:t>Action on Disability Rights and Development</w:t>
            </w:r>
            <w:r w:rsidRPr="00526311">
              <w:rPr>
                <w:sz w:val="16"/>
                <w:szCs w:val="16"/>
              </w:rPr>
              <w:t xml:space="preserve"> (ADRAD), los conocimientos especializados y la financiación necesarios para llevar a cabo actividades de fortalecimiento de capacidades en Nepal.</w:t>
            </w:r>
          </w:p>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Entre las actividades figuran i) la formación de editores locales, públicos y privados, así como de ONG locales, en la producción de libros en formato accesible,  ii) la producción de 140 libros educativos en formato accesible en inglés y nepalés y iii) la compra de 100 dispositivos Android que se prestarán a estudiantes discapacitados visuales para que puedan leer esos libros.</w:t>
            </w:r>
          </w:p>
        </w:tc>
      </w:tr>
      <w:tr w:rsidR="00C91295" w:rsidRPr="00526311" w:rsidTr="00F1387F">
        <w:trPr>
          <w:cantSplit/>
          <w:trHeight w:val="315"/>
        </w:trPr>
        <w:tc>
          <w:tcPr>
            <w:tcW w:w="1843"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Fortalecimiento de la capacidad (mediante un memorando de entendimiento)</w:t>
            </w:r>
          </w:p>
        </w:tc>
        <w:tc>
          <w:tcPr>
            <w:tcW w:w="1134" w:type="dxa"/>
          </w:tcPr>
          <w:p w:rsidR="00C91295" w:rsidRPr="00526311" w:rsidRDefault="00C91295" w:rsidP="00F1387F">
            <w:pPr>
              <w:widowControl w:val="0"/>
              <w:spacing w:before="120" w:after="120"/>
              <w:rPr>
                <w:sz w:val="16"/>
                <w:szCs w:val="16"/>
              </w:rPr>
            </w:pPr>
            <w:r w:rsidRPr="00526311">
              <w:rPr>
                <w:sz w:val="16"/>
                <w:szCs w:val="16"/>
              </w:rPr>
              <w:t>A lo largo del año</w:t>
            </w:r>
          </w:p>
        </w:tc>
        <w:tc>
          <w:tcPr>
            <w:tcW w:w="1559"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Bangladesh</w:t>
            </w:r>
          </w:p>
        </w:tc>
        <w:tc>
          <w:tcPr>
            <w:tcW w:w="4820" w:type="dxa"/>
            <w:gridSpan w:val="4"/>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 xml:space="preserve">Proporcionar a una organización local, la </w:t>
            </w:r>
            <w:r w:rsidRPr="008902F3">
              <w:rPr>
                <w:i/>
                <w:sz w:val="16"/>
                <w:szCs w:val="16"/>
              </w:rPr>
              <w:t>Young Power in Social Action</w:t>
            </w:r>
            <w:r w:rsidRPr="00526311">
              <w:rPr>
                <w:sz w:val="16"/>
                <w:szCs w:val="16"/>
              </w:rPr>
              <w:t xml:space="preserve"> (YPSA), los conocimientos especializados y la financiación necesarios para llevar a cabo actividades de fortalecimiento de capacidades en Bangladesh.</w:t>
            </w:r>
          </w:p>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Entre las actividades figuran i) la formación de editores locales, públicos y privados, así como de ONG locales, en la producción de libros en formato accesible, ii) la producción de 152 libros educativos en formato accesible en bengalí y iii) la compra de 35 dispositivos Android que se prestarán a estudiantes discapacitados visuales para que puedan leer esos libros.</w:t>
            </w:r>
          </w:p>
        </w:tc>
      </w:tr>
      <w:tr w:rsidR="00C91295" w:rsidRPr="00526311" w:rsidTr="00F1387F">
        <w:trPr>
          <w:cantSplit/>
          <w:trHeight w:val="315"/>
        </w:trPr>
        <w:tc>
          <w:tcPr>
            <w:tcW w:w="9356" w:type="dxa"/>
            <w:gridSpan w:val="8"/>
            <w:tcBorders>
              <w:top w:val="single" w:sz="4" w:space="0" w:color="000000"/>
              <w:bottom w:val="single" w:sz="4" w:space="0" w:color="000000"/>
            </w:tcBorders>
            <w:shd w:val="clear" w:color="auto" w:fill="CCFFFF"/>
          </w:tcPr>
          <w:p w:rsidR="00C91295" w:rsidRPr="00526311" w:rsidRDefault="00C91295" w:rsidP="00F1387F">
            <w:pPr>
              <w:keepNext/>
              <w:widowControl w:val="0"/>
              <w:tabs>
                <w:tab w:val="left" w:pos="1740"/>
              </w:tabs>
              <w:spacing w:before="120" w:after="120"/>
              <w:ind w:left="1740" w:hanging="1740"/>
              <w:rPr>
                <w:sz w:val="18"/>
                <w:szCs w:val="18"/>
              </w:rPr>
            </w:pPr>
            <w:r w:rsidRPr="00526311">
              <w:rPr>
                <w:b/>
                <w:bCs/>
                <w:sz w:val="16"/>
                <w:szCs w:val="16"/>
              </w:rPr>
              <w:lastRenderedPageBreak/>
              <w:t>RESULTADO</w:t>
            </w:r>
            <w:r w:rsidRPr="00526311">
              <w:rPr>
                <w:bCs/>
                <w:sz w:val="16"/>
                <w:szCs w:val="16"/>
              </w:rPr>
              <w:t>:</w:t>
            </w:r>
            <w:r w:rsidRPr="00526311">
              <w:rPr>
                <w:bCs/>
                <w:sz w:val="16"/>
                <w:szCs w:val="16"/>
              </w:rPr>
              <w:tab/>
              <w:t>VII.2 Plataformas y herramientas de P.I. utilizadas para la transferencia de conocimiento y la difusión y adaptación de tecnología de los países desarrollados en los países en desarrollo, en particular en los menos adelantados, con el fin de atender los desafíos mundiales</w:t>
            </w:r>
          </w:p>
        </w:tc>
      </w:tr>
      <w:tr w:rsidR="00C91295" w:rsidRPr="00526311" w:rsidTr="00F1387F">
        <w:trPr>
          <w:cantSplit/>
          <w:trHeight w:val="487"/>
        </w:trPr>
        <w:tc>
          <w:tcPr>
            <w:tcW w:w="1843" w:type="dxa"/>
            <w:tcBorders>
              <w:top w:val="single" w:sz="4" w:space="0" w:color="000000"/>
            </w:tcBorders>
            <w:vAlign w:val="center"/>
          </w:tcPr>
          <w:p w:rsidR="00C91295" w:rsidRPr="00526311" w:rsidRDefault="00C91295" w:rsidP="00F1387F">
            <w:pPr>
              <w:keepNext/>
              <w:widowControl w:val="0"/>
              <w:rPr>
                <w:b/>
                <w:bCs/>
                <w:sz w:val="16"/>
                <w:szCs w:val="16"/>
              </w:rPr>
            </w:pPr>
            <w:r w:rsidRPr="00526311">
              <w:rPr>
                <w:b/>
                <w:bCs/>
                <w:sz w:val="16"/>
                <w:szCs w:val="16"/>
              </w:rPr>
              <w:t>Actividad</w:t>
            </w:r>
          </w:p>
        </w:tc>
        <w:tc>
          <w:tcPr>
            <w:tcW w:w="1134" w:type="dxa"/>
            <w:tcBorders>
              <w:top w:val="single" w:sz="4" w:space="0" w:color="000000"/>
            </w:tcBorders>
            <w:vAlign w:val="center"/>
          </w:tcPr>
          <w:p w:rsidR="00C91295" w:rsidRPr="00526311" w:rsidRDefault="00C91295" w:rsidP="00F1387F">
            <w:pPr>
              <w:keepNext/>
              <w:widowControl w:val="0"/>
              <w:rPr>
                <w:sz w:val="16"/>
                <w:szCs w:val="16"/>
              </w:rPr>
            </w:pPr>
            <w:r w:rsidRPr="00526311">
              <w:rPr>
                <w:b/>
                <w:sz w:val="16"/>
                <w:szCs w:val="16"/>
              </w:rPr>
              <w:t>Fecha</w:t>
            </w:r>
          </w:p>
        </w:tc>
        <w:tc>
          <w:tcPr>
            <w:tcW w:w="1559" w:type="dxa"/>
            <w:gridSpan w:val="2"/>
            <w:tcBorders>
              <w:top w:val="single" w:sz="4" w:space="0" w:color="000000"/>
            </w:tcBorders>
            <w:vAlign w:val="center"/>
          </w:tcPr>
          <w:p w:rsidR="00C91295" w:rsidRPr="00526311" w:rsidRDefault="00C91295" w:rsidP="00F1387F">
            <w:pPr>
              <w:keepNext/>
              <w:widowControl w:val="0"/>
              <w:rPr>
                <w:sz w:val="16"/>
                <w:szCs w:val="16"/>
              </w:rPr>
            </w:pPr>
            <w:r w:rsidRPr="00526311">
              <w:rPr>
                <w:b/>
                <w:sz w:val="16"/>
                <w:szCs w:val="16"/>
              </w:rPr>
              <w:t>País anfitrión / Beneficiarios</w:t>
            </w:r>
          </w:p>
        </w:tc>
        <w:tc>
          <w:tcPr>
            <w:tcW w:w="4820" w:type="dxa"/>
            <w:gridSpan w:val="4"/>
            <w:tcBorders>
              <w:top w:val="single" w:sz="4" w:space="0" w:color="000000"/>
            </w:tcBorders>
            <w:vAlign w:val="center"/>
          </w:tcPr>
          <w:p w:rsidR="00C91295" w:rsidRPr="00526311" w:rsidRDefault="00C91295" w:rsidP="00F1387F">
            <w:pPr>
              <w:keepNext/>
              <w:widowControl w:val="0"/>
              <w:rPr>
                <w:sz w:val="16"/>
                <w:szCs w:val="16"/>
              </w:rPr>
            </w:pPr>
            <w:r w:rsidRPr="00526311">
              <w:rPr>
                <w:b/>
                <w:sz w:val="16"/>
                <w:szCs w:val="16"/>
              </w:rPr>
              <w:t>Propósito(s)/Descripción</w:t>
            </w:r>
          </w:p>
        </w:tc>
      </w:tr>
      <w:tr w:rsidR="00C91295" w:rsidRPr="00526311" w:rsidTr="00F1387F">
        <w:trPr>
          <w:cantSplit/>
          <w:trHeight w:val="315"/>
        </w:trPr>
        <w:tc>
          <w:tcPr>
            <w:tcW w:w="1843" w:type="dxa"/>
          </w:tcPr>
          <w:p w:rsidR="00C91295" w:rsidRPr="00526311" w:rsidRDefault="00C91295" w:rsidP="00F1387F">
            <w:pPr>
              <w:widowControl w:val="0"/>
              <w:autoSpaceDE w:val="0"/>
              <w:autoSpaceDN w:val="0"/>
              <w:adjustRightInd w:val="0"/>
              <w:rPr>
                <w:sz w:val="16"/>
                <w:szCs w:val="16"/>
              </w:rPr>
            </w:pPr>
            <w:r w:rsidRPr="00526311">
              <w:rPr>
                <w:sz w:val="16"/>
                <w:szCs w:val="16"/>
              </w:rPr>
              <w:t xml:space="preserve">Continuación de los acuerdos de acogida de científicos biomédicos africanos en instituciones de investigación fuera de África </w:t>
            </w:r>
          </w:p>
        </w:tc>
        <w:tc>
          <w:tcPr>
            <w:tcW w:w="1134" w:type="dxa"/>
          </w:tcPr>
          <w:p w:rsidR="00C91295" w:rsidRPr="00526311" w:rsidRDefault="00C91295" w:rsidP="00F1387F">
            <w:pPr>
              <w:widowControl w:val="0"/>
              <w:autoSpaceDE w:val="0"/>
              <w:autoSpaceDN w:val="0"/>
              <w:adjustRightInd w:val="0"/>
              <w:rPr>
                <w:sz w:val="16"/>
                <w:szCs w:val="16"/>
              </w:rPr>
            </w:pPr>
            <w:r w:rsidRPr="00526311">
              <w:rPr>
                <w:sz w:val="16"/>
                <w:szCs w:val="16"/>
              </w:rPr>
              <w:t>Enero a mayo de 2014</w:t>
            </w:r>
          </w:p>
        </w:tc>
        <w:tc>
          <w:tcPr>
            <w:tcW w:w="1559" w:type="dxa"/>
            <w:gridSpan w:val="2"/>
          </w:tcPr>
          <w:p w:rsidR="00C91295" w:rsidRPr="00526311" w:rsidRDefault="00C91295" w:rsidP="00F1387F">
            <w:pPr>
              <w:widowControl w:val="0"/>
              <w:autoSpaceDE w:val="0"/>
              <w:autoSpaceDN w:val="0"/>
              <w:adjustRightInd w:val="0"/>
              <w:rPr>
                <w:sz w:val="16"/>
                <w:szCs w:val="16"/>
              </w:rPr>
            </w:pPr>
            <w:r w:rsidRPr="00526311">
              <w:rPr>
                <w:rFonts w:eastAsia="Calibri"/>
                <w:sz w:val="16"/>
                <w:szCs w:val="16"/>
              </w:rPr>
              <w:t>Universidad de Stanford (EE.UU.) / Dr. Olfat Hammam, Instituto de investigación Theodore Bilharz (Egipto)</w:t>
            </w:r>
          </w:p>
        </w:tc>
        <w:tc>
          <w:tcPr>
            <w:tcW w:w="4820" w:type="dxa"/>
            <w:gridSpan w:val="4"/>
          </w:tcPr>
          <w:p w:rsidR="00C91295" w:rsidRPr="00526311" w:rsidRDefault="00C91295" w:rsidP="00F1387F">
            <w:pPr>
              <w:widowControl w:val="0"/>
              <w:autoSpaceDE w:val="0"/>
              <w:autoSpaceDN w:val="0"/>
              <w:adjustRightInd w:val="0"/>
              <w:rPr>
                <w:sz w:val="16"/>
                <w:szCs w:val="16"/>
              </w:rPr>
            </w:pPr>
            <w:r w:rsidRPr="00526311">
              <w:rPr>
                <w:sz w:val="16"/>
                <w:szCs w:val="16"/>
              </w:rPr>
              <w:t>Promover i) el uso eficaz de la P.I. para abordar un problema de salud mundial (enfermedades tropicales desatendidas), que afecta a muchos PMA y ii)  la transferencia de conocimientos para los científicos, especialmente de PMA.  Se han puesto a punto programas de investigación específicos para velar por que los participantes mejoren las capacidades de investigación y sean capaces de efectuar una contribución importante en los países de procedencia en el ámbito de las enfermedades tropicales desatendidas.</w:t>
            </w:r>
          </w:p>
          <w:p w:rsidR="00C91295" w:rsidRPr="00526311" w:rsidRDefault="00C91295" w:rsidP="00F1387F">
            <w:pPr>
              <w:widowControl w:val="0"/>
              <w:spacing w:before="120" w:after="120"/>
              <w:rPr>
                <w:sz w:val="16"/>
                <w:szCs w:val="16"/>
              </w:rPr>
            </w:pPr>
            <w:r w:rsidRPr="00526311">
              <w:rPr>
                <w:sz w:val="16"/>
                <w:szCs w:val="16"/>
              </w:rPr>
              <w:t>El Dr. Hammam se centró en el uso de modelos de ratones para diagnosticar infecciones  por esquistosomiasis en el tracto genitourinario.</w:t>
            </w:r>
          </w:p>
        </w:tc>
      </w:tr>
      <w:tr w:rsidR="00C91295" w:rsidRPr="00526311" w:rsidTr="00F1387F">
        <w:trPr>
          <w:cantSplit/>
          <w:trHeight w:val="315"/>
        </w:trPr>
        <w:tc>
          <w:tcPr>
            <w:tcW w:w="1843" w:type="dxa"/>
          </w:tcPr>
          <w:p w:rsidR="00C91295" w:rsidRPr="00526311" w:rsidRDefault="00C91295" w:rsidP="00F1387F">
            <w:pPr>
              <w:widowControl w:val="0"/>
              <w:rPr>
                <w:sz w:val="16"/>
                <w:szCs w:val="16"/>
              </w:rPr>
            </w:pPr>
            <w:r w:rsidRPr="00526311">
              <w:rPr>
                <w:rFonts w:eastAsia="Calibri"/>
                <w:sz w:val="16"/>
                <w:szCs w:val="16"/>
              </w:rPr>
              <w:t>Formación nacional en “Negociación eficaz de licencias de tecnología”</w:t>
            </w:r>
          </w:p>
          <w:p w:rsidR="00C91295" w:rsidRPr="00526311" w:rsidRDefault="00C91295" w:rsidP="00F1387F">
            <w:pPr>
              <w:widowControl w:val="0"/>
              <w:rPr>
                <w:sz w:val="16"/>
                <w:szCs w:val="16"/>
              </w:rPr>
            </w:pPr>
          </w:p>
        </w:tc>
        <w:tc>
          <w:tcPr>
            <w:tcW w:w="1134" w:type="dxa"/>
          </w:tcPr>
          <w:p w:rsidR="00C91295" w:rsidRPr="00526311" w:rsidRDefault="00C91295" w:rsidP="00F1387F">
            <w:pPr>
              <w:widowControl w:val="0"/>
              <w:rPr>
                <w:sz w:val="16"/>
                <w:szCs w:val="16"/>
              </w:rPr>
            </w:pPr>
            <w:r w:rsidRPr="00526311">
              <w:rPr>
                <w:sz w:val="16"/>
                <w:szCs w:val="16"/>
              </w:rPr>
              <w:t>5 a 8 de mayo de 2014</w:t>
            </w:r>
          </w:p>
        </w:tc>
        <w:tc>
          <w:tcPr>
            <w:tcW w:w="1559" w:type="dxa"/>
            <w:gridSpan w:val="2"/>
          </w:tcPr>
          <w:p w:rsidR="00C91295" w:rsidRPr="00526311" w:rsidRDefault="00C91295" w:rsidP="00F1387F">
            <w:pPr>
              <w:widowControl w:val="0"/>
              <w:autoSpaceDE w:val="0"/>
              <w:autoSpaceDN w:val="0"/>
              <w:adjustRightInd w:val="0"/>
              <w:rPr>
                <w:sz w:val="16"/>
                <w:szCs w:val="16"/>
              </w:rPr>
            </w:pPr>
            <w:r w:rsidRPr="00526311">
              <w:rPr>
                <w:sz w:val="16"/>
                <w:szCs w:val="16"/>
              </w:rPr>
              <w:t>Filipinas</w:t>
            </w:r>
          </w:p>
        </w:tc>
        <w:tc>
          <w:tcPr>
            <w:tcW w:w="4820" w:type="dxa"/>
            <w:gridSpan w:val="4"/>
          </w:tcPr>
          <w:p w:rsidR="00C91295" w:rsidRPr="00526311" w:rsidRDefault="00C91295" w:rsidP="00F1387F">
            <w:pPr>
              <w:widowControl w:val="0"/>
              <w:rPr>
                <w:rFonts w:eastAsia="Calibri"/>
                <w:sz w:val="16"/>
                <w:szCs w:val="16"/>
              </w:rPr>
            </w:pPr>
            <w:r w:rsidRPr="00526311">
              <w:rPr>
                <w:rFonts w:eastAsia="Calibri"/>
                <w:sz w:val="16"/>
                <w:szCs w:val="16"/>
              </w:rPr>
              <w:t>Los participantes adquirieron conocimientos acerca de la manera de usar los acuerdos de licencia como herramientas para la transferencia de tecnología, reconocer las ventajas y los riesgos de las negociaciones de licencias y poder contribuir a ese tipo de negociaciones.</w:t>
            </w:r>
          </w:p>
          <w:p w:rsidR="00C91295" w:rsidRPr="00526311" w:rsidRDefault="00C91295" w:rsidP="00F1387F">
            <w:pPr>
              <w:widowControl w:val="0"/>
              <w:rPr>
                <w:sz w:val="16"/>
                <w:szCs w:val="16"/>
              </w:rPr>
            </w:pPr>
          </w:p>
        </w:tc>
      </w:tr>
      <w:tr w:rsidR="00C91295" w:rsidRPr="00526311" w:rsidTr="00F1387F">
        <w:trPr>
          <w:cantSplit/>
          <w:trHeight w:val="315"/>
        </w:trPr>
        <w:tc>
          <w:tcPr>
            <w:tcW w:w="1843" w:type="dxa"/>
          </w:tcPr>
          <w:p w:rsidR="00C91295" w:rsidRPr="00526311" w:rsidRDefault="00C91295" w:rsidP="00F1387F">
            <w:pPr>
              <w:widowControl w:val="0"/>
              <w:spacing w:before="120" w:after="120"/>
              <w:rPr>
                <w:sz w:val="16"/>
                <w:szCs w:val="16"/>
              </w:rPr>
            </w:pPr>
            <w:r w:rsidRPr="00526311">
              <w:rPr>
                <w:rFonts w:eastAsia="Calibri"/>
                <w:sz w:val="16"/>
                <w:szCs w:val="16"/>
              </w:rPr>
              <w:t>Taller nacional de la OMPI sobre redacción de solicitudes de patente y uso del sistema de patentes</w:t>
            </w:r>
          </w:p>
        </w:tc>
        <w:tc>
          <w:tcPr>
            <w:tcW w:w="1134" w:type="dxa"/>
          </w:tcPr>
          <w:p w:rsidR="00C91295" w:rsidRPr="00526311" w:rsidRDefault="00C91295" w:rsidP="00F1387F">
            <w:pPr>
              <w:widowControl w:val="0"/>
              <w:spacing w:before="120" w:after="120"/>
              <w:rPr>
                <w:sz w:val="16"/>
                <w:szCs w:val="16"/>
              </w:rPr>
            </w:pPr>
            <w:r w:rsidRPr="00526311">
              <w:rPr>
                <w:sz w:val="16"/>
                <w:szCs w:val="16"/>
              </w:rPr>
              <w:t>19 a 23 de mayo de 2014</w:t>
            </w:r>
          </w:p>
        </w:tc>
        <w:tc>
          <w:tcPr>
            <w:tcW w:w="1559"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Indonesia</w:t>
            </w:r>
          </w:p>
        </w:tc>
        <w:tc>
          <w:tcPr>
            <w:tcW w:w="4820" w:type="dxa"/>
            <w:gridSpan w:val="4"/>
          </w:tcPr>
          <w:p w:rsidR="00C91295" w:rsidRPr="00526311" w:rsidRDefault="00C91295" w:rsidP="00F1387F">
            <w:pPr>
              <w:widowControl w:val="0"/>
              <w:spacing w:before="120" w:after="120"/>
              <w:rPr>
                <w:sz w:val="16"/>
                <w:szCs w:val="16"/>
              </w:rPr>
            </w:pPr>
            <w:r w:rsidRPr="00526311">
              <w:rPr>
                <w:rFonts w:eastAsia="Calibri"/>
                <w:sz w:val="16"/>
                <w:szCs w:val="16"/>
              </w:rPr>
              <w:t>Formar a los profesionales para:  i) usar el sistema de patentes como parte de su estrategia de comercialización, ii) proporcionar apoyo a los abogados de patentes a la hora de redactar reivindicaciones de patente en relación con determinadas tecnologías y iii) comprender las ventajas de la presentación de solicitudes PCT.</w:t>
            </w:r>
          </w:p>
        </w:tc>
      </w:tr>
      <w:tr w:rsidR="00C91295" w:rsidRPr="00526311" w:rsidTr="00F1387F">
        <w:trPr>
          <w:cantSplit/>
          <w:trHeight w:val="315"/>
        </w:trPr>
        <w:tc>
          <w:tcPr>
            <w:tcW w:w="1843" w:type="dxa"/>
          </w:tcPr>
          <w:p w:rsidR="00C91295" w:rsidRPr="00526311" w:rsidRDefault="00C91295" w:rsidP="00F1387F">
            <w:pPr>
              <w:widowControl w:val="0"/>
              <w:spacing w:before="120" w:after="120"/>
              <w:rPr>
                <w:sz w:val="16"/>
                <w:szCs w:val="16"/>
              </w:rPr>
            </w:pPr>
            <w:r w:rsidRPr="00526311">
              <w:rPr>
                <w:sz w:val="16"/>
                <w:szCs w:val="16"/>
              </w:rPr>
              <w:t>Formación nacional en “Negociación eficaz de licencias de tecnología”</w:t>
            </w:r>
          </w:p>
        </w:tc>
        <w:tc>
          <w:tcPr>
            <w:tcW w:w="1134" w:type="dxa"/>
          </w:tcPr>
          <w:p w:rsidR="00C91295" w:rsidRPr="00526311" w:rsidRDefault="00C91295" w:rsidP="00F1387F">
            <w:pPr>
              <w:widowControl w:val="0"/>
              <w:spacing w:before="120" w:after="120"/>
              <w:rPr>
                <w:sz w:val="16"/>
                <w:szCs w:val="16"/>
              </w:rPr>
            </w:pPr>
            <w:r w:rsidRPr="00526311">
              <w:rPr>
                <w:sz w:val="16"/>
                <w:szCs w:val="16"/>
              </w:rPr>
              <w:t>17 a 20 de junio de 2014</w:t>
            </w:r>
          </w:p>
        </w:tc>
        <w:tc>
          <w:tcPr>
            <w:tcW w:w="1559"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Indonesia</w:t>
            </w:r>
          </w:p>
        </w:tc>
        <w:tc>
          <w:tcPr>
            <w:tcW w:w="4820" w:type="dxa"/>
            <w:gridSpan w:val="4"/>
          </w:tcPr>
          <w:p w:rsidR="00C91295" w:rsidRPr="00526311" w:rsidRDefault="00C91295" w:rsidP="00F1387F">
            <w:pPr>
              <w:widowControl w:val="0"/>
              <w:spacing w:before="120" w:after="120"/>
              <w:rPr>
                <w:sz w:val="16"/>
                <w:szCs w:val="16"/>
              </w:rPr>
            </w:pPr>
            <w:r w:rsidRPr="00526311">
              <w:rPr>
                <w:rFonts w:eastAsia="Calibri"/>
                <w:sz w:val="16"/>
                <w:szCs w:val="16"/>
              </w:rPr>
              <w:t>Los participantes adquirieron conocimientos acerca de la manera de usar los acuerdos de licencia como herramientas para la transferencia de tecnología, reconocer las ventajas y los riesgos de las negociaciones de licencias y poder contribuir a ese tipo de negociaciones.</w:t>
            </w:r>
          </w:p>
        </w:tc>
      </w:tr>
      <w:tr w:rsidR="00C91295" w:rsidRPr="00526311" w:rsidTr="00F1387F">
        <w:trPr>
          <w:cantSplit/>
          <w:trHeight w:val="315"/>
        </w:trPr>
        <w:tc>
          <w:tcPr>
            <w:tcW w:w="1843" w:type="dxa"/>
          </w:tcPr>
          <w:p w:rsidR="00C91295" w:rsidRPr="00526311" w:rsidRDefault="00C91295" w:rsidP="00F1387F">
            <w:pPr>
              <w:widowControl w:val="0"/>
              <w:spacing w:before="120" w:after="120"/>
              <w:rPr>
                <w:sz w:val="16"/>
                <w:szCs w:val="16"/>
              </w:rPr>
            </w:pPr>
            <w:r w:rsidRPr="00526311">
              <w:rPr>
                <w:rFonts w:eastAsia="Calibri"/>
                <w:sz w:val="16"/>
                <w:szCs w:val="16"/>
              </w:rPr>
              <w:t>Taller nacional de la OMPI sobre redacción de solicitudes de patente y uso del sistema de patentes</w:t>
            </w:r>
          </w:p>
        </w:tc>
        <w:tc>
          <w:tcPr>
            <w:tcW w:w="1134" w:type="dxa"/>
          </w:tcPr>
          <w:p w:rsidR="00C91295" w:rsidRPr="00526311" w:rsidRDefault="00C91295" w:rsidP="00F1387F">
            <w:pPr>
              <w:widowControl w:val="0"/>
              <w:spacing w:before="120" w:after="120"/>
              <w:rPr>
                <w:sz w:val="16"/>
                <w:szCs w:val="16"/>
              </w:rPr>
            </w:pPr>
            <w:r w:rsidRPr="00526311">
              <w:rPr>
                <w:sz w:val="16"/>
                <w:szCs w:val="16"/>
              </w:rPr>
              <w:t>23 a 27 de junio de 2014</w:t>
            </w:r>
          </w:p>
        </w:tc>
        <w:tc>
          <w:tcPr>
            <w:tcW w:w="1559"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Tailandia</w:t>
            </w:r>
          </w:p>
        </w:tc>
        <w:tc>
          <w:tcPr>
            <w:tcW w:w="4820" w:type="dxa"/>
            <w:gridSpan w:val="4"/>
          </w:tcPr>
          <w:p w:rsidR="00C91295" w:rsidRPr="00526311" w:rsidRDefault="00C91295" w:rsidP="00F1387F">
            <w:pPr>
              <w:widowControl w:val="0"/>
              <w:spacing w:before="120" w:after="120"/>
              <w:rPr>
                <w:sz w:val="16"/>
                <w:szCs w:val="16"/>
              </w:rPr>
            </w:pPr>
            <w:r w:rsidRPr="00526311">
              <w:rPr>
                <w:rFonts w:eastAsia="Calibri"/>
                <w:sz w:val="16"/>
                <w:szCs w:val="16"/>
              </w:rPr>
              <w:t>Formar a los profesionales para:  i) usar el sistema de patentes como parte de su estrategia de comercialización, ii) proporcionar apoyo a los abogados de patentes a la hora de redactar reivindicaciones de patente en relación con determinadas tecnologías y iii) comprender las ventajas de la presentación de solicitudes PCT.</w:t>
            </w:r>
          </w:p>
        </w:tc>
      </w:tr>
      <w:tr w:rsidR="00C91295" w:rsidRPr="00526311" w:rsidTr="00F1387F">
        <w:trPr>
          <w:cantSplit/>
          <w:trHeight w:val="1167"/>
        </w:trPr>
        <w:tc>
          <w:tcPr>
            <w:tcW w:w="1843" w:type="dxa"/>
          </w:tcPr>
          <w:p w:rsidR="00C91295" w:rsidRPr="00526311" w:rsidRDefault="00C91295" w:rsidP="00F1387F">
            <w:pPr>
              <w:widowControl w:val="0"/>
              <w:spacing w:before="120" w:after="120"/>
              <w:rPr>
                <w:sz w:val="16"/>
                <w:szCs w:val="16"/>
              </w:rPr>
            </w:pPr>
            <w:r w:rsidRPr="00526311">
              <w:rPr>
                <w:sz w:val="16"/>
                <w:szCs w:val="16"/>
              </w:rPr>
              <w:t>Programa de formación nacional OMPI / Fondo fiduciario de Australia sobre negociación eficaz de licencias de tecnología (nivel avanzado)</w:t>
            </w:r>
          </w:p>
        </w:tc>
        <w:tc>
          <w:tcPr>
            <w:tcW w:w="1134" w:type="dxa"/>
          </w:tcPr>
          <w:p w:rsidR="00C91295" w:rsidRPr="00526311" w:rsidRDefault="00C91295" w:rsidP="00F1387F">
            <w:pPr>
              <w:widowControl w:val="0"/>
              <w:spacing w:before="120" w:after="120"/>
              <w:rPr>
                <w:sz w:val="16"/>
                <w:szCs w:val="16"/>
              </w:rPr>
            </w:pPr>
            <w:r w:rsidRPr="00526311">
              <w:rPr>
                <w:sz w:val="16"/>
                <w:szCs w:val="16"/>
              </w:rPr>
              <w:t>1 a 4 de septiembre de 2014</w:t>
            </w:r>
          </w:p>
        </w:tc>
        <w:tc>
          <w:tcPr>
            <w:tcW w:w="1559"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Filipinas</w:t>
            </w:r>
          </w:p>
        </w:tc>
        <w:tc>
          <w:tcPr>
            <w:tcW w:w="4820" w:type="dxa"/>
            <w:gridSpan w:val="4"/>
          </w:tcPr>
          <w:p w:rsidR="00C91295" w:rsidRPr="00526311" w:rsidRDefault="00C91295" w:rsidP="00F1387F">
            <w:pPr>
              <w:widowControl w:val="0"/>
              <w:spacing w:before="120" w:after="120"/>
              <w:rPr>
                <w:sz w:val="16"/>
                <w:szCs w:val="16"/>
              </w:rPr>
            </w:pPr>
            <w:r w:rsidRPr="00526311">
              <w:rPr>
                <w:rFonts w:eastAsia="Calibri"/>
                <w:sz w:val="16"/>
                <w:szCs w:val="16"/>
              </w:rPr>
              <w:t>Proporcionar formación avanzada en el ámbito de la negociación de licencias de P.I. a expertos nacionales que participaron en el curso básico de negociación de licencias de tecnología en el marco del programa del Fondo fiduciario de Australia a fin de que fomentaran los conocimientos para llegar al nivel en el que contribuyan significativamente a las negociaciones de licencias.</w:t>
            </w:r>
          </w:p>
        </w:tc>
      </w:tr>
      <w:tr w:rsidR="00C91295" w:rsidRPr="00526311" w:rsidTr="00F1387F">
        <w:trPr>
          <w:cantSplit/>
          <w:trHeight w:val="315"/>
        </w:trPr>
        <w:tc>
          <w:tcPr>
            <w:tcW w:w="1843" w:type="dxa"/>
          </w:tcPr>
          <w:p w:rsidR="00C91295" w:rsidRPr="00526311" w:rsidRDefault="00C91295" w:rsidP="00F1387F">
            <w:pPr>
              <w:widowControl w:val="0"/>
              <w:spacing w:before="120" w:after="120"/>
              <w:rPr>
                <w:sz w:val="16"/>
                <w:szCs w:val="16"/>
              </w:rPr>
            </w:pPr>
            <w:r w:rsidRPr="00526311">
              <w:rPr>
                <w:rFonts w:eastAsia="Calibri"/>
                <w:sz w:val="16"/>
                <w:szCs w:val="16"/>
              </w:rPr>
              <w:t>Formación regional de la OMPI en gestión de derechos de P.I. e instituciones de investigación y desarrollo (I+D) de Re:Search Network</w:t>
            </w:r>
          </w:p>
        </w:tc>
        <w:tc>
          <w:tcPr>
            <w:tcW w:w="1134" w:type="dxa"/>
          </w:tcPr>
          <w:p w:rsidR="00C91295" w:rsidRPr="00526311" w:rsidRDefault="00C91295" w:rsidP="00F1387F">
            <w:pPr>
              <w:widowControl w:val="0"/>
              <w:spacing w:before="120" w:after="120"/>
              <w:rPr>
                <w:sz w:val="16"/>
                <w:szCs w:val="16"/>
              </w:rPr>
            </w:pPr>
            <w:r w:rsidRPr="00526311">
              <w:rPr>
                <w:sz w:val="16"/>
                <w:szCs w:val="16"/>
              </w:rPr>
              <w:t>4 a 5 de noviembre de 2014</w:t>
            </w:r>
          </w:p>
        </w:tc>
        <w:tc>
          <w:tcPr>
            <w:tcW w:w="1559"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Nueva York (EE.UU.) / Camerún, Egipto, Ghana, Malí, Mauricio, Nigeria y Túnez</w:t>
            </w:r>
          </w:p>
        </w:tc>
        <w:tc>
          <w:tcPr>
            <w:tcW w:w="4820" w:type="dxa"/>
            <w:gridSpan w:val="4"/>
          </w:tcPr>
          <w:p w:rsidR="00C91295" w:rsidRPr="00526311" w:rsidRDefault="00C91295" w:rsidP="00F1387F">
            <w:pPr>
              <w:widowControl w:val="0"/>
              <w:spacing w:before="120" w:after="120"/>
              <w:rPr>
                <w:rFonts w:eastAsia="Calibri"/>
                <w:sz w:val="16"/>
                <w:szCs w:val="16"/>
              </w:rPr>
            </w:pPr>
            <w:r w:rsidRPr="00526311">
              <w:rPr>
                <w:rFonts w:eastAsia="Calibri"/>
                <w:sz w:val="16"/>
                <w:szCs w:val="16"/>
              </w:rPr>
              <w:t>i) Fomentar la sensibilización de las instituciones de I+D de la Red Africana de Medicamentos e Innovación en los Diagnósticos (ANDI) acerca de la importancia de las políticas institucionales de gestión de los derechos de P.I. y la infraestructura institucional con el fin de crear sistemáticamente y gestionar estratégicamente su P.I. y ii) proporcionarles formación concreta sobre la manera de elaborar políticas institucionales de P.I. para sus instituciones.</w:t>
            </w:r>
          </w:p>
        </w:tc>
      </w:tr>
      <w:tr w:rsidR="00C91295" w:rsidRPr="00526311" w:rsidTr="00F1387F">
        <w:trPr>
          <w:cantSplit/>
          <w:trHeight w:val="315"/>
        </w:trPr>
        <w:tc>
          <w:tcPr>
            <w:tcW w:w="1843" w:type="dxa"/>
          </w:tcPr>
          <w:p w:rsidR="00C91295" w:rsidRPr="00526311" w:rsidRDefault="00C91295" w:rsidP="00F1387F">
            <w:pPr>
              <w:widowControl w:val="0"/>
              <w:spacing w:before="120" w:after="120"/>
              <w:rPr>
                <w:sz w:val="16"/>
                <w:szCs w:val="16"/>
              </w:rPr>
            </w:pPr>
            <w:r w:rsidRPr="00526311">
              <w:rPr>
                <w:rFonts w:eastAsia="Calibri"/>
                <w:sz w:val="16"/>
                <w:szCs w:val="16"/>
              </w:rPr>
              <w:t>Programa de formación de formadores OMPI  / Fondo fiduciario de Australia en redacción de solicitudes de patente</w:t>
            </w:r>
          </w:p>
        </w:tc>
        <w:tc>
          <w:tcPr>
            <w:tcW w:w="1134" w:type="dxa"/>
          </w:tcPr>
          <w:p w:rsidR="00C91295" w:rsidRPr="00526311" w:rsidRDefault="00C91295" w:rsidP="00F1387F">
            <w:pPr>
              <w:widowControl w:val="0"/>
              <w:spacing w:before="120" w:after="120"/>
              <w:rPr>
                <w:sz w:val="16"/>
                <w:szCs w:val="16"/>
              </w:rPr>
            </w:pPr>
            <w:r w:rsidRPr="00526311">
              <w:rPr>
                <w:sz w:val="16"/>
                <w:szCs w:val="16"/>
              </w:rPr>
              <w:t>11 a 14 de noviembre de 2014</w:t>
            </w:r>
          </w:p>
        </w:tc>
        <w:tc>
          <w:tcPr>
            <w:tcW w:w="1559"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Viet Nam</w:t>
            </w:r>
          </w:p>
        </w:tc>
        <w:tc>
          <w:tcPr>
            <w:tcW w:w="4820" w:type="dxa"/>
            <w:gridSpan w:val="4"/>
          </w:tcPr>
          <w:p w:rsidR="00C91295" w:rsidRPr="00526311" w:rsidRDefault="00C91295" w:rsidP="00F1387F">
            <w:pPr>
              <w:widowControl w:val="0"/>
              <w:spacing w:before="120" w:after="120"/>
              <w:rPr>
                <w:sz w:val="16"/>
                <w:szCs w:val="16"/>
              </w:rPr>
            </w:pPr>
            <w:r w:rsidRPr="00526311">
              <w:rPr>
                <w:sz w:val="16"/>
                <w:szCs w:val="16"/>
              </w:rPr>
              <w:t>Fomentar la capacidad de los formadores mediante el curso de formación de formadores para organizar y llevar a cabo futuros talleres de redacción de solicitudes de patente en vietnamita, de modo que los programas de fortalecimiento de capacidades que ya se ofrecen tengan una repercusión más duradera.</w:t>
            </w:r>
          </w:p>
        </w:tc>
      </w:tr>
      <w:tr w:rsidR="00C91295" w:rsidRPr="00526311" w:rsidTr="00F1387F">
        <w:trPr>
          <w:cantSplit/>
          <w:trHeight w:val="315"/>
        </w:trPr>
        <w:tc>
          <w:tcPr>
            <w:tcW w:w="1843" w:type="dxa"/>
            <w:vAlign w:val="center"/>
          </w:tcPr>
          <w:p w:rsidR="00C91295" w:rsidRPr="00526311" w:rsidRDefault="00C91295" w:rsidP="00F1387F">
            <w:pPr>
              <w:keepNext/>
              <w:widowControl w:val="0"/>
              <w:rPr>
                <w:b/>
                <w:bCs/>
                <w:sz w:val="16"/>
                <w:szCs w:val="16"/>
              </w:rPr>
            </w:pPr>
            <w:r w:rsidRPr="00526311">
              <w:rPr>
                <w:b/>
                <w:bCs/>
                <w:sz w:val="16"/>
                <w:szCs w:val="16"/>
              </w:rPr>
              <w:lastRenderedPageBreak/>
              <w:t>Actividad</w:t>
            </w:r>
          </w:p>
        </w:tc>
        <w:tc>
          <w:tcPr>
            <w:tcW w:w="1134" w:type="dxa"/>
            <w:vAlign w:val="center"/>
          </w:tcPr>
          <w:p w:rsidR="00C91295" w:rsidRPr="00526311" w:rsidRDefault="00C91295" w:rsidP="00F1387F">
            <w:pPr>
              <w:keepNext/>
              <w:widowControl w:val="0"/>
              <w:rPr>
                <w:sz w:val="16"/>
                <w:szCs w:val="16"/>
              </w:rPr>
            </w:pPr>
            <w:r w:rsidRPr="00526311">
              <w:rPr>
                <w:b/>
                <w:sz w:val="16"/>
                <w:szCs w:val="16"/>
              </w:rPr>
              <w:t>Fecha</w:t>
            </w:r>
          </w:p>
        </w:tc>
        <w:tc>
          <w:tcPr>
            <w:tcW w:w="1559" w:type="dxa"/>
            <w:gridSpan w:val="2"/>
            <w:vAlign w:val="center"/>
          </w:tcPr>
          <w:p w:rsidR="00C91295" w:rsidRPr="00526311" w:rsidRDefault="00C91295" w:rsidP="00F1387F">
            <w:pPr>
              <w:keepNext/>
              <w:widowControl w:val="0"/>
              <w:rPr>
                <w:sz w:val="16"/>
                <w:szCs w:val="16"/>
              </w:rPr>
            </w:pPr>
            <w:r w:rsidRPr="00526311">
              <w:rPr>
                <w:b/>
                <w:sz w:val="16"/>
                <w:szCs w:val="16"/>
              </w:rPr>
              <w:t>País anfitrión / Beneficiarios</w:t>
            </w:r>
          </w:p>
        </w:tc>
        <w:tc>
          <w:tcPr>
            <w:tcW w:w="4820" w:type="dxa"/>
            <w:gridSpan w:val="4"/>
            <w:vAlign w:val="center"/>
          </w:tcPr>
          <w:p w:rsidR="00C91295" w:rsidRPr="00526311" w:rsidRDefault="00C91295" w:rsidP="00F1387F">
            <w:pPr>
              <w:keepNext/>
              <w:widowControl w:val="0"/>
              <w:rPr>
                <w:sz w:val="16"/>
                <w:szCs w:val="16"/>
              </w:rPr>
            </w:pPr>
            <w:r w:rsidRPr="00526311">
              <w:rPr>
                <w:b/>
                <w:sz w:val="16"/>
                <w:szCs w:val="16"/>
              </w:rPr>
              <w:t>Propósito(s)/Descripción</w:t>
            </w:r>
          </w:p>
        </w:tc>
      </w:tr>
      <w:tr w:rsidR="00C91295" w:rsidRPr="00526311" w:rsidTr="00F1387F">
        <w:trPr>
          <w:cantSplit/>
          <w:trHeight w:val="315"/>
        </w:trPr>
        <w:tc>
          <w:tcPr>
            <w:tcW w:w="1843" w:type="dxa"/>
          </w:tcPr>
          <w:p w:rsidR="00C91295" w:rsidRPr="00526311" w:rsidRDefault="00C91295" w:rsidP="00F1387F">
            <w:pPr>
              <w:widowControl w:val="0"/>
              <w:spacing w:before="120" w:after="120"/>
              <w:rPr>
                <w:sz w:val="16"/>
                <w:szCs w:val="16"/>
              </w:rPr>
            </w:pPr>
            <w:r w:rsidRPr="00526311">
              <w:rPr>
                <w:sz w:val="16"/>
                <w:szCs w:val="16"/>
              </w:rPr>
              <w:t>Taller nacional OMPI / Fondo fiduciario de Australia sobre “Negociación eficaz de licencias de tecnología”</w:t>
            </w:r>
          </w:p>
        </w:tc>
        <w:tc>
          <w:tcPr>
            <w:tcW w:w="1134" w:type="dxa"/>
          </w:tcPr>
          <w:p w:rsidR="00C91295" w:rsidRPr="00526311" w:rsidRDefault="00C91295" w:rsidP="00F1387F">
            <w:pPr>
              <w:widowControl w:val="0"/>
              <w:spacing w:before="120" w:after="120"/>
              <w:rPr>
                <w:sz w:val="16"/>
                <w:szCs w:val="16"/>
              </w:rPr>
            </w:pPr>
            <w:r w:rsidRPr="00526311">
              <w:rPr>
                <w:sz w:val="16"/>
                <w:szCs w:val="16"/>
              </w:rPr>
              <w:t>15 a 19 de diciembre de 2014</w:t>
            </w:r>
          </w:p>
        </w:tc>
        <w:tc>
          <w:tcPr>
            <w:tcW w:w="1559"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Viet Nam</w:t>
            </w:r>
          </w:p>
        </w:tc>
        <w:tc>
          <w:tcPr>
            <w:tcW w:w="4820" w:type="dxa"/>
            <w:gridSpan w:val="4"/>
          </w:tcPr>
          <w:p w:rsidR="00C91295" w:rsidRPr="00526311" w:rsidRDefault="00C91295" w:rsidP="00F1387F">
            <w:pPr>
              <w:widowControl w:val="0"/>
              <w:spacing w:before="120" w:after="120"/>
              <w:rPr>
                <w:sz w:val="16"/>
                <w:szCs w:val="16"/>
              </w:rPr>
            </w:pPr>
            <w:r w:rsidRPr="00526311">
              <w:rPr>
                <w:rFonts w:eastAsia="Calibri"/>
                <w:sz w:val="16"/>
                <w:szCs w:val="16"/>
              </w:rPr>
              <w:t>Los participantes adquirieron conocimientos acerca de la manera de usar los acuerdos de licencia como herramientas para la transferencia de tecnología, reconocer las ventajas y los riesgos de las negociaciones de licencias y poder contribuir a ese tipo de negociaciones.</w:t>
            </w:r>
          </w:p>
        </w:tc>
      </w:tr>
      <w:tr w:rsidR="00C91295" w:rsidRPr="00526311" w:rsidTr="00F1387F">
        <w:trPr>
          <w:cantSplit/>
          <w:trHeight w:val="315"/>
        </w:trPr>
        <w:tc>
          <w:tcPr>
            <w:tcW w:w="1843" w:type="dxa"/>
          </w:tcPr>
          <w:p w:rsidR="00C91295" w:rsidRPr="00526311" w:rsidRDefault="00C91295" w:rsidP="00F1387F">
            <w:pPr>
              <w:spacing w:before="120" w:after="120"/>
              <w:rPr>
                <w:sz w:val="16"/>
                <w:szCs w:val="16"/>
              </w:rPr>
            </w:pPr>
            <w:r w:rsidRPr="00526311">
              <w:rPr>
                <w:sz w:val="16"/>
                <w:szCs w:val="16"/>
              </w:rPr>
              <w:t xml:space="preserve">Guía – Modelos de infraestructura jurídica institucional para la transferencia de conocimientos </w:t>
            </w:r>
          </w:p>
        </w:tc>
        <w:tc>
          <w:tcPr>
            <w:tcW w:w="1134" w:type="dxa"/>
          </w:tcPr>
          <w:p w:rsidR="00C91295" w:rsidRPr="00526311" w:rsidRDefault="00C91295" w:rsidP="00F1387F">
            <w:pPr>
              <w:spacing w:before="120" w:after="120"/>
              <w:rPr>
                <w:sz w:val="16"/>
                <w:szCs w:val="16"/>
              </w:rPr>
            </w:pPr>
            <w:r w:rsidRPr="00526311">
              <w:rPr>
                <w:sz w:val="16"/>
                <w:szCs w:val="16"/>
              </w:rPr>
              <w:t>A lo largo del año</w:t>
            </w:r>
          </w:p>
        </w:tc>
        <w:tc>
          <w:tcPr>
            <w:tcW w:w="1559" w:type="dxa"/>
            <w:gridSpan w:val="2"/>
          </w:tcPr>
          <w:p w:rsidR="00C91295" w:rsidRPr="00526311" w:rsidRDefault="00C91295" w:rsidP="00F1387F">
            <w:pPr>
              <w:autoSpaceDE w:val="0"/>
              <w:autoSpaceDN w:val="0"/>
              <w:adjustRightInd w:val="0"/>
              <w:spacing w:before="120" w:after="120"/>
              <w:rPr>
                <w:sz w:val="16"/>
                <w:szCs w:val="16"/>
              </w:rPr>
            </w:pPr>
            <w:r w:rsidRPr="00526311">
              <w:rPr>
                <w:rFonts w:eastAsia="Calibri"/>
                <w:sz w:val="16"/>
                <w:szCs w:val="16"/>
              </w:rPr>
              <w:t>PMA y países en desarrollo, especialmente en la región de Asia</w:t>
            </w:r>
          </w:p>
        </w:tc>
        <w:tc>
          <w:tcPr>
            <w:tcW w:w="4820" w:type="dxa"/>
            <w:gridSpan w:val="4"/>
          </w:tcPr>
          <w:p w:rsidR="00C91295" w:rsidRPr="00526311" w:rsidRDefault="00C91295" w:rsidP="00F1387F">
            <w:pPr>
              <w:spacing w:before="120" w:after="120"/>
              <w:rPr>
                <w:rFonts w:eastAsia="Calibri"/>
                <w:sz w:val="16"/>
                <w:szCs w:val="16"/>
              </w:rPr>
            </w:pPr>
            <w:r w:rsidRPr="00526311">
              <w:rPr>
                <w:rFonts w:eastAsia="Calibri"/>
                <w:sz w:val="16"/>
                <w:szCs w:val="16"/>
              </w:rPr>
              <w:t>Preparar una guía de formación completa en el ámbito de la política institucional de derechos de P.I. con modelos de contratos de transferencia de tecnología que sirvan para que los profesionales de la gestión de la tecnología de los PMA y los países en desarrollo, especialmente en la región de Asia, desarrollen sus infraestructuras y marcos jurídicos para la transferencia eficaz de conocimientos.</w:t>
            </w:r>
          </w:p>
        </w:tc>
      </w:tr>
      <w:tr w:rsidR="00C91295" w:rsidRPr="00526311" w:rsidTr="00F1387F">
        <w:trPr>
          <w:cantSplit/>
          <w:trHeight w:val="315"/>
        </w:trPr>
        <w:tc>
          <w:tcPr>
            <w:tcW w:w="1843" w:type="dxa"/>
          </w:tcPr>
          <w:p w:rsidR="00C91295" w:rsidRPr="00526311" w:rsidRDefault="00C91295" w:rsidP="00F1387F">
            <w:pPr>
              <w:spacing w:before="120" w:after="120"/>
              <w:rPr>
                <w:sz w:val="16"/>
                <w:szCs w:val="16"/>
              </w:rPr>
            </w:pPr>
            <w:r w:rsidRPr="00526311">
              <w:rPr>
                <w:sz w:val="16"/>
                <w:szCs w:val="16"/>
              </w:rPr>
              <w:t xml:space="preserve">Traducción al vietnamita del Manual de la OMPI de redacción de solicitudes de patente </w:t>
            </w:r>
          </w:p>
        </w:tc>
        <w:tc>
          <w:tcPr>
            <w:tcW w:w="1134" w:type="dxa"/>
          </w:tcPr>
          <w:p w:rsidR="00C91295" w:rsidRPr="00526311" w:rsidRDefault="00C91295" w:rsidP="00F1387F">
            <w:pPr>
              <w:spacing w:before="120" w:after="120"/>
              <w:rPr>
                <w:sz w:val="16"/>
                <w:szCs w:val="16"/>
              </w:rPr>
            </w:pPr>
            <w:r w:rsidRPr="00526311">
              <w:rPr>
                <w:sz w:val="16"/>
                <w:szCs w:val="16"/>
              </w:rPr>
              <w:t>Junio de 2014</w:t>
            </w:r>
          </w:p>
        </w:tc>
        <w:tc>
          <w:tcPr>
            <w:tcW w:w="1559" w:type="dxa"/>
            <w:gridSpan w:val="2"/>
          </w:tcPr>
          <w:p w:rsidR="00C91295" w:rsidRPr="00526311" w:rsidRDefault="00C91295" w:rsidP="00F1387F">
            <w:pPr>
              <w:autoSpaceDE w:val="0"/>
              <w:autoSpaceDN w:val="0"/>
              <w:adjustRightInd w:val="0"/>
              <w:spacing w:before="120" w:after="120"/>
              <w:rPr>
                <w:sz w:val="16"/>
                <w:szCs w:val="16"/>
              </w:rPr>
            </w:pPr>
            <w:r w:rsidRPr="00526311">
              <w:rPr>
                <w:sz w:val="16"/>
                <w:szCs w:val="16"/>
              </w:rPr>
              <w:t>Viet Nam</w:t>
            </w:r>
          </w:p>
        </w:tc>
        <w:tc>
          <w:tcPr>
            <w:tcW w:w="4820" w:type="dxa"/>
            <w:gridSpan w:val="4"/>
          </w:tcPr>
          <w:p w:rsidR="00C91295" w:rsidRPr="00526311" w:rsidRDefault="00C91295" w:rsidP="00F1387F">
            <w:pPr>
              <w:spacing w:before="120" w:after="120"/>
              <w:rPr>
                <w:sz w:val="16"/>
                <w:szCs w:val="16"/>
              </w:rPr>
            </w:pPr>
            <w:r w:rsidRPr="00526311">
              <w:rPr>
                <w:sz w:val="16"/>
                <w:szCs w:val="16"/>
              </w:rPr>
              <w:t>El Manual de la OMPI de redacción de solicitudes de patente se publicó en vietnamita para poder: i) seguir difundiendo los conocimientos en el idioma nacional por medio de cursos de formación de formadores y ii) lograr una incidencia más duradera de los programas de fortalecimiento de capacidades de la OMPI y del Fondo fiduciario de Australia en el ámbito de la estrategia de patentes y la redacción de solicitudes de patente.</w:t>
            </w:r>
          </w:p>
        </w:tc>
      </w:tr>
    </w:tbl>
    <w:p w:rsidR="00C91295" w:rsidRPr="00526311" w:rsidRDefault="00C91295" w:rsidP="00F1387F">
      <w:pPr>
        <w:tabs>
          <w:tab w:val="left" w:pos="0"/>
          <w:tab w:val="left" w:pos="9071"/>
        </w:tabs>
        <w:rPr>
          <w:b/>
          <w:sz w:val="18"/>
          <w:szCs w:val="18"/>
        </w:rPr>
      </w:pPr>
    </w:p>
    <w:p w:rsidR="00C91295" w:rsidRPr="00526311" w:rsidRDefault="00C91295" w:rsidP="00F1387F">
      <w:pPr>
        <w:tabs>
          <w:tab w:val="left" w:pos="0"/>
          <w:tab w:val="left" w:pos="9071"/>
        </w:tabs>
        <w:rPr>
          <w:b/>
          <w:sz w:val="18"/>
          <w:szCs w:val="18"/>
        </w:rPr>
      </w:pPr>
    </w:p>
    <w:p w:rsidR="00C91295" w:rsidRPr="007D4926" w:rsidRDefault="00C91295" w:rsidP="00F1387F">
      <w:pPr>
        <w:tabs>
          <w:tab w:val="left" w:pos="0"/>
          <w:tab w:val="left" w:pos="9071"/>
        </w:tabs>
        <w:rPr>
          <w:b/>
          <w:sz w:val="20"/>
        </w:rPr>
      </w:pPr>
      <w:r w:rsidRPr="007D4926">
        <w:rPr>
          <w:b/>
          <w:sz w:val="20"/>
        </w:rPr>
        <w:t>AUSTRALIA – Contribuciones de donantes y gastos de 2014</w:t>
      </w:r>
    </w:p>
    <w:p w:rsidR="00C91295" w:rsidRPr="00526311" w:rsidRDefault="00C91295" w:rsidP="00F1387F">
      <w:pPr>
        <w:tabs>
          <w:tab w:val="left" w:pos="0"/>
          <w:tab w:val="left" w:pos="9071"/>
        </w:tabs>
        <w:rPr>
          <w:b/>
          <w:sz w:val="18"/>
          <w:szCs w:val="18"/>
        </w:rPr>
      </w:pPr>
    </w:p>
    <w:tbl>
      <w:tblPr>
        <w:tblW w:w="9087" w:type="dxa"/>
        <w:jc w:val="center"/>
        <w:tblInd w:w="93" w:type="dxa"/>
        <w:tblLook w:val="04A0" w:firstRow="1" w:lastRow="0" w:firstColumn="1" w:lastColumn="0" w:noHBand="0" w:noVBand="1"/>
      </w:tblPr>
      <w:tblGrid>
        <w:gridCol w:w="1920"/>
        <w:gridCol w:w="1600"/>
        <w:gridCol w:w="2000"/>
        <w:gridCol w:w="1860"/>
        <w:gridCol w:w="1707"/>
      </w:tblGrid>
      <w:tr w:rsidR="00C91295" w:rsidRPr="00526311" w:rsidTr="00F1387F">
        <w:trPr>
          <w:trHeight w:val="578"/>
          <w:jc w:val="center"/>
        </w:trPr>
        <w:tc>
          <w:tcPr>
            <w:tcW w:w="192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2013</w:t>
            </w:r>
          </w:p>
        </w:tc>
        <w:tc>
          <w:tcPr>
            <w:tcW w:w="1600"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Ingresos en 2014</w:t>
            </w:r>
          </w:p>
        </w:tc>
        <w:tc>
          <w:tcPr>
            <w:tcW w:w="2000"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Gastos en 2014</w:t>
            </w:r>
          </w:p>
        </w:tc>
        <w:tc>
          <w:tcPr>
            <w:tcW w:w="1860"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Reembolsos</w:t>
            </w:r>
          </w:p>
        </w:tc>
        <w:tc>
          <w:tcPr>
            <w:tcW w:w="1707"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2014</w:t>
            </w:r>
          </w:p>
        </w:tc>
      </w:tr>
      <w:tr w:rsidR="00C91295" w:rsidRPr="00526311" w:rsidTr="00F1387F">
        <w:trPr>
          <w:trHeight w:val="416"/>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1.133.310</w:t>
            </w:r>
          </w:p>
        </w:tc>
        <w:tc>
          <w:tcPr>
            <w:tcW w:w="1600"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(189)</w:t>
            </w:r>
          </w:p>
        </w:tc>
        <w:tc>
          <w:tcPr>
            <w:tcW w:w="2000"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639.747</w:t>
            </w:r>
          </w:p>
        </w:tc>
        <w:tc>
          <w:tcPr>
            <w:tcW w:w="186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rPr>
                <w:sz w:val="20"/>
              </w:rPr>
            </w:pPr>
            <w:r w:rsidRPr="00526311">
              <w:rPr>
                <w:sz w:val="20"/>
              </w:rPr>
              <w:t>-</w:t>
            </w:r>
          </w:p>
        </w:tc>
        <w:tc>
          <w:tcPr>
            <w:tcW w:w="1707"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493.374</w:t>
            </w:r>
          </w:p>
        </w:tc>
      </w:tr>
    </w:tbl>
    <w:p w:rsidR="00C91295" w:rsidRPr="00526311" w:rsidRDefault="00C91295" w:rsidP="00F1387F">
      <w:pPr>
        <w:tabs>
          <w:tab w:val="left" w:pos="0"/>
          <w:tab w:val="left" w:pos="9071"/>
        </w:tabs>
        <w:rPr>
          <w:b/>
          <w:sz w:val="18"/>
          <w:szCs w:val="18"/>
        </w:rPr>
      </w:pPr>
    </w:p>
    <w:p w:rsidR="00C91295" w:rsidRPr="00526311" w:rsidRDefault="00C91295" w:rsidP="00F1387F">
      <w:pPr>
        <w:rPr>
          <w:b/>
          <w:sz w:val="20"/>
        </w:rPr>
      </w:pPr>
    </w:p>
    <w:p w:rsidR="00C91295" w:rsidRPr="00526311" w:rsidRDefault="00C91295" w:rsidP="00F1387F">
      <w:pPr>
        <w:rPr>
          <w:b/>
          <w:sz w:val="20"/>
        </w:rPr>
      </w:pPr>
      <w:r w:rsidRPr="00526311">
        <w:rPr>
          <w:b/>
          <w:sz w:val="20"/>
        </w:rPr>
        <w:t>BRASIL</w:t>
      </w:r>
    </w:p>
    <w:p w:rsidR="00C91295" w:rsidRPr="00526311" w:rsidRDefault="00C91295" w:rsidP="00F1387F">
      <w:pPr>
        <w:rPr>
          <w:b/>
          <w:sz w:val="20"/>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276"/>
        <w:gridCol w:w="1559"/>
        <w:gridCol w:w="4394"/>
      </w:tblGrid>
      <w:tr w:rsidR="00C91295" w:rsidRPr="00526311" w:rsidTr="00F1387F">
        <w:trPr>
          <w:cantSplit/>
          <w:trHeight w:val="315"/>
        </w:trPr>
        <w:tc>
          <w:tcPr>
            <w:tcW w:w="9072" w:type="dxa"/>
            <w:gridSpan w:val="4"/>
            <w:tcBorders>
              <w:top w:val="single" w:sz="4" w:space="0" w:color="000000"/>
              <w:bottom w:val="single" w:sz="4" w:space="0" w:color="000000"/>
            </w:tcBorders>
            <w:shd w:val="clear" w:color="auto" w:fill="CCFFFF"/>
          </w:tcPr>
          <w:p w:rsidR="00C91295" w:rsidRPr="00526311" w:rsidRDefault="00C91295" w:rsidP="00F1387F">
            <w:pPr>
              <w:keepNext/>
              <w:keepLines/>
              <w:tabs>
                <w:tab w:val="left" w:pos="1740"/>
              </w:tabs>
              <w:spacing w:before="120" w:after="120"/>
              <w:ind w:left="1740" w:hanging="1740"/>
              <w:rPr>
                <w:sz w:val="16"/>
                <w:szCs w:val="16"/>
              </w:rPr>
            </w:pPr>
            <w:r w:rsidRPr="00526311">
              <w:rPr>
                <w:b/>
                <w:bCs/>
                <w:sz w:val="16"/>
                <w:szCs w:val="16"/>
              </w:rPr>
              <w:t>RESULTADO</w:t>
            </w:r>
            <w:r w:rsidRPr="00526311">
              <w:rPr>
                <w:bCs/>
                <w:sz w:val="16"/>
                <w:szCs w:val="16"/>
              </w:rPr>
              <w:t>:</w:t>
            </w:r>
            <w:r w:rsidRPr="00526311">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rPr>
          <w:cantSplit/>
          <w:trHeight w:val="402"/>
        </w:trPr>
        <w:tc>
          <w:tcPr>
            <w:tcW w:w="1843" w:type="dxa"/>
            <w:tcBorders>
              <w:top w:val="single" w:sz="4" w:space="0" w:color="000000"/>
            </w:tcBorders>
            <w:vAlign w:val="center"/>
          </w:tcPr>
          <w:p w:rsidR="00C91295" w:rsidRPr="00526311" w:rsidRDefault="00C91295" w:rsidP="00F1387F">
            <w:pPr>
              <w:keepNext/>
              <w:keepLines/>
              <w:spacing w:before="120" w:after="120"/>
              <w:rPr>
                <w:b/>
                <w:bCs/>
                <w:sz w:val="16"/>
                <w:szCs w:val="16"/>
              </w:rPr>
            </w:pPr>
            <w:r w:rsidRPr="00526311">
              <w:rPr>
                <w:b/>
                <w:bCs/>
                <w:sz w:val="16"/>
                <w:szCs w:val="16"/>
              </w:rPr>
              <w:t>Actividad</w:t>
            </w:r>
          </w:p>
        </w:tc>
        <w:tc>
          <w:tcPr>
            <w:tcW w:w="1276" w:type="dxa"/>
            <w:tcBorders>
              <w:top w:val="single" w:sz="4" w:space="0" w:color="000000"/>
            </w:tcBorders>
            <w:vAlign w:val="center"/>
          </w:tcPr>
          <w:p w:rsidR="00C91295" w:rsidRPr="00526311" w:rsidRDefault="00C91295" w:rsidP="00F1387F">
            <w:pPr>
              <w:keepNext/>
              <w:keepLines/>
              <w:spacing w:before="120" w:after="120"/>
              <w:rPr>
                <w:sz w:val="16"/>
                <w:szCs w:val="16"/>
              </w:rPr>
            </w:pPr>
            <w:r w:rsidRPr="00526311">
              <w:rPr>
                <w:b/>
                <w:sz w:val="16"/>
                <w:szCs w:val="16"/>
              </w:rPr>
              <w:t>Fecha</w:t>
            </w:r>
          </w:p>
        </w:tc>
        <w:tc>
          <w:tcPr>
            <w:tcW w:w="1559" w:type="dxa"/>
            <w:tcBorders>
              <w:top w:val="single" w:sz="4" w:space="0" w:color="000000"/>
            </w:tcBorders>
            <w:vAlign w:val="center"/>
          </w:tcPr>
          <w:p w:rsidR="00C91295" w:rsidRPr="00526311" w:rsidRDefault="00C91295" w:rsidP="00F1387F">
            <w:pPr>
              <w:keepNext/>
              <w:keepLines/>
              <w:spacing w:before="120" w:after="120"/>
              <w:rPr>
                <w:sz w:val="16"/>
                <w:szCs w:val="16"/>
              </w:rPr>
            </w:pPr>
            <w:r w:rsidRPr="00526311">
              <w:rPr>
                <w:b/>
                <w:sz w:val="16"/>
                <w:szCs w:val="16"/>
              </w:rPr>
              <w:t>País anfitrión / Beneficiarios</w:t>
            </w:r>
          </w:p>
        </w:tc>
        <w:tc>
          <w:tcPr>
            <w:tcW w:w="4394" w:type="dxa"/>
            <w:tcBorders>
              <w:top w:val="single" w:sz="4" w:space="0" w:color="000000"/>
            </w:tcBorders>
            <w:vAlign w:val="center"/>
          </w:tcPr>
          <w:p w:rsidR="00C91295" w:rsidRPr="00526311" w:rsidRDefault="00C91295" w:rsidP="00F1387F">
            <w:pPr>
              <w:keepNext/>
              <w:keepLines/>
              <w:spacing w:before="120" w:after="120"/>
              <w:rPr>
                <w:sz w:val="16"/>
                <w:szCs w:val="16"/>
              </w:rPr>
            </w:pPr>
            <w:r w:rsidRPr="00526311">
              <w:rPr>
                <w:b/>
                <w:sz w:val="16"/>
                <w:szCs w:val="16"/>
              </w:rPr>
              <w:t>Propósito(s)/Descripción</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Conferencia internacional sobre la propiedad intelectual y la innovación en el sector de la información y la comunicación</w:t>
            </w:r>
          </w:p>
        </w:tc>
        <w:tc>
          <w:tcPr>
            <w:tcW w:w="1276" w:type="dxa"/>
          </w:tcPr>
          <w:p w:rsidR="00C91295" w:rsidRPr="00526311" w:rsidRDefault="00C91295" w:rsidP="00F1387F">
            <w:pPr>
              <w:autoSpaceDE w:val="0"/>
              <w:autoSpaceDN w:val="0"/>
              <w:adjustRightInd w:val="0"/>
              <w:spacing w:before="120" w:after="120"/>
              <w:rPr>
                <w:sz w:val="16"/>
                <w:szCs w:val="16"/>
              </w:rPr>
            </w:pPr>
            <w:r w:rsidRPr="00526311">
              <w:rPr>
                <w:sz w:val="16"/>
                <w:szCs w:val="16"/>
              </w:rPr>
              <w:t>19 y 20 de marzo de 2014</w:t>
            </w:r>
          </w:p>
          <w:p w:rsidR="00C91295" w:rsidRPr="00526311" w:rsidRDefault="00C91295" w:rsidP="00F1387F">
            <w:pPr>
              <w:autoSpaceDE w:val="0"/>
              <w:autoSpaceDN w:val="0"/>
              <w:adjustRightInd w:val="0"/>
              <w:spacing w:before="120" w:after="120"/>
              <w:rPr>
                <w:sz w:val="16"/>
                <w:szCs w:val="16"/>
              </w:rPr>
            </w:pPr>
          </w:p>
        </w:tc>
        <w:tc>
          <w:tcPr>
            <w:tcW w:w="1559" w:type="dxa"/>
          </w:tcPr>
          <w:p w:rsidR="00C91295" w:rsidRPr="00526311" w:rsidRDefault="00C91295" w:rsidP="00F1387F">
            <w:pPr>
              <w:autoSpaceDE w:val="0"/>
              <w:autoSpaceDN w:val="0"/>
              <w:adjustRightInd w:val="0"/>
              <w:spacing w:before="120" w:after="120"/>
              <w:rPr>
                <w:sz w:val="16"/>
                <w:szCs w:val="16"/>
              </w:rPr>
            </w:pPr>
            <w:r w:rsidRPr="00526311">
              <w:rPr>
                <w:sz w:val="16"/>
                <w:szCs w:val="16"/>
              </w:rPr>
              <w:t>Brasil</w:t>
            </w:r>
          </w:p>
          <w:p w:rsidR="00C91295" w:rsidRPr="00526311" w:rsidRDefault="00C91295" w:rsidP="00F1387F">
            <w:pPr>
              <w:autoSpaceDE w:val="0"/>
              <w:autoSpaceDN w:val="0"/>
              <w:adjustRightInd w:val="0"/>
              <w:spacing w:before="120" w:after="120"/>
              <w:rPr>
                <w:sz w:val="16"/>
                <w:szCs w:val="16"/>
              </w:rPr>
            </w:pPr>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Examinar la importancia de la protección de la P.I. para la competitividad de las empresas del sector de las TIC.  Los debates se centraron en el análisis económico, las iniciativas de política y las mejores prácticas empresariales.</w:t>
            </w:r>
          </w:p>
          <w:p w:rsidR="00C91295" w:rsidRPr="00526311" w:rsidRDefault="00C91295" w:rsidP="00F1387F">
            <w:pPr>
              <w:autoSpaceDE w:val="0"/>
              <w:autoSpaceDN w:val="0"/>
              <w:adjustRightInd w:val="0"/>
              <w:spacing w:before="120" w:after="120"/>
              <w:rPr>
                <w:sz w:val="16"/>
                <w:szCs w:val="16"/>
              </w:rPr>
            </w:pP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Programa de la OMPI de negociación eficaz de licencias de tecnología para el sector de la biotecnología</w:t>
            </w:r>
          </w:p>
          <w:p w:rsidR="00C91295" w:rsidRPr="00526311" w:rsidRDefault="00C91295" w:rsidP="00F1387F">
            <w:pPr>
              <w:autoSpaceDE w:val="0"/>
              <w:autoSpaceDN w:val="0"/>
              <w:adjustRightInd w:val="0"/>
              <w:spacing w:before="120" w:after="120"/>
              <w:rPr>
                <w:sz w:val="16"/>
                <w:szCs w:val="16"/>
              </w:rPr>
            </w:pPr>
          </w:p>
        </w:tc>
        <w:tc>
          <w:tcPr>
            <w:tcW w:w="1276" w:type="dxa"/>
          </w:tcPr>
          <w:p w:rsidR="00C91295" w:rsidRPr="00526311" w:rsidRDefault="00C91295" w:rsidP="00F1387F">
            <w:pPr>
              <w:autoSpaceDE w:val="0"/>
              <w:autoSpaceDN w:val="0"/>
              <w:adjustRightInd w:val="0"/>
              <w:spacing w:before="120" w:after="120"/>
              <w:rPr>
                <w:sz w:val="16"/>
                <w:szCs w:val="16"/>
              </w:rPr>
            </w:pPr>
            <w:r w:rsidRPr="00526311">
              <w:rPr>
                <w:sz w:val="16"/>
                <w:szCs w:val="16"/>
              </w:rPr>
              <w:t>31 de marzo a 4 de abril de 2014</w:t>
            </w:r>
          </w:p>
          <w:p w:rsidR="00C91295" w:rsidRPr="00526311" w:rsidRDefault="00C91295" w:rsidP="00F1387F">
            <w:pPr>
              <w:autoSpaceDE w:val="0"/>
              <w:autoSpaceDN w:val="0"/>
              <w:adjustRightInd w:val="0"/>
              <w:spacing w:before="120" w:after="120"/>
              <w:rPr>
                <w:sz w:val="16"/>
                <w:szCs w:val="16"/>
              </w:rPr>
            </w:pPr>
          </w:p>
        </w:tc>
        <w:tc>
          <w:tcPr>
            <w:tcW w:w="1559" w:type="dxa"/>
          </w:tcPr>
          <w:p w:rsidR="00C91295" w:rsidRPr="00526311" w:rsidRDefault="00C91295" w:rsidP="00F1387F">
            <w:pPr>
              <w:autoSpaceDE w:val="0"/>
              <w:autoSpaceDN w:val="0"/>
              <w:adjustRightInd w:val="0"/>
              <w:spacing w:before="120" w:after="120"/>
              <w:rPr>
                <w:sz w:val="16"/>
                <w:szCs w:val="16"/>
              </w:rPr>
            </w:pPr>
            <w:r w:rsidRPr="00526311">
              <w:rPr>
                <w:sz w:val="16"/>
                <w:szCs w:val="16"/>
              </w:rPr>
              <w:t>Brasil</w:t>
            </w:r>
          </w:p>
          <w:p w:rsidR="00C91295" w:rsidRPr="00526311" w:rsidRDefault="00C91295" w:rsidP="00F1387F">
            <w:pPr>
              <w:autoSpaceDE w:val="0"/>
              <w:autoSpaceDN w:val="0"/>
              <w:adjustRightInd w:val="0"/>
              <w:spacing w:before="120" w:after="120"/>
              <w:rPr>
                <w:sz w:val="16"/>
                <w:szCs w:val="16"/>
              </w:rPr>
            </w:pPr>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Fomentar las capacidades de negociación y transferencia de tecnología mediante el establecimiento de acuerdos de licencia.</w:t>
            </w:r>
          </w:p>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El programa se dedicó al sector de la biotecnología y estuvo organizado por la OMPI en cooperación con el Instituto Nacional de Propiedad Industrial (INPI) y la Red de Oficinas de Transferencia de Tecnología de la Región Nordeste del Brasil.  </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Conferencia sobre el uso estratégico de la propiedad intelectual por la industria deportiva</w:t>
            </w:r>
          </w:p>
        </w:tc>
        <w:tc>
          <w:tcPr>
            <w:tcW w:w="1276" w:type="dxa"/>
          </w:tcPr>
          <w:p w:rsidR="00C91295" w:rsidRPr="00526311" w:rsidRDefault="00C91295" w:rsidP="00F1387F">
            <w:pPr>
              <w:autoSpaceDE w:val="0"/>
              <w:autoSpaceDN w:val="0"/>
              <w:adjustRightInd w:val="0"/>
              <w:spacing w:before="120" w:after="120"/>
              <w:rPr>
                <w:sz w:val="16"/>
                <w:szCs w:val="16"/>
              </w:rPr>
            </w:pPr>
            <w:r w:rsidRPr="00526311">
              <w:rPr>
                <w:sz w:val="16"/>
                <w:szCs w:val="16"/>
              </w:rPr>
              <w:t>6 de mayo de 2014</w:t>
            </w:r>
          </w:p>
          <w:p w:rsidR="00C91295" w:rsidRPr="00526311" w:rsidRDefault="00C91295" w:rsidP="00F1387F">
            <w:pPr>
              <w:autoSpaceDE w:val="0"/>
              <w:autoSpaceDN w:val="0"/>
              <w:adjustRightInd w:val="0"/>
              <w:spacing w:before="120" w:after="120"/>
              <w:rPr>
                <w:sz w:val="16"/>
                <w:szCs w:val="16"/>
              </w:rPr>
            </w:pPr>
          </w:p>
        </w:tc>
        <w:tc>
          <w:tcPr>
            <w:tcW w:w="1559" w:type="dxa"/>
          </w:tcPr>
          <w:p w:rsidR="00C91295" w:rsidRPr="00526311" w:rsidRDefault="00C91295" w:rsidP="00F1387F">
            <w:pPr>
              <w:autoSpaceDE w:val="0"/>
              <w:autoSpaceDN w:val="0"/>
              <w:adjustRightInd w:val="0"/>
              <w:spacing w:before="120" w:after="120"/>
              <w:rPr>
                <w:sz w:val="16"/>
                <w:szCs w:val="16"/>
              </w:rPr>
            </w:pPr>
            <w:r w:rsidRPr="00526311">
              <w:rPr>
                <w:sz w:val="16"/>
                <w:szCs w:val="16"/>
              </w:rPr>
              <w:t>Brasil</w:t>
            </w:r>
          </w:p>
          <w:p w:rsidR="00C91295" w:rsidRPr="00526311" w:rsidRDefault="00C91295" w:rsidP="00F1387F">
            <w:pPr>
              <w:autoSpaceDE w:val="0"/>
              <w:autoSpaceDN w:val="0"/>
              <w:adjustRightInd w:val="0"/>
              <w:spacing w:before="120" w:after="120"/>
              <w:rPr>
                <w:sz w:val="16"/>
                <w:szCs w:val="16"/>
              </w:rPr>
            </w:pPr>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La conferencia se centró en: i) la protección de los activos intangibles presentes en la industria deportiva y ii) la función que pueden desempeñar los grandes acontecimientos deportivos con respecto al desarrollo económico y social.</w:t>
            </w:r>
          </w:p>
        </w:tc>
      </w:tr>
      <w:tr w:rsidR="00F24AC7" w:rsidRPr="00526311" w:rsidTr="001A4F69">
        <w:trPr>
          <w:cantSplit/>
          <w:trHeight w:val="402"/>
        </w:trPr>
        <w:tc>
          <w:tcPr>
            <w:tcW w:w="1843" w:type="dxa"/>
            <w:tcBorders>
              <w:top w:val="single" w:sz="4" w:space="0" w:color="000000"/>
            </w:tcBorders>
            <w:vAlign w:val="center"/>
          </w:tcPr>
          <w:p w:rsidR="00F24AC7" w:rsidRPr="00526311" w:rsidRDefault="00F24AC7" w:rsidP="001A4F69">
            <w:pPr>
              <w:keepNext/>
              <w:keepLines/>
              <w:spacing w:before="120" w:after="120"/>
              <w:rPr>
                <w:b/>
                <w:bCs/>
                <w:sz w:val="16"/>
                <w:szCs w:val="16"/>
              </w:rPr>
            </w:pPr>
            <w:r w:rsidRPr="00526311">
              <w:rPr>
                <w:b/>
                <w:bCs/>
                <w:sz w:val="16"/>
                <w:szCs w:val="16"/>
              </w:rPr>
              <w:lastRenderedPageBreak/>
              <w:t>Actividad</w:t>
            </w:r>
          </w:p>
        </w:tc>
        <w:tc>
          <w:tcPr>
            <w:tcW w:w="1276" w:type="dxa"/>
            <w:tcBorders>
              <w:top w:val="single" w:sz="4" w:space="0" w:color="000000"/>
            </w:tcBorders>
            <w:vAlign w:val="center"/>
          </w:tcPr>
          <w:p w:rsidR="00F24AC7" w:rsidRPr="00526311" w:rsidRDefault="00F24AC7" w:rsidP="001A4F69">
            <w:pPr>
              <w:keepNext/>
              <w:keepLines/>
              <w:spacing w:before="120" w:after="120"/>
              <w:rPr>
                <w:sz w:val="16"/>
                <w:szCs w:val="16"/>
              </w:rPr>
            </w:pPr>
            <w:r w:rsidRPr="00526311">
              <w:rPr>
                <w:b/>
                <w:sz w:val="16"/>
                <w:szCs w:val="16"/>
              </w:rPr>
              <w:t>Fecha</w:t>
            </w:r>
          </w:p>
        </w:tc>
        <w:tc>
          <w:tcPr>
            <w:tcW w:w="1559" w:type="dxa"/>
            <w:tcBorders>
              <w:top w:val="single" w:sz="4" w:space="0" w:color="000000"/>
            </w:tcBorders>
            <w:vAlign w:val="center"/>
          </w:tcPr>
          <w:p w:rsidR="00F24AC7" w:rsidRPr="00526311" w:rsidRDefault="00F24AC7" w:rsidP="001A4F69">
            <w:pPr>
              <w:keepNext/>
              <w:keepLines/>
              <w:spacing w:before="120" w:after="120"/>
              <w:rPr>
                <w:sz w:val="16"/>
                <w:szCs w:val="16"/>
              </w:rPr>
            </w:pPr>
            <w:r w:rsidRPr="00526311">
              <w:rPr>
                <w:b/>
                <w:sz w:val="16"/>
                <w:szCs w:val="16"/>
              </w:rPr>
              <w:t>País anfitrión / Beneficiarios</w:t>
            </w:r>
          </w:p>
        </w:tc>
        <w:tc>
          <w:tcPr>
            <w:tcW w:w="4394" w:type="dxa"/>
            <w:tcBorders>
              <w:top w:val="single" w:sz="4" w:space="0" w:color="000000"/>
            </w:tcBorders>
            <w:vAlign w:val="center"/>
          </w:tcPr>
          <w:p w:rsidR="00F24AC7" w:rsidRPr="00526311" w:rsidRDefault="00F24AC7" w:rsidP="001A4F69">
            <w:pPr>
              <w:keepNext/>
              <w:keepLines/>
              <w:spacing w:before="120" w:after="120"/>
              <w:rPr>
                <w:sz w:val="16"/>
                <w:szCs w:val="16"/>
              </w:rPr>
            </w:pPr>
            <w:r w:rsidRPr="00526311">
              <w:rPr>
                <w:b/>
                <w:sz w:val="16"/>
                <w:szCs w:val="16"/>
              </w:rPr>
              <w:t>Propósito(s)/Descripción</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VIII Reunión anual del Foro Nacional de Gestores de Innovación y Transferencia de Tecnología (FORTEC)</w:t>
            </w:r>
          </w:p>
        </w:tc>
        <w:tc>
          <w:tcPr>
            <w:tcW w:w="1276" w:type="dxa"/>
          </w:tcPr>
          <w:p w:rsidR="00C91295" w:rsidRPr="00526311" w:rsidRDefault="00C91295" w:rsidP="00F1387F">
            <w:pPr>
              <w:autoSpaceDE w:val="0"/>
              <w:autoSpaceDN w:val="0"/>
              <w:adjustRightInd w:val="0"/>
              <w:spacing w:before="120" w:after="120"/>
              <w:rPr>
                <w:sz w:val="16"/>
                <w:szCs w:val="16"/>
              </w:rPr>
            </w:pPr>
            <w:r w:rsidRPr="00526311">
              <w:rPr>
                <w:sz w:val="16"/>
                <w:szCs w:val="16"/>
              </w:rPr>
              <w:t>18 a 21 de mayo de 2014</w:t>
            </w:r>
          </w:p>
          <w:p w:rsidR="00C91295" w:rsidRPr="00526311" w:rsidRDefault="00C91295" w:rsidP="00F1387F">
            <w:pPr>
              <w:autoSpaceDE w:val="0"/>
              <w:autoSpaceDN w:val="0"/>
              <w:adjustRightInd w:val="0"/>
              <w:spacing w:before="120" w:after="120"/>
              <w:rPr>
                <w:sz w:val="16"/>
                <w:szCs w:val="16"/>
              </w:rPr>
            </w:pPr>
          </w:p>
        </w:tc>
        <w:tc>
          <w:tcPr>
            <w:tcW w:w="1559" w:type="dxa"/>
          </w:tcPr>
          <w:p w:rsidR="00C91295" w:rsidRPr="00526311" w:rsidRDefault="00C91295" w:rsidP="00F1387F">
            <w:pPr>
              <w:autoSpaceDE w:val="0"/>
              <w:autoSpaceDN w:val="0"/>
              <w:adjustRightInd w:val="0"/>
              <w:spacing w:before="120" w:after="120"/>
              <w:rPr>
                <w:sz w:val="16"/>
                <w:szCs w:val="16"/>
              </w:rPr>
            </w:pPr>
            <w:r w:rsidRPr="00526311">
              <w:rPr>
                <w:sz w:val="16"/>
                <w:szCs w:val="16"/>
              </w:rPr>
              <w:t>Brasil</w:t>
            </w:r>
          </w:p>
          <w:p w:rsidR="00C91295" w:rsidRPr="00526311" w:rsidRDefault="00C91295" w:rsidP="00F1387F">
            <w:pPr>
              <w:autoSpaceDE w:val="0"/>
              <w:autoSpaceDN w:val="0"/>
              <w:adjustRightInd w:val="0"/>
              <w:spacing w:before="120" w:after="120"/>
              <w:rPr>
                <w:sz w:val="16"/>
                <w:szCs w:val="16"/>
              </w:rPr>
            </w:pPr>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Promover el diálogo acerca de las políticas públicas de innovación y las mejores prácticas de transferencia de tecnología.</w:t>
            </w:r>
          </w:p>
          <w:p w:rsidR="00C91295" w:rsidRPr="00526311" w:rsidRDefault="00C91295" w:rsidP="00F1387F">
            <w:pPr>
              <w:autoSpaceDE w:val="0"/>
              <w:autoSpaceDN w:val="0"/>
              <w:adjustRightInd w:val="0"/>
              <w:spacing w:before="120" w:after="120"/>
              <w:rPr>
                <w:sz w:val="16"/>
                <w:szCs w:val="16"/>
              </w:rPr>
            </w:pPr>
            <w:r w:rsidRPr="00526311">
              <w:rPr>
                <w:sz w:val="16"/>
                <w:szCs w:val="16"/>
              </w:rPr>
              <w:t>La OMPI entregó el Premio de la OMPI al mejor inventor a un equipo de investigación compuesto por cuatro científicos cuya invención se ha comercializado y se ha convertido en una importante innovación en el ámbito de la energía.</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Seminario sobre P.I. y acuerdos de desarrollo de tecnología </w:t>
            </w:r>
          </w:p>
        </w:tc>
        <w:tc>
          <w:tcPr>
            <w:tcW w:w="1276" w:type="dxa"/>
          </w:tcPr>
          <w:p w:rsidR="00C91295" w:rsidRPr="00526311" w:rsidRDefault="00C91295" w:rsidP="00F1387F">
            <w:pPr>
              <w:autoSpaceDE w:val="0"/>
              <w:autoSpaceDN w:val="0"/>
              <w:adjustRightInd w:val="0"/>
              <w:spacing w:before="120" w:after="120"/>
              <w:rPr>
                <w:sz w:val="16"/>
                <w:szCs w:val="16"/>
              </w:rPr>
            </w:pPr>
            <w:r w:rsidRPr="00526311">
              <w:rPr>
                <w:sz w:val="16"/>
                <w:szCs w:val="16"/>
              </w:rPr>
              <w:t>23 de mayo de 2014</w:t>
            </w:r>
          </w:p>
        </w:tc>
        <w:tc>
          <w:tcPr>
            <w:tcW w:w="1559" w:type="dxa"/>
          </w:tcPr>
          <w:p w:rsidR="00C91295" w:rsidRPr="00526311" w:rsidRDefault="00C91295" w:rsidP="00F1387F">
            <w:pPr>
              <w:autoSpaceDE w:val="0"/>
              <w:autoSpaceDN w:val="0"/>
              <w:adjustRightInd w:val="0"/>
              <w:spacing w:before="120" w:after="120"/>
              <w:rPr>
                <w:sz w:val="16"/>
                <w:szCs w:val="16"/>
              </w:rPr>
            </w:pPr>
            <w:r w:rsidRPr="00526311">
              <w:rPr>
                <w:sz w:val="16"/>
                <w:szCs w:val="16"/>
              </w:rPr>
              <w:t>Brasil</w:t>
            </w:r>
          </w:p>
          <w:p w:rsidR="00C91295" w:rsidRPr="00526311" w:rsidRDefault="00C91295" w:rsidP="00F1387F">
            <w:pPr>
              <w:autoSpaceDE w:val="0"/>
              <w:autoSpaceDN w:val="0"/>
              <w:adjustRightInd w:val="0"/>
              <w:spacing w:before="120" w:after="120"/>
              <w:rPr>
                <w:sz w:val="16"/>
                <w:szCs w:val="16"/>
              </w:rPr>
            </w:pPr>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Formar a profesionales en el ámbito de la gestión de la tecnología haciendo hincapié en las asociaciones estratégicas y las plataformas tecnológicas.</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Programa de formación en redacción de solicitudes de patente</w:t>
            </w:r>
          </w:p>
        </w:tc>
        <w:tc>
          <w:tcPr>
            <w:tcW w:w="1276" w:type="dxa"/>
          </w:tcPr>
          <w:p w:rsidR="00C91295" w:rsidRPr="00526311" w:rsidRDefault="00C91295" w:rsidP="00F1387F">
            <w:pPr>
              <w:autoSpaceDE w:val="0"/>
              <w:autoSpaceDN w:val="0"/>
              <w:adjustRightInd w:val="0"/>
              <w:spacing w:before="120" w:after="120"/>
              <w:rPr>
                <w:sz w:val="16"/>
                <w:szCs w:val="16"/>
              </w:rPr>
            </w:pPr>
            <w:r w:rsidRPr="00526311">
              <w:rPr>
                <w:sz w:val="16"/>
                <w:szCs w:val="16"/>
              </w:rPr>
              <w:t>18 a 22 de agosto de 2014</w:t>
            </w:r>
          </w:p>
        </w:tc>
        <w:tc>
          <w:tcPr>
            <w:tcW w:w="1559" w:type="dxa"/>
          </w:tcPr>
          <w:p w:rsidR="00C91295" w:rsidRPr="00526311" w:rsidRDefault="00C91295" w:rsidP="00F1387F">
            <w:pPr>
              <w:autoSpaceDE w:val="0"/>
              <w:autoSpaceDN w:val="0"/>
              <w:adjustRightInd w:val="0"/>
              <w:spacing w:before="120" w:after="120"/>
              <w:rPr>
                <w:sz w:val="16"/>
                <w:szCs w:val="16"/>
              </w:rPr>
            </w:pPr>
            <w:r w:rsidRPr="00526311">
              <w:rPr>
                <w:sz w:val="16"/>
                <w:szCs w:val="16"/>
              </w:rPr>
              <w:t>Brasil</w:t>
            </w:r>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i) Formar a nuevos profesionales en la protección y comercialización de la tecnología y ii) fortalecer las oficinas de transferencia de tecnología de las universidades, institutos de investigación y empresas. </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Taller de la OMPI sobre interpretación de documentos de patente</w:t>
            </w:r>
          </w:p>
        </w:tc>
        <w:tc>
          <w:tcPr>
            <w:tcW w:w="1276" w:type="dxa"/>
          </w:tcPr>
          <w:p w:rsidR="00C91295" w:rsidRPr="00526311" w:rsidRDefault="00C91295" w:rsidP="00F1387F">
            <w:pPr>
              <w:autoSpaceDE w:val="0"/>
              <w:autoSpaceDN w:val="0"/>
              <w:adjustRightInd w:val="0"/>
              <w:spacing w:before="120" w:after="120"/>
              <w:rPr>
                <w:sz w:val="16"/>
                <w:szCs w:val="16"/>
              </w:rPr>
            </w:pPr>
            <w:r w:rsidRPr="00526311">
              <w:rPr>
                <w:sz w:val="16"/>
                <w:szCs w:val="16"/>
              </w:rPr>
              <w:t>27 a 29 de agosto de 2014</w:t>
            </w:r>
          </w:p>
        </w:tc>
        <w:tc>
          <w:tcPr>
            <w:tcW w:w="1559" w:type="dxa"/>
          </w:tcPr>
          <w:p w:rsidR="00C91295" w:rsidRPr="00526311" w:rsidRDefault="00C91295" w:rsidP="00F1387F">
            <w:pPr>
              <w:autoSpaceDE w:val="0"/>
              <w:autoSpaceDN w:val="0"/>
              <w:adjustRightInd w:val="0"/>
              <w:spacing w:before="120" w:after="120"/>
              <w:rPr>
                <w:sz w:val="16"/>
                <w:szCs w:val="16"/>
              </w:rPr>
            </w:pPr>
            <w:r w:rsidRPr="00526311">
              <w:rPr>
                <w:sz w:val="16"/>
                <w:szCs w:val="16"/>
              </w:rPr>
              <w:t>Brasil</w:t>
            </w:r>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Organizado en cooperación con la Escuela de Magistratura Federal Regional para examinar con miembros de la magistratura el análisis de patentes y las implicaciones que tiene en las causas judiciales.</w:t>
            </w:r>
          </w:p>
        </w:tc>
      </w:tr>
      <w:tr w:rsidR="00C91295" w:rsidRPr="00526311" w:rsidTr="00F1387F">
        <w:trPr>
          <w:cantSplit/>
          <w:trHeight w:val="315"/>
        </w:trPr>
        <w:tc>
          <w:tcPr>
            <w:tcW w:w="1843" w:type="dxa"/>
            <w:tcBorders>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VII encuentro académico del ENAPID sobre propiedad intelectual, innovación y desarrollo</w:t>
            </w:r>
          </w:p>
        </w:tc>
        <w:tc>
          <w:tcPr>
            <w:tcW w:w="1276" w:type="dxa"/>
            <w:tcBorders>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10 a 12 de septiembre de 2014</w:t>
            </w:r>
          </w:p>
        </w:tc>
        <w:tc>
          <w:tcPr>
            <w:tcW w:w="1559" w:type="dxa"/>
            <w:tcBorders>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Brasil</w:t>
            </w:r>
          </w:p>
        </w:tc>
        <w:tc>
          <w:tcPr>
            <w:tcW w:w="4394" w:type="dxa"/>
            <w:tcBorders>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Exponer los resultados de las investigaciones en el ámbito de la P.I. y la innovación desarrollada por grupos académicos.</w:t>
            </w:r>
          </w:p>
        </w:tc>
      </w:tr>
      <w:tr w:rsidR="00C91295" w:rsidRPr="00526311" w:rsidTr="00F24AC7">
        <w:trPr>
          <w:cantSplit/>
          <w:trHeight w:val="315"/>
        </w:trPr>
        <w:tc>
          <w:tcPr>
            <w:tcW w:w="1843"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Taller sobre acuerdos de desarrollo de tecnología</w:t>
            </w:r>
          </w:p>
          <w:p w:rsidR="00C91295" w:rsidRPr="00526311" w:rsidRDefault="00C91295" w:rsidP="00F1387F">
            <w:pPr>
              <w:rPr>
                <w:sz w:val="16"/>
                <w:szCs w:val="16"/>
              </w:rPr>
            </w:pPr>
          </w:p>
        </w:tc>
        <w:tc>
          <w:tcPr>
            <w:tcW w:w="1276"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27 a 29 de octubre de 2014</w:t>
            </w:r>
          </w:p>
          <w:p w:rsidR="00C91295" w:rsidRPr="00526311" w:rsidRDefault="00C91295" w:rsidP="00F1387F">
            <w:pPr>
              <w:rPr>
                <w:sz w:val="16"/>
                <w:szCs w:val="16"/>
              </w:rPr>
            </w:pPr>
          </w:p>
          <w:p w:rsidR="00C91295" w:rsidRPr="00526311" w:rsidRDefault="00C91295" w:rsidP="00F1387F">
            <w:pPr>
              <w:rPr>
                <w:sz w:val="16"/>
                <w:szCs w:val="16"/>
              </w:rPr>
            </w:pPr>
          </w:p>
          <w:p w:rsidR="00C91295" w:rsidRPr="00526311" w:rsidRDefault="00C91295" w:rsidP="00F1387F">
            <w:pPr>
              <w:rPr>
                <w:sz w:val="16"/>
                <w:szCs w:val="16"/>
              </w:rPr>
            </w:pPr>
          </w:p>
        </w:tc>
        <w:tc>
          <w:tcPr>
            <w:tcW w:w="1559"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Brasil</w:t>
            </w:r>
          </w:p>
          <w:p w:rsidR="00C91295" w:rsidRPr="00526311" w:rsidRDefault="00C91295" w:rsidP="00F1387F">
            <w:pPr>
              <w:autoSpaceDE w:val="0"/>
              <w:autoSpaceDN w:val="0"/>
              <w:adjustRightInd w:val="0"/>
              <w:spacing w:before="120" w:after="120"/>
              <w:rPr>
                <w:sz w:val="16"/>
                <w:szCs w:val="16"/>
              </w:rPr>
            </w:pPr>
          </w:p>
        </w:tc>
        <w:tc>
          <w:tcPr>
            <w:tcW w:w="439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El Taller fue organizado en colaboración con la Universidad de Campinas (UNICAMP) y se centró en los modelos de contratos, la definición de los objetivos y las cláusulas de los contratos y la creación de una tipología de contratos de transferencia de tecnología usados frecuentemente por las instituciones y empresas brasileñas.</w:t>
            </w:r>
          </w:p>
        </w:tc>
      </w:tr>
      <w:tr w:rsidR="00C91295" w:rsidRPr="00526311" w:rsidTr="00F1387F">
        <w:trPr>
          <w:cantSplit/>
          <w:trHeight w:val="315"/>
        </w:trPr>
        <w:tc>
          <w:tcPr>
            <w:tcW w:w="1843" w:type="dxa"/>
            <w:tcBorders>
              <w:top w:val="nil"/>
              <w:bottom w:val="nil"/>
            </w:tcBorders>
          </w:tcPr>
          <w:p w:rsidR="00C91295" w:rsidRPr="00526311" w:rsidRDefault="00C91295" w:rsidP="00F1387F">
            <w:pPr>
              <w:rPr>
                <w:sz w:val="16"/>
                <w:szCs w:val="16"/>
              </w:rPr>
            </w:pPr>
            <w:r w:rsidRPr="00526311">
              <w:rPr>
                <w:sz w:val="16"/>
                <w:szCs w:val="16"/>
              </w:rPr>
              <w:t>Seminario internacional sobre indicaciones geográficas y marcas colectivas en el sector agroindustrial</w:t>
            </w:r>
          </w:p>
        </w:tc>
        <w:tc>
          <w:tcPr>
            <w:tcW w:w="1276" w:type="dxa"/>
            <w:tcBorders>
              <w:top w:val="nil"/>
              <w:bottom w:val="nil"/>
            </w:tcBorders>
          </w:tcPr>
          <w:p w:rsidR="00C91295" w:rsidRPr="00526311" w:rsidRDefault="00C91295" w:rsidP="00F1387F">
            <w:pPr>
              <w:rPr>
                <w:sz w:val="16"/>
                <w:szCs w:val="16"/>
              </w:rPr>
            </w:pPr>
            <w:r w:rsidRPr="00526311">
              <w:rPr>
                <w:sz w:val="16"/>
                <w:szCs w:val="16"/>
              </w:rPr>
              <w:t>27 a 29 de octubre de 2014</w:t>
            </w:r>
          </w:p>
          <w:p w:rsidR="00C91295" w:rsidRPr="00526311" w:rsidRDefault="00C91295" w:rsidP="00F1387F">
            <w:pPr>
              <w:autoSpaceDE w:val="0"/>
              <w:autoSpaceDN w:val="0"/>
              <w:adjustRightInd w:val="0"/>
              <w:spacing w:before="120" w:after="120"/>
              <w:rPr>
                <w:sz w:val="16"/>
                <w:szCs w:val="16"/>
              </w:rPr>
            </w:pPr>
          </w:p>
        </w:tc>
        <w:tc>
          <w:tcPr>
            <w:tcW w:w="1559"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Brasil / Colombia</w:t>
            </w:r>
          </w:p>
        </w:tc>
        <w:tc>
          <w:tcPr>
            <w:tcW w:w="439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Proporcionar un foro de debate sobre las ventajas económicas y sociales que pueden traer las indicaciones geográficas y las marcas colectivas al desarrollo nacional en su conjunto, especialmente en el sector agroindustrial e ii) intercambiar experiencias y casos con oradores de Colombia, India, México y España.</w:t>
            </w:r>
          </w:p>
        </w:tc>
      </w:tr>
      <w:tr w:rsidR="00C91295" w:rsidRPr="00526311" w:rsidTr="00F1387F">
        <w:trPr>
          <w:cantSplit/>
          <w:trHeight w:val="315"/>
        </w:trPr>
        <w:tc>
          <w:tcPr>
            <w:tcW w:w="1843" w:type="dxa"/>
            <w:tcBorders>
              <w:top w:val="nil"/>
              <w:bottom w:val="nil"/>
            </w:tcBorders>
          </w:tcPr>
          <w:p w:rsidR="00C91295" w:rsidRPr="00526311" w:rsidRDefault="00C91295" w:rsidP="00F1387F">
            <w:pPr>
              <w:rPr>
                <w:sz w:val="16"/>
                <w:szCs w:val="16"/>
              </w:rPr>
            </w:pPr>
            <w:r w:rsidRPr="00526311">
              <w:rPr>
                <w:sz w:val="16"/>
                <w:szCs w:val="16"/>
              </w:rPr>
              <w:t>Programa de la OMPI de negociación eficaz de licencias de tecnología</w:t>
            </w:r>
          </w:p>
          <w:p w:rsidR="00C91295" w:rsidRPr="00526311" w:rsidRDefault="00C91295" w:rsidP="00F1387F">
            <w:pPr>
              <w:autoSpaceDE w:val="0"/>
              <w:autoSpaceDN w:val="0"/>
              <w:adjustRightInd w:val="0"/>
              <w:spacing w:before="120" w:after="120"/>
              <w:rPr>
                <w:sz w:val="16"/>
                <w:szCs w:val="16"/>
              </w:rPr>
            </w:pPr>
          </w:p>
        </w:tc>
        <w:tc>
          <w:tcPr>
            <w:tcW w:w="1276" w:type="dxa"/>
            <w:tcBorders>
              <w:top w:val="nil"/>
              <w:bottom w:val="nil"/>
            </w:tcBorders>
          </w:tcPr>
          <w:p w:rsidR="00C91295" w:rsidRPr="00526311" w:rsidRDefault="00C91295" w:rsidP="00F1387F">
            <w:pPr>
              <w:rPr>
                <w:sz w:val="16"/>
                <w:szCs w:val="16"/>
              </w:rPr>
            </w:pPr>
            <w:r w:rsidRPr="00526311">
              <w:rPr>
                <w:sz w:val="16"/>
                <w:szCs w:val="16"/>
              </w:rPr>
              <w:t>10 a 14 de noviembre de 2014</w:t>
            </w:r>
          </w:p>
          <w:p w:rsidR="00C91295" w:rsidRPr="00526311" w:rsidRDefault="00C91295" w:rsidP="00F1387F">
            <w:pPr>
              <w:autoSpaceDE w:val="0"/>
              <w:autoSpaceDN w:val="0"/>
              <w:adjustRightInd w:val="0"/>
              <w:spacing w:before="120" w:after="120"/>
              <w:rPr>
                <w:sz w:val="16"/>
                <w:szCs w:val="16"/>
              </w:rPr>
            </w:pPr>
          </w:p>
        </w:tc>
        <w:tc>
          <w:tcPr>
            <w:tcW w:w="1559" w:type="dxa"/>
            <w:tcBorders>
              <w:top w:val="nil"/>
              <w:bottom w:val="nil"/>
            </w:tcBorders>
          </w:tcPr>
          <w:p w:rsidR="00C91295" w:rsidRPr="00526311" w:rsidRDefault="00C91295" w:rsidP="00F1387F">
            <w:pPr>
              <w:rPr>
                <w:sz w:val="16"/>
                <w:szCs w:val="16"/>
              </w:rPr>
            </w:pPr>
            <w:r w:rsidRPr="00526311">
              <w:rPr>
                <w:sz w:val="16"/>
                <w:szCs w:val="16"/>
              </w:rPr>
              <w:t xml:space="preserve">Brasil / 120 participantes de instituciones en la región meridional del Brasil </w:t>
            </w:r>
          </w:p>
          <w:p w:rsidR="00C91295" w:rsidRPr="00526311" w:rsidRDefault="00C91295" w:rsidP="00F1387F">
            <w:pPr>
              <w:rPr>
                <w:sz w:val="16"/>
                <w:szCs w:val="16"/>
              </w:rPr>
            </w:pPr>
          </w:p>
        </w:tc>
        <w:tc>
          <w:tcPr>
            <w:tcW w:w="439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Fortalecer las capacidades de negociación de cláusulas de los acuerdos de licencia.</w:t>
            </w:r>
          </w:p>
          <w:p w:rsidR="00C91295" w:rsidRPr="00526311" w:rsidRDefault="00C91295" w:rsidP="00F1387F">
            <w:pPr>
              <w:autoSpaceDE w:val="0"/>
              <w:autoSpaceDN w:val="0"/>
              <w:adjustRightInd w:val="0"/>
              <w:spacing w:before="120" w:after="120"/>
              <w:rPr>
                <w:sz w:val="16"/>
                <w:szCs w:val="16"/>
              </w:rPr>
            </w:pPr>
            <w:r w:rsidRPr="00526311">
              <w:rPr>
                <w:sz w:val="16"/>
                <w:szCs w:val="16"/>
              </w:rPr>
              <w:t>Esta edición del programa se organizó en el Estado de Paraná para atender la creciente demanda de formación en comercialización de la P.I. de instituciones radicadas en el sur del país y en ella se subrayó el uso de la protección de los diseños como capacidad esencial para la competitividad en algunos sectores industriales.</w:t>
            </w:r>
          </w:p>
        </w:tc>
      </w:tr>
      <w:tr w:rsidR="00C91295" w:rsidRPr="00526311" w:rsidTr="00F1387F">
        <w:trPr>
          <w:cantSplit/>
          <w:trHeight w:val="315"/>
        </w:trPr>
        <w:tc>
          <w:tcPr>
            <w:tcW w:w="1843" w:type="dxa"/>
            <w:tcBorders>
              <w:top w:val="nil"/>
              <w:bottom w:val="single" w:sz="4" w:space="0" w:color="000000"/>
            </w:tcBorders>
          </w:tcPr>
          <w:p w:rsidR="00C91295" w:rsidRPr="00526311" w:rsidRDefault="00C91295" w:rsidP="00F1387F">
            <w:pPr>
              <w:autoSpaceDE w:val="0"/>
              <w:autoSpaceDN w:val="0"/>
              <w:adjustRightInd w:val="0"/>
              <w:spacing w:after="120"/>
              <w:rPr>
                <w:sz w:val="16"/>
                <w:szCs w:val="16"/>
              </w:rPr>
            </w:pPr>
            <w:r w:rsidRPr="00526311">
              <w:rPr>
                <w:sz w:val="16"/>
                <w:szCs w:val="16"/>
              </w:rPr>
              <w:t>Seminario internacional sobre la importancia estratégica de la protección de los diseños industriales</w:t>
            </w:r>
          </w:p>
        </w:tc>
        <w:tc>
          <w:tcPr>
            <w:tcW w:w="1276" w:type="dxa"/>
            <w:tcBorders>
              <w:top w:val="nil"/>
              <w:bottom w:val="single" w:sz="4" w:space="0" w:color="000000"/>
            </w:tcBorders>
          </w:tcPr>
          <w:p w:rsidR="00C91295" w:rsidRPr="00526311" w:rsidRDefault="00C91295" w:rsidP="00F1387F">
            <w:pPr>
              <w:rPr>
                <w:sz w:val="16"/>
                <w:szCs w:val="16"/>
              </w:rPr>
            </w:pPr>
            <w:r w:rsidRPr="00526311">
              <w:rPr>
                <w:sz w:val="16"/>
                <w:szCs w:val="16"/>
              </w:rPr>
              <w:t>1 y 2 de diciembre de 2014</w:t>
            </w:r>
          </w:p>
        </w:tc>
        <w:tc>
          <w:tcPr>
            <w:tcW w:w="1559" w:type="dxa"/>
            <w:tcBorders>
              <w:top w:val="nil"/>
              <w:bottom w:val="single" w:sz="4" w:space="0" w:color="000000"/>
            </w:tcBorders>
          </w:tcPr>
          <w:p w:rsidR="00C91295" w:rsidRPr="00526311" w:rsidRDefault="00C91295" w:rsidP="00F1387F">
            <w:pPr>
              <w:rPr>
                <w:sz w:val="16"/>
                <w:szCs w:val="16"/>
              </w:rPr>
            </w:pPr>
            <w:r w:rsidRPr="00526311">
              <w:rPr>
                <w:sz w:val="16"/>
                <w:szCs w:val="16"/>
              </w:rPr>
              <w:t>Brasil</w:t>
            </w:r>
          </w:p>
        </w:tc>
        <w:tc>
          <w:tcPr>
            <w:tcW w:w="4394" w:type="dxa"/>
            <w:tcBorders>
              <w:top w:val="nil"/>
              <w:bottom w:val="single" w:sz="4" w:space="0" w:color="000000"/>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Promover el uso de la protección de los diseños industriales como herramienta al servicio de las empresas para mejorar la competitividad.  </w:t>
            </w:r>
          </w:p>
        </w:tc>
      </w:tr>
    </w:tbl>
    <w:p w:rsidR="00C91295" w:rsidRPr="00526311" w:rsidRDefault="00C91295" w:rsidP="00F1387F">
      <w:pPr>
        <w:tabs>
          <w:tab w:val="left" w:pos="0"/>
          <w:tab w:val="left" w:pos="9071"/>
        </w:tabs>
        <w:rPr>
          <w:b/>
          <w:sz w:val="18"/>
          <w:szCs w:val="18"/>
        </w:rPr>
      </w:pPr>
    </w:p>
    <w:p w:rsidR="00C91295" w:rsidRPr="00526311" w:rsidRDefault="00C91295" w:rsidP="00F1387F">
      <w:pPr>
        <w:tabs>
          <w:tab w:val="left" w:pos="0"/>
          <w:tab w:val="left" w:pos="9071"/>
        </w:tabs>
        <w:rPr>
          <w:b/>
          <w:sz w:val="18"/>
          <w:szCs w:val="18"/>
        </w:rPr>
      </w:pPr>
    </w:p>
    <w:p w:rsidR="00C91295" w:rsidRPr="00526311" w:rsidRDefault="00712BD0" w:rsidP="00157F84">
      <w:pPr>
        <w:keepNext/>
        <w:tabs>
          <w:tab w:val="left" w:pos="0"/>
          <w:tab w:val="left" w:pos="9071"/>
        </w:tabs>
        <w:rPr>
          <w:b/>
          <w:sz w:val="18"/>
          <w:szCs w:val="18"/>
        </w:rPr>
      </w:pPr>
      <w:r w:rsidRPr="00526311">
        <w:rPr>
          <w:b/>
          <w:sz w:val="18"/>
          <w:szCs w:val="18"/>
        </w:rPr>
        <w:lastRenderedPageBreak/>
        <w:t xml:space="preserve">BRASIL </w:t>
      </w:r>
      <w:r w:rsidR="00C91295" w:rsidRPr="00526311">
        <w:rPr>
          <w:sz w:val="18"/>
          <w:szCs w:val="18"/>
        </w:rPr>
        <w:t>-</w:t>
      </w:r>
      <w:r w:rsidR="00C91295" w:rsidRPr="00526311">
        <w:rPr>
          <w:b/>
          <w:sz w:val="18"/>
          <w:szCs w:val="18"/>
        </w:rPr>
        <w:t xml:space="preserve"> Contribuciones de donantes y gastos de 2014</w:t>
      </w:r>
    </w:p>
    <w:p w:rsidR="00C91295" w:rsidRPr="00526311" w:rsidRDefault="00C91295" w:rsidP="00157F84">
      <w:pPr>
        <w:keepNext/>
        <w:tabs>
          <w:tab w:val="left" w:pos="0"/>
          <w:tab w:val="left" w:pos="9071"/>
        </w:tabs>
        <w:rPr>
          <w:b/>
          <w:sz w:val="18"/>
          <w:szCs w:val="18"/>
        </w:rPr>
      </w:pPr>
    </w:p>
    <w:tbl>
      <w:tblPr>
        <w:tblW w:w="9087" w:type="dxa"/>
        <w:tblInd w:w="93" w:type="dxa"/>
        <w:tblLook w:val="04A0" w:firstRow="1" w:lastRow="0" w:firstColumn="1" w:lastColumn="0" w:noHBand="0" w:noVBand="1"/>
      </w:tblPr>
      <w:tblGrid>
        <w:gridCol w:w="1720"/>
        <w:gridCol w:w="1556"/>
        <w:gridCol w:w="1842"/>
        <w:gridCol w:w="1985"/>
        <w:gridCol w:w="1984"/>
      </w:tblGrid>
      <w:tr w:rsidR="00C91295" w:rsidRPr="00526311" w:rsidTr="00F1387F">
        <w:trPr>
          <w:trHeight w:val="538"/>
        </w:trPr>
        <w:tc>
          <w:tcPr>
            <w:tcW w:w="172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157F84">
            <w:pPr>
              <w:keepNext/>
              <w:jc w:val="center"/>
              <w:rPr>
                <w:b/>
                <w:bCs/>
                <w:sz w:val="16"/>
                <w:szCs w:val="16"/>
              </w:rPr>
            </w:pPr>
            <w:r w:rsidRPr="00526311">
              <w:rPr>
                <w:b/>
                <w:bCs/>
                <w:sz w:val="16"/>
                <w:szCs w:val="16"/>
              </w:rPr>
              <w:t>Balance a 31 de diciembre de 2013</w:t>
            </w:r>
          </w:p>
        </w:tc>
        <w:tc>
          <w:tcPr>
            <w:tcW w:w="1556"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157F84">
            <w:pPr>
              <w:keepNext/>
              <w:jc w:val="center"/>
              <w:rPr>
                <w:b/>
                <w:bCs/>
                <w:sz w:val="16"/>
                <w:szCs w:val="16"/>
              </w:rPr>
            </w:pPr>
            <w:r w:rsidRPr="00526311">
              <w:rPr>
                <w:b/>
                <w:bCs/>
                <w:sz w:val="16"/>
                <w:szCs w:val="16"/>
              </w:rPr>
              <w:t>Ingresos en 2014</w:t>
            </w:r>
          </w:p>
        </w:tc>
        <w:tc>
          <w:tcPr>
            <w:tcW w:w="1842"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157F84">
            <w:pPr>
              <w:keepNext/>
              <w:jc w:val="center"/>
              <w:rPr>
                <w:b/>
                <w:bCs/>
                <w:sz w:val="16"/>
                <w:szCs w:val="16"/>
              </w:rPr>
            </w:pPr>
            <w:r w:rsidRPr="00526311">
              <w:rPr>
                <w:b/>
                <w:bCs/>
                <w:sz w:val="16"/>
                <w:szCs w:val="16"/>
              </w:rPr>
              <w:t>Gastos en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157F84">
            <w:pPr>
              <w:keepNext/>
              <w:jc w:val="center"/>
              <w:rPr>
                <w:b/>
                <w:bCs/>
                <w:sz w:val="16"/>
                <w:szCs w:val="16"/>
              </w:rPr>
            </w:pPr>
            <w:r w:rsidRPr="00526311">
              <w:rPr>
                <w:b/>
                <w:bCs/>
                <w:sz w:val="16"/>
                <w:szCs w:val="16"/>
              </w:rPr>
              <w:t>Reembolsos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157F84">
            <w:pPr>
              <w:keepNext/>
              <w:jc w:val="center"/>
              <w:rPr>
                <w:b/>
                <w:bCs/>
                <w:sz w:val="16"/>
                <w:szCs w:val="16"/>
              </w:rPr>
            </w:pPr>
            <w:r w:rsidRPr="00526311">
              <w:rPr>
                <w:b/>
                <w:bCs/>
                <w:sz w:val="16"/>
                <w:szCs w:val="16"/>
              </w:rPr>
              <w:t>Balance a 31 de diciembre de 2014</w:t>
            </w:r>
          </w:p>
        </w:tc>
      </w:tr>
      <w:tr w:rsidR="00C91295" w:rsidRPr="00526311" w:rsidTr="00F1387F">
        <w:trPr>
          <w:trHeight w:val="493"/>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157F84">
            <w:pPr>
              <w:keepNext/>
              <w:jc w:val="center"/>
              <w:rPr>
                <w:sz w:val="16"/>
                <w:szCs w:val="16"/>
              </w:rPr>
            </w:pPr>
            <w:r w:rsidRPr="00526311">
              <w:rPr>
                <w:sz w:val="16"/>
                <w:szCs w:val="16"/>
              </w:rPr>
              <w:t>490.729</w:t>
            </w:r>
          </w:p>
        </w:tc>
        <w:tc>
          <w:tcPr>
            <w:tcW w:w="1556"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157F84">
            <w:pPr>
              <w:keepNext/>
              <w:jc w:val="center"/>
              <w:rPr>
                <w:sz w:val="16"/>
                <w:szCs w:val="16"/>
              </w:rPr>
            </w:pPr>
            <w:r w:rsidRPr="00526311">
              <w:rPr>
                <w:sz w:val="16"/>
                <w:szCs w:val="16"/>
              </w:rPr>
              <w:t>(596)</w:t>
            </w:r>
          </w:p>
        </w:tc>
        <w:tc>
          <w:tcPr>
            <w:tcW w:w="1842"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157F84">
            <w:pPr>
              <w:keepNext/>
              <w:jc w:val="center"/>
              <w:rPr>
                <w:sz w:val="16"/>
                <w:szCs w:val="16"/>
              </w:rPr>
            </w:pPr>
            <w:r w:rsidRPr="00526311">
              <w:rPr>
                <w:sz w:val="16"/>
                <w:szCs w:val="16"/>
              </w:rPr>
              <w:t>156.922</w:t>
            </w:r>
          </w:p>
        </w:tc>
        <w:tc>
          <w:tcPr>
            <w:tcW w:w="1985"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157F84">
            <w:pPr>
              <w:keepNext/>
              <w:jc w:val="center"/>
              <w:rPr>
                <w:sz w:val="16"/>
                <w:szCs w:val="16"/>
              </w:rPr>
            </w:pPr>
            <w:r w:rsidRPr="00526311">
              <w:rPr>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157F84">
            <w:pPr>
              <w:keepNext/>
              <w:jc w:val="center"/>
              <w:rPr>
                <w:sz w:val="16"/>
                <w:szCs w:val="16"/>
              </w:rPr>
            </w:pPr>
            <w:r w:rsidRPr="00526311">
              <w:rPr>
                <w:sz w:val="16"/>
                <w:szCs w:val="16"/>
              </w:rPr>
              <w:t>333.211</w:t>
            </w:r>
          </w:p>
        </w:tc>
      </w:tr>
    </w:tbl>
    <w:p w:rsidR="00C91295" w:rsidRPr="00526311" w:rsidRDefault="00C91295" w:rsidP="00157F84">
      <w:pPr>
        <w:keepNext/>
        <w:tabs>
          <w:tab w:val="left" w:pos="0"/>
          <w:tab w:val="left" w:pos="9071"/>
        </w:tabs>
        <w:rPr>
          <w:b/>
          <w:sz w:val="20"/>
        </w:rPr>
      </w:pPr>
    </w:p>
    <w:p w:rsidR="00C91295" w:rsidRPr="00526311" w:rsidRDefault="00C91295" w:rsidP="00157F84">
      <w:pPr>
        <w:keepNext/>
        <w:tabs>
          <w:tab w:val="left" w:pos="0"/>
          <w:tab w:val="left" w:pos="9071"/>
        </w:tabs>
        <w:rPr>
          <w:b/>
          <w:sz w:val="20"/>
        </w:rPr>
      </w:pPr>
    </w:p>
    <w:p w:rsidR="00C91295" w:rsidRPr="00526311" w:rsidRDefault="00C91295" w:rsidP="00157F84">
      <w:pPr>
        <w:keepNext/>
        <w:tabs>
          <w:tab w:val="left" w:pos="0"/>
          <w:tab w:val="left" w:pos="9071"/>
        </w:tabs>
        <w:rPr>
          <w:b/>
          <w:sz w:val="20"/>
        </w:rPr>
      </w:pPr>
      <w:r w:rsidRPr="00526311">
        <w:rPr>
          <w:b/>
          <w:sz w:val="20"/>
        </w:rPr>
        <w:t>BRASIL SUR</w:t>
      </w:r>
    </w:p>
    <w:p w:rsidR="00C91295" w:rsidRPr="00526311" w:rsidRDefault="00C91295" w:rsidP="00157F84">
      <w:pPr>
        <w:keepNext/>
        <w:tabs>
          <w:tab w:val="left" w:pos="0"/>
          <w:tab w:val="left" w:pos="9071"/>
        </w:tabs>
        <w:rPr>
          <w:b/>
          <w:sz w:val="20"/>
        </w:rPr>
      </w:pPr>
    </w:p>
    <w:tbl>
      <w:tblPr>
        <w:tblW w:w="9214"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252"/>
      </w:tblGrid>
      <w:tr w:rsidR="00C91295" w:rsidRPr="00526311" w:rsidTr="00F1387F">
        <w:trPr>
          <w:cantSplit/>
          <w:trHeight w:val="315"/>
        </w:trPr>
        <w:tc>
          <w:tcPr>
            <w:tcW w:w="9214" w:type="dxa"/>
            <w:gridSpan w:val="4"/>
            <w:tcBorders>
              <w:top w:val="single" w:sz="4" w:space="0" w:color="000000"/>
              <w:bottom w:val="single" w:sz="4" w:space="0" w:color="000000"/>
            </w:tcBorders>
            <w:shd w:val="clear" w:color="auto" w:fill="CCFFFF"/>
          </w:tcPr>
          <w:p w:rsidR="00C91295" w:rsidRPr="00526311" w:rsidRDefault="00C91295" w:rsidP="00F1387F">
            <w:pPr>
              <w:keepNext/>
              <w:keepLines/>
              <w:tabs>
                <w:tab w:val="left" w:pos="1740"/>
              </w:tabs>
              <w:spacing w:before="120" w:after="120"/>
              <w:ind w:left="1740" w:hanging="1740"/>
              <w:rPr>
                <w:sz w:val="16"/>
                <w:szCs w:val="16"/>
              </w:rPr>
            </w:pPr>
            <w:r w:rsidRPr="00526311">
              <w:rPr>
                <w:b/>
                <w:bCs/>
                <w:sz w:val="16"/>
                <w:szCs w:val="16"/>
              </w:rPr>
              <w:t>RESULTADO</w:t>
            </w:r>
            <w:r w:rsidRPr="00526311">
              <w:rPr>
                <w:bCs/>
                <w:sz w:val="16"/>
                <w:szCs w:val="16"/>
              </w:rPr>
              <w:t>:</w:t>
            </w:r>
            <w:r w:rsidRPr="00526311">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rPr>
          <w:cantSplit/>
          <w:trHeight w:val="402"/>
        </w:trPr>
        <w:tc>
          <w:tcPr>
            <w:tcW w:w="1843" w:type="dxa"/>
            <w:tcBorders>
              <w:top w:val="single" w:sz="4" w:space="0" w:color="000000"/>
            </w:tcBorders>
            <w:vAlign w:val="center"/>
          </w:tcPr>
          <w:p w:rsidR="00C91295" w:rsidRPr="00526311" w:rsidRDefault="00C91295" w:rsidP="00F1387F">
            <w:pPr>
              <w:keepNext/>
              <w:keepLines/>
              <w:spacing w:before="120" w:after="120"/>
              <w:rPr>
                <w:b/>
                <w:bCs/>
                <w:sz w:val="16"/>
                <w:szCs w:val="16"/>
              </w:rPr>
            </w:pPr>
            <w:r w:rsidRPr="00526311">
              <w:rPr>
                <w:b/>
                <w:bCs/>
                <w:sz w:val="16"/>
                <w:szCs w:val="16"/>
              </w:rPr>
              <w:t>Actividad</w:t>
            </w:r>
          </w:p>
        </w:tc>
        <w:tc>
          <w:tcPr>
            <w:tcW w:w="1134" w:type="dxa"/>
            <w:tcBorders>
              <w:top w:val="single" w:sz="4" w:space="0" w:color="000000"/>
            </w:tcBorders>
            <w:vAlign w:val="center"/>
          </w:tcPr>
          <w:p w:rsidR="00C91295" w:rsidRPr="00526311" w:rsidRDefault="00C91295" w:rsidP="00F1387F">
            <w:pPr>
              <w:keepNext/>
              <w:keepLines/>
              <w:spacing w:before="120" w:after="120"/>
              <w:rPr>
                <w:sz w:val="16"/>
                <w:szCs w:val="16"/>
              </w:rPr>
            </w:pPr>
            <w:r w:rsidRPr="00526311">
              <w:rPr>
                <w:b/>
                <w:sz w:val="16"/>
                <w:szCs w:val="16"/>
              </w:rPr>
              <w:t>Fecha</w:t>
            </w:r>
          </w:p>
        </w:tc>
        <w:tc>
          <w:tcPr>
            <w:tcW w:w="1985" w:type="dxa"/>
            <w:tcBorders>
              <w:top w:val="single" w:sz="4" w:space="0" w:color="000000"/>
            </w:tcBorders>
            <w:vAlign w:val="center"/>
          </w:tcPr>
          <w:p w:rsidR="00C91295" w:rsidRPr="00526311" w:rsidRDefault="00C91295" w:rsidP="00F1387F">
            <w:pPr>
              <w:keepNext/>
              <w:keepLines/>
              <w:spacing w:before="120" w:after="120"/>
              <w:rPr>
                <w:sz w:val="16"/>
                <w:szCs w:val="16"/>
              </w:rPr>
            </w:pPr>
            <w:r w:rsidRPr="00526311">
              <w:rPr>
                <w:b/>
                <w:sz w:val="16"/>
                <w:szCs w:val="16"/>
              </w:rPr>
              <w:t>País anfitrión / Beneficiarios</w:t>
            </w:r>
          </w:p>
        </w:tc>
        <w:tc>
          <w:tcPr>
            <w:tcW w:w="4252" w:type="dxa"/>
            <w:tcBorders>
              <w:top w:val="single" w:sz="4" w:space="0" w:color="000000"/>
            </w:tcBorders>
            <w:vAlign w:val="center"/>
          </w:tcPr>
          <w:p w:rsidR="00C91295" w:rsidRPr="00526311" w:rsidRDefault="00C91295" w:rsidP="00F1387F">
            <w:pPr>
              <w:keepNext/>
              <w:keepLines/>
              <w:spacing w:before="120" w:after="120"/>
              <w:rPr>
                <w:sz w:val="16"/>
                <w:szCs w:val="16"/>
              </w:rPr>
            </w:pPr>
            <w:r w:rsidRPr="00526311">
              <w:rPr>
                <w:b/>
                <w:sz w:val="16"/>
                <w:szCs w:val="16"/>
              </w:rPr>
              <w:t>Propósito(s)/Descripción</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XXXII Seminario para las Oficinas de P.I. de América Latina </w:t>
            </w:r>
          </w:p>
          <w:p w:rsidR="00C91295" w:rsidRPr="00526311" w:rsidRDefault="00C91295" w:rsidP="00F1387F">
            <w:pPr>
              <w:autoSpaceDE w:val="0"/>
              <w:autoSpaceDN w:val="0"/>
              <w:adjustRightInd w:val="0"/>
              <w:spacing w:before="120" w:after="120"/>
              <w:rPr>
                <w:sz w:val="16"/>
                <w:szCs w:val="16"/>
              </w:rPr>
            </w:pPr>
          </w:p>
        </w:tc>
        <w:tc>
          <w:tcPr>
            <w:tcW w:w="1134" w:type="dxa"/>
          </w:tcPr>
          <w:p w:rsidR="00C91295" w:rsidRPr="00526311" w:rsidRDefault="00C91295" w:rsidP="00F1387F">
            <w:pPr>
              <w:autoSpaceDE w:val="0"/>
              <w:autoSpaceDN w:val="0"/>
              <w:adjustRightInd w:val="0"/>
              <w:spacing w:before="120" w:after="120"/>
              <w:rPr>
                <w:sz w:val="16"/>
                <w:szCs w:val="16"/>
              </w:rPr>
            </w:pPr>
            <w:r w:rsidRPr="00526311">
              <w:rPr>
                <w:sz w:val="16"/>
                <w:szCs w:val="16"/>
              </w:rPr>
              <w:t>3 a 6 de noviembre de 2014</w:t>
            </w:r>
          </w:p>
        </w:tc>
        <w:tc>
          <w:tcPr>
            <w:tcW w:w="1985" w:type="dxa"/>
          </w:tcPr>
          <w:p w:rsidR="00C91295" w:rsidRPr="00526311" w:rsidRDefault="00C91295" w:rsidP="00F1387F">
            <w:pPr>
              <w:autoSpaceDE w:val="0"/>
              <w:autoSpaceDN w:val="0"/>
              <w:adjustRightInd w:val="0"/>
              <w:spacing w:before="120" w:after="120"/>
              <w:rPr>
                <w:sz w:val="16"/>
                <w:szCs w:val="16"/>
              </w:rPr>
            </w:pPr>
            <w:r w:rsidRPr="00526311">
              <w:rPr>
                <w:sz w:val="16"/>
                <w:szCs w:val="16"/>
              </w:rPr>
              <w:t>Brasil / Argentina, Bolivia, Chile, Colombia, Costa Rica, Cuba, República Dominicana, Ecuador, El Salvador, Guatemala, Honduras, México, Nicaragua, Panamá, Paraguay, Perú, Uruguay</w:t>
            </w:r>
          </w:p>
        </w:tc>
        <w:tc>
          <w:tcPr>
            <w:tcW w:w="4252" w:type="dxa"/>
          </w:tcPr>
          <w:p w:rsidR="00C91295" w:rsidRPr="00526311" w:rsidRDefault="00C91295" w:rsidP="00F1387F">
            <w:pPr>
              <w:autoSpaceDE w:val="0"/>
              <w:autoSpaceDN w:val="0"/>
              <w:adjustRightInd w:val="0"/>
              <w:spacing w:before="120" w:after="120"/>
              <w:rPr>
                <w:sz w:val="16"/>
                <w:szCs w:val="16"/>
              </w:rPr>
            </w:pPr>
            <w:r w:rsidRPr="00526311">
              <w:rPr>
                <w:sz w:val="16"/>
                <w:szCs w:val="16"/>
              </w:rPr>
              <w:t>i) Formar a los funcionarios de Oficinas de P.I. en el uso de información tecnológica como herramienta estratégica de desarrollo y ii) proporcionar un foro de debate sobre los servicios de información ofrecidos por las Oficinas de P.I., la elaboración de estudios de extracción de datos de patentes en apoyo de las políticas públicas, las estrategias de supervisión de la tecnología y el uso de las bases de datos de patentes</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I Taller regional sobre P.I. y transferencia de tecnología </w:t>
            </w:r>
          </w:p>
        </w:tc>
        <w:tc>
          <w:tcPr>
            <w:tcW w:w="1134" w:type="dxa"/>
          </w:tcPr>
          <w:p w:rsidR="00C91295" w:rsidRPr="00526311" w:rsidRDefault="00C91295" w:rsidP="00F1387F">
            <w:pPr>
              <w:spacing w:before="120" w:after="120"/>
              <w:rPr>
                <w:sz w:val="16"/>
                <w:szCs w:val="16"/>
              </w:rPr>
            </w:pPr>
            <w:r w:rsidRPr="00526311">
              <w:rPr>
                <w:sz w:val="16"/>
                <w:szCs w:val="16"/>
              </w:rPr>
              <w:t>10 y 12 de diciembre de 2014</w:t>
            </w:r>
          </w:p>
        </w:tc>
        <w:tc>
          <w:tcPr>
            <w:tcW w:w="1985" w:type="dxa"/>
          </w:tcPr>
          <w:p w:rsidR="00C91295" w:rsidRPr="00526311" w:rsidRDefault="00C91295" w:rsidP="00F1387F">
            <w:pPr>
              <w:autoSpaceDE w:val="0"/>
              <w:autoSpaceDN w:val="0"/>
              <w:adjustRightInd w:val="0"/>
              <w:spacing w:before="120" w:after="120"/>
              <w:rPr>
                <w:sz w:val="16"/>
                <w:szCs w:val="16"/>
              </w:rPr>
            </w:pPr>
            <w:r w:rsidRPr="00526311">
              <w:rPr>
                <w:sz w:val="16"/>
                <w:szCs w:val="16"/>
              </w:rPr>
              <w:t>Uruguay / Argentina, Brasil, Chile, Paraguay, Uruguay</w:t>
            </w:r>
          </w:p>
        </w:tc>
        <w:tc>
          <w:tcPr>
            <w:tcW w:w="4252" w:type="dxa"/>
          </w:tcPr>
          <w:p w:rsidR="00C91295" w:rsidRPr="00526311" w:rsidRDefault="00C91295" w:rsidP="00F1387F">
            <w:pPr>
              <w:autoSpaceDE w:val="0"/>
              <w:autoSpaceDN w:val="0"/>
              <w:adjustRightInd w:val="0"/>
              <w:spacing w:before="120" w:after="120"/>
              <w:rPr>
                <w:sz w:val="16"/>
                <w:szCs w:val="16"/>
              </w:rPr>
            </w:pPr>
            <w:r w:rsidRPr="00526311">
              <w:rPr>
                <w:sz w:val="16"/>
                <w:szCs w:val="16"/>
              </w:rPr>
              <w:t>Examinar: i) la estructuración de las estrategias nacionales e institucionales de P.I., ii) el establecimiento de oficinas de transferencia de tecnología y iii) los modelos estratégicos para fomentar la innovación.</w:t>
            </w:r>
          </w:p>
        </w:tc>
      </w:tr>
    </w:tbl>
    <w:p w:rsidR="00C91295" w:rsidRPr="00526311" w:rsidRDefault="00C91295" w:rsidP="00F1387F">
      <w:pPr>
        <w:tabs>
          <w:tab w:val="left" w:pos="0"/>
          <w:tab w:val="left" w:pos="9071"/>
        </w:tabs>
        <w:rPr>
          <w:b/>
          <w:sz w:val="20"/>
        </w:rPr>
      </w:pPr>
    </w:p>
    <w:p w:rsidR="00C91295" w:rsidRPr="00526311" w:rsidRDefault="00C91295" w:rsidP="00F1387F">
      <w:pPr>
        <w:tabs>
          <w:tab w:val="left" w:pos="0"/>
          <w:tab w:val="left" w:pos="9071"/>
        </w:tabs>
        <w:rPr>
          <w:b/>
          <w:sz w:val="20"/>
        </w:rPr>
      </w:pPr>
    </w:p>
    <w:p w:rsidR="00C91295" w:rsidRPr="007D4926" w:rsidRDefault="0058481A" w:rsidP="00F1387F">
      <w:pPr>
        <w:tabs>
          <w:tab w:val="left" w:pos="0"/>
          <w:tab w:val="left" w:pos="9071"/>
        </w:tabs>
        <w:rPr>
          <w:b/>
          <w:sz w:val="20"/>
        </w:rPr>
      </w:pPr>
      <w:r w:rsidRPr="007D4926">
        <w:rPr>
          <w:b/>
          <w:sz w:val="20"/>
        </w:rPr>
        <w:t xml:space="preserve">BRASIL SUR </w:t>
      </w:r>
      <w:r w:rsidR="00C91295" w:rsidRPr="007D4926">
        <w:rPr>
          <w:b/>
          <w:sz w:val="20"/>
        </w:rPr>
        <w:t>- Contribuciones de donantes y gastos de 2014</w:t>
      </w:r>
    </w:p>
    <w:p w:rsidR="00C91295" w:rsidRPr="00526311" w:rsidRDefault="00C91295" w:rsidP="00F1387F">
      <w:pPr>
        <w:tabs>
          <w:tab w:val="left" w:pos="0"/>
          <w:tab w:val="left" w:pos="9071"/>
        </w:tabs>
        <w:rPr>
          <w:b/>
          <w:sz w:val="20"/>
        </w:rPr>
      </w:pPr>
    </w:p>
    <w:tbl>
      <w:tblPr>
        <w:tblW w:w="9228" w:type="dxa"/>
        <w:jc w:val="center"/>
        <w:tblInd w:w="-62" w:type="dxa"/>
        <w:tblLook w:val="04A0" w:firstRow="1" w:lastRow="0" w:firstColumn="1" w:lastColumn="0" w:noHBand="0" w:noVBand="1"/>
      </w:tblPr>
      <w:tblGrid>
        <w:gridCol w:w="2203"/>
        <w:gridCol w:w="1511"/>
        <w:gridCol w:w="1701"/>
        <w:gridCol w:w="1843"/>
        <w:gridCol w:w="1970"/>
      </w:tblGrid>
      <w:tr w:rsidR="00C91295" w:rsidRPr="00526311" w:rsidTr="00F1387F">
        <w:trPr>
          <w:trHeight w:val="488"/>
          <w:jc w:val="center"/>
        </w:trPr>
        <w:tc>
          <w:tcPr>
            <w:tcW w:w="2203"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2013</w:t>
            </w:r>
          </w:p>
        </w:tc>
        <w:tc>
          <w:tcPr>
            <w:tcW w:w="1511"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Ingresos en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Gastos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Reembolsos</w:t>
            </w:r>
          </w:p>
        </w:tc>
        <w:tc>
          <w:tcPr>
            <w:tcW w:w="1970"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2014</w:t>
            </w:r>
          </w:p>
        </w:tc>
      </w:tr>
      <w:tr w:rsidR="00C91295" w:rsidRPr="00526311" w:rsidTr="00F1387F">
        <w:trPr>
          <w:trHeight w:val="410"/>
          <w:jc w:val="center"/>
        </w:trPr>
        <w:tc>
          <w:tcPr>
            <w:tcW w:w="2203"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75.048</w:t>
            </w:r>
          </w:p>
        </w:tc>
        <w:tc>
          <w:tcPr>
            <w:tcW w:w="1511"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372.786</w:t>
            </w:r>
          </w:p>
        </w:tc>
        <w:tc>
          <w:tcPr>
            <w:tcW w:w="1701"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63.025</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w:t>
            </w:r>
          </w:p>
        </w:tc>
        <w:tc>
          <w:tcPr>
            <w:tcW w:w="1970"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384.809</w:t>
            </w:r>
          </w:p>
        </w:tc>
      </w:tr>
    </w:tbl>
    <w:p w:rsidR="00D66387" w:rsidRPr="00526311" w:rsidRDefault="00D66387" w:rsidP="00F1387F">
      <w:pPr>
        <w:tabs>
          <w:tab w:val="left" w:pos="0"/>
          <w:tab w:val="left" w:pos="9071"/>
        </w:tabs>
        <w:rPr>
          <w:b/>
          <w:sz w:val="20"/>
        </w:rPr>
      </w:pPr>
    </w:p>
    <w:p w:rsidR="00D66387" w:rsidRPr="00526311" w:rsidRDefault="00D66387" w:rsidP="00F1387F">
      <w:pPr>
        <w:tabs>
          <w:tab w:val="left" w:pos="0"/>
          <w:tab w:val="left" w:pos="9071"/>
        </w:tabs>
        <w:rPr>
          <w:b/>
          <w:sz w:val="20"/>
        </w:rPr>
      </w:pPr>
    </w:p>
    <w:p w:rsidR="00C91295" w:rsidRPr="00526311" w:rsidRDefault="00C91295" w:rsidP="00F1387F">
      <w:pPr>
        <w:tabs>
          <w:tab w:val="left" w:pos="0"/>
          <w:tab w:val="left" w:pos="9071"/>
        </w:tabs>
        <w:rPr>
          <w:b/>
          <w:sz w:val="20"/>
        </w:rPr>
      </w:pPr>
      <w:r w:rsidRPr="00526311">
        <w:rPr>
          <w:b/>
          <w:sz w:val="20"/>
        </w:rPr>
        <w:t>UNIÓN EUROPEA (Proyecto Pakistán)</w:t>
      </w:r>
    </w:p>
    <w:p w:rsidR="00C91295" w:rsidRPr="00526311" w:rsidRDefault="00C91295" w:rsidP="00F1387F">
      <w:pPr>
        <w:tabs>
          <w:tab w:val="left" w:pos="0"/>
          <w:tab w:val="left" w:pos="9071"/>
        </w:tabs>
        <w:rPr>
          <w:b/>
          <w:sz w:val="20"/>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C91295" w:rsidRPr="00526311" w:rsidTr="00F1387F">
        <w:trPr>
          <w:cantSplit/>
        </w:trPr>
        <w:tc>
          <w:tcPr>
            <w:tcW w:w="9356" w:type="dxa"/>
            <w:gridSpan w:val="4"/>
            <w:tcBorders>
              <w:top w:val="single" w:sz="4" w:space="0" w:color="000000"/>
              <w:bottom w:val="single" w:sz="4" w:space="0" w:color="000000"/>
            </w:tcBorders>
            <w:shd w:val="clear" w:color="auto" w:fill="CCFFFF"/>
            <w:vAlign w:val="center"/>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rFonts w:eastAsia="MS Mincho"/>
                <w:bCs/>
                <w:sz w:val="16"/>
                <w:szCs w:val="16"/>
                <w:lang w:eastAsia="ja-JP" w:bidi="th-TH"/>
              </w:rPr>
              <w:t>I.2 Marcos de P.I. adaptados y equilibrados en el ámbito legislativo, reglamentario y de política</w:t>
            </w:r>
          </w:p>
        </w:tc>
      </w:tr>
      <w:tr w:rsidR="00C91295" w:rsidRPr="00526311" w:rsidTr="00F1387F">
        <w:trPr>
          <w:cantSplit/>
          <w:trHeight w:val="558"/>
        </w:trPr>
        <w:tc>
          <w:tcPr>
            <w:tcW w:w="1843" w:type="dxa"/>
            <w:tcBorders>
              <w:top w:val="single" w:sz="4" w:space="0" w:color="000000"/>
            </w:tcBorders>
            <w:vAlign w:val="center"/>
          </w:tcPr>
          <w:p w:rsidR="00C91295" w:rsidRPr="00526311" w:rsidRDefault="00C91295" w:rsidP="00F1387F">
            <w:pPr>
              <w:keepNext/>
              <w:keepLines/>
              <w:rPr>
                <w:b/>
                <w:bCs/>
                <w:sz w:val="16"/>
                <w:szCs w:val="16"/>
              </w:rPr>
            </w:pPr>
            <w:r w:rsidRPr="00526311">
              <w:rPr>
                <w:b/>
                <w:bCs/>
                <w:sz w:val="16"/>
                <w:szCs w:val="16"/>
              </w:rPr>
              <w:t>Actividad</w:t>
            </w:r>
          </w:p>
        </w:tc>
        <w:tc>
          <w:tcPr>
            <w:tcW w:w="1134" w:type="dxa"/>
            <w:tcBorders>
              <w:top w:val="single" w:sz="4" w:space="0" w:color="000000"/>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Fecha</w:t>
            </w:r>
          </w:p>
        </w:tc>
        <w:tc>
          <w:tcPr>
            <w:tcW w:w="1985" w:type="dxa"/>
            <w:tcBorders>
              <w:top w:val="single" w:sz="4" w:space="0" w:color="000000"/>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País anfitrión / Beneficiarios</w:t>
            </w:r>
          </w:p>
        </w:tc>
        <w:tc>
          <w:tcPr>
            <w:tcW w:w="4394" w:type="dxa"/>
            <w:tcBorders>
              <w:top w:val="single" w:sz="4" w:space="0" w:color="000000"/>
            </w:tcBorders>
            <w:shd w:val="clear" w:color="auto" w:fill="FFFFFF"/>
            <w:tcMar>
              <w:top w:w="110" w:type="dxa"/>
            </w:tcMar>
            <w:vAlign w:val="center"/>
          </w:tcPr>
          <w:p w:rsidR="00C91295" w:rsidRPr="00526311" w:rsidRDefault="00C91295" w:rsidP="00F1387F">
            <w:pPr>
              <w:keepNext/>
              <w:keepLines/>
              <w:rPr>
                <w:sz w:val="16"/>
                <w:szCs w:val="16"/>
              </w:rPr>
            </w:pPr>
            <w:r w:rsidRPr="00526311">
              <w:rPr>
                <w:b/>
                <w:sz w:val="16"/>
                <w:szCs w:val="16"/>
              </w:rPr>
              <w:t>Propósito(s)/Descripción</w:t>
            </w:r>
          </w:p>
        </w:tc>
      </w:tr>
      <w:tr w:rsidR="00C91295" w:rsidRPr="00526311" w:rsidTr="00F1387F">
        <w:trPr>
          <w:cantSplit/>
          <w:trHeight w:val="495"/>
        </w:trPr>
        <w:tc>
          <w:tcPr>
            <w:tcW w:w="1843" w:type="dxa"/>
          </w:tcPr>
          <w:p w:rsidR="00C91295" w:rsidRPr="00526311" w:rsidRDefault="00C91295" w:rsidP="00F1387F">
            <w:pPr>
              <w:keepNext/>
              <w:keepLines/>
              <w:rPr>
                <w:bCs/>
                <w:sz w:val="16"/>
                <w:szCs w:val="16"/>
              </w:rPr>
            </w:pPr>
            <w:r w:rsidRPr="00526311">
              <w:rPr>
                <w:bCs/>
                <w:sz w:val="16"/>
                <w:szCs w:val="16"/>
              </w:rPr>
              <w:t>Consultas con los sectores interesados sobre los derechos de obtentor</w:t>
            </w:r>
          </w:p>
          <w:p w:rsidR="00C91295" w:rsidRPr="00526311" w:rsidRDefault="00C91295" w:rsidP="00F1387F">
            <w:pPr>
              <w:keepNext/>
              <w:keepLines/>
              <w:rPr>
                <w:bCs/>
                <w:sz w:val="16"/>
                <w:szCs w:val="16"/>
              </w:rPr>
            </w:pPr>
          </w:p>
        </w:tc>
        <w:tc>
          <w:tcPr>
            <w:tcW w:w="1134" w:type="dxa"/>
          </w:tcPr>
          <w:p w:rsidR="00C91295" w:rsidRPr="00526311" w:rsidRDefault="00C91295" w:rsidP="00F1387F">
            <w:pPr>
              <w:keepNext/>
              <w:keepLines/>
              <w:rPr>
                <w:bCs/>
                <w:sz w:val="16"/>
                <w:szCs w:val="16"/>
              </w:rPr>
            </w:pPr>
            <w:r w:rsidRPr="00526311">
              <w:rPr>
                <w:bCs/>
                <w:sz w:val="16"/>
                <w:szCs w:val="16"/>
              </w:rPr>
              <w:t>11 a 13 de febrero de 2014</w:t>
            </w:r>
          </w:p>
        </w:tc>
        <w:tc>
          <w:tcPr>
            <w:tcW w:w="1985" w:type="dxa"/>
          </w:tcPr>
          <w:p w:rsidR="00C91295" w:rsidRPr="00526311" w:rsidRDefault="00C91295" w:rsidP="00F1387F">
            <w:pPr>
              <w:keepNext/>
              <w:keepLines/>
              <w:rPr>
                <w:bCs/>
                <w:sz w:val="16"/>
                <w:szCs w:val="16"/>
              </w:rPr>
            </w:pPr>
            <w:r w:rsidRPr="00526311">
              <w:rPr>
                <w:bCs/>
                <w:sz w:val="16"/>
                <w:szCs w:val="16"/>
              </w:rPr>
              <w:t xml:space="preserve">Pakistán / 23 participantes nacionales </w:t>
            </w:r>
          </w:p>
        </w:tc>
        <w:tc>
          <w:tcPr>
            <w:tcW w:w="4394" w:type="dxa"/>
          </w:tcPr>
          <w:p w:rsidR="00C91295" w:rsidRPr="00526311" w:rsidRDefault="00C91295" w:rsidP="00F1387F">
            <w:pPr>
              <w:autoSpaceDE w:val="0"/>
              <w:autoSpaceDN w:val="0"/>
              <w:adjustRightInd w:val="0"/>
              <w:rPr>
                <w:sz w:val="16"/>
                <w:szCs w:val="16"/>
              </w:rPr>
            </w:pPr>
            <w:r w:rsidRPr="00526311">
              <w:rPr>
                <w:sz w:val="16"/>
                <w:szCs w:val="16"/>
              </w:rPr>
              <w:t>Celebrar consultas con los sectores nacionales interesados sobre la protección de los derechos de obtentor, incluidas las medidas prácticas para poner en funcionamiento un sistema de protección de los derechos de obtentor y administrarlo posteriormente.</w:t>
            </w:r>
          </w:p>
          <w:p w:rsidR="00C91295" w:rsidRPr="00526311" w:rsidRDefault="00C91295" w:rsidP="00F1387F">
            <w:pPr>
              <w:keepNext/>
              <w:keepLines/>
              <w:rPr>
                <w:b/>
                <w:bCs/>
                <w:sz w:val="16"/>
                <w:szCs w:val="16"/>
              </w:rPr>
            </w:pPr>
          </w:p>
        </w:tc>
      </w:tr>
      <w:tr w:rsidR="00C91295" w:rsidRPr="00526311" w:rsidTr="00F1387F">
        <w:trPr>
          <w:cantSplit/>
          <w:trHeight w:val="530"/>
        </w:trPr>
        <w:tc>
          <w:tcPr>
            <w:tcW w:w="1843" w:type="dxa"/>
          </w:tcPr>
          <w:p w:rsidR="00C91295" w:rsidRPr="00526311" w:rsidRDefault="00C91295" w:rsidP="00F1387F">
            <w:pPr>
              <w:autoSpaceDE w:val="0"/>
              <w:autoSpaceDN w:val="0"/>
              <w:adjustRightInd w:val="0"/>
              <w:spacing w:after="120"/>
              <w:rPr>
                <w:sz w:val="16"/>
                <w:szCs w:val="16"/>
              </w:rPr>
            </w:pPr>
            <w:r w:rsidRPr="00526311">
              <w:rPr>
                <w:sz w:val="16"/>
                <w:szCs w:val="16"/>
              </w:rPr>
              <w:t xml:space="preserve">Finalización de un documento sobre las opciones de desarrollo de marca de un cítrico (la mandarina Kinnow) </w:t>
            </w:r>
          </w:p>
        </w:tc>
        <w:tc>
          <w:tcPr>
            <w:tcW w:w="1134" w:type="dxa"/>
          </w:tcPr>
          <w:p w:rsidR="00C91295" w:rsidRPr="00526311" w:rsidRDefault="00C91295" w:rsidP="00F1387F">
            <w:pPr>
              <w:autoSpaceDE w:val="0"/>
              <w:autoSpaceDN w:val="0"/>
              <w:adjustRightInd w:val="0"/>
              <w:spacing w:after="120"/>
              <w:rPr>
                <w:sz w:val="16"/>
                <w:szCs w:val="16"/>
              </w:rPr>
            </w:pPr>
            <w:r w:rsidRPr="00526311">
              <w:rPr>
                <w:sz w:val="16"/>
                <w:szCs w:val="16"/>
              </w:rPr>
              <w:t>Marzo de 2014</w:t>
            </w:r>
          </w:p>
        </w:tc>
        <w:tc>
          <w:tcPr>
            <w:tcW w:w="1985" w:type="dxa"/>
          </w:tcPr>
          <w:p w:rsidR="00C91295" w:rsidRPr="00526311" w:rsidRDefault="00C91295" w:rsidP="00F1387F">
            <w:pPr>
              <w:autoSpaceDE w:val="0"/>
              <w:autoSpaceDN w:val="0"/>
              <w:adjustRightInd w:val="0"/>
              <w:spacing w:after="120"/>
              <w:rPr>
                <w:sz w:val="16"/>
                <w:szCs w:val="16"/>
              </w:rPr>
            </w:pPr>
            <w:r w:rsidRPr="00526311">
              <w:rPr>
                <w:sz w:val="16"/>
                <w:szCs w:val="16"/>
              </w:rPr>
              <w:t xml:space="preserve">Pakistán / Oficina de P.I. del Pakistán </w:t>
            </w:r>
          </w:p>
        </w:tc>
        <w:tc>
          <w:tcPr>
            <w:tcW w:w="4394" w:type="dxa"/>
          </w:tcPr>
          <w:p w:rsidR="00C91295" w:rsidRPr="00526311" w:rsidRDefault="00C91295" w:rsidP="00F1387F">
            <w:pPr>
              <w:autoSpaceDE w:val="0"/>
              <w:autoSpaceDN w:val="0"/>
              <w:adjustRightInd w:val="0"/>
              <w:spacing w:after="120"/>
              <w:rPr>
                <w:sz w:val="16"/>
                <w:szCs w:val="16"/>
              </w:rPr>
            </w:pPr>
            <w:r w:rsidRPr="00526311">
              <w:rPr>
                <w:sz w:val="16"/>
                <w:szCs w:val="16"/>
              </w:rPr>
              <w:t>Señalar y explicar las opciones de P.I. para desarrollar la marca de mandarina Kinnow mediante el uso de las marcas y las indicaciones geográficas.</w:t>
            </w:r>
          </w:p>
          <w:p w:rsidR="00C91295" w:rsidRPr="00526311" w:rsidRDefault="00C91295" w:rsidP="00F1387F">
            <w:pPr>
              <w:autoSpaceDE w:val="0"/>
              <w:autoSpaceDN w:val="0"/>
              <w:adjustRightInd w:val="0"/>
              <w:spacing w:before="120" w:after="120"/>
              <w:rPr>
                <w:sz w:val="16"/>
                <w:szCs w:val="16"/>
              </w:rPr>
            </w:pPr>
          </w:p>
        </w:tc>
      </w:tr>
      <w:tr w:rsidR="00C91295" w:rsidRPr="00526311" w:rsidTr="00F1387F">
        <w:trPr>
          <w:cantSplit/>
          <w:trHeight w:val="315"/>
        </w:trPr>
        <w:tc>
          <w:tcPr>
            <w:tcW w:w="9356" w:type="dxa"/>
            <w:gridSpan w:val="4"/>
            <w:tcBorders>
              <w:top w:val="single" w:sz="4" w:space="0" w:color="000000"/>
              <w:bottom w:val="single" w:sz="4" w:space="0" w:color="000000"/>
            </w:tcBorders>
            <w:shd w:val="clear" w:color="auto" w:fill="CCFFFF"/>
          </w:tcPr>
          <w:p w:rsidR="00C91295" w:rsidRPr="00526311" w:rsidRDefault="00C91295" w:rsidP="00F1387F">
            <w:pPr>
              <w:keepNext/>
              <w:keepLines/>
              <w:tabs>
                <w:tab w:val="left" w:pos="1740"/>
              </w:tabs>
              <w:spacing w:before="120" w:after="120"/>
              <w:ind w:left="1740" w:hanging="1740"/>
              <w:rPr>
                <w:sz w:val="16"/>
                <w:szCs w:val="16"/>
              </w:rPr>
            </w:pPr>
            <w:r w:rsidRPr="00526311">
              <w:rPr>
                <w:b/>
                <w:bCs/>
                <w:sz w:val="16"/>
                <w:szCs w:val="16"/>
              </w:rPr>
              <w:lastRenderedPageBreak/>
              <w:t>RESULTADO</w:t>
            </w:r>
            <w:r w:rsidRPr="00526311">
              <w:rPr>
                <w:bCs/>
                <w:sz w:val="16"/>
                <w:szCs w:val="16"/>
              </w:rPr>
              <w:t>:</w:t>
            </w:r>
            <w:r w:rsidRPr="00526311">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rPr>
          <w:cantSplit/>
          <w:trHeight w:val="436"/>
        </w:trPr>
        <w:tc>
          <w:tcPr>
            <w:tcW w:w="1843" w:type="dxa"/>
            <w:tcBorders>
              <w:top w:val="single" w:sz="4" w:space="0" w:color="000000"/>
            </w:tcBorders>
            <w:vAlign w:val="center"/>
          </w:tcPr>
          <w:p w:rsidR="00C91295" w:rsidRPr="00526311" w:rsidRDefault="00C91295" w:rsidP="00F1387F">
            <w:pPr>
              <w:keepNext/>
              <w:keepLines/>
              <w:spacing w:before="120" w:after="120"/>
              <w:rPr>
                <w:b/>
                <w:bCs/>
                <w:sz w:val="16"/>
                <w:szCs w:val="16"/>
              </w:rPr>
            </w:pPr>
            <w:r w:rsidRPr="00526311">
              <w:rPr>
                <w:b/>
                <w:bCs/>
                <w:sz w:val="16"/>
                <w:szCs w:val="16"/>
              </w:rPr>
              <w:t>Actividad</w:t>
            </w:r>
          </w:p>
        </w:tc>
        <w:tc>
          <w:tcPr>
            <w:tcW w:w="1134" w:type="dxa"/>
            <w:tcBorders>
              <w:top w:val="single" w:sz="4" w:space="0" w:color="000000"/>
            </w:tcBorders>
            <w:vAlign w:val="center"/>
          </w:tcPr>
          <w:p w:rsidR="00C91295" w:rsidRPr="00526311" w:rsidRDefault="00C91295" w:rsidP="00F1387F">
            <w:pPr>
              <w:keepNext/>
              <w:keepLines/>
              <w:spacing w:before="120" w:after="120"/>
              <w:rPr>
                <w:sz w:val="16"/>
                <w:szCs w:val="16"/>
              </w:rPr>
            </w:pPr>
            <w:r w:rsidRPr="00526311">
              <w:rPr>
                <w:b/>
                <w:sz w:val="16"/>
                <w:szCs w:val="16"/>
              </w:rPr>
              <w:t>Fecha</w:t>
            </w:r>
          </w:p>
        </w:tc>
        <w:tc>
          <w:tcPr>
            <w:tcW w:w="1985" w:type="dxa"/>
            <w:tcBorders>
              <w:top w:val="single" w:sz="4" w:space="0" w:color="000000"/>
            </w:tcBorders>
            <w:vAlign w:val="center"/>
          </w:tcPr>
          <w:p w:rsidR="00C91295" w:rsidRPr="00526311" w:rsidRDefault="00C91295" w:rsidP="00F1387F">
            <w:pPr>
              <w:keepNext/>
              <w:keepLines/>
              <w:spacing w:before="120" w:after="120"/>
              <w:rPr>
                <w:sz w:val="16"/>
                <w:szCs w:val="16"/>
              </w:rPr>
            </w:pPr>
            <w:r w:rsidRPr="00526311">
              <w:rPr>
                <w:b/>
                <w:sz w:val="16"/>
                <w:szCs w:val="16"/>
              </w:rPr>
              <w:t>País anfitrión / Beneficiarios</w:t>
            </w:r>
          </w:p>
        </w:tc>
        <w:tc>
          <w:tcPr>
            <w:tcW w:w="4394" w:type="dxa"/>
            <w:tcBorders>
              <w:top w:val="single" w:sz="4" w:space="0" w:color="000000"/>
            </w:tcBorders>
            <w:vAlign w:val="center"/>
          </w:tcPr>
          <w:p w:rsidR="00C91295" w:rsidRPr="00526311" w:rsidRDefault="00C91295" w:rsidP="00F1387F">
            <w:pPr>
              <w:keepNext/>
              <w:keepLines/>
              <w:spacing w:before="120" w:after="120"/>
              <w:rPr>
                <w:sz w:val="16"/>
                <w:szCs w:val="16"/>
              </w:rPr>
            </w:pPr>
            <w:r w:rsidRPr="00526311">
              <w:rPr>
                <w:b/>
                <w:sz w:val="16"/>
                <w:szCs w:val="16"/>
              </w:rPr>
              <w:t>Propósito(s)/Descripción</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Finalización de los estudios de Maestría en Derecho de la P.I. de la OMPI y la Universidad de Turín</w:t>
            </w:r>
            <w:r w:rsidRPr="00526311">
              <w:rPr>
                <w:sz w:val="16"/>
                <w:szCs w:val="16"/>
              </w:rPr>
              <w:br/>
            </w:r>
          </w:p>
        </w:tc>
        <w:tc>
          <w:tcPr>
            <w:tcW w:w="1134"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Febrero de 2014 </w:t>
            </w:r>
          </w:p>
          <w:p w:rsidR="00C91295" w:rsidRPr="00526311" w:rsidRDefault="00C91295" w:rsidP="00F1387F">
            <w:pPr>
              <w:autoSpaceDE w:val="0"/>
              <w:autoSpaceDN w:val="0"/>
              <w:adjustRightInd w:val="0"/>
              <w:spacing w:before="120" w:after="120"/>
              <w:rPr>
                <w:sz w:val="16"/>
                <w:szCs w:val="16"/>
              </w:rPr>
            </w:pPr>
          </w:p>
        </w:tc>
        <w:tc>
          <w:tcPr>
            <w:tcW w:w="1985"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Pakistán / 1 funcionario de la Oficina de P.I. del Pakistán </w:t>
            </w:r>
            <w:r w:rsidRPr="00526311">
              <w:rPr>
                <w:sz w:val="16"/>
                <w:szCs w:val="16"/>
              </w:rPr>
              <w:br/>
            </w:r>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i) Fomentar los conocimientos y la comprensión del Derecho de la P.I. de los funcionarios de la Oficina de P.I. del Pakistán y ii) capacitar al funcionario que recibe la formación para que elabore documentación (artículos, resúmenes de política, comentarios) sobre determinadas cuestiones del Derecho de la P.I.</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Entrega a dos instituciones de material de referencia sobre la P.I. </w:t>
            </w:r>
          </w:p>
        </w:tc>
        <w:tc>
          <w:tcPr>
            <w:tcW w:w="1134"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Febrero de 2014 </w:t>
            </w:r>
          </w:p>
        </w:tc>
        <w:tc>
          <w:tcPr>
            <w:tcW w:w="1985"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Pakistán / Oficina de P.I. del Pakistán e Instituto Paquistaní de Comercio y Desarrollo (PITAD) </w:t>
            </w:r>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Fomentar la capacidad en el ámbito de la enseñanza y la formación en P.I. en el Pakistán.</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Finalización de un documento sobre un plan de estudios de P.I. para facultades de Derecho, Ciencias Empresariales e Ingeniería</w:t>
            </w:r>
          </w:p>
        </w:tc>
        <w:tc>
          <w:tcPr>
            <w:tcW w:w="1134" w:type="dxa"/>
          </w:tcPr>
          <w:p w:rsidR="00C91295" w:rsidRPr="00526311" w:rsidRDefault="00C91295" w:rsidP="00F1387F">
            <w:pPr>
              <w:autoSpaceDE w:val="0"/>
              <w:autoSpaceDN w:val="0"/>
              <w:adjustRightInd w:val="0"/>
              <w:spacing w:before="120" w:after="120"/>
              <w:rPr>
                <w:sz w:val="16"/>
                <w:szCs w:val="16"/>
              </w:rPr>
            </w:pPr>
            <w:r w:rsidRPr="00526311">
              <w:rPr>
                <w:sz w:val="16"/>
                <w:szCs w:val="16"/>
              </w:rPr>
              <w:t>Junio de 2014</w:t>
            </w:r>
          </w:p>
          <w:p w:rsidR="00C91295" w:rsidRPr="00526311" w:rsidRDefault="00C91295" w:rsidP="00F1387F">
            <w:pPr>
              <w:autoSpaceDE w:val="0"/>
              <w:autoSpaceDN w:val="0"/>
              <w:adjustRightInd w:val="0"/>
              <w:spacing w:before="120" w:after="120"/>
              <w:rPr>
                <w:sz w:val="16"/>
                <w:szCs w:val="16"/>
              </w:rPr>
            </w:pPr>
          </w:p>
        </w:tc>
        <w:tc>
          <w:tcPr>
            <w:tcW w:w="1985"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Pakistán / Comisario Principal de Educación y Oficina de P.I. del Pakistán </w:t>
            </w:r>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Proporcionar directrices / modelos de programas para la elaboración de planes de estudios en facultades de Derecho, Ciencias Empresariales e Ingeniería.</w:t>
            </w:r>
          </w:p>
        </w:tc>
      </w:tr>
      <w:tr w:rsidR="00C91295" w:rsidRPr="00526311" w:rsidTr="00F1387F">
        <w:trPr>
          <w:cantSplit/>
          <w:trHeight w:val="315"/>
        </w:trPr>
        <w:tc>
          <w:tcPr>
            <w:tcW w:w="9356" w:type="dxa"/>
            <w:gridSpan w:val="4"/>
            <w:tcBorders>
              <w:top w:val="single" w:sz="4" w:space="0" w:color="000000"/>
              <w:bottom w:val="single" w:sz="4" w:space="0" w:color="auto"/>
            </w:tcBorders>
            <w:shd w:val="clear" w:color="auto" w:fill="CCFFFF"/>
          </w:tcPr>
          <w:p w:rsidR="00C91295" w:rsidRPr="00526311" w:rsidRDefault="00C91295" w:rsidP="00F1387F">
            <w:pPr>
              <w:keepNext/>
              <w:keepLines/>
              <w:tabs>
                <w:tab w:val="left" w:pos="1740"/>
              </w:tabs>
              <w:spacing w:before="120" w:after="120"/>
              <w:ind w:left="1740" w:hanging="1740"/>
              <w:rPr>
                <w:sz w:val="16"/>
                <w:szCs w:val="16"/>
              </w:rPr>
            </w:pPr>
            <w:r w:rsidRPr="00526311">
              <w:rPr>
                <w:b/>
                <w:bCs/>
                <w:sz w:val="16"/>
                <w:szCs w:val="16"/>
              </w:rPr>
              <w:t>RESULTADO</w:t>
            </w:r>
            <w:r w:rsidRPr="00526311">
              <w:rPr>
                <w:bCs/>
                <w:sz w:val="16"/>
                <w:szCs w:val="16"/>
              </w:rPr>
              <w:t>:</w:t>
            </w:r>
            <w:r w:rsidRPr="00526311">
              <w:rPr>
                <w:bCs/>
                <w:sz w:val="16"/>
                <w:szCs w:val="16"/>
              </w:rPr>
              <w:tab/>
              <w:t>IV.4 Mejora en la infraestructura técnica y de conocimientos de las Oficinas y demás instituciones de P.I. que les permita prestar mejores servicios (más económicos, más rápidos y de mejor calidad) a sus partes interesadas</w:t>
            </w:r>
          </w:p>
        </w:tc>
      </w:tr>
      <w:tr w:rsidR="00C91295" w:rsidRPr="00526311" w:rsidTr="00F1387F">
        <w:trPr>
          <w:cantSplit/>
          <w:trHeight w:val="399"/>
        </w:trPr>
        <w:tc>
          <w:tcPr>
            <w:tcW w:w="1843" w:type="dxa"/>
            <w:tcBorders>
              <w:top w:val="single" w:sz="4" w:space="0" w:color="auto"/>
              <w:left w:val="single" w:sz="4" w:space="0" w:color="auto"/>
              <w:bottom w:val="nil"/>
            </w:tcBorders>
            <w:vAlign w:val="center"/>
          </w:tcPr>
          <w:p w:rsidR="00C91295" w:rsidRPr="00526311" w:rsidRDefault="00C91295" w:rsidP="00F1387F">
            <w:pPr>
              <w:keepNext/>
              <w:keepLines/>
              <w:spacing w:before="120" w:after="120"/>
              <w:rPr>
                <w:b/>
                <w:bCs/>
                <w:sz w:val="16"/>
                <w:szCs w:val="16"/>
              </w:rPr>
            </w:pPr>
            <w:r w:rsidRPr="00526311">
              <w:rPr>
                <w:b/>
                <w:bCs/>
                <w:sz w:val="16"/>
                <w:szCs w:val="16"/>
              </w:rPr>
              <w:t>Actividad</w:t>
            </w:r>
          </w:p>
        </w:tc>
        <w:tc>
          <w:tcPr>
            <w:tcW w:w="1134" w:type="dxa"/>
            <w:tcBorders>
              <w:top w:val="single" w:sz="4" w:space="0" w:color="auto"/>
              <w:bottom w:val="nil"/>
            </w:tcBorders>
            <w:vAlign w:val="center"/>
          </w:tcPr>
          <w:p w:rsidR="00C91295" w:rsidRPr="00526311" w:rsidRDefault="00C91295" w:rsidP="00F1387F">
            <w:pPr>
              <w:keepNext/>
              <w:keepLines/>
              <w:spacing w:before="120" w:after="120"/>
              <w:rPr>
                <w:sz w:val="16"/>
                <w:szCs w:val="16"/>
              </w:rPr>
            </w:pPr>
            <w:r w:rsidRPr="00526311">
              <w:rPr>
                <w:b/>
                <w:sz w:val="16"/>
                <w:szCs w:val="16"/>
              </w:rPr>
              <w:t>Fecha</w:t>
            </w:r>
          </w:p>
        </w:tc>
        <w:tc>
          <w:tcPr>
            <w:tcW w:w="1985" w:type="dxa"/>
            <w:tcBorders>
              <w:top w:val="single" w:sz="4" w:space="0" w:color="auto"/>
              <w:bottom w:val="nil"/>
            </w:tcBorders>
            <w:vAlign w:val="center"/>
          </w:tcPr>
          <w:p w:rsidR="00C91295" w:rsidRPr="00526311" w:rsidRDefault="00C91295" w:rsidP="00F1387F">
            <w:pPr>
              <w:keepNext/>
              <w:keepLines/>
              <w:spacing w:before="120" w:after="120"/>
              <w:rPr>
                <w:sz w:val="16"/>
                <w:szCs w:val="16"/>
              </w:rPr>
            </w:pPr>
            <w:r w:rsidRPr="00526311">
              <w:rPr>
                <w:b/>
                <w:sz w:val="16"/>
                <w:szCs w:val="16"/>
              </w:rPr>
              <w:t>País anfitrión / Beneficiarios</w:t>
            </w:r>
          </w:p>
        </w:tc>
        <w:tc>
          <w:tcPr>
            <w:tcW w:w="4394" w:type="dxa"/>
            <w:tcBorders>
              <w:top w:val="single" w:sz="4" w:space="0" w:color="auto"/>
              <w:bottom w:val="nil"/>
              <w:right w:val="single" w:sz="4" w:space="0" w:color="auto"/>
            </w:tcBorders>
            <w:vAlign w:val="center"/>
          </w:tcPr>
          <w:p w:rsidR="00C91295" w:rsidRPr="00526311" w:rsidRDefault="00C91295" w:rsidP="00F1387F">
            <w:pPr>
              <w:keepNext/>
              <w:keepLines/>
              <w:spacing w:before="120" w:after="120"/>
              <w:rPr>
                <w:sz w:val="16"/>
                <w:szCs w:val="16"/>
              </w:rPr>
            </w:pPr>
            <w:r w:rsidRPr="00526311">
              <w:rPr>
                <w:b/>
                <w:sz w:val="16"/>
                <w:szCs w:val="16"/>
              </w:rPr>
              <w:t>Propósito(s)/Descripción</w:t>
            </w:r>
          </w:p>
        </w:tc>
      </w:tr>
      <w:tr w:rsidR="00C91295" w:rsidRPr="00526311" w:rsidTr="00F1387F">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Contrato otorgado para la puesta a punto del portal de Internet de la Oficina de la P.I. del Pakistán </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Agosto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Pakistán / Oficina de P.I. del Pakistán </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Mejorar el sitio web de la Oficina de P.I. del Pakistán introduciendo nuevas funciones como:  i) el acceso en línea a la Gaceta de patentes y a los Diarios de marcas, ii) el acceso en línea a la verificación de la situación de las solicitudes de títulos de P.I., iii) el acceso a la búsqueda pública de bases de datos de P.I. y iv) la puesta en marcha de una red de Intranet para las comunicaciones internas entre las Oficinas de P.I. del Pakistán en Karachi, Lahore e Islamabad.</w:t>
            </w:r>
          </w:p>
        </w:tc>
      </w:tr>
      <w:tr w:rsidR="00C91295" w:rsidRPr="00526311" w:rsidTr="00D66387">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rPr>
                <w:sz w:val="16"/>
                <w:szCs w:val="16"/>
              </w:rPr>
            </w:pPr>
            <w:r w:rsidRPr="00526311">
              <w:rPr>
                <w:sz w:val="16"/>
                <w:szCs w:val="16"/>
              </w:rPr>
              <w:t xml:space="preserve">Contrato iniciado para la adaptación de los programas informáticos para los RR.HH. y la gestión financiera de la Oficina de la P.I. del Pakistán </w:t>
            </w:r>
          </w:p>
          <w:p w:rsidR="00C91295" w:rsidRPr="00526311" w:rsidRDefault="00C91295" w:rsidP="00F1387F">
            <w:pPr>
              <w:autoSpaceDE w:val="0"/>
              <w:autoSpaceDN w:val="0"/>
              <w:adjustRightInd w:val="0"/>
              <w:rPr>
                <w:sz w:val="16"/>
                <w:szCs w:val="16"/>
              </w:rPr>
            </w:pPr>
          </w:p>
        </w:tc>
        <w:tc>
          <w:tcPr>
            <w:tcW w:w="1134" w:type="dxa"/>
            <w:tcBorders>
              <w:top w:val="nil"/>
              <w:bottom w:val="nil"/>
            </w:tcBorders>
          </w:tcPr>
          <w:p w:rsidR="00C91295" w:rsidRPr="00526311" w:rsidRDefault="00C91295" w:rsidP="00F1387F">
            <w:pPr>
              <w:autoSpaceDE w:val="0"/>
              <w:autoSpaceDN w:val="0"/>
              <w:adjustRightInd w:val="0"/>
              <w:rPr>
                <w:sz w:val="16"/>
                <w:szCs w:val="16"/>
              </w:rPr>
            </w:pPr>
            <w:r w:rsidRPr="00526311">
              <w:rPr>
                <w:sz w:val="16"/>
                <w:szCs w:val="16"/>
              </w:rPr>
              <w:t>Septiembre de 2014</w:t>
            </w:r>
          </w:p>
        </w:tc>
        <w:tc>
          <w:tcPr>
            <w:tcW w:w="1985" w:type="dxa"/>
            <w:tcBorders>
              <w:top w:val="nil"/>
              <w:bottom w:val="nil"/>
            </w:tcBorders>
          </w:tcPr>
          <w:p w:rsidR="00C91295" w:rsidRPr="00526311" w:rsidRDefault="00C91295" w:rsidP="00F1387F">
            <w:pPr>
              <w:autoSpaceDE w:val="0"/>
              <w:autoSpaceDN w:val="0"/>
              <w:adjustRightInd w:val="0"/>
              <w:rPr>
                <w:sz w:val="16"/>
                <w:szCs w:val="16"/>
              </w:rPr>
            </w:pPr>
            <w:r w:rsidRPr="00526311">
              <w:rPr>
                <w:sz w:val="16"/>
                <w:szCs w:val="16"/>
              </w:rPr>
              <w:t xml:space="preserve">Pakistán / Oficina de P.I. del Pakistán </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rPr>
                <w:sz w:val="16"/>
                <w:szCs w:val="16"/>
              </w:rPr>
            </w:pPr>
            <w:r w:rsidRPr="00526311">
              <w:rPr>
                <w:sz w:val="16"/>
                <w:szCs w:val="16"/>
              </w:rPr>
              <w:t xml:space="preserve">Fomentar la capacidad de la Oficina de P.I. del Pakistán para prestar servicios introduciendo sistemas de automatización para ejecutar las funciones esenciales de gestión financiera y recursos humanos. </w:t>
            </w:r>
          </w:p>
        </w:tc>
      </w:tr>
      <w:tr w:rsidR="00C91295" w:rsidRPr="00526311" w:rsidTr="00F1387F">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Misión de expertos a la Oficina de la P.I. del Pakistán para prestar apoyo técnico y formación sobre el terreno a un equipo de T.I. de la Oficina</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24 de febrero a 7 de marzo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Pakistán / 7 participantes de la Oficina de P.I. del Pakistán</w:t>
            </w:r>
            <w:r w:rsidRPr="00526311">
              <w:rPr>
                <w:sz w:val="16"/>
                <w:szCs w:val="16"/>
              </w:rPr>
              <w:br/>
            </w:r>
          </w:p>
        </w:tc>
        <w:tc>
          <w:tcPr>
            <w:tcW w:w="4394" w:type="dxa"/>
            <w:tcBorders>
              <w:top w:val="nil"/>
              <w:bottom w:val="nil"/>
              <w:right w:val="single" w:sz="4" w:space="0" w:color="auto"/>
            </w:tcBorders>
          </w:tcPr>
          <w:p w:rsidR="00C91295" w:rsidRPr="00526311" w:rsidRDefault="00C91295" w:rsidP="00087DDA">
            <w:pPr>
              <w:autoSpaceDE w:val="0"/>
              <w:autoSpaceDN w:val="0"/>
              <w:adjustRightInd w:val="0"/>
              <w:spacing w:before="120" w:after="120"/>
              <w:rPr>
                <w:sz w:val="16"/>
                <w:szCs w:val="16"/>
              </w:rPr>
            </w:pPr>
            <w:r w:rsidRPr="00526311">
              <w:rPr>
                <w:sz w:val="16"/>
                <w:szCs w:val="16"/>
              </w:rPr>
              <w:t>Velar por una mayor autonomía de la Oficina de P.I. del Pakistán en la gestión, configuración y apoyo al usuario de los sistemas mejorados de automatización de la P.I. (IPAS),  incluida la integración de los registros de P.I. digitalizados.</w:t>
            </w:r>
          </w:p>
        </w:tc>
      </w:tr>
      <w:tr w:rsidR="00C91295" w:rsidRPr="00526311" w:rsidTr="004C5880">
        <w:trPr>
          <w:cantSplit/>
          <w:trHeight w:val="1233"/>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Formación del equipo de T.I. de la Oficina de P.I. en el sistema de gestión de la base de datos de Oracle</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5 a 9 de mayo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Pakistán / 7 participantes de la Oficina de P.I. del Pakistán</w:t>
            </w:r>
            <w:r w:rsidRPr="00526311">
              <w:rPr>
                <w:sz w:val="16"/>
                <w:szCs w:val="16"/>
              </w:rPr>
              <w:br/>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Fomentar las capacidades del equipo de T.I. de la Oficina en lo que atañe a las tecnologías de la base de datos de Oracle, entre ellas, la arquitectura, la seguridad, el rendimiento y los sistemas de reserva y recuperación para el funcionamiento eficaz del sistema automatizado de P.I.</w:t>
            </w:r>
            <w:r w:rsidRPr="00526311">
              <w:rPr>
                <w:sz w:val="16"/>
                <w:szCs w:val="16"/>
              </w:rPr>
              <w:br/>
            </w:r>
          </w:p>
        </w:tc>
      </w:tr>
      <w:tr w:rsidR="00C91295" w:rsidRPr="00526311" w:rsidTr="004C5880">
        <w:trPr>
          <w:cantSplit/>
          <w:trHeight w:val="1025"/>
        </w:trPr>
        <w:tc>
          <w:tcPr>
            <w:tcW w:w="1843"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Puesta a punto de una versión piloto de un foro electrónico</w:t>
            </w:r>
          </w:p>
        </w:tc>
        <w:tc>
          <w:tcPr>
            <w:tcW w:w="1134" w:type="dxa"/>
            <w:tcBorders>
              <w:top w:val="nil"/>
              <w:bottom w:val="single" w:sz="4" w:space="0" w:color="auto"/>
            </w:tcBorders>
          </w:tcPr>
          <w:p w:rsidR="00C91295" w:rsidRPr="00526311" w:rsidRDefault="00C91295" w:rsidP="00F1387F">
            <w:pPr>
              <w:spacing w:before="120" w:after="120"/>
              <w:rPr>
                <w:sz w:val="16"/>
                <w:szCs w:val="16"/>
              </w:rPr>
            </w:pPr>
            <w:r w:rsidRPr="00526311">
              <w:rPr>
                <w:sz w:val="16"/>
                <w:szCs w:val="16"/>
              </w:rPr>
              <w:t>Octubre de 2014</w:t>
            </w:r>
          </w:p>
        </w:tc>
        <w:tc>
          <w:tcPr>
            <w:tcW w:w="1985"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Pakistán / Oficina de P.I. del Pakistán</w:t>
            </w:r>
          </w:p>
        </w:tc>
        <w:tc>
          <w:tcPr>
            <w:tcW w:w="4394"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Fortalecer los vínculos entre las instituciones de investigación y el sector privado mediante un foro electrónico (PiNET) en el que la investigación y las tecnologías disponibles se vinculen a las necesidades del sector privado.</w:t>
            </w:r>
          </w:p>
        </w:tc>
      </w:tr>
      <w:tr w:rsidR="00D66387" w:rsidRPr="00526311" w:rsidTr="004C5880">
        <w:trPr>
          <w:cantSplit/>
          <w:trHeight w:val="399"/>
        </w:trPr>
        <w:tc>
          <w:tcPr>
            <w:tcW w:w="1843" w:type="dxa"/>
            <w:tcBorders>
              <w:top w:val="single" w:sz="4" w:space="0" w:color="auto"/>
              <w:left w:val="single" w:sz="4" w:space="0" w:color="auto"/>
              <w:bottom w:val="nil"/>
            </w:tcBorders>
            <w:vAlign w:val="center"/>
          </w:tcPr>
          <w:p w:rsidR="00D66387" w:rsidRPr="00526311" w:rsidRDefault="00D66387" w:rsidP="001A4F69">
            <w:pPr>
              <w:keepNext/>
              <w:keepLines/>
              <w:spacing w:before="120" w:after="120"/>
              <w:rPr>
                <w:b/>
                <w:bCs/>
                <w:sz w:val="16"/>
                <w:szCs w:val="16"/>
              </w:rPr>
            </w:pPr>
            <w:r w:rsidRPr="00526311">
              <w:rPr>
                <w:b/>
                <w:bCs/>
                <w:sz w:val="16"/>
                <w:szCs w:val="16"/>
              </w:rPr>
              <w:lastRenderedPageBreak/>
              <w:t>Actividad</w:t>
            </w:r>
          </w:p>
        </w:tc>
        <w:tc>
          <w:tcPr>
            <w:tcW w:w="1134" w:type="dxa"/>
            <w:tcBorders>
              <w:top w:val="single" w:sz="4" w:space="0" w:color="auto"/>
              <w:bottom w:val="nil"/>
            </w:tcBorders>
            <w:vAlign w:val="center"/>
          </w:tcPr>
          <w:p w:rsidR="00D66387" w:rsidRPr="00526311" w:rsidRDefault="00D66387" w:rsidP="001A4F69">
            <w:pPr>
              <w:keepNext/>
              <w:keepLines/>
              <w:spacing w:before="120" w:after="120"/>
              <w:rPr>
                <w:sz w:val="16"/>
                <w:szCs w:val="16"/>
              </w:rPr>
            </w:pPr>
            <w:r w:rsidRPr="00526311">
              <w:rPr>
                <w:b/>
                <w:sz w:val="16"/>
                <w:szCs w:val="16"/>
              </w:rPr>
              <w:t>Fecha</w:t>
            </w:r>
          </w:p>
        </w:tc>
        <w:tc>
          <w:tcPr>
            <w:tcW w:w="1985" w:type="dxa"/>
            <w:tcBorders>
              <w:top w:val="single" w:sz="4" w:space="0" w:color="auto"/>
              <w:bottom w:val="nil"/>
            </w:tcBorders>
            <w:vAlign w:val="center"/>
          </w:tcPr>
          <w:p w:rsidR="00D66387" w:rsidRPr="00526311" w:rsidRDefault="00D66387" w:rsidP="001A4F69">
            <w:pPr>
              <w:keepNext/>
              <w:keepLines/>
              <w:spacing w:before="120" w:after="120"/>
              <w:rPr>
                <w:sz w:val="16"/>
                <w:szCs w:val="16"/>
              </w:rPr>
            </w:pPr>
            <w:r w:rsidRPr="00526311">
              <w:rPr>
                <w:b/>
                <w:sz w:val="16"/>
                <w:szCs w:val="16"/>
              </w:rPr>
              <w:t>País anfitrión / Beneficiarios</w:t>
            </w:r>
          </w:p>
        </w:tc>
        <w:tc>
          <w:tcPr>
            <w:tcW w:w="4394" w:type="dxa"/>
            <w:tcBorders>
              <w:top w:val="single" w:sz="4" w:space="0" w:color="auto"/>
              <w:bottom w:val="nil"/>
              <w:right w:val="single" w:sz="4" w:space="0" w:color="auto"/>
            </w:tcBorders>
            <w:vAlign w:val="center"/>
          </w:tcPr>
          <w:p w:rsidR="00D66387" w:rsidRPr="00526311" w:rsidRDefault="00D66387" w:rsidP="001A4F69">
            <w:pPr>
              <w:keepNext/>
              <w:keepLines/>
              <w:spacing w:before="120" w:after="120"/>
              <w:rPr>
                <w:sz w:val="16"/>
                <w:szCs w:val="16"/>
              </w:rPr>
            </w:pPr>
            <w:r w:rsidRPr="00526311">
              <w:rPr>
                <w:b/>
                <w:sz w:val="16"/>
                <w:szCs w:val="16"/>
              </w:rPr>
              <w:t>Propósito(s)/Descripción</w:t>
            </w:r>
          </w:p>
        </w:tc>
      </w:tr>
      <w:tr w:rsidR="00C91295" w:rsidRPr="00526311" w:rsidTr="00F1387F">
        <w:trPr>
          <w:cantSplit/>
          <w:trHeight w:val="315"/>
        </w:trPr>
        <w:tc>
          <w:tcPr>
            <w:tcW w:w="1843" w:type="dxa"/>
            <w:tcBorders>
              <w:top w:val="nil"/>
              <w:left w:val="single" w:sz="4" w:space="0" w:color="auto"/>
              <w:bottom w:val="single" w:sz="4" w:space="0" w:color="auto"/>
            </w:tcBorders>
          </w:tcPr>
          <w:p w:rsidR="00C91295" w:rsidRPr="00526311" w:rsidRDefault="00087DDA" w:rsidP="00F1387F">
            <w:pPr>
              <w:autoSpaceDE w:val="0"/>
              <w:autoSpaceDN w:val="0"/>
              <w:adjustRightInd w:val="0"/>
              <w:spacing w:before="120" w:after="120"/>
              <w:rPr>
                <w:sz w:val="16"/>
                <w:szCs w:val="16"/>
              </w:rPr>
            </w:pPr>
            <w:r w:rsidRPr="00526311">
              <w:rPr>
                <w:sz w:val="16"/>
                <w:szCs w:val="16"/>
              </w:rPr>
              <w:t>Taller sobre el IPAS</w:t>
            </w:r>
            <w:r w:rsidR="00C91295" w:rsidRPr="00526311">
              <w:rPr>
                <w:sz w:val="16"/>
                <w:szCs w:val="16"/>
              </w:rPr>
              <w:t>, sistema de gestión electrónica de documentos y WIPOscan para el equipo de T.I. de la Oficina de P.I.</w:t>
            </w:r>
          </w:p>
        </w:tc>
        <w:tc>
          <w:tcPr>
            <w:tcW w:w="1134" w:type="dxa"/>
            <w:tcBorders>
              <w:top w:val="nil"/>
              <w:bottom w:val="single" w:sz="4" w:space="0" w:color="auto"/>
            </w:tcBorders>
          </w:tcPr>
          <w:p w:rsidR="00C91295" w:rsidRPr="00526311" w:rsidRDefault="00C91295" w:rsidP="00F1387F">
            <w:pPr>
              <w:spacing w:before="120" w:after="120"/>
              <w:rPr>
                <w:sz w:val="16"/>
                <w:szCs w:val="16"/>
              </w:rPr>
            </w:pPr>
            <w:r w:rsidRPr="00526311">
              <w:rPr>
                <w:sz w:val="16"/>
                <w:szCs w:val="16"/>
              </w:rPr>
              <w:t>3 a 11 de noviembre de 2014</w:t>
            </w:r>
          </w:p>
        </w:tc>
        <w:tc>
          <w:tcPr>
            <w:tcW w:w="1985"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Pakistán /  </w:t>
            </w:r>
            <w:r w:rsidRPr="00526311">
              <w:rPr>
                <w:sz w:val="16"/>
                <w:szCs w:val="16"/>
              </w:rPr>
              <w:br/>
              <w:t>5 participantes de la Oficina de P.I. del Pakistán</w:t>
            </w:r>
          </w:p>
        </w:tc>
        <w:tc>
          <w:tcPr>
            <w:tcW w:w="4394" w:type="dxa"/>
            <w:tcBorders>
              <w:top w:val="nil"/>
              <w:bottom w:val="single" w:sz="4" w:space="0" w:color="auto"/>
              <w:right w:val="single" w:sz="4" w:space="0" w:color="auto"/>
            </w:tcBorders>
          </w:tcPr>
          <w:p w:rsidR="00C91295" w:rsidRPr="00526311" w:rsidRDefault="00C91295" w:rsidP="008902F3">
            <w:pPr>
              <w:autoSpaceDE w:val="0"/>
              <w:autoSpaceDN w:val="0"/>
              <w:adjustRightInd w:val="0"/>
              <w:spacing w:before="120" w:after="120"/>
              <w:rPr>
                <w:sz w:val="16"/>
                <w:szCs w:val="16"/>
              </w:rPr>
            </w:pPr>
            <w:r w:rsidRPr="00526311">
              <w:rPr>
                <w:sz w:val="16"/>
                <w:szCs w:val="16"/>
              </w:rPr>
              <w:t>Fomentar los conocimientos técnicos del equipo de T.I. de la Oficina de P.I. mediante la transferencia de conocimientos avanzados de IPAS, el sistema de gestión electrónica de documentos y WIPO</w:t>
            </w:r>
            <w:r w:rsidR="008902F3">
              <w:rPr>
                <w:sz w:val="16"/>
                <w:szCs w:val="16"/>
              </w:rPr>
              <w:t>S</w:t>
            </w:r>
            <w:r w:rsidRPr="00526311">
              <w:rPr>
                <w:sz w:val="16"/>
                <w:szCs w:val="16"/>
              </w:rPr>
              <w:t>can a fin de garantizar su instalación, funcionamiento y apoyo constante en la Oficina de Patentes y el Registro de Marcas de la Oficina.</w:t>
            </w:r>
          </w:p>
        </w:tc>
      </w:tr>
    </w:tbl>
    <w:p w:rsidR="00C91295" w:rsidRPr="00526311" w:rsidRDefault="00C91295" w:rsidP="00F1387F">
      <w:pPr>
        <w:widowControl w:val="0"/>
        <w:tabs>
          <w:tab w:val="left" w:pos="0"/>
          <w:tab w:val="left" w:pos="9071"/>
        </w:tabs>
        <w:rPr>
          <w:b/>
          <w:sz w:val="20"/>
        </w:rPr>
      </w:pPr>
    </w:p>
    <w:p w:rsidR="00C91295" w:rsidRPr="00526311" w:rsidRDefault="00C91295" w:rsidP="00F1387F">
      <w:pPr>
        <w:widowControl w:val="0"/>
        <w:tabs>
          <w:tab w:val="left" w:pos="0"/>
          <w:tab w:val="left" w:pos="9071"/>
        </w:tabs>
        <w:rPr>
          <w:b/>
          <w:sz w:val="20"/>
        </w:rPr>
      </w:pPr>
    </w:p>
    <w:p w:rsidR="00C91295" w:rsidRPr="00526311" w:rsidRDefault="00C91295" w:rsidP="00F1387F">
      <w:pPr>
        <w:widowControl w:val="0"/>
        <w:rPr>
          <w:b/>
          <w:sz w:val="20"/>
        </w:rPr>
      </w:pPr>
      <w:r w:rsidRPr="00526311">
        <w:rPr>
          <w:b/>
          <w:sz w:val="20"/>
        </w:rPr>
        <w:t>UNIÓN EUROPEA (Proyecto Pakistán) – Contribuciones de donantes y gastos de 2014</w:t>
      </w:r>
    </w:p>
    <w:p w:rsidR="00C91295" w:rsidRPr="00526311" w:rsidRDefault="00C91295" w:rsidP="00F1387F">
      <w:pPr>
        <w:widowControl w:val="0"/>
        <w:tabs>
          <w:tab w:val="left" w:pos="0"/>
          <w:tab w:val="left" w:pos="9071"/>
        </w:tabs>
        <w:rPr>
          <w:b/>
          <w:sz w:val="20"/>
        </w:rPr>
      </w:pPr>
    </w:p>
    <w:tbl>
      <w:tblPr>
        <w:tblW w:w="9229" w:type="dxa"/>
        <w:jc w:val="center"/>
        <w:tblInd w:w="93" w:type="dxa"/>
        <w:tblLook w:val="04A0" w:firstRow="1" w:lastRow="0" w:firstColumn="1" w:lastColumn="0" w:noHBand="0" w:noVBand="1"/>
      </w:tblPr>
      <w:tblGrid>
        <w:gridCol w:w="1858"/>
        <w:gridCol w:w="1559"/>
        <w:gridCol w:w="1843"/>
        <w:gridCol w:w="1843"/>
        <w:gridCol w:w="2126"/>
      </w:tblGrid>
      <w:tr w:rsidR="00C91295" w:rsidRPr="00526311" w:rsidTr="00F1387F">
        <w:trPr>
          <w:trHeight w:val="51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Ingresos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Gastos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Reembolsos</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2014</w:t>
            </w:r>
          </w:p>
        </w:tc>
      </w:tr>
      <w:tr w:rsidR="00C91295" w:rsidRPr="00526311" w:rsidTr="00F1387F">
        <w:trPr>
          <w:trHeight w:val="40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605.533</w:t>
            </w:r>
          </w:p>
        </w:tc>
        <w:tc>
          <w:tcPr>
            <w:tcW w:w="1559"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(8.601)</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213.817</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 -</w:t>
            </w:r>
          </w:p>
        </w:tc>
        <w:tc>
          <w:tcPr>
            <w:tcW w:w="2126"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383.115</w:t>
            </w:r>
          </w:p>
        </w:tc>
      </w:tr>
    </w:tbl>
    <w:p w:rsidR="00C91295" w:rsidRPr="00526311" w:rsidRDefault="00C91295" w:rsidP="00F1387F">
      <w:pPr>
        <w:rPr>
          <w:sz w:val="20"/>
        </w:rPr>
      </w:pPr>
    </w:p>
    <w:p w:rsidR="00C91295" w:rsidRPr="00526311" w:rsidRDefault="00C91295" w:rsidP="00F1387F">
      <w:pPr>
        <w:rPr>
          <w:sz w:val="20"/>
        </w:rPr>
      </w:pPr>
    </w:p>
    <w:p w:rsidR="00C91295" w:rsidRPr="00526311" w:rsidRDefault="00C91295" w:rsidP="00F1387F">
      <w:pPr>
        <w:widowControl w:val="0"/>
        <w:tabs>
          <w:tab w:val="left" w:pos="0"/>
          <w:tab w:val="left" w:pos="9071"/>
        </w:tabs>
        <w:rPr>
          <w:sz w:val="20"/>
        </w:rPr>
      </w:pPr>
      <w:r w:rsidRPr="00526311">
        <w:rPr>
          <w:b/>
          <w:sz w:val="20"/>
        </w:rPr>
        <w:t>FINLANDIA / DERECHO DE AUTOR</w:t>
      </w:r>
    </w:p>
    <w:p w:rsidR="00C91295" w:rsidRPr="00526311" w:rsidRDefault="00C91295" w:rsidP="00F1387F">
      <w:pPr>
        <w:widowControl w:val="0"/>
        <w:tabs>
          <w:tab w:val="left" w:pos="0"/>
          <w:tab w:val="left" w:pos="9071"/>
        </w:tabs>
        <w:rPr>
          <w:b/>
          <w:sz w:val="20"/>
        </w:rPr>
      </w:pPr>
    </w:p>
    <w:tbl>
      <w:tblPr>
        <w:tblW w:w="9361"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1843"/>
        <w:gridCol w:w="4537"/>
      </w:tblGrid>
      <w:tr w:rsidR="00C91295" w:rsidRPr="00526311" w:rsidTr="00F1387F">
        <w:tc>
          <w:tcPr>
            <w:tcW w:w="9361" w:type="dxa"/>
            <w:gridSpan w:val="4"/>
            <w:tcBorders>
              <w:top w:val="single" w:sz="4" w:space="0" w:color="000000"/>
              <w:bottom w:val="single" w:sz="4" w:space="0" w:color="000000"/>
            </w:tcBorders>
            <w:shd w:val="clear" w:color="auto" w:fill="CCFFFF"/>
            <w:vAlign w:val="center"/>
          </w:tcPr>
          <w:p w:rsidR="00C91295" w:rsidRPr="00526311" w:rsidRDefault="00C91295" w:rsidP="00F1387F">
            <w:pPr>
              <w:tabs>
                <w:tab w:val="left" w:pos="890"/>
              </w:tabs>
              <w:spacing w:before="120" w:after="120"/>
              <w:ind w:left="890" w:hanging="890"/>
              <w:rPr>
                <w:b/>
                <w:bCs/>
                <w:sz w:val="16"/>
                <w:szCs w:val="16"/>
              </w:rPr>
            </w:pPr>
            <w:r w:rsidRPr="00526311">
              <w:rPr>
                <w:b/>
                <w:bCs/>
                <w:sz w:val="16"/>
                <w:szCs w:val="16"/>
              </w:rPr>
              <w:t>RESULTADO:</w:t>
            </w:r>
            <w:r w:rsidRPr="00526311">
              <w:rPr>
                <w:b/>
                <w:bCs/>
                <w:sz w:val="16"/>
                <w:szCs w:val="16"/>
              </w:rPr>
              <w:tab/>
            </w:r>
            <w:r w:rsidRPr="00526311">
              <w:rPr>
                <w:rFonts w:eastAsia="MS Mincho"/>
                <w:bCs/>
                <w:sz w:val="16"/>
                <w:szCs w:val="16"/>
                <w:lang w:eastAsia="ja-JP" w:bidi="th-TH"/>
              </w:rPr>
              <w:t>V.2 Ampliación y mejora del uso de los análisis económicos de la OMPI en la formulación de políticas</w:t>
            </w:r>
          </w:p>
        </w:tc>
      </w:tr>
      <w:tr w:rsidR="00C91295" w:rsidRPr="00526311" w:rsidTr="00F1387F">
        <w:tc>
          <w:tcPr>
            <w:tcW w:w="1844" w:type="dxa"/>
            <w:tcBorders>
              <w:top w:val="single" w:sz="4" w:space="0" w:color="000000"/>
            </w:tcBorders>
            <w:vAlign w:val="center"/>
          </w:tcPr>
          <w:p w:rsidR="00C91295" w:rsidRPr="00526311" w:rsidRDefault="00C91295" w:rsidP="00F1387F">
            <w:pPr>
              <w:keepNext/>
              <w:keepLines/>
              <w:rPr>
                <w:b/>
                <w:bCs/>
                <w:sz w:val="16"/>
                <w:szCs w:val="16"/>
              </w:rPr>
            </w:pPr>
            <w:r w:rsidRPr="00526311">
              <w:rPr>
                <w:b/>
                <w:bCs/>
                <w:sz w:val="16"/>
                <w:szCs w:val="16"/>
              </w:rPr>
              <w:t>Actividad</w:t>
            </w:r>
          </w:p>
        </w:tc>
        <w:tc>
          <w:tcPr>
            <w:tcW w:w="1137" w:type="dxa"/>
            <w:tcBorders>
              <w:top w:val="single" w:sz="4" w:space="0" w:color="000000"/>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Fecha</w:t>
            </w:r>
          </w:p>
        </w:tc>
        <w:tc>
          <w:tcPr>
            <w:tcW w:w="1843" w:type="dxa"/>
            <w:tcBorders>
              <w:top w:val="single" w:sz="4" w:space="0" w:color="000000"/>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País anfitrión / Beneficiarios</w:t>
            </w:r>
          </w:p>
        </w:tc>
        <w:tc>
          <w:tcPr>
            <w:tcW w:w="4537" w:type="dxa"/>
            <w:tcBorders>
              <w:top w:val="single" w:sz="4" w:space="0" w:color="000000"/>
            </w:tcBorders>
            <w:shd w:val="clear" w:color="auto" w:fill="FFFFFF"/>
            <w:tcMar>
              <w:top w:w="110" w:type="dxa"/>
            </w:tcMar>
            <w:vAlign w:val="center"/>
          </w:tcPr>
          <w:p w:rsidR="00C91295" w:rsidRPr="00526311" w:rsidRDefault="00C91295" w:rsidP="00F1387F">
            <w:pPr>
              <w:keepNext/>
              <w:keepLines/>
              <w:rPr>
                <w:sz w:val="16"/>
                <w:szCs w:val="16"/>
              </w:rPr>
            </w:pPr>
            <w:r w:rsidRPr="00526311">
              <w:rPr>
                <w:b/>
                <w:sz w:val="16"/>
                <w:szCs w:val="16"/>
              </w:rPr>
              <w:t>Propósito(s)/Descripción</w:t>
            </w:r>
          </w:p>
        </w:tc>
      </w:tr>
      <w:tr w:rsidR="00C91295" w:rsidRPr="00526311" w:rsidTr="00F1387F">
        <w:tc>
          <w:tcPr>
            <w:tcW w:w="1844"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Reunión de expertos sobre la revisión de la Guía de la OMPI para el estudio de la contribución económica de las industrias del derecho de autor</w:t>
            </w:r>
          </w:p>
        </w:tc>
        <w:tc>
          <w:tcPr>
            <w:tcW w:w="1137"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25 a 27 de marzo de 2014</w:t>
            </w:r>
          </w:p>
        </w:tc>
        <w:tc>
          <w:tcPr>
            <w:tcW w:w="1843"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Finlandia / todos los países</w:t>
            </w:r>
          </w:p>
        </w:tc>
        <w:tc>
          <w:tcPr>
            <w:tcW w:w="4537"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Examinar y actualizar la metodología de la OMPI para el estudio de la contribución económica de las industrias del derecho de autor</w:t>
            </w:r>
          </w:p>
        </w:tc>
      </w:tr>
      <w:tr w:rsidR="00C91295" w:rsidRPr="00526311" w:rsidTr="00F1387F">
        <w:tc>
          <w:tcPr>
            <w:tcW w:w="1844"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 xml:space="preserve">Conferencia regional sobre la propiedad intelectual y las industrias creativas </w:t>
            </w:r>
          </w:p>
        </w:tc>
        <w:tc>
          <w:tcPr>
            <w:tcW w:w="1137"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10 a 12 de febrero de 2014</w:t>
            </w:r>
          </w:p>
        </w:tc>
        <w:tc>
          <w:tcPr>
            <w:tcW w:w="1843"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 xml:space="preserve">Países del Caribe </w:t>
            </w:r>
          </w:p>
        </w:tc>
        <w:tc>
          <w:tcPr>
            <w:tcW w:w="4537"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Proporcionar un foro internacional para el debate sobre la función de la P.I. en las industrias creativas.</w:t>
            </w:r>
          </w:p>
        </w:tc>
      </w:tr>
      <w:tr w:rsidR="00C91295" w:rsidRPr="00526311" w:rsidTr="00F1387F">
        <w:tc>
          <w:tcPr>
            <w:tcW w:w="1844" w:type="dxa"/>
          </w:tcPr>
          <w:p w:rsidR="00C91295" w:rsidRPr="00526311" w:rsidRDefault="00C91295" w:rsidP="00F1387F">
            <w:pPr>
              <w:keepNext/>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 xml:space="preserve">Puesta en marcha de un programa piloto para evaluar la repercusión económica, social y cultural del derecho de autor en las industrias creativas </w:t>
            </w:r>
          </w:p>
        </w:tc>
        <w:tc>
          <w:tcPr>
            <w:tcW w:w="1137" w:type="dxa"/>
          </w:tcPr>
          <w:p w:rsidR="00C91295" w:rsidRPr="00526311" w:rsidRDefault="00C91295" w:rsidP="00F1387F">
            <w:pPr>
              <w:keepNext/>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1 de mayo a 31 de diciembre de 2014</w:t>
            </w:r>
          </w:p>
        </w:tc>
        <w:tc>
          <w:tcPr>
            <w:tcW w:w="1843" w:type="dxa"/>
          </w:tcPr>
          <w:p w:rsidR="00C91295" w:rsidRPr="00526311" w:rsidRDefault="00C91295" w:rsidP="00F1387F">
            <w:pPr>
              <w:keepNext/>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 xml:space="preserve">Finlandia / todos los países </w:t>
            </w:r>
          </w:p>
        </w:tc>
        <w:tc>
          <w:tcPr>
            <w:tcW w:w="4537" w:type="dxa"/>
          </w:tcPr>
          <w:p w:rsidR="00C91295" w:rsidRPr="00526311" w:rsidRDefault="00C91295" w:rsidP="00F1387F">
            <w:pPr>
              <w:keepNext/>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Poner en marcha un proyecto para poner a prueba las directrices de la OMPI para evaluar la incidencia general del derecho de autor.</w:t>
            </w:r>
          </w:p>
        </w:tc>
      </w:tr>
      <w:tr w:rsidR="00C91295" w:rsidRPr="00526311" w:rsidTr="00F1387F">
        <w:tc>
          <w:tcPr>
            <w:tcW w:w="1844"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Estudios sobre la contribución económica de las industrias del derecho de autor y evaluación de la piratería del derecho de autor</w:t>
            </w:r>
          </w:p>
        </w:tc>
        <w:tc>
          <w:tcPr>
            <w:tcW w:w="1137"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1 de agosto a 30 de septiembre de 2014</w:t>
            </w:r>
          </w:p>
        </w:tc>
        <w:tc>
          <w:tcPr>
            <w:tcW w:w="1843"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 xml:space="preserve">Filipinas, Serbia, Turquía </w:t>
            </w:r>
          </w:p>
        </w:tc>
        <w:tc>
          <w:tcPr>
            <w:tcW w:w="4537"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Publicación de los estudios de la OMPI sobre la contribución económica de las industrias del derecho de autor (Serbia y Turquía), y un estudio sobre la evaluación de la piratería del derecho de autor en Filipinas.</w:t>
            </w:r>
          </w:p>
        </w:tc>
      </w:tr>
    </w:tbl>
    <w:p w:rsidR="00C91295" w:rsidRPr="00526311" w:rsidRDefault="00C91295" w:rsidP="00F1387F">
      <w:pPr>
        <w:widowControl w:val="0"/>
        <w:tabs>
          <w:tab w:val="left" w:pos="0"/>
          <w:tab w:val="left" w:pos="9071"/>
        </w:tabs>
        <w:rPr>
          <w:b/>
          <w:sz w:val="20"/>
        </w:rPr>
      </w:pPr>
    </w:p>
    <w:p w:rsidR="00C91295" w:rsidRPr="00526311" w:rsidRDefault="00C91295" w:rsidP="00F1387F">
      <w:pPr>
        <w:widowControl w:val="0"/>
        <w:tabs>
          <w:tab w:val="left" w:pos="0"/>
          <w:tab w:val="left" w:pos="9071"/>
        </w:tabs>
        <w:rPr>
          <w:b/>
          <w:sz w:val="20"/>
        </w:rPr>
      </w:pPr>
    </w:p>
    <w:p w:rsidR="00C91295" w:rsidRPr="00526311" w:rsidRDefault="00C91295" w:rsidP="00D66387">
      <w:pPr>
        <w:keepNext/>
        <w:widowControl w:val="0"/>
        <w:tabs>
          <w:tab w:val="left" w:pos="0"/>
          <w:tab w:val="left" w:pos="9071"/>
        </w:tabs>
        <w:rPr>
          <w:b/>
          <w:bCs/>
          <w:sz w:val="18"/>
          <w:szCs w:val="18"/>
        </w:rPr>
      </w:pPr>
      <w:r w:rsidRPr="00526311">
        <w:rPr>
          <w:b/>
          <w:sz w:val="20"/>
        </w:rPr>
        <w:lastRenderedPageBreak/>
        <w:t>FINLANDIA</w:t>
      </w:r>
      <w:r w:rsidR="007D4926">
        <w:rPr>
          <w:b/>
          <w:sz w:val="20"/>
        </w:rPr>
        <w:t xml:space="preserve"> </w:t>
      </w:r>
      <w:r w:rsidRPr="00526311">
        <w:rPr>
          <w:b/>
          <w:sz w:val="20"/>
        </w:rPr>
        <w:t>/ DERECHO DE AUTOR Contribuciones de donantes y gastos de 2014</w:t>
      </w:r>
      <w:r w:rsidRPr="00526311">
        <w:rPr>
          <w:rStyle w:val="FootnoteReference"/>
          <w:b/>
          <w:bCs/>
          <w:sz w:val="18"/>
          <w:szCs w:val="18"/>
        </w:rPr>
        <w:footnoteReference w:id="66"/>
      </w:r>
    </w:p>
    <w:p w:rsidR="00C91295" w:rsidRPr="00526311" w:rsidRDefault="00C91295" w:rsidP="00D66387">
      <w:pPr>
        <w:keepNext/>
        <w:keepLines/>
        <w:rPr>
          <w:b/>
          <w:sz w:val="18"/>
          <w:szCs w:val="18"/>
        </w:rPr>
      </w:pPr>
    </w:p>
    <w:tbl>
      <w:tblPr>
        <w:tblW w:w="9229" w:type="dxa"/>
        <w:tblInd w:w="93" w:type="dxa"/>
        <w:tblLook w:val="04A0" w:firstRow="1" w:lastRow="0" w:firstColumn="1" w:lastColumn="0" w:noHBand="0" w:noVBand="1"/>
      </w:tblPr>
      <w:tblGrid>
        <w:gridCol w:w="1716"/>
        <w:gridCol w:w="1701"/>
        <w:gridCol w:w="1985"/>
        <w:gridCol w:w="1701"/>
        <w:gridCol w:w="2126"/>
      </w:tblGrid>
      <w:tr w:rsidR="00C91295" w:rsidRPr="00526311" w:rsidTr="00F1387F">
        <w:trPr>
          <w:trHeight w:val="608"/>
        </w:trPr>
        <w:tc>
          <w:tcPr>
            <w:tcW w:w="1716"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D66387">
            <w:pPr>
              <w:keepNext/>
              <w:keepLines/>
              <w:jc w:val="center"/>
              <w:rPr>
                <w:b/>
                <w:bCs/>
                <w:sz w:val="16"/>
                <w:szCs w:val="16"/>
              </w:rPr>
            </w:pPr>
            <w:r w:rsidRPr="00526311">
              <w:rPr>
                <w:b/>
                <w:bCs/>
                <w:sz w:val="16"/>
                <w:szCs w:val="16"/>
              </w:rPr>
              <w:t>Balance a 31 de diciembre de 2013</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D66387">
            <w:pPr>
              <w:keepNext/>
              <w:keepLines/>
              <w:jc w:val="center"/>
              <w:rPr>
                <w:b/>
                <w:bCs/>
                <w:sz w:val="16"/>
                <w:szCs w:val="16"/>
              </w:rPr>
            </w:pPr>
            <w:r w:rsidRPr="00526311">
              <w:rPr>
                <w:b/>
                <w:bCs/>
                <w:sz w:val="16"/>
                <w:szCs w:val="16"/>
              </w:rPr>
              <w:t>Ingresos en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D66387">
            <w:pPr>
              <w:keepNext/>
              <w:keepLines/>
              <w:jc w:val="center"/>
              <w:rPr>
                <w:b/>
                <w:bCs/>
                <w:sz w:val="16"/>
                <w:szCs w:val="16"/>
              </w:rPr>
            </w:pPr>
            <w:r w:rsidRPr="00526311">
              <w:rPr>
                <w:b/>
                <w:bCs/>
                <w:sz w:val="16"/>
                <w:szCs w:val="16"/>
              </w:rPr>
              <w:t>Gastos en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D66387">
            <w:pPr>
              <w:keepNext/>
              <w:keepLines/>
              <w:jc w:val="center"/>
              <w:rPr>
                <w:b/>
                <w:bCs/>
                <w:sz w:val="16"/>
                <w:szCs w:val="16"/>
              </w:rPr>
            </w:pPr>
            <w:r w:rsidRPr="00526311">
              <w:rPr>
                <w:b/>
                <w:bCs/>
                <w:sz w:val="16"/>
                <w:szCs w:val="16"/>
              </w:rPr>
              <w:t>Reembolsos</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D66387">
            <w:pPr>
              <w:keepNext/>
              <w:keepLines/>
              <w:jc w:val="center"/>
              <w:rPr>
                <w:b/>
                <w:bCs/>
                <w:sz w:val="16"/>
                <w:szCs w:val="16"/>
              </w:rPr>
            </w:pPr>
            <w:r w:rsidRPr="00526311">
              <w:rPr>
                <w:b/>
                <w:bCs/>
                <w:sz w:val="16"/>
                <w:szCs w:val="16"/>
              </w:rPr>
              <w:t>Balance a 31 de diciembre de 2014</w:t>
            </w:r>
          </w:p>
        </w:tc>
      </w:tr>
      <w:tr w:rsidR="00C91295" w:rsidRPr="00526311" w:rsidTr="00F1387F">
        <w:trPr>
          <w:trHeight w:val="409"/>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D66387">
            <w:pPr>
              <w:keepNext/>
              <w:keepLines/>
              <w:jc w:val="center"/>
              <w:rPr>
                <w:sz w:val="16"/>
                <w:szCs w:val="16"/>
              </w:rPr>
            </w:pPr>
            <w:r w:rsidRPr="00526311">
              <w:rPr>
                <w:sz w:val="16"/>
                <w:szCs w:val="16"/>
              </w:rPr>
              <w:t>15.319</w:t>
            </w:r>
            <w:r w:rsidRPr="00526311">
              <w:rPr>
                <w:rStyle w:val="FootnoteReference"/>
                <w:sz w:val="16"/>
                <w:szCs w:val="16"/>
              </w:rPr>
              <w:footnoteReference w:id="67"/>
            </w:r>
          </w:p>
        </w:tc>
        <w:tc>
          <w:tcPr>
            <w:tcW w:w="1701"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D66387">
            <w:pPr>
              <w:keepNext/>
              <w:keepLines/>
              <w:jc w:val="center"/>
              <w:rPr>
                <w:sz w:val="16"/>
                <w:szCs w:val="16"/>
              </w:rPr>
            </w:pPr>
            <w:r w:rsidRPr="00526311">
              <w:rPr>
                <w:sz w:val="16"/>
                <w:szCs w:val="16"/>
              </w:rPr>
              <w:t>(85)</w:t>
            </w:r>
          </w:p>
        </w:tc>
        <w:tc>
          <w:tcPr>
            <w:tcW w:w="1985"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D66387">
            <w:pPr>
              <w:keepNext/>
              <w:keepLines/>
              <w:jc w:val="center"/>
              <w:rPr>
                <w:sz w:val="16"/>
                <w:szCs w:val="16"/>
              </w:rPr>
            </w:pPr>
            <w:r w:rsidRPr="00526311">
              <w:rPr>
                <w:sz w:val="16"/>
                <w:szCs w:val="16"/>
              </w:rPr>
              <w:t>69</w:t>
            </w:r>
          </w:p>
        </w:tc>
        <w:tc>
          <w:tcPr>
            <w:tcW w:w="1701"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D66387">
            <w:pPr>
              <w:keepNext/>
              <w:keepLines/>
              <w:jc w:val="center"/>
              <w:rPr>
                <w:sz w:val="16"/>
                <w:szCs w:val="16"/>
              </w:rPr>
            </w:pPr>
            <w:r w:rsidRPr="00526311">
              <w:rPr>
                <w:sz w:val="16"/>
                <w:szCs w:val="16"/>
              </w:rPr>
              <w:t>15.165</w:t>
            </w:r>
          </w:p>
        </w:tc>
        <w:tc>
          <w:tcPr>
            <w:tcW w:w="2126"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D66387">
            <w:pPr>
              <w:keepNext/>
              <w:keepLines/>
              <w:jc w:val="center"/>
              <w:rPr>
                <w:sz w:val="16"/>
                <w:szCs w:val="16"/>
              </w:rPr>
            </w:pPr>
            <w:r w:rsidRPr="00526311">
              <w:rPr>
                <w:sz w:val="16"/>
                <w:szCs w:val="16"/>
              </w:rPr>
              <w:t>-</w:t>
            </w:r>
          </w:p>
        </w:tc>
      </w:tr>
      <w:tr w:rsidR="00C91295" w:rsidRPr="00526311" w:rsidTr="00F1387F">
        <w:trPr>
          <w:trHeight w:val="4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C91295" w:rsidRPr="00526311" w:rsidRDefault="00C91295" w:rsidP="00F1387F">
            <w:pPr>
              <w:keepNext/>
              <w:keepLines/>
              <w:jc w:val="center"/>
              <w:rPr>
                <w:sz w:val="16"/>
                <w:szCs w:val="16"/>
              </w:rPr>
            </w:pPr>
            <w:r w:rsidRPr="00526311">
              <w:rPr>
                <w:sz w:val="16"/>
                <w:szCs w:val="16"/>
              </w:rPr>
              <w:t>8.671</w:t>
            </w:r>
            <w:r w:rsidRPr="00526311">
              <w:rPr>
                <w:rStyle w:val="FootnoteReference"/>
                <w:sz w:val="16"/>
                <w:szCs w:val="16"/>
              </w:rPr>
              <w:footnoteReference w:id="68"/>
            </w:r>
          </w:p>
        </w:tc>
        <w:tc>
          <w:tcPr>
            <w:tcW w:w="1701"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keepNext/>
              <w:keepLines/>
              <w:jc w:val="center"/>
              <w:rPr>
                <w:sz w:val="16"/>
                <w:szCs w:val="16"/>
              </w:rPr>
            </w:pPr>
            <w:r w:rsidRPr="00526311">
              <w:rPr>
                <w:sz w:val="16"/>
                <w:szCs w:val="16"/>
              </w:rPr>
              <w:t>(50)</w:t>
            </w:r>
          </w:p>
        </w:tc>
        <w:tc>
          <w:tcPr>
            <w:tcW w:w="1985"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keepNext/>
              <w:keepLines/>
              <w:jc w:val="center"/>
              <w:rPr>
                <w:sz w:val="16"/>
                <w:szCs w:val="16"/>
              </w:rPr>
            </w:pPr>
            <w:r w:rsidRPr="00526311">
              <w:rPr>
                <w:sz w:val="16"/>
                <w:szCs w:val="16"/>
              </w:rPr>
              <w:t>61</w:t>
            </w:r>
          </w:p>
        </w:tc>
        <w:tc>
          <w:tcPr>
            <w:tcW w:w="1701"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keepNext/>
              <w:keepLines/>
              <w:jc w:val="center"/>
              <w:rPr>
                <w:sz w:val="16"/>
                <w:szCs w:val="16"/>
              </w:rPr>
            </w:pPr>
            <w:r w:rsidRPr="00526311">
              <w:rPr>
                <w:sz w:val="16"/>
                <w:szCs w:val="16"/>
              </w:rPr>
              <w:t>8.560</w:t>
            </w:r>
          </w:p>
        </w:tc>
        <w:tc>
          <w:tcPr>
            <w:tcW w:w="2126"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keepNext/>
              <w:keepLines/>
              <w:jc w:val="center"/>
              <w:rPr>
                <w:sz w:val="16"/>
                <w:szCs w:val="16"/>
              </w:rPr>
            </w:pPr>
            <w:r w:rsidRPr="00526311">
              <w:rPr>
                <w:sz w:val="16"/>
                <w:szCs w:val="16"/>
              </w:rPr>
              <w:t>-</w:t>
            </w:r>
          </w:p>
        </w:tc>
      </w:tr>
      <w:tr w:rsidR="00C91295" w:rsidRPr="00526311" w:rsidTr="00F1387F">
        <w:trPr>
          <w:trHeight w:val="419"/>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C91295" w:rsidRPr="00526311" w:rsidRDefault="00C91295" w:rsidP="00F1387F">
            <w:pPr>
              <w:keepNext/>
              <w:keepLines/>
              <w:jc w:val="center"/>
              <w:rPr>
                <w:sz w:val="16"/>
                <w:szCs w:val="16"/>
              </w:rPr>
            </w:pPr>
            <w:r w:rsidRPr="00526311">
              <w:rPr>
                <w:sz w:val="16"/>
                <w:szCs w:val="16"/>
              </w:rPr>
              <w:t>170.138</w:t>
            </w:r>
            <w:r w:rsidRPr="00526311">
              <w:rPr>
                <w:rStyle w:val="FootnoteReference"/>
                <w:sz w:val="16"/>
                <w:szCs w:val="16"/>
              </w:rPr>
              <w:footnoteReference w:id="69"/>
            </w:r>
          </w:p>
        </w:tc>
        <w:tc>
          <w:tcPr>
            <w:tcW w:w="1701"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keepNext/>
              <w:keepLines/>
              <w:jc w:val="center"/>
              <w:rPr>
                <w:sz w:val="16"/>
                <w:szCs w:val="16"/>
              </w:rPr>
            </w:pPr>
            <w:r w:rsidRPr="00526311">
              <w:rPr>
                <w:sz w:val="16"/>
                <w:szCs w:val="16"/>
              </w:rPr>
              <w:t>(734)</w:t>
            </w:r>
          </w:p>
        </w:tc>
        <w:tc>
          <w:tcPr>
            <w:tcW w:w="1985"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keepNext/>
              <w:keepLines/>
              <w:jc w:val="center"/>
              <w:rPr>
                <w:sz w:val="16"/>
                <w:szCs w:val="16"/>
              </w:rPr>
            </w:pPr>
            <w:r w:rsidRPr="00526311">
              <w:rPr>
                <w:sz w:val="16"/>
                <w:szCs w:val="16"/>
              </w:rPr>
              <w:t>124.236</w:t>
            </w:r>
          </w:p>
        </w:tc>
        <w:tc>
          <w:tcPr>
            <w:tcW w:w="1701"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keepNext/>
              <w:keepLines/>
              <w:jc w:val="center"/>
              <w:rPr>
                <w:sz w:val="16"/>
                <w:szCs w:val="16"/>
              </w:rPr>
            </w:pPr>
            <w:r w:rsidRPr="00526311">
              <w:rPr>
                <w:sz w:val="16"/>
                <w:szCs w:val="16"/>
              </w:rPr>
              <w:t>45.168</w:t>
            </w:r>
          </w:p>
        </w:tc>
        <w:tc>
          <w:tcPr>
            <w:tcW w:w="2126"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keepNext/>
              <w:keepLines/>
              <w:jc w:val="center"/>
              <w:rPr>
                <w:sz w:val="16"/>
                <w:szCs w:val="16"/>
              </w:rPr>
            </w:pPr>
            <w:r w:rsidRPr="00526311">
              <w:rPr>
                <w:sz w:val="16"/>
                <w:szCs w:val="16"/>
              </w:rPr>
              <w:t>-</w:t>
            </w:r>
          </w:p>
        </w:tc>
      </w:tr>
      <w:tr w:rsidR="00C91295" w:rsidRPr="00526311" w:rsidTr="00F1387F">
        <w:trPr>
          <w:trHeight w:val="409"/>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keepNext/>
              <w:keepLines/>
              <w:jc w:val="center"/>
              <w:rPr>
                <w:sz w:val="16"/>
                <w:szCs w:val="16"/>
              </w:rPr>
            </w:pPr>
            <w:r w:rsidRPr="00526311">
              <w:rPr>
                <w:sz w:val="16"/>
                <w:szCs w:val="16"/>
              </w:rPr>
              <w:t>-</w:t>
            </w:r>
          </w:p>
        </w:tc>
        <w:tc>
          <w:tcPr>
            <w:tcW w:w="1701"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keepNext/>
              <w:keepLines/>
              <w:jc w:val="center"/>
              <w:rPr>
                <w:sz w:val="16"/>
                <w:szCs w:val="16"/>
              </w:rPr>
            </w:pPr>
            <w:r w:rsidRPr="00526311">
              <w:rPr>
                <w:sz w:val="16"/>
                <w:szCs w:val="16"/>
              </w:rPr>
              <w:t>105.116</w:t>
            </w:r>
          </w:p>
        </w:tc>
        <w:tc>
          <w:tcPr>
            <w:tcW w:w="1985"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keepNext/>
              <w:keepLines/>
              <w:jc w:val="center"/>
              <w:rPr>
                <w:sz w:val="16"/>
                <w:szCs w:val="16"/>
              </w:rPr>
            </w:pPr>
            <w:r w:rsidRPr="00526311">
              <w:rPr>
                <w:sz w:val="16"/>
                <w:szCs w:val="16"/>
              </w:rPr>
              <w:t>39.096</w:t>
            </w:r>
          </w:p>
        </w:tc>
        <w:tc>
          <w:tcPr>
            <w:tcW w:w="1701"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keepNext/>
              <w:keepLines/>
              <w:jc w:val="center"/>
              <w:rPr>
                <w:sz w:val="16"/>
                <w:szCs w:val="16"/>
              </w:rPr>
            </w:pPr>
            <w:r w:rsidRPr="00526311">
              <w:rPr>
                <w:sz w:val="16"/>
                <w:szCs w:val="16"/>
              </w:rPr>
              <w:t>-</w:t>
            </w:r>
          </w:p>
        </w:tc>
        <w:tc>
          <w:tcPr>
            <w:tcW w:w="2126"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keepNext/>
              <w:keepLines/>
              <w:jc w:val="center"/>
              <w:rPr>
                <w:sz w:val="16"/>
                <w:szCs w:val="16"/>
              </w:rPr>
            </w:pPr>
            <w:r w:rsidRPr="00526311">
              <w:rPr>
                <w:sz w:val="16"/>
                <w:szCs w:val="16"/>
              </w:rPr>
              <w:t>66.020</w:t>
            </w:r>
          </w:p>
        </w:tc>
      </w:tr>
    </w:tbl>
    <w:p w:rsidR="00C91295" w:rsidRPr="00526311" w:rsidRDefault="00C91295" w:rsidP="00F1387F">
      <w:pPr>
        <w:widowControl w:val="0"/>
        <w:tabs>
          <w:tab w:val="left" w:pos="0"/>
          <w:tab w:val="left" w:pos="9071"/>
        </w:tabs>
        <w:rPr>
          <w:b/>
          <w:sz w:val="20"/>
        </w:rPr>
      </w:pPr>
    </w:p>
    <w:p w:rsidR="00C91295" w:rsidRPr="00526311" w:rsidRDefault="00C91295" w:rsidP="00F1387F">
      <w:pPr>
        <w:widowControl w:val="0"/>
        <w:tabs>
          <w:tab w:val="left" w:pos="0"/>
          <w:tab w:val="left" w:pos="9071"/>
        </w:tabs>
        <w:rPr>
          <w:b/>
          <w:sz w:val="20"/>
        </w:rPr>
      </w:pPr>
    </w:p>
    <w:p w:rsidR="00C91295" w:rsidRPr="00526311" w:rsidRDefault="00C91295" w:rsidP="00F1387F">
      <w:pPr>
        <w:widowControl w:val="0"/>
        <w:tabs>
          <w:tab w:val="left" w:pos="0"/>
          <w:tab w:val="left" w:pos="9071"/>
        </w:tabs>
        <w:rPr>
          <w:b/>
          <w:sz w:val="20"/>
        </w:rPr>
      </w:pPr>
      <w:r w:rsidRPr="00526311">
        <w:rPr>
          <w:b/>
          <w:sz w:val="20"/>
        </w:rPr>
        <w:t>FRANCIA – PROPIEDAD INDUSTRIAL</w:t>
      </w:r>
    </w:p>
    <w:p w:rsidR="00C91295" w:rsidRPr="00526311" w:rsidRDefault="00C91295" w:rsidP="00F1387F">
      <w:pPr>
        <w:widowControl w:val="0"/>
        <w:tabs>
          <w:tab w:val="left" w:pos="0"/>
          <w:tab w:val="left" w:pos="9071"/>
        </w:tabs>
        <w:rPr>
          <w:b/>
          <w:sz w:val="2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1985"/>
        <w:gridCol w:w="4394"/>
      </w:tblGrid>
      <w:tr w:rsidR="00C91295" w:rsidRPr="00526311" w:rsidTr="00F1387F">
        <w:tc>
          <w:tcPr>
            <w:tcW w:w="9356" w:type="dxa"/>
            <w:gridSpan w:val="4"/>
            <w:tcBorders>
              <w:top w:val="single" w:sz="4" w:space="0" w:color="auto"/>
              <w:bottom w:val="single" w:sz="4" w:space="0" w:color="auto"/>
            </w:tcBorders>
            <w:shd w:val="clear" w:color="auto" w:fill="CCFFFF"/>
            <w:vAlign w:val="center"/>
          </w:tcPr>
          <w:p w:rsidR="00C91295" w:rsidRPr="00526311" w:rsidRDefault="00C91295" w:rsidP="00F1387F">
            <w:pPr>
              <w:keepNext/>
              <w:keepLines/>
              <w:tabs>
                <w:tab w:val="left" w:pos="1740"/>
              </w:tabs>
              <w:spacing w:before="120" w:after="60"/>
              <w:ind w:left="1741" w:hanging="1741"/>
              <w:rPr>
                <w:b/>
                <w:bCs/>
                <w:sz w:val="16"/>
                <w:szCs w:val="16"/>
              </w:rPr>
            </w:pPr>
            <w:r w:rsidRPr="00526311">
              <w:rPr>
                <w:b/>
                <w:bCs/>
                <w:sz w:val="16"/>
                <w:szCs w:val="16"/>
              </w:rPr>
              <w:t>RESULTADO:</w:t>
            </w:r>
            <w:r w:rsidRPr="00526311">
              <w:rPr>
                <w:b/>
                <w:bCs/>
                <w:sz w:val="16"/>
                <w:szCs w:val="16"/>
              </w:rPr>
              <w:tab/>
            </w:r>
            <w:r w:rsidRPr="00526311">
              <w:rPr>
                <w:rFonts w:eastAsia="MS Mincho"/>
                <w:bCs/>
                <w:sz w:val="16"/>
                <w:szCs w:val="16"/>
                <w:lang w:eastAsia="ja-JP" w:bidi="th-TH"/>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c>
          <w:tcPr>
            <w:tcW w:w="1840" w:type="dxa"/>
            <w:tcBorders>
              <w:top w:val="single" w:sz="4" w:space="0" w:color="auto"/>
            </w:tcBorders>
            <w:vAlign w:val="center"/>
          </w:tcPr>
          <w:p w:rsidR="00C91295" w:rsidRPr="00526311" w:rsidRDefault="00C91295" w:rsidP="00F1387F">
            <w:pPr>
              <w:keepNext/>
              <w:keepLines/>
              <w:rPr>
                <w:b/>
                <w:bCs/>
                <w:sz w:val="16"/>
                <w:szCs w:val="16"/>
              </w:rPr>
            </w:pPr>
            <w:r w:rsidRPr="00526311">
              <w:rPr>
                <w:b/>
                <w:bCs/>
                <w:sz w:val="16"/>
                <w:szCs w:val="16"/>
              </w:rPr>
              <w:t>Actividad</w:t>
            </w:r>
          </w:p>
        </w:tc>
        <w:tc>
          <w:tcPr>
            <w:tcW w:w="1137" w:type="dxa"/>
            <w:tcBorders>
              <w:top w:val="single" w:sz="4" w:space="0" w:color="auto"/>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Fecha</w:t>
            </w:r>
          </w:p>
        </w:tc>
        <w:tc>
          <w:tcPr>
            <w:tcW w:w="1985" w:type="dxa"/>
            <w:tcBorders>
              <w:top w:val="single" w:sz="4" w:space="0" w:color="auto"/>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País anfitrión / Beneficiarios</w:t>
            </w:r>
          </w:p>
        </w:tc>
        <w:tc>
          <w:tcPr>
            <w:tcW w:w="4394" w:type="dxa"/>
            <w:tcBorders>
              <w:top w:val="single" w:sz="4" w:space="0" w:color="auto"/>
            </w:tcBorders>
            <w:shd w:val="clear" w:color="auto" w:fill="FFFFFF"/>
            <w:tcMar>
              <w:top w:w="110" w:type="dxa"/>
            </w:tcMar>
            <w:vAlign w:val="center"/>
          </w:tcPr>
          <w:p w:rsidR="00C91295" w:rsidRPr="00526311" w:rsidRDefault="00C91295" w:rsidP="00F1387F">
            <w:pPr>
              <w:keepNext/>
              <w:keepLines/>
              <w:rPr>
                <w:sz w:val="16"/>
                <w:szCs w:val="16"/>
              </w:rPr>
            </w:pPr>
            <w:r w:rsidRPr="00526311">
              <w:rPr>
                <w:b/>
                <w:sz w:val="16"/>
                <w:szCs w:val="16"/>
              </w:rPr>
              <w:t>Propósito(s)/Descripción</w:t>
            </w:r>
          </w:p>
        </w:tc>
      </w:tr>
      <w:tr w:rsidR="00C91295" w:rsidRPr="00526311" w:rsidTr="00F1387F">
        <w:tc>
          <w:tcPr>
            <w:tcW w:w="1840"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 xml:space="preserve">Participación en la 3ª Reunión euromediterránea de Comités Nacionales contra la falsificación </w:t>
            </w:r>
          </w:p>
          <w:p w:rsidR="00C91295" w:rsidRPr="00526311" w:rsidRDefault="00C91295" w:rsidP="00F1387F">
            <w:pPr>
              <w:autoSpaceDE w:val="0"/>
              <w:autoSpaceDN w:val="0"/>
              <w:adjustRightInd w:val="0"/>
              <w:spacing w:before="120" w:after="120"/>
              <w:rPr>
                <w:rFonts w:eastAsia="MS Mincho"/>
                <w:sz w:val="16"/>
                <w:szCs w:val="16"/>
                <w:lang w:eastAsia="ja-JP" w:bidi="th-TH"/>
              </w:rPr>
            </w:pPr>
          </w:p>
        </w:tc>
        <w:tc>
          <w:tcPr>
            <w:tcW w:w="1137"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25 y 26 de noviembre de 2014</w:t>
            </w:r>
          </w:p>
        </w:tc>
        <w:tc>
          <w:tcPr>
            <w:tcW w:w="1985" w:type="dxa"/>
          </w:tcPr>
          <w:p w:rsidR="00C91295" w:rsidRPr="00526311" w:rsidRDefault="00C91295" w:rsidP="00F1387F">
            <w:pPr>
              <w:autoSpaceDE w:val="0"/>
              <w:autoSpaceDN w:val="0"/>
              <w:adjustRightInd w:val="0"/>
              <w:spacing w:before="120" w:after="60"/>
              <w:rPr>
                <w:rFonts w:eastAsia="MS Mincho"/>
                <w:sz w:val="16"/>
                <w:szCs w:val="16"/>
                <w:lang w:eastAsia="ja-JP" w:bidi="th-TH"/>
              </w:rPr>
            </w:pPr>
            <w:r w:rsidRPr="00526311">
              <w:rPr>
                <w:rFonts w:eastAsia="MS Mincho"/>
                <w:sz w:val="16"/>
                <w:szCs w:val="16"/>
                <w:lang w:eastAsia="ja-JP" w:bidi="th-TH"/>
              </w:rPr>
              <w:t xml:space="preserve">Italia / </w:t>
            </w:r>
            <w:r w:rsidRPr="00526311">
              <w:rPr>
                <w:rFonts w:eastAsia="MS Mincho"/>
                <w:bCs/>
                <w:sz w:val="16"/>
                <w:szCs w:val="16"/>
                <w:lang w:eastAsia="ja-JP" w:bidi="th-TH"/>
              </w:rPr>
              <w:t>representantes de Bulgaria, Croacia, Francia, Grecia, Malta, Portugal, Rumania, Serbia, Eslovenia y España</w:t>
            </w:r>
          </w:p>
        </w:tc>
        <w:tc>
          <w:tcPr>
            <w:tcW w:w="4394" w:type="dxa"/>
          </w:tcPr>
          <w:p w:rsidR="00C91295" w:rsidRPr="00526311" w:rsidRDefault="00C91295" w:rsidP="00F1387F">
            <w:pPr>
              <w:autoSpaceDE w:val="0"/>
              <w:autoSpaceDN w:val="0"/>
              <w:adjustRightInd w:val="0"/>
              <w:spacing w:before="120" w:after="120"/>
              <w:rPr>
                <w:rFonts w:eastAsia="MS Mincho"/>
                <w:bCs/>
                <w:sz w:val="16"/>
                <w:szCs w:val="16"/>
                <w:lang w:eastAsia="ja-JP" w:bidi="th-TH"/>
              </w:rPr>
            </w:pPr>
            <w:r w:rsidRPr="00526311">
              <w:rPr>
                <w:rFonts w:eastAsia="MS Mincho"/>
                <w:bCs/>
                <w:sz w:val="16"/>
                <w:szCs w:val="16"/>
                <w:lang w:eastAsia="ja-JP" w:bidi="th-TH"/>
              </w:rPr>
              <w:t>Tras el éxito de las reuniones euromediterráneas celebradas en Cannes en 2008 y en Tánger en 2009, organizadas por el Instituto Nacional de la Propiedad Industrial de Francia (INPI) y los Comités Nacionales euromediterráneos contra la falsificación, y en consulta con el Director General de la Lucha contra la Falsificación, la Oficina de Patentes y Marcas de Italia y el Ministerio de Fomento Económico, la tercera reunión se centró en la sensibilización y la educación, especialmente en lo que atañe a la generación más joven.</w:t>
            </w:r>
          </w:p>
        </w:tc>
      </w:tr>
    </w:tbl>
    <w:p w:rsidR="00C91295" w:rsidRPr="00526311" w:rsidRDefault="00C91295" w:rsidP="00F1387F">
      <w:pPr>
        <w:rPr>
          <w:b/>
          <w:sz w:val="16"/>
          <w:szCs w:val="16"/>
        </w:rPr>
      </w:pPr>
    </w:p>
    <w:p w:rsidR="00C91295" w:rsidRPr="00526311" w:rsidRDefault="00C91295" w:rsidP="00F1387F">
      <w:pPr>
        <w:widowControl w:val="0"/>
        <w:tabs>
          <w:tab w:val="left" w:pos="0"/>
          <w:tab w:val="left" w:pos="9071"/>
        </w:tabs>
        <w:rPr>
          <w:b/>
          <w:sz w:val="20"/>
        </w:rPr>
      </w:pPr>
    </w:p>
    <w:p w:rsidR="00C91295" w:rsidRPr="00526311" w:rsidRDefault="00C91295" w:rsidP="0058481A">
      <w:pPr>
        <w:keepNext/>
        <w:widowControl w:val="0"/>
        <w:tabs>
          <w:tab w:val="left" w:pos="0"/>
          <w:tab w:val="left" w:pos="9071"/>
        </w:tabs>
        <w:rPr>
          <w:b/>
          <w:sz w:val="20"/>
        </w:rPr>
      </w:pPr>
      <w:r w:rsidRPr="00526311">
        <w:rPr>
          <w:b/>
          <w:sz w:val="20"/>
        </w:rPr>
        <w:t>FRANCIA – PROPIEDAD INDUSTRIAL – Contribuciones de donantes y gastos en 2014</w:t>
      </w:r>
    </w:p>
    <w:p w:rsidR="00C91295" w:rsidRPr="00526311" w:rsidRDefault="00C91295" w:rsidP="0058481A">
      <w:pPr>
        <w:keepNext/>
        <w:widowControl w:val="0"/>
        <w:tabs>
          <w:tab w:val="left" w:pos="0"/>
          <w:tab w:val="left" w:pos="9071"/>
        </w:tabs>
        <w:rPr>
          <w:b/>
          <w:sz w:val="20"/>
        </w:rPr>
      </w:pPr>
    </w:p>
    <w:tbl>
      <w:tblPr>
        <w:tblW w:w="9087" w:type="dxa"/>
        <w:jc w:val="center"/>
        <w:tblInd w:w="93" w:type="dxa"/>
        <w:tblLook w:val="04A0" w:firstRow="1" w:lastRow="0" w:firstColumn="1" w:lastColumn="0" w:noHBand="0" w:noVBand="1"/>
      </w:tblPr>
      <w:tblGrid>
        <w:gridCol w:w="1716"/>
        <w:gridCol w:w="1418"/>
        <w:gridCol w:w="1701"/>
        <w:gridCol w:w="2268"/>
        <w:gridCol w:w="1984"/>
      </w:tblGrid>
      <w:tr w:rsidR="00C91295" w:rsidRPr="00526311" w:rsidTr="00F1387F">
        <w:trPr>
          <w:trHeight w:val="600"/>
          <w:jc w:val="center"/>
        </w:trPr>
        <w:tc>
          <w:tcPr>
            <w:tcW w:w="1716"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58481A">
            <w:pPr>
              <w:keepNext/>
              <w:jc w:val="center"/>
              <w:rPr>
                <w:b/>
                <w:bCs/>
                <w:sz w:val="16"/>
                <w:szCs w:val="16"/>
              </w:rPr>
            </w:pPr>
            <w:r w:rsidRPr="00526311">
              <w:rPr>
                <w:b/>
                <w:bCs/>
                <w:sz w:val="16"/>
                <w:szCs w:val="16"/>
              </w:rPr>
              <w:t>Balance a 31 de diciembre de 2013</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58481A">
            <w:pPr>
              <w:keepNext/>
              <w:jc w:val="center"/>
              <w:rPr>
                <w:b/>
                <w:bCs/>
                <w:sz w:val="16"/>
                <w:szCs w:val="16"/>
              </w:rPr>
            </w:pPr>
            <w:r w:rsidRPr="00526311">
              <w:rPr>
                <w:b/>
                <w:bCs/>
                <w:sz w:val="16"/>
                <w:szCs w:val="16"/>
              </w:rPr>
              <w:t>Ingresos en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58481A">
            <w:pPr>
              <w:keepNext/>
              <w:jc w:val="center"/>
              <w:rPr>
                <w:b/>
                <w:bCs/>
                <w:sz w:val="16"/>
                <w:szCs w:val="16"/>
              </w:rPr>
            </w:pPr>
            <w:r w:rsidRPr="00526311">
              <w:rPr>
                <w:b/>
                <w:bCs/>
                <w:sz w:val="16"/>
                <w:szCs w:val="16"/>
              </w:rPr>
              <w:t>Gastos en 2014</w:t>
            </w:r>
          </w:p>
        </w:tc>
        <w:tc>
          <w:tcPr>
            <w:tcW w:w="2268"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58481A">
            <w:pPr>
              <w:keepNext/>
              <w:jc w:val="center"/>
              <w:rPr>
                <w:b/>
                <w:bCs/>
                <w:sz w:val="16"/>
                <w:szCs w:val="16"/>
              </w:rPr>
            </w:pPr>
            <w:r w:rsidRPr="00526311">
              <w:rPr>
                <w:b/>
                <w:bCs/>
                <w:sz w:val="16"/>
                <w:szCs w:val="16"/>
              </w:rPr>
              <w:t>Reembolsos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58481A">
            <w:pPr>
              <w:keepNext/>
              <w:jc w:val="center"/>
              <w:rPr>
                <w:b/>
                <w:bCs/>
                <w:sz w:val="16"/>
                <w:szCs w:val="16"/>
              </w:rPr>
            </w:pPr>
            <w:r w:rsidRPr="00526311">
              <w:rPr>
                <w:b/>
                <w:bCs/>
                <w:sz w:val="16"/>
                <w:szCs w:val="16"/>
              </w:rPr>
              <w:t>Balance a 31 de diciembre de 2014</w:t>
            </w:r>
          </w:p>
        </w:tc>
      </w:tr>
      <w:tr w:rsidR="00C91295" w:rsidRPr="00526311" w:rsidTr="00F1387F">
        <w:trPr>
          <w:trHeight w:val="484"/>
          <w:jc w:val="center"/>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752.474</w:t>
            </w:r>
          </w:p>
        </w:tc>
        <w:tc>
          <w:tcPr>
            <w:tcW w:w="1418"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303.279</w:t>
            </w:r>
          </w:p>
        </w:tc>
        <w:tc>
          <w:tcPr>
            <w:tcW w:w="1701"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28.113</w:t>
            </w:r>
          </w:p>
        </w:tc>
        <w:tc>
          <w:tcPr>
            <w:tcW w:w="2268"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1.027.640</w:t>
            </w:r>
          </w:p>
        </w:tc>
      </w:tr>
    </w:tbl>
    <w:p w:rsidR="00C91295" w:rsidRPr="00526311" w:rsidRDefault="00C91295" w:rsidP="00F1387F">
      <w:pPr>
        <w:widowControl w:val="0"/>
        <w:tabs>
          <w:tab w:val="left" w:pos="0"/>
          <w:tab w:val="left" w:pos="9071"/>
        </w:tabs>
        <w:rPr>
          <w:b/>
          <w:sz w:val="20"/>
        </w:rPr>
      </w:pPr>
    </w:p>
    <w:p w:rsidR="00C91295" w:rsidRPr="00526311" w:rsidRDefault="00C91295" w:rsidP="00F1387F">
      <w:pPr>
        <w:widowControl w:val="0"/>
        <w:tabs>
          <w:tab w:val="left" w:pos="0"/>
          <w:tab w:val="left" w:pos="9071"/>
        </w:tabs>
        <w:rPr>
          <w:b/>
          <w:sz w:val="20"/>
        </w:rPr>
      </w:pPr>
    </w:p>
    <w:p w:rsidR="00C91295" w:rsidRPr="00526311" w:rsidRDefault="00C91295" w:rsidP="000B32E2">
      <w:pPr>
        <w:keepNext/>
        <w:widowControl w:val="0"/>
        <w:tabs>
          <w:tab w:val="left" w:pos="0"/>
          <w:tab w:val="left" w:pos="9071"/>
        </w:tabs>
        <w:rPr>
          <w:b/>
          <w:sz w:val="20"/>
        </w:rPr>
      </w:pPr>
      <w:r w:rsidRPr="00526311">
        <w:rPr>
          <w:b/>
          <w:sz w:val="20"/>
        </w:rPr>
        <w:lastRenderedPageBreak/>
        <w:t>PROGRAMA IBEROAMERICANO DE PROPIEDAD INDUSTRIAL</w:t>
      </w:r>
      <w:r w:rsidRPr="00526311">
        <w:rPr>
          <w:vertAlign w:val="superscript"/>
        </w:rPr>
        <w:footnoteReference w:id="70"/>
      </w:r>
    </w:p>
    <w:p w:rsidR="00C91295" w:rsidRPr="00526311" w:rsidRDefault="00C91295" w:rsidP="000B32E2">
      <w:pPr>
        <w:keepNext/>
        <w:widowControl w:val="0"/>
        <w:tabs>
          <w:tab w:val="left" w:pos="0"/>
          <w:tab w:val="left" w:pos="9071"/>
        </w:tabs>
        <w:rPr>
          <w:b/>
          <w:sz w:val="20"/>
        </w:rPr>
      </w:pPr>
    </w:p>
    <w:p w:rsidR="00C91295" w:rsidRPr="00526311" w:rsidRDefault="00C91295" w:rsidP="000B32E2">
      <w:pPr>
        <w:keepNext/>
        <w:widowControl w:val="0"/>
        <w:tabs>
          <w:tab w:val="left" w:pos="0"/>
          <w:tab w:val="left" w:pos="9071"/>
        </w:tabs>
        <w:rPr>
          <w:b/>
          <w:sz w:val="20"/>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253"/>
      </w:tblGrid>
      <w:tr w:rsidR="00C91295" w:rsidRPr="00526311" w:rsidTr="00F1387F">
        <w:tc>
          <w:tcPr>
            <w:tcW w:w="9356" w:type="dxa"/>
            <w:gridSpan w:val="4"/>
            <w:tcBorders>
              <w:top w:val="single" w:sz="4" w:space="0" w:color="000000"/>
              <w:bottom w:val="single" w:sz="4" w:space="0" w:color="000000"/>
            </w:tcBorders>
            <w:shd w:val="clear" w:color="auto" w:fill="CCFFFF"/>
            <w:vAlign w:val="center"/>
          </w:tcPr>
          <w:p w:rsidR="00C91295" w:rsidRPr="00526311" w:rsidRDefault="00C91295" w:rsidP="000B32E2">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c>
          <w:tcPr>
            <w:tcW w:w="1843" w:type="dxa"/>
            <w:tcBorders>
              <w:top w:val="single" w:sz="4" w:space="0" w:color="000000"/>
            </w:tcBorders>
            <w:vAlign w:val="center"/>
          </w:tcPr>
          <w:p w:rsidR="00C91295" w:rsidRPr="00526311" w:rsidRDefault="00C91295" w:rsidP="000B32E2">
            <w:pPr>
              <w:keepNext/>
              <w:keepLines/>
              <w:rPr>
                <w:b/>
                <w:bCs/>
                <w:sz w:val="16"/>
                <w:szCs w:val="16"/>
              </w:rPr>
            </w:pPr>
            <w:r w:rsidRPr="00526311">
              <w:rPr>
                <w:b/>
                <w:bCs/>
                <w:sz w:val="16"/>
                <w:szCs w:val="16"/>
              </w:rPr>
              <w:t>Actividad</w:t>
            </w:r>
          </w:p>
        </w:tc>
        <w:tc>
          <w:tcPr>
            <w:tcW w:w="1134" w:type="dxa"/>
            <w:tcBorders>
              <w:top w:val="single" w:sz="4" w:space="0" w:color="000000"/>
            </w:tcBorders>
            <w:shd w:val="clear" w:color="auto" w:fill="auto"/>
            <w:tcMar>
              <w:top w:w="110" w:type="dxa"/>
            </w:tcMar>
            <w:vAlign w:val="center"/>
          </w:tcPr>
          <w:p w:rsidR="00C91295" w:rsidRPr="00526311" w:rsidRDefault="00C91295" w:rsidP="000B32E2">
            <w:pPr>
              <w:keepNext/>
              <w:keepLines/>
              <w:rPr>
                <w:sz w:val="16"/>
                <w:szCs w:val="16"/>
              </w:rPr>
            </w:pPr>
            <w:r w:rsidRPr="00526311">
              <w:rPr>
                <w:b/>
                <w:sz w:val="16"/>
                <w:szCs w:val="16"/>
              </w:rPr>
              <w:t>Fecha</w:t>
            </w:r>
          </w:p>
        </w:tc>
        <w:tc>
          <w:tcPr>
            <w:tcW w:w="2126" w:type="dxa"/>
            <w:tcBorders>
              <w:top w:val="single" w:sz="4" w:space="0" w:color="000000"/>
            </w:tcBorders>
            <w:shd w:val="clear" w:color="auto" w:fill="auto"/>
            <w:tcMar>
              <w:top w:w="110" w:type="dxa"/>
            </w:tcMar>
            <w:vAlign w:val="center"/>
          </w:tcPr>
          <w:p w:rsidR="00C91295" w:rsidRPr="00526311" w:rsidRDefault="00C91295" w:rsidP="000B32E2">
            <w:pPr>
              <w:keepNext/>
              <w:keepLines/>
              <w:rPr>
                <w:sz w:val="16"/>
                <w:szCs w:val="16"/>
              </w:rPr>
            </w:pPr>
            <w:r w:rsidRPr="00526311">
              <w:rPr>
                <w:b/>
                <w:sz w:val="16"/>
                <w:szCs w:val="16"/>
              </w:rPr>
              <w:t>País anfitrión / Beneficiarios</w:t>
            </w:r>
          </w:p>
        </w:tc>
        <w:tc>
          <w:tcPr>
            <w:tcW w:w="4253" w:type="dxa"/>
            <w:tcBorders>
              <w:top w:val="single" w:sz="4" w:space="0" w:color="000000"/>
            </w:tcBorders>
            <w:shd w:val="clear" w:color="auto" w:fill="FFFFFF"/>
            <w:tcMar>
              <w:top w:w="110" w:type="dxa"/>
            </w:tcMar>
            <w:vAlign w:val="center"/>
          </w:tcPr>
          <w:p w:rsidR="00C91295" w:rsidRPr="00526311" w:rsidRDefault="00C91295" w:rsidP="000B32E2">
            <w:pPr>
              <w:keepNext/>
              <w:keepLines/>
              <w:rPr>
                <w:sz w:val="16"/>
                <w:szCs w:val="16"/>
              </w:rPr>
            </w:pPr>
            <w:r w:rsidRPr="00526311">
              <w:rPr>
                <w:b/>
                <w:sz w:val="16"/>
                <w:szCs w:val="16"/>
              </w:rPr>
              <w:t>Propósito(s)/Descripción</w:t>
            </w:r>
          </w:p>
        </w:tc>
      </w:tr>
      <w:tr w:rsidR="00C91295" w:rsidRPr="00526311" w:rsidTr="00F1387F">
        <w:trPr>
          <w:trHeight w:val="520"/>
        </w:trPr>
        <w:tc>
          <w:tcPr>
            <w:tcW w:w="1843" w:type="dxa"/>
            <w:tcBorders>
              <w:bottom w:val="nil"/>
            </w:tcBorders>
          </w:tcPr>
          <w:p w:rsidR="00C91295" w:rsidRPr="00526311" w:rsidDel="009E0498" w:rsidRDefault="00C91295" w:rsidP="000B32E2">
            <w:pPr>
              <w:keepNext/>
              <w:autoSpaceDE w:val="0"/>
              <w:autoSpaceDN w:val="0"/>
              <w:adjustRightInd w:val="0"/>
              <w:spacing w:before="120" w:after="120"/>
              <w:rPr>
                <w:sz w:val="16"/>
                <w:szCs w:val="16"/>
              </w:rPr>
            </w:pPr>
            <w:r w:rsidRPr="00526311">
              <w:rPr>
                <w:sz w:val="16"/>
                <w:szCs w:val="16"/>
              </w:rPr>
              <w:t>Plataforma en español sobre servicios y contenidos de P.I. adaptada a las necesidades del sector empresarial de América Latina, centrándose especialmente en las pymes (CIBEPYME).</w:t>
            </w:r>
          </w:p>
        </w:tc>
        <w:tc>
          <w:tcPr>
            <w:tcW w:w="1134" w:type="dxa"/>
            <w:tcBorders>
              <w:bottom w:val="nil"/>
            </w:tcBorders>
          </w:tcPr>
          <w:p w:rsidR="00C91295" w:rsidRPr="00526311" w:rsidRDefault="00C91295" w:rsidP="000B32E2">
            <w:pPr>
              <w:keepNext/>
              <w:autoSpaceDE w:val="0"/>
              <w:autoSpaceDN w:val="0"/>
              <w:adjustRightInd w:val="0"/>
              <w:spacing w:before="120" w:after="120"/>
              <w:rPr>
                <w:sz w:val="16"/>
                <w:szCs w:val="16"/>
              </w:rPr>
            </w:pPr>
            <w:r w:rsidRPr="00526311">
              <w:rPr>
                <w:sz w:val="16"/>
                <w:szCs w:val="16"/>
              </w:rPr>
              <w:t>Enero a diciembre de 2014</w:t>
            </w:r>
          </w:p>
        </w:tc>
        <w:tc>
          <w:tcPr>
            <w:tcW w:w="2126" w:type="dxa"/>
            <w:tcBorders>
              <w:bottom w:val="nil"/>
            </w:tcBorders>
          </w:tcPr>
          <w:p w:rsidR="00C91295" w:rsidRPr="00526311" w:rsidRDefault="00C91295" w:rsidP="000B32E2">
            <w:pPr>
              <w:keepNext/>
              <w:autoSpaceDE w:val="0"/>
              <w:autoSpaceDN w:val="0"/>
              <w:adjustRightInd w:val="0"/>
              <w:spacing w:before="120" w:after="120"/>
              <w:rPr>
                <w:sz w:val="16"/>
                <w:szCs w:val="16"/>
              </w:rPr>
            </w:pPr>
            <w:r w:rsidRPr="00526311">
              <w:rPr>
                <w:sz w:val="16"/>
                <w:szCs w:val="16"/>
              </w:rPr>
              <w:t>Todos los países de América Latina</w:t>
            </w:r>
          </w:p>
        </w:tc>
        <w:tc>
          <w:tcPr>
            <w:tcW w:w="4253" w:type="dxa"/>
            <w:tcBorders>
              <w:bottom w:val="nil"/>
            </w:tcBorders>
          </w:tcPr>
          <w:p w:rsidR="00C91295" w:rsidRPr="00526311" w:rsidDel="00152E3E" w:rsidRDefault="00C91295" w:rsidP="000B32E2">
            <w:pPr>
              <w:keepNext/>
              <w:autoSpaceDE w:val="0"/>
              <w:autoSpaceDN w:val="0"/>
              <w:adjustRightInd w:val="0"/>
              <w:spacing w:before="120" w:after="120"/>
              <w:rPr>
                <w:sz w:val="16"/>
                <w:szCs w:val="16"/>
              </w:rPr>
            </w:pPr>
            <w:r w:rsidRPr="00526311">
              <w:rPr>
                <w:sz w:val="16"/>
                <w:szCs w:val="16"/>
              </w:rPr>
              <w:t>Fortalecer la capacidad y promover el uso de la P.I. en tanto que importante herramienta empresarial.</w:t>
            </w:r>
          </w:p>
        </w:tc>
      </w:tr>
      <w:tr w:rsidR="00C91295" w:rsidRPr="00526311" w:rsidTr="00F1387F">
        <w:trPr>
          <w:trHeight w:val="520"/>
        </w:trPr>
        <w:tc>
          <w:tcPr>
            <w:tcW w:w="9356" w:type="dxa"/>
            <w:gridSpan w:val="4"/>
            <w:tcBorders>
              <w:top w:val="single" w:sz="4" w:space="0" w:color="000000"/>
              <w:bottom w:val="single" w:sz="4" w:space="0" w:color="000000"/>
            </w:tcBorders>
            <w:shd w:val="clear" w:color="auto" w:fill="CCFFFF"/>
          </w:tcPr>
          <w:p w:rsidR="00C91295" w:rsidRPr="00526311" w:rsidDel="00152E3E" w:rsidRDefault="00C91295" w:rsidP="000B32E2">
            <w:pPr>
              <w:keepNext/>
              <w:keepLines/>
              <w:tabs>
                <w:tab w:val="left" w:pos="1740"/>
              </w:tabs>
              <w:spacing w:before="120" w:after="120"/>
              <w:ind w:left="1740" w:hanging="1740"/>
              <w:rPr>
                <w:sz w:val="16"/>
                <w:szCs w:val="16"/>
              </w:rPr>
            </w:pPr>
            <w:r w:rsidRPr="00526311">
              <w:rPr>
                <w:b/>
                <w:bCs/>
                <w:sz w:val="16"/>
                <w:szCs w:val="16"/>
              </w:rPr>
              <w:t>RESULTADO:</w:t>
            </w:r>
            <w:r w:rsidRPr="00526311">
              <w:rPr>
                <w:bCs/>
                <w:sz w:val="16"/>
                <w:szCs w:val="16"/>
              </w:rPr>
              <w:tab/>
              <w:t>III.4 Fortalecimiento de los mecanismos y de los programas de cooperación conforme a las necesidades de los países en desarrollo y los PMA</w:t>
            </w:r>
          </w:p>
        </w:tc>
      </w:tr>
      <w:tr w:rsidR="00C91295" w:rsidRPr="00526311" w:rsidTr="00F1387F">
        <w:trPr>
          <w:trHeight w:val="520"/>
        </w:trPr>
        <w:tc>
          <w:tcPr>
            <w:tcW w:w="1843" w:type="dxa"/>
            <w:tcBorders>
              <w:top w:val="single" w:sz="4" w:space="0" w:color="000000"/>
            </w:tcBorders>
            <w:vAlign w:val="center"/>
          </w:tcPr>
          <w:p w:rsidR="00C91295" w:rsidRPr="00526311" w:rsidRDefault="00C91295" w:rsidP="00F1387F">
            <w:pPr>
              <w:autoSpaceDE w:val="0"/>
              <w:autoSpaceDN w:val="0"/>
              <w:adjustRightInd w:val="0"/>
              <w:spacing w:before="120" w:after="120"/>
              <w:rPr>
                <w:sz w:val="16"/>
                <w:szCs w:val="16"/>
              </w:rPr>
            </w:pPr>
            <w:r w:rsidRPr="00526311">
              <w:rPr>
                <w:b/>
                <w:sz w:val="16"/>
                <w:szCs w:val="16"/>
              </w:rPr>
              <w:t>Actividad</w:t>
            </w:r>
          </w:p>
        </w:tc>
        <w:tc>
          <w:tcPr>
            <w:tcW w:w="1134" w:type="dxa"/>
            <w:tcBorders>
              <w:top w:val="single" w:sz="4" w:space="0" w:color="000000"/>
            </w:tcBorders>
            <w:vAlign w:val="center"/>
          </w:tcPr>
          <w:p w:rsidR="00C91295" w:rsidRPr="00526311" w:rsidRDefault="00C91295" w:rsidP="00F1387F">
            <w:pPr>
              <w:autoSpaceDE w:val="0"/>
              <w:autoSpaceDN w:val="0"/>
              <w:adjustRightInd w:val="0"/>
              <w:spacing w:before="120" w:after="120"/>
              <w:rPr>
                <w:sz w:val="16"/>
                <w:szCs w:val="16"/>
              </w:rPr>
            </w:pPr>
            <w:r w:rsidRPr="00526311">
              <w:rPr>
                <w:b/>
                <w:sz w:val="16"/>
                <w:szCs w:val="16"/>
              </w:rPr>
              <w:t>Fecha</w:t>
            </w:r>
          </w:p>
        </w:tc>
        <w:tc>
          <w:tcPr>
            <w:tcW w:w="2126" w:type="dxa"/>
            <w:tcBorders>
              <w:top w:val="single" w:sz="4" w:space="0" w:color="000000"/>
            </w:tcBorders>
            <w:vAlign w:val="center"/>
          </w:tcPr>
          <w:p w:rsidR="00C91295" w:rsidRPr="00526311" w:rsidRDefault="00C91295" w:rsidP="00F1387F">
            <w:pPr>
              <w:autoSpaceDE w:val="0"/>
              <w:autoSpaceDN w:val="0"/>
              <w:adjustRightInd w:val="0"/>
              <w:spacing w:before="120" w:after="120"/>
              <w:rPr>
                <w:sz w:val="16"/>
                <w:szCs w:val="16"/>
              </w:rPr>
            </w:pPr>
            <w:r w:rsidRPr="00526311">
              <w:rPr>
                <w:b/>
                <w:sz w:val="16"/>
                <w:szCs w:val="16"/>
              </w:rPr>
              <w:t>País anfitrión / Beneficiarios</w:t>
            </w:r>
          </w:p>
        </w:tc>
        <w:tc>
          <w:tcPr>
            <w:tcW w:w="4253" w:type="dxa"/>
            <w:tcBorders>
              <w:top w:val="single" w:sz="4" w:space="0" w:color="000000"/>
            </w:tcBorders>
            <w:vAlign w:val="center"/>
          </w:tcPr>
          <w:p w:rsidR="00C91295" w:rsidRPr="00526311" w:rsidRDefault="00C91295" w:rsidP="00F1387F">
            <w:pPr>
              <w:autoSpaceDE w:val="0"/>
              <w:autoSpaceDN w:val="0"/>
              <w:adjustRightInd w:val="0"/>
              <w:spacing w:before="120" w:after="120"/>
              <w:rPr>
                <w:sz w:val="16"/>
                <w:szCs w:val="16"/>
              </w:rPr>
            </w:pPr>
            <w:r w:rsidRPr="00526311">
              <w:rPr>
                <w:b/>
                <w:sz w:val="16"/>
                <w:szCs w:val="16"/>
              </w:rPr>
              <w:t>Propósito(s)/Descripción</w:t>
            </w:r>
          </w:p>
        </w:tc>
      </w:tr>
      <w:tr w:rsidR="00C91295" w:rsidRPr="00526311" w:rsidTr="00F1387F">
        <w:trPr>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Elaboración de un análisis de situación y de una propuesta de plan de acción por un asesor experto externo</w:t>
            </w:r>
            <w:r w:rsidRPr="00526311" w:rsidDel="000607B9">
              <w:rPr>
                <w:sz w:val="16"/>
                <w:szCs w:val="16"/>
              </w:rPr>
              <w:t xml:space="preserve"> </w:t>
            </w:r>
          </w:p>
        </w:tc>
        <w:tc>
          <w:tcPr>
            <w:tcW w:w="1134" w:type="dxa"/>
          </w:tcPr>
          <w:p w:rsidR="00C91295" w:rsidRPr="00526311" w:rsidRDefault="00C91295" w:rsidP="00F1387F">
            <w:pPr>
              <w:autoSpaceDE w:val="0"/>
              <w:autoSpaceDN w:val="0"/>
              <w:adjustRightInd w:val="0"/>
              <w:spacing w:before="120" w:after="120"/>
              <w:rPr>
                <w:sz w:val="16"/>
                <w:szCs w:val="16"/>
              </w:rPr>
            </w:pPr>
            <w:r w:rsidRPr="00526311">
              <w:rPr>
                <w:sz w:val="16"/>
                <w:szCs w:val="16"/>
              </w:rPr>
              <w:t>Enero a diciembre de 2014</w:t>
            </w:r>
          </w:p>
          <w:p w:rsidR="00C91295" w:rsidRPr="00526311" w:rsidRDefault="00C91295" w:rsidP="00F1387F">
            <w:pPr>
              <w:autoSpaceDE w:val="0"/>
              <w:autoSpaceDN w:val="0"/>
              <w:adjustRightInd w:val="0"/>
              <w:spacing w:before="120" w:after="120"/>
              <w:rPr>
                <w:sz w:val="16"/>
                <w:szCs w:val="16"/>
              </w:rPr>
            </w:pPr>
          </w:p>
        </w:tc>
        <w:tc>
          <w:tcPr>
            <w:tcW w:w="2126" w:type="dxa"/>
          </w:tcPr>
          <w:p w:rsidR="00C91295" w:rsidRPr="00526311" w:rsidRDefault="00C91295" w:rsidP="00F1387F">
            <w:pPr>
              <w:autoSpaceDE w:val="0"/>
              <w:autoSpaceDN w:val="0"/>
              <w:adjustRightInd w:val="0"/>
              <w:spacing w:before="120" w:after="120"/>
              <w:rPr>
                <w:sz w:val="16"/>
                <w:szCs w:val="16"/>
              </w:rPr>
            </w:pPr>
            <w:r w:rsidRPr="00526311">
              <w:rPr>
                <w:sz w:val="16"/>
                <w:szCs w:val="16"/>
              </w:rPr>
              <w:t>Todos los países de América Latina</w:t>
            </w:r>
          </w:p>
        </w:tc>
        <w:tc>
          <w:tcPr>
            <w:tcW w:w="4253" w:type="dxa"/>
          </w:tcPr>
          <w:p w:rsidR="00C91295" w:rsidRPr="00526311" w:rsidRDefault="00C91295" w:rsidP="00F1387F">
            <w:pPr>
              <w:autoSpaceDE w:val="0"/>
              <w:autoSpaceDN w:val="0"/>
              <w:adjustRightInd w:val="0"/>
              <w:spacing w:before="120" w:after="120"/>
              <w:rPr>
                <w:sz w:val="16"/>
                <w:szCs w:val="16"/>
              </w:rPr>
            </w:pPr>
            <w:r w:rsidRPr="00526311">
              <w:rPr>
                <w:sz w:val="16"/>
                <w:szCs w:val="16"/>
              </w:rPr>
              <w:t>Idear un plan para fortalecer y desarrollar servicios nacionales de información y un calendario de ejecución, con el fin de fomentar las capacidades nacionales.</w:t>
            </w:r>
          </w:p>
          <w:p w:rsidR="00C91295" w:rsidRPr="00526311" w:rsidRDefault="00C91295" w:rsidP="00F1387F">
            <w:pPr>
              <w:autoSpaceDE w:val="0"/>
              <w:autoSpaceDN w:val="0"/>
              <w:adjustRightInd w:val="0"/>
              <w:spacing w:before="120" w:after="120"/>
              <w:rPr>
                <w:sz w:val="16"/>
                <w:szCs w:val="16"/>
              </w:rPr>
            </w:pPr>
            <w:r w:rsidRPr="00526311">
              <w:rPr>
                <w:sz w:val="16"/>
                <w:szCs w:val="16"/>
              </w:rPr>
              <w:t>Cooperación horizontal entre oficinas de P.I. para reducir asimetrías en la gestión de la calidad en las tecnologías de la información.   Las funciones del asesor son: i) detectar asimetrías entre las oficinas de P.I. en lo que atañe a la gestión de la calidad y a las tecnologías de la información, ii) concebir un programa de acción destinado a eliminar asimetrías mediante cursos de formación,  y iii) coordinar la ejecución de este proyecto</w:t>
            </w:r>
          </w:p>
        </w:tc>
      </w:tr>
      <w:tr w:rsidR="00C91295" w:rsidRPr="00526311" w:rsidTr="00F1387F">
        <w:trPr>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Fomentar la cooperación entre las OPI de América Latina, para la creación de una plataforma para los países miembros a fin de facilitar el intercambio de experiencias y mejores prácticas entre las Oficinas.</w:t>
            </w:r>
          </w:p>
        </w:tc>
        <w:tc>
          <w:tcPr>
            <w:tcW w:w="1134" w:type="dxa"/>
          </w:tcPr>
          <w:p w:rsidR="00C91295" w:rsidRPr="00526311" w:rsidRDefault="00C91295" w:rsidP="00F1387F">
            <w:pPr>
              <w:autoSpaceDE w:val="0"/>
              <w:autoSpaceDN w:val="0"/>
              <w:adjustRightInd w:val="0"/>
              <w:spacing w:before="120" w:after="120"/>
              <w:rPr>
                <w:sz w:val="16"/>
                <w:szCs w:val="16"/>
              </w:rPr>
            </w:pPr>
            <w:r w:rsidRPr="00526311">
              <w:rPr>
                <w:sz w:val="16"/>
                <w:szCs w:val="16"/>
              </w:rPr>
              <w:t>Enero a diciembre de 2014</w:t>
            </w:r>
          </w:p>
          <w:p w:rsidR="00C91295" w:rsidRPr="00526311" w:rsidRDefault="00C91295" w:rsidP="00F1387F">
            <w:pPr>
              <w:autoSpaceDE w:val="0"/>
              <w:autoSpaceDN w:val="0"/>
              <w:adjustRightInd w:val="0"/>
              <w:spacing w:before="120" w:after="120"/>
              <w:rPr>
                <w:sz w:val="16"/>
                <w:szCs w:val="16"/>
              </w:rPr>
            </w:pPr>
          </w:p>
        </w:tc>
        <w:tc>
          <w:tcPr>
            <w:tcW w:w="2126" w:type="dxa"/>
          </w:tcPr>
          <w:p w:rsidR="00C91295" w:rsidRPr="00526311" w:rsidRDefault="00C91295" w:rsidP="00F1387F">
            <w:pPr>
              <w:autoSpaceDE w:val="0"/>
              <w:autoSpaceDN w:val="0"/>
              <w:adjustRightInd w:val="0"/>
              <w:spacing w:before="120" w:after="120"/>
              <w:rPr>
                <w:sz w:val="16"/>
                <w:szCs w:val="16"/>
              </w:rPr>
            </w:pPr>
            <w:r w:rsidRPr="00526311">
              <w:rPr>
                <w:sz w:val="16"/>
                <w:szCs w:val="16"/>
              </w:rPr>
              <w:t>Todos los países de América Latina</w:t>
            </w:r>
          </w:p>
        </w:tc>
        <w:tc>
          <w:tcPr>
            <w:tcW w:w="4253"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Promover el intercambio virtual de mejores prácticas entre las OPI en cuestiones como: i) la gestión de la calidad, ii) la organización de servicios de registro e información en línea, iii) el suministro de bases de datos, iv) el examen de patentes, diseños y marcas, v) la organización de servicios de información tecnológica y comercial, vi) la organización de programas de formación y vii) la prestación de servicios de mediación o arbitraje. </w:t>
            </w:r>
          </w:p>
        </w:tc>
      </w:tr>
    </w:tbl>
    <w:p w:rsidR="00C91295" w:rsidRPr="00526311" w:rsidRDefault="00C91295" w:rsidP="00F1387F">
      <w:pPr>
        <w:widowControl w:val="0"/>
        <w:tabs>
          <w:tab w:val="left" w:pos="0"/>
          <w:tab w:val="left" w:pos="9071"/>
        </w:tabs>
        <w:rPr>
          <w:b/>
          <w:sz w:val="20"/>
        </w:rPr>
      </w:pPr>
    </w:p>
    <w:p w:rsidR="00C91295" w:rsidRPr="00526311" w:rsidRDefault="00C91295" w:rsidP="00F1387F">
      <w:pPr>
        <w:widowControl w:val="0"/>
        <w:tabs>
          <w:tab w:val="left" w:pos="0"/>
          <w:tab w:val="left" w:pos="9071"/>
        </w:tabs>
        <w:rPr>
          <w:b/>
          <w:sz w:val="20"/>
        </w:rPr>
      </w:pPr>
    </w:p>
    <w:p w:rsidR="00C91295" w:rsidRPr="00526311" w:rsidRDefault="00C91295" w:rsidP="0058481A">
      <w:pPr>
        <w:keepNext/>
        <w:widowControl w:val="0"/>
        <w:tabs>
          <w:tab w:val="left" w:pos="0"/>
          <w:tab w:val="left" w:pos="9071"/>
        </w:tabs>
        <w:rPr>
          <w:b/>
          <w:sz w:val="20"/>
        </w:rPr>
      </w:pPr>
      <w:r w:rsidRPr="00526311">
        <w:rPr>
          <w:b/>
          <w:sz w:val="20"/>
        </w:rPr>
        <w:t>PROGRAMA IBEROAMERICANO DE PROPIEDAD INDUSTRIAL</w:t>
      </w:r>
      <w:r w:rsidRPr="00526311">
        <w:rPr>
          <w:b/>
          <w:sz w:val="20"/>
        </w:rPr>
        <w:br/>
        <w:t>Contribuciones de donantes y gastos en 2014</w:t>
      </w:r>
    </w:p>
    <w:p w:rsidR="00C91295" w:rsidRPr="00526311" w:rsidRDefault="00C91295" w:rsidP="0058481A">
      <w:pPr>
        <w:keepNext/>
        <w:widowControl w:val="0"/>
        <w:tabs>
          <w:tab w:val="left" w:pos="0"/>
          <w:tab w:val="left" w:pos="9071"/>
        </w:tabs>
        <w:rPr>
          <w:b/>
          <w:sz w:val="20"/>
        </w:rPr>
      </w:pPr>
    </w:p>
    <w:tbl>
      <w:tblPr>
        <w:tblW w:w="9087" w:type="dxa"/>
        <w:jc w:val="center"/>
        <w:tblInd w:w="93" w:type="dxa"/>
        <w:tblLook w:val="04A0" w:firstRow="1" w:lastRow="0" w:firstColumn="1" w:lastColumn="0" w:noHBand="0" w:noVBand="1"/>
      </w:tblPr>
      <w:tblGrid>
        <w:gridCol w:w="1858"/>
        <w:gridCol w:w="1559"/>
        <w:gridCol w:w="1843"/>
        <w:gridCol w:w="1843"/>
        <w:gridCol w:w="1984"/>
      </w:tblGrid>
      <w:tr w:rsidR="00C91295" w:rsidRPr="00526311" w:rsidTr="00F1387F">
        <w:trPr>
          <w:trHeight w:val="50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58481A">
            <w:pPr>
              <w:keepNext/>
              <w:jc w:val="center"/>
              <w:rPr>
                <w:b/>
                <w:bCs/>
                <w:sz w:val="16"/>
                <w:szCs w:val="16"/>
              </w:rPr>
            </w:pPr>
            <w:r w:rsidRPr="00526311">
              <w:rPr>
                <w:b/>
                <w:bCs/>
                <w:sz w:val="16"/>
                <w:szCs w:val="16"/>
              </w:rPr>
              <w:t>Balance a 31 de diciembre de 2013</w:t>
            </w:r>
          </w:p>
        </w:tc>
        <w:tc>
          <w:tcPr>
            <w:tcW w:w="1559" w:type="dxa"/>
            <w:tcBorders>
              <w:top w:val="single" w:sz="4" w:space="0" w:color="auto"/>
              <w:left w:val="nil"/>
              <w:bottom w:val="nil"/>
              <w:right w:val="single" w:sz="4" w:space="0" w:color="auto"/>
            </w:tcBorders>
            <w:shd w:val="clear" w:color="000000" w:fill="CCFFFF"/>
            <w:vAlign w:val="center"/>
            <w:hideMark/>
          </w:tcPr>
          <w:p w:rsidR="00C91295" w:rsidRPr="00526311" w:rsidRDefault="00C91295" w:rsidP="0058481A">
            <w:pPr>
              <w:keepNext/>
              <w:jc w:val="center"/>
              <w:rPr>
                <w:b/>
                <w:bCs/>
                <w:sz w:val="16"/>
                <w:szCs w:val="16"/>
              </w:rPr>
            </w:pPr>
            <w:r w:rsidRPr="00526311">
              <w:rPr>
                <w:b/>
                <w:bCs/>
                <w:sz w:val="16"/>
                <w:szCs w:val="16"/>
              </w:rPr>
              <w:t>Ingresos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58481A">
            <w:pPr>
              <w:keepNext/>
              <w:jc w:val="center"/>
              <w:rPr>
                <w:b/>
                <w:bCs/>
                <w:sz w:val="16"/>
                <w:szCs w:val="16"/>
              </w:rPr>
            </w:pPr>
            <w:r w:rsidRPr="00526311">
              <w:rPr>
                <w:b/>
                <w:bCs/>
                <w:sz w:val="16"/>
                <w:szCs w:val="16"/>
              </w:rPr>
              <w:t>Gastos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58481A">
            <w:pPr>
              <w:keepNext/>
              <w:jc w:val="center"/>
              <w:rPr>
                <w:b/>
                <w:bCs/>
                <w:sz w:val="16"/>
                <w:szCs w:val="16"/>
              </w:rPr>
            </w:pPr>
            <w:r w:rsidRPr="00526311">
              <w:rPr>
                <w:b/>
                <w:bCs/>
                <w:sz w:val="16"/>
                <w:szCs w:val="16"/>
              </w:rPr>
              <w:t>Reembolsos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58481A">
            <w:pPr>
              <w:keepNext/>
              <w:jc w:val="center"/>
              <w:rPr>
                <w:b/>
                <w:bCs/>
                <w:sz w:val="16"/>
                <w:szCs w:val="16"/>
              </w:rPr>
            </w:pPr>
            <w:r w:rsidRPr="00526311">
              <w:rPr>
                <w:b/>
                <w:bCs/>
                <w:sz w:val="16"/>
                <w:szCs w:val="16"/>
              </w:rPr>
              <w:t>Balance a 31 de diciembre de 2014</w:t>
            </w:r>
          </w:p>
        </w:tc>
      </w:tr>
      <w:tr w:rsidR="00C91295" w:rsidRPr="00526311" w:rsidTr="00F1387F">
        <w:trPr>
          <w:trHeight w:val="416"/>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58481A">
            <w:pPr>
              <w:keepNext/>
              <w:jc w:val="center"/>
              <w:rPr>
                <w:sz w:val="16"/>
                <w:szCs w:val="16"/>
              </w:rPr>
            </w:pPr>
            <w:r w:rsidRPr="00526311">
              <w:rPr>
                <w:sz w:val="16"/>
                <w:szCs w:val="16"/>
              </w:rPr>
              <w:t>108.828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91295" w:rsidRPr="00526311" w:rsidRDefault="00C91295" w:rsidP="0058481A">
            <w:pPr>
              <w:keepNext/>
              <w:jc w:val="center"/>
              <w:rPr>
                <w:sz w:val="16"/>
                <w:szCs w:val="16"/>
              </w:rPr>
            </w:pPr>
            <w:r w:rsidRPr="00526311">
              <w:rPr>
                <w:sz w:val="16"/>
                <w:szCs w:val="16"/>
              </w:rPr>
              <w:t>167.212</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58481A">
            <w:pPr>
              <w:keepNext/>
              <w:jc w:val="center"/>
              <w:rPr>
                <w:sz w:val="16"/>
                <w:szCs w:val="16"/>
              </w:rPr>
            </w:pPr>
            <w:r w:rsidRPr="00526311">
              <w:rPr>
                <w:sz w:val="16"/>
                <w:szCs w:val="16"/>
              </w:rPr>
              <w:t>43.079</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58481A">
            <w:pPr>
              <w:keepNext/>
              <w:jc w:val="center"/>
              <w:rPr>
                <w:sz w:val="16"/>
                <w:szCs w:val="16"/>
              </w:rPr>
            </w:pPr>
            <w:r w:rsidRPr="00526311">
              <w:rPr>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58481A">
            <w:pPr>
              <w:keepNext/>
              <w:jc w:val="center"/>
              <w:rPr>
                <w:sz w:val="16"/>
                <w:szCs w:val="16"/>
              </w:rPr>
            </w:pPr>
            <w:r w:rsidRPr="00526311">
              <w:rPr>
                <w:sz w:val="16"/>
                <w:szCs w:val="16"/>
              </w:rPr>
              <w:t>232.961</w:t>
            </w:r>
          </w:p>
        </w:tc>
      </w:tr>
    </w:tbl>
    <w:p w:rsidR="00C91295" w:rsidRPr="00526311" w:rsidRDefault="00C91295" w:rsidP="00F1387F">
      <w:pPr>
        <w:rPr>
          <w:b/>
          <w:sz w:val="18"/>
          <w:szCs w:val="18"/>
        </w:rPr>
      </w:pPr>
    </w:p>
    <w:p w:rsidR="00C91295" w:rsidRPr="00526311" w:rsidRDefault="00C91295" w:rsidP="00F1387F">
      <w:pPr>
        <w:rPr>
          <w:b/>
          <w:sz w:val="18"/>
          <w:szCs w:val="18"/>
        </w:rPr>
      </w:pPr>
    </w:p>
    <w:p w:rsidR="00C91295" w:rsidRPr="00526311" w:rsidRDefault="00C91295" w:rsidP="00F1387F">
      <w:pPr>
        <w:keepNext/>
        <w:widowControl w:val="0"/>
        <w:tabs>
          <w:tab w:val="left" w:pos="0"/>
          <w:tab w:val="left" w:pos="9071"/>
        </w:tabs>
        <w:rPr>
          <w:b/>
          <w:sz w:val="20"/>
        </w:rPr>
      </w:pPr>
      <w:r w:rsidRPr="00526311">
        <w:rPr>
          <w:b/>
          <w:sz w:val="20"/>
        </w:rPr>
        <w:lastRenderedPageBreak/>
        <w:t>ITALIA</w:t>
      </w:r>
    </w:p>
    <w:p w:rsidR="00C91295" w:rsidRPr="00526311" w:rsidRDefault="00C91295" w:rsidP="00F1387F">
      <w:pPr>
        <w:keepNext/>
        <w:keepLines/>
        <w:rPr>
          <w:b/>
          <w:sz w:val="20"/>
        </w:rPr>
      </w:pPr>
    </w:p>
    <w:tbl>
      <w:tblPr>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395"/>
      </w:tblGrid>
      <w:tr w:rsidR="00C91295" w:rsidRPr="00526311" w:rsidTr="00F1387F">
        <w:trPr>
          <w:cantSplit/>
        </w:trPr>
        <w:tc>
          <w:tcPr>
            <w:tcW w:w="9528" w:type="dxa"/>
            <w:gridSpan w:val="4"/>
            <w:tcBorders>
              <w:top w:val="single" w:sz="4" w:space="0" w:color="000000"/>
              <w:bottom w:val="single" w:sz="4" w:space="0" w:color="000000"/>
            </w:tcBorders>
            <w:shd w:val="clear" w:color="auto" w:fill="CCFFFF"/>
            <w:vAlign w:val="center"/>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IV.2 Mejora del acceso y uso de información de P.I. por parte de instituciones de P.I. y el público para fomentar la innovación y la creatividad</w:t>
            </w:r>
          </w:p>
        </w:tc>
      </w:tr>
      <w:tr w:rsidR="00C91295" w:rsidRPr="00526311" w:rsidTr="00F1387F">
        <w:trPr>
          <w:cantSplit/>
        </w:trPr>
        <w:tc>
          <w:tcPr>
            <w:tcW w:w="1873" w:type="dxa"/>
            <w:tcBorders>
              <w:top w:val="single" w:sz="4" w:space="0" w:color="000000"/>
            </w:tcBorders>
            <w:vAlign w:val="center"/>
          </w:tcPr>
          <w:p w:rsidR="00C91295" w:rsidRPr="00526311" w:rsidRDefault="00C91295" w:rsidP="00F1387F">
            <w:pPr>
              <w:keepNext/>
              <w:keepLines/>
              <w:rPr>
                <w:b/>
                <w:bCs/>
                <w:sz w:val="16"/>
                <w:szCs w:val="16"/>
              </w:rPr>
            </w:pPr>
            <w:r w:rsidRPr="00526311">
              <w:rPr>
                <w:b/>
                <w:bCs/>
                <w:sz w:val="16"/>
                <w:szCs w:val="16"/>
              </w:rPr>
              <w:t>Actividad</w:t>
            </w:r>
          </w:p>
        </w:tc>
        <w:tc>
          <w:tcPr>
            <w:tcW w:w="1276" w:type="dxa"/>
            <w:tcBorders>
              <w:top w:val="single" w:sz="4" w:space="0" w:color="000000"/>
            </w:tcBorders>
            <w:tcMar>
              <w:top w:w="110" w:type="dxa"/>
            </w:tcMar>
            <w:vAlign w:val="center"/>
          </w:tcPr>
          <w:p w:rsidR="00C91295" w:rsidRPr="00526311" w:rsidRDefault="00C91295" w:rsidP="00F1387F">
            <w:pPr>
              <w:keepNext/>
              <w:keepLines/>
              <w:rPr>
                <w:sz w:val="16"/>
                <w:szCs w:val="16"/>
              </w:rPr>
            </w:pPr>
            <w:r w:rsidRPr="00526311">
              <w:rPr>
                <w:b/>
                <w:sz w:val="16"/>
                <w:szCs w:val="16"/>
              </w:rPr>
              <w:t>Fecha</w:t>
            </w:r>
          </w:p>
        </w:tc>
        <w:tc>
          <w:tcPr>
            <w:tcW w:w="1984" w:type="dxa"/>
            <w:tcBorders>
              <w:top w:val="single" w:sz="4" w:space="0" w:color="000000"/>
            </w:tcBorders>
            <w:tcMar>
              <w:top w:w="110" w:type="dxa"/>
            </w:tcMar>
            <w:vAlign w:val="center"/>
          </w:tcPr>
          <w:p w:rsidR="00C91295" w:rsidRPr="00526311" w:rsidRDefault="00C91295" w:rsidP="00F1387F">
            <w:pPr>
              <w:keepNext/>
              <w:keepLines/>
              <w:rPr>
                <w:sz w:val="16"/>
                <w:szCs w:val="16"/>
              </w:rPr>
            </w:pPr>
            <w:r w:rsidRPr="00526311">
              <w:rPr>
                <w:b/>
                <w:sz w:val="16"/>
                <w:szCs w:val="16"/>
              </w:rPr>
              <w:t>País anfitrión / Beneficiarios</w:t>
            </w:r>
          </w:p>
        </w:tc>
        <w:tc>
          <w:tcPr>
            <w:tcW w:w="4395" w:type="dxa"/>
            <w:tcBorders>
              <w:top w:val="single" w:sz="4" w:space="0" w:color="000000"/>
            </w:tcBorders>
            <w:shd w:val="clear" w:color="auto" w:fill="FFFFFF"/>
            <w:tcMar>
              <w:top w:w="110" w:type="dxa"/>
            </w:tcMar>
            <w:vAlign w:val="center"/>
          </w:tcPr>
          <w:p w:rsidR="00C91295" w:rsidRPr="00526311" w:rsidRDefault="00C91295" w:rsidP="00F1387F">
            <w:pPr>
              <w:keepNext/>
              <w:keepLines/>
              <w:rPr>
                <w:sz w:val="16"/>
                <w:szCs w:val="16"/>
              </w:rPr>
            </w:pPr>
            <w:r w:rsidRPr="00526311">
              <w:rPr>
                <w:b/>
                <w:sz w:val="16"/>
                <w:szCs w:val="16"/>
              </w:rPr>
              <w:t>Propósito(s)/Descripción</w:t>
            </w:r>
          </w:p>
        </w:tc>
      </w:tr>
      <w:tr w:rsidR="00C91295" w:rsidRPr="00526311" w:rsidTr="00F1387F">
        <w:trPr>
          <w:cantSplit/>
        </w:trPr>
        <w:tc>
          <w:tcPr>
            <w:tcW w:w="1873" w:type="dxa"/>
          </w:tcPr>
          <w:p w:rsidR="00C91295" w:rsidRPr="00526311" w:rsidRDefault="00C91295" w:rsidP="00F1387F">
            <w:pPr>
              <w:keepNext/>
              <w:keepLines/>
              <w:autoSpaceDE w:val="0"/>
              <w:autoSpaceDN w:val="0"/>
              <w:adjustRightInd w:val="0"/>
              <w:spacing w:before="120" w:after="120"/>
              <w:rPr>
                <w:sz w:val="16"/>
                <w:szCs w:val="16"/>
              </w:rPr>
            </w:pPr>
            <w:r w:rsidRPr="00526311">
              <w:rPr>
                <w:sz w:val="16"/>
                <w:szCs w:val="16"/>
              </w:rPr>
              <w:t xml:space="preserve">Creación de una base de datos nacional de patentes en línea en la Oficina de Patentes y Marcas de Italia (DGLC-UIBM) </w:t>
            </w:r>
          </w:p>
        </w:tc>
        <w:tc>
          <w:tcPr>
            <w:tcW w:w="1276" w:type="dxa"/>
          </w:tcPr>
          <w:p w:rsidR="00C91295" w:rsidRPr="00526311" w:rsidRDefault="00C91295" w:rsidP="00F1387F">
            <w:pPr>
              <w:keepNext/>
              <w:keepLines/>
              <w:autoSpaceDE w:val="0"/>
              <w:autoSpaceDN w:val="0"/>
              <w:adjustRightInd w:val="0"/>
              <w:spacing w:before="120" w:after="120"/>
              <w:rPr>
                <w:sz w:val="16"/>
                <w:szCs w:val="16"/>
              </w:rPr>
            </w:pPr>
            <w:r w:rsidRPr="00526311">
              <w:rPr>
                <w:sz w:val="16"/>
                <w:szCs w:val="16"/>
              </w:rPr>
              <w:t>Junio de 2013 a diciembre de 2014</w:t>
            </w:r>
          </w:p>
          <w:p w:rsidR="00C91295" w:rsidRPr="00526311" w:rsidRDefault="00C91295" w:rsidP="00F1387F">
            <w:pPr>
              <w:keepNext/>
              <w:keepLines/>
              <w:autoSpaceDE w:val="0"/>
              <w:autoSpaceDN w:val="0"/>
              <w:adjustRightInd w:val="0"/>
              <w:spacing w:before="120" w:after="120"/>
              <w:rPr>
                <w:sz w:val="16"/>
                <w:szCs w:val="16"/>
              </w:rPr>
            </w:pPr>
            <w:r w:rsidRPr="00526311">
              <w:rPr>
                <w:sz w:val="16"/>
                <w:szCs w:val="16"/>
              </w:rPr>
              <w:t>En curso</w:t>
            </w:r>
          </w:p>
        </w:tc>
        <w:tc>
          <w:tcPr>
            <w:tcW w:w="1984" w:type="dxa"/>
          </w:tcPr>
          <w:p w:rsidR="00C91295" w:rsidRPr="00526311" w:rsidRDefault="00C91295" w:rsidP="00F1387F">
            <w:pPr>
              <w:keepNext/>
              <w:keepLines/>
              <w:autoSpaceDE w:val="0"/>
              <w:autoSpaceDN w:val="0"/>
              <w:adjustRightInd w:val="0"/>
              <w:spacing w:before="120" w:after="120"/>
              <w:rPr>
                <w:sz w:val="16"/>
                <w:szCs w:val="16"/>
              </w:rPr>
            </w:pPr>
            <w:r w:rsidRPr="00526311">
              <w:rPr>
                <w:sz w:val="16"/>
                <w:szCs w:val="16"/>
              </w:rPr>
              <w:t>Italia</w:t>
            </w:r>
          </w:p>
        </w:tc>
        <w:tc>
          <w:tcPr>
            <w:tcW w:w="4395" w:type="dxa"/>
          </w:tcPr>
          <w:p w:rsidR="00C91295" w:rsidRPr="00526311" w:rsidRDefault="00C91295" w:rsidP="00F1387F">
            <w:pPr>
              <w:keepNext/>
              <w:keepLines/>
              <w:autoSpaceDE w:val="0"/>
              <w:autoSpaceDN w:val="0"/>
              <w:adjustRightInd w:val="0"/>
              <w:spacing w:before="120" w:after="120"/>
              <w:rPr>
                <w:sz w:val="16"/>
                <w:szCs w:val="16"/>
              </w:rPr>
            </w:pPr>
            <w:r w:rsidRPr="00526311">
              <w:rPr>
                <w:sz w:val="16"/>
                <w:szCs w:val="16"/>
              </w:rPr>
              <w:t>i) Facilitar la participación de Italia en los acuerdos multilaterales existentes para el intercambio de documentos e información contenida en las patentes, ii) sentar las bases de la participación de Italia en PATENTSCOPE y en otras bases de datos de patentes a nivel internacional (por ejemplo, Espacenet) y iii) contribuir a fomentar la difusión de colecciones de patentes digitalizadas en beneficio de todos los Estados miembros de la OMPI, incluidos los países en desarrollo.</w:t>
            </w:r>
          </w:p>
        </w:tc>
      </w:tr>
    </w:tbl>
    <w:p w:rsidR="00C91295" w:rsidRPr="00526311" w:rsidRDefault="00C91295" w:rsidP="00F1387F">
      <w:pPr>
        <w:widowControl w:val="0"/>
        <w:tabs>
          <w:tab w:val="left" w:pos="0"/>
          <w:tab w:val="left" w:pos="9071"/>
        </w:tabs>
        <w:rPr>
          <w:b/>
          <w:sz w:val="20"/>
        </w:rPr>
      </w:pPr>
    </w:p>
    <w:p w:rsidR="002C0072" w:rsidRPr="00526311" w:rsidRDefault="002C0072" w:rsidP="00F1387F">
      <w:pPr>
        <w:widowControl w:val="0"/>
        <w:tabs>
          <w:tab w:val="left" w:pos="0"/>
          <w:tab w:val="left" w:pos="9071"/>
        </w:tabs>
        <w:rPr>
          <w:b/>
          <w:sz w:val="20"/>
        </w:rPr>
      </w:pPr>
    </w:p>
    <w:p w:rsidR="00C91295" w:rsidRPr="007D4926" w:rsidRDefault="00C91295" w:rsidP="00F1387F">
      <w:pPr>
        <w:widowControl w:val="0"/>
        <w:tabs>
          <w:tab w:val="left" w:pos="0"/>
          <w:tab w:val="left" w:pos="9071"/>
        </w:tabs>
        <w:rPr>
          <w:b/>
          <w:sz w:val="20"/>
        </w:rPr>
      </w:pPr>
      <w:r w:rsidRPr="007D4926">
        <w:rPr>
          <w:b/>
          <w:sz w:val="20"/>
        </w:rPr>
        <w:t>ITALIA – Contribuciones de donantes y gastos en 2014</w:t>
      </w:r>
    </w:p>
    <w:p w:rsidR="00C91295" w:rsidRPr="00526311" w:rsidRDefault="00C91295" w:rsidP="00F1387F">
      <w:pPr>
        <w:widowControl w:val="0"/>
        <w:tabs>
          <w:tab w:val="left" w:pos="0"/>
          <w:tab w:val="left" w:pos="9071"/>
        </w:tabs>
        <w:rPr>
          <w:b/>
          <w:sz w:val="20"/>
        </w:rPr>
      </w:pPr>
    </w:p>
    <w:tbl>
      <w:tblPr>
        <w:tblW w:w="9436" w:type="dxa"/>
        <w:jc w:val="center"/>
        <w:tblInd w:w="93" w:type="dxa"/>
        <w:tblLook w:val="04A0" w:firstRow="1" w:lastRow="0" w:firstColumn="1" w:lastColumn="0" w:noHBand="0" w:noVBand="1"/>
      </w:tblPr>
      <w:tblGrid>
        <w:gridCol w:w="1858"/>
        <w:gridCol w:w="1559"/>
        <w:gridCol w:w="1701"/>
        <w:gridCol w:w="2050"/>
        <w:gridCol w:w="2268"/>
      </w:tblGrid>
      <w:tr w:rsidR="00C91295" w:rsidRPr="00526311" w:rsidTr="00F1387F">
        <w:trPr>
          <w:trHeight w:val="77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Ingresos en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Gastos en 2014</w:t>
            </w:r>
          </w:p>
        </w:tc>
        <w:tc>
          <w:tcPr>
            <w:tcW w:w="2050"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Reembolsos</w:t>
            </w:r>
          </w:p>
        </w:tc>
        <w:tc>
          <w:tcPr>
            <w:tcW w:w="2268"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2014</w:t>
            </w:r>
          </w:p>
        </w:tc>
      </w:tr>
      <w:tr w:rsidR="00C91295" w:rsidRPr="00526311" w:rsidTr="002C0072">
        <w:trPr>
          <w:trHeight w:val="64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624.680</w:t>
            </w:r>
          </w:p>
        </w:tc>
        <w:tc>
          <w:tcPr>
            <w:tcW w:w="1559"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609.218</w:t>
            </w:r>
          </w:p>
        </w:tc>
        <w:tc>
          <w:tcPr>
            <w:tcW w:w="1701"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362</w:t>
            </w:r>
          </w:p>
        </w:tc>
        <w:tc>
          <w:tcPr>
            <w:tcW w:w="2050"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w:t>
            </w:r>
          </w:p>
        </w:tc>
        <w:tc>
          <w:tcPr>
            <w:tcW w:w="2268"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1.233.536</w:t>
            </w:r>
          </w:p>
        </w:tc>
      </w:tr>
    </w:tbl>
    <w:p w:rsidR="00C91295" w:rsidRPr="00526311" w:rsidRDefault="00C91295" w:rsidP="00F1387F">
      <w:pPr>
        <w:rPr>
          <w:b/>
          <w:sz w:val="20"/>
        </w:rPr>
      </w:pPr>
    </w:p>
    <w:p w:rsidR="00C91295" w:rsidRPr="00526311" w:rsidRDefault="00C91295" w:rsidP="00F1387F">
      <w:pPr>
        <w:rPr>
          <w:b/>
          <w:sz w:val="20"/>
        </w:rPr>
      </w:pPr>
    </w:p>
    <w:p w:rsidR="00C91295" w:rsidRPr="00526311" w:rsidRDefault="00C91295" w:rsidP="00F1387F">
      <w:pPr>
        <w:rPr>
          <w:b/>
          <w:sz w:val="20"/>
        </w:rPr>
      </w:pPr>
      <w:r w:rsidRPr="00526311">
        <w:rPr>
          <w:b/>
          <w:sz w:val="20"/>
        </w:rPr>
        <w:t>JAPÓN – DERECHO DE AUTOR</w:t>
      </w:r>
    </w:p>
    <w:p w:rsidR="00C91295" w:rsidRPr="00526311" w:rsidRDefault="00C91295" w:rsidP="00F1387F">
      <w:pPr>
        <w:rPr>
          <w:b/>
          <w:sz w:val="20"/>
        </w:rPr>
      </w:pPr>
    </w:p>
    <w:tbl>
      <w:tblPr>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395"/>
      </w:tblGrid>
      <w:tr w:rsidR="00C91295" w:rsidRPr="00526311" w:rsidTr="00F1387F">
        <w:tc>
          <w:tcPr>
            <w:tcW w:w="9498" w:type="dxa"/>
            <w:gridSpan w:val="4"/>
            <w:tcBorders>
              <w:top w:val="single" w:sz="4" w:space="0" w:color="000000"/>
              <w:bottom w:val="single" w:sz="4" w:space="0" w:color="000000"/>
            </w:tcBorders>
            <w:shd w:val="clear" w:color="auto" w:fill="CCFFFF"/>
            <w:vAlign w:val="center"/>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c>
          <w:tcPr>
            <w:tcW w:w="1843" w:type="dxa"/>
            <w:tcBorders>
              <w:top w:val="single" w:sz="4" w:space="0" w:color="000000"/>
              <w:bottom w:val="nil"/>
            </w:tcBorders>
            <w:vAlign w:val="center"/>
          </w:tcPr>
          <w:p w:rsidR="00C91295" w:rsidRPr="00526311" w:rsidRDefault="00C91295" w:rsidP="00F1387F">
            <w:pPr>
              <w:keepNext/>
              <w:keepLines/>
              <w:rPr>
                <w:b/>
                <w:bCs/>
                <w:sz w:val="16"/>
                <w:szCs w:val="16"/>
              </w:rPr>
            </w:pPr>
            <w:r w:rsidRPr="00526311">
              <w:rPr>
                <w:b/>
                <w:bCs/>
                <w:sz w:val="16"/>
                <w:szCs w:val="16"/>
              </w:rPr>
              <w:t>Actividad</w:t>
            </w:r>
          </w:p>
        </w:tc>
        <w:tc>
          <w:tcPr>
            <w:tcW w:w="1134" w:type="dxa"/>
            <w:tcBorders>
              <w:top w:val="single" w:sz="4" w:space="0" w:color="000000"/>
              <w:bottom w:val="nil"/>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Fecha</w:t>
            </w:r>
          </w:p>
        </w:tc>
        <w:tc>
          <w:tcPr>
            <w:tcW w:w="2126" w:type="dxa"/>
            <w:tcBorders>
              <w:top w:val="single" w:sz="4" w:space="0" w:color="000000"/>
              <w:bottom w:val="nil"/>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País anfitrión / Beneficiarios</w:t>
            </w:r>
          </w:p>
        </w:tc>
        <w:tc>
          <w:tcPr>
            <w:tcW w:w="4395" w:type="dxa"/>
            <w:tcBorders>
              <w:top w:val="single" w:sz="4" w:space="0" w:color="000000"/>
              <w:bottom w:val="nil"/>
            </w:tcBorders>
            <w:shd w:val="clear" w:color="auto" w:fill="FFFFFF"/>
            <w:tcMar>
              <w:top w:w="110" w:type="dxa"/>
            </w:tcMar>
            <w:vAlign w:val="center"/>
          </w:tcPr>
          <w:p w:rsidR="00C91295" w:rsidRPr="00526311" w:rsidRDefault="00C91295" w:rsidP="00F1387F">
            <w:pPr>
              <w:keepNext/>
              <w:keepLines/>
              <w:rPr>
                <w:sz w:val="16"/>
                <w:szCs w:val="16"/>
              </w:rPr>
            </w:pPr>
            <w:r w:rsidRPr="00526311">
              <w:rPr>
                <w:b/>
                <w:sz w:val="16"/>
                <w:szCs w:val="16"/>
              </w:rPr>
              <w:t>Propósito(s)/Descripción</w:t>
            </w:r>
          </w:p>
        </w:tc>
      </w:tr>
      <w:tr w:rsidR="00C91295" w:rsidRPr="00526311" w:rsidTr="00F1387F">
        <w:trPr>
          <w:trHeight w:val="1165"/>
        </w:trPr>
        <w:tc>
          <w:tcPr>
            <w:tcW w:w="1843" w:type="dxa"/>
            <w:tcBorders>
              <w:top w:val="nil"/>
              <w:bottom w:val="single" w:sz="4" w:space="0" w:color="auto"/>
            </w:tcBorders>
          </w:tcPr>
          <w:p w:rsidR="00C91295" w:rsidRPr="00526311" w:rsidDel="009E0498" w:rsidRDefault="00C91295" w:rsidP="00F1387F">
            <w:pPr>
              <w:autoSpaceDE w:val="0"/>
              <w:autoSpaceDN w:val="0"/>
              <w:adjustRightInd w:val="0"/>
              <w:spacing w:before="120" w:after="120"/>
              <w:rPr>
                <w:sz w:val="16"/>
                <w:szCs w:val="16"/>
              </w:rPr>
            </w:pPr>
            <w:r w:rsidRPr="00526311">
              <w:rPr>
                <w:sz w:val="16"/>
                <w:szCs w:val="16"/>
              </w:rPr>
              <w:t>Taller nacional sobre derecho de autor, creatividad y desarrollo</w:t>
            </w:r>
          </w:p>
        </w:tc>
        <w:tc>
          <w:tcPr>
            <w:tcW w:w="1134"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8 a 9 de mayo de 2014</w:t>
            </w:r>
          </w:p>
        </w:tc>
        <w:tc>
          <w:tcPr>
            <w:tcW w:w="2126"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Camboya / cerca de 100 participantes locales</w:t>
            </w:r>
          </w:p>
        </w:tc>
        <w:tc>
          <w:tcPr>
            <w:tcW w:w="4395" w:type="dxa"/>
            <w:tcBorders>
              <w:top w:val="nil"/>
              <w:bottom w:val="single" w:sz="4" w:space="0" w:color="auto"/>
            </w:tcBorders>
          </w:tcPr>
          <w:p w:rsidR="00C91295" w:rsidRPr="00526311" w:rsidDel="00152E3E" w:rsidRDefault="00C91295" w:rsidP="00F1387F">
            <w:pPr>
              <w:autoSpaceDE w:val="0"/>
              <w:autoSpaceDN w:val="0"/>
              <w:adjustRightInd w:val="0"/>
              <w:spacing w:before="120" w:after="120"/>
              <w:rPr>
                <w:sz w:val="16"/>
                <w:szCs w:val="16"/>
              </w:rPr>
            </w:pPr>
            <w:r w:rsidRPr="00526311">
              <w:rPr>
                <w:sz w:val="16"/>
                <w:szCs w:val="16"/>
              </w:rPr>
              <w:t>i) Fomentar la sensibilización entre los encargados de formular políticas y los principales sectores interesados sobre la pertinencia e importancia del derecho de autor, ii) prestar asistencia a la explotación eficaz de obras culturales mediante el derecho de autor y los derechos conexos.</w:t>
            </w:r>
          </w:p>
        </w:tc>
      </w:tr>
      <w:tr w:rsidR="00C91295" w:rsidRPr="00526311" w:rsidTr="00F1387F">
        <w:trPr>
          <w:trHeight w:val="520"/>
        </w:trPr>
        <w:tc>
          <w:tcPr>
            <w:tcW w:w="9498" w:type="dxa"/>
            <w:gridSpan w:val="4"/>
            <w:tcBorders>
              <w:top w:val="single" w:sz="4" w:space="0" w:color="auto"/>
              <w:bottom w:val="single" w:sz="4" w:space="0" w:color="000000"/>
            </w:tcBorders>
            <w:shd w:val="clear" w:color="auto" w:fill="CCFFFF"/>
          </w:tcPr>
          <w:p w:rsidR="00C91295" w:rsidRPr="00526311" w:rsidDel="00152E3E" w:rsidRDefault="00C91295" w:rsidP="00F1387F">
            <w:pPr>
              <w:keepNext/>
              <w:keepLines/>
              <w:tabs>
                <w:tab w:val="left" w:pos="1740"/>
              </w:tabs>
              <w:spacing w:before="120" w:after="120"/>
              <w:ind w:left="1740" w:hanging="1740"/>
              <w:rPr>
                <w:sz w:val="16"/>
                <w:szCs w:val="16"/>
              </w:rPr>
            </w:pPr>
            <w:r w:rsidRPr="00526311">
              <w:rPr>
                <w:b/>
                <w:bCs/>
                <w:sz w:val="16"/>
                <w:szCs w:val="16"/>
              </w:rPr>
              <w:t>RESULTADO:</w:t>
            </w:r>
            <w:r w:rsidRPr="00526311">
              <w:rPr>
                <w:bCs/>
                <w:sz w:val="16"/>
                <w:szCs w:val="16"/>
              </w:rPr>
              <w:tab/>
              <w:t>IV.4 Mejora en la infraestructura técnica y de conocimientos de las Oficinas y demás instituciones de P.I. que les permita prestar mejores servicios (más económicos, más rápidos y de mejor calidad) a sus partes interesadas</w:t>
            </w:r>
          </w:p>
        </w:tc>
      </w:tr>
      <w:tr w:rsidR="00C91295" w:rsidRPr="00526311" w:rsidTr="00F1387F">
        <w:trPr>
          <w:trHeight w:val="520"/>
        </w:trPr>
        <w:tc>
          <w:tcPr>
            <w:tcW w:w="1843" w:type="dxa"/>
            <w:tcBorders>
              <w:top w:val="single" w:sz="4" w:space="0" w:color="000000"/>
            </w:tcBorders>
            <w:vAlign w:val="center"/>
          </w:tcPr>
          <w:p w:rsidR="00C91295" w:rsidRPr="00526311" w:rsidRDefault="00C91295" w:rsidP="00F1387F">
            <w:pPr>
              <w:keepNext/>
              <w:autoSpaceDE w:val="0"/>
              <w:autoSpaceDN w:val="0"/>
              <w:adjustRightInd w:val="0"/>
              <w:spacing w:before="120"/>
              <w:rPr>
                <w:sz w:val="16"/>
                <w:szCs w:val="16"/>
              </w:rPr>
            </w:pPr>
            <w:r w:rsidRPr="00526311">
              <w:rPr>
                <w:b/>
                <w:sz w:val="16"/>
                <w:szCs w:val="16"/>
              </w:rPr>
              <w:t>Actividad</w:t>
            </w:r>
          </w:p>
        </w:tc>
        <w:tc>
          <w:tcPr>
            <w:tcW w:w="1134" w:type="dxa"/>
            <w:tcBorders>
              <w:top w:val="single" w:sz="4" w:space="0" w:color="000000"/>
            </w:tcBorders>
            <w:vAlign w:val="center"/>
          </w:tcPr>
          <w:p w:rsidR="00C91295" w:rsidRPr="00526311" w:rsidRDefault="00C91295" w:rsidP="00F1387F">
            <w:pPr>
              <w:keepNext/>
              <w:autoSpaceDE w:val="0"/>
              <w:autoSpaceDN w:val="0"/>
              <w:adjustRightInd w:val="0"/>
              <w:spacing w:before="120"/>
              <w:rPr>
                <w:sz w:val="16"/>
                <w:szCs w:val="16"/>
              </w:rPr>
            </w:pPr>
            <w:r w:rsidRPr="00526311">
              <w:rPr>
                <w:b/>
                <w:sz w:val="16"/>
                <w:szCs w:val="16"/>
              </w:rPr>
              <w:t>Fecha</w:t>
            </w:r>
          </w:p>
        </w:tc>
        <w:tc>
          <w:tcPr>
            <w:tcW w:w="2126" w:type="dxa"/>
            <w:tcBorders>
              <w:top w:val="single" w:sz="4" w:space="0" w:color="000000"/>
            </w:tcBorders>
            <w:vAlign w:val="center"/>
          </w:tcPr>
          <w:p w:rsidR="00C91295" w:rsidRPr="00526311" w:rsidRDefault="00C91295" w:rsidP="00F1387F">
            <w:pPr>
              <w:keepNext/>
              <w:autoSpaceDE w:val="0"/>
              <w:autoSpaceDN w:val="0"/>
              <w:adjustRightInd w:val="0"/>
              <w:spacing w:before="120"/>
              <w:rPr>
                <w:sz w:val="16"/>
                <w:szCs w:val="16"/>
              </w:rPr>
            </w:pPr>
            <w:r w:rsidRPr="00526311">
              <w:rPr>
                <w:b/>
                <w:sz w:val="16"/>
                <w:szCs w:val="16"/>
              </w:rPr>
              <w:t>País anfitrión / Beneficiarios</w:t>
            </w:r>
          </w:p>
        </w:tc>
        <w:tc>
          <w:tcPr>
            <w:tcW w:w="4395" w:type="dxa"/>
            <w:tcBorders>
              <w:top w:val="single" w:sz="4" w:space="0" w:color="000000"/>
            </w:tcBorders>
            <w:vAlign w:val="center"/>
          </w:tcPr>
          <w:p w:rsidR="00C91295" w:rsidRPr="00526311" w:rsidRDefault="00C91295" w:rsidP="00F1387F">
            <w:pPr>
              <w:keepNext/>
              <w:autoSpaceDE w:val="0"/>
              <w:autoSpaceDN w:val="0"/>
              <w:adjustRightInd w:val="0"/>
              <w:spacing w:before="120"/>
              <w:rPr>
                <w:sz w:val="16"/>
                <w:szCs w:val="16"/>
              </w:rPr>
            </w:pPr>
            <w:r w:rsidRPr="00526311">
              <w:rPr>
                <w:b/>
                <w:sz w:val="16"/>
                <w:szCs w:val="16"/>
              </w:rPr>
              <w:t>Propósito(s)/Descripción</w:t>
            </w:r>
          </w:p>
        </w:tc>
      </w:tr>
      <w:tr w:rsidR="00C91295" w:rsidRPr="00526311" w:rsidTr="00F1387F">
        <w:trPr>
          <w:trHeight w:val="1615"/>
        </w:trPr>
        <w:tc>
          <w:tcPr>
            <w:tcW w:w="1843" w:type="dxa"/>
          </w:tcPr>
          <w:p w:rsidR="00C91295" w:rsidRPr="00526311" w:rsidRDefault="00C91295" w:rsidP="00F1387F">
            <w:pPr>
              <w:keepNext/>
              <w:autoSpaceDE w:val="0"/>
              <w:autoSpaceDN w:val="0"/>
              <w:adjustRightInd w:val="0"/>
              <w:spacing w:before="120" w:after="120"/>
              <w:rPr>
                <w:sz w:val="16"/>
                <w:szCs w:val="16"/>
              </w:rPr>
            </w:pPr>
            <w:r w:rsidRPr="00526311">
              <w:rPr>
                <w:sz w:val="16"/>
                <w:szCs w:val="16"/>
              </w:rPr>
              <w:t>Visita de estudio a la sede de la OMPI efectuada por la delegación de Viet Nam en la que se examina el derecho de autor y los tratados de la OMPI</w:t>
            </w:r>
          </w:p>
        </w:tc>
        <w:tc>
          <w:tcPr>
            <w:tcW w:w="1134" w:type="dxa"/>
          </w:tcPr>
          <w:p w:rsidR="00C91295" w:rsidRPr="00526311" w:rsidRDefault="00C91295" w:rsidP="00F1387F">
            <w:pPr>
              <w:keepNext/>
              <w:autoSpaceDE w:val="0"/>
              <w:autoSpaceDN w:val="0"/>
              <w:adjustRightInd w:val="0"/>
              <w:spacing w:before="120" w:after="120"/>
              <w:rPr>
                <w:sz w:val="16"/>
                <w:szCs w:val="16"/>
              </w:rPr>
            </w:pPr>
            <w:r w:rsidRPr="00526311">
              <w:rPr>
                <w:sz w:val="16"/>
                <w:szCs w:val="16"/>
              </w:rPr>
              <w:t>5 a 7 de febrero de 2014</w:t>
            </w:r>
          </w:p>
        </w:tc>
        <w:tc>
          <w:tcPr>
            <w:tcW w:w="2126" w:type="dxa"/>
          </w:tcPr>
          <w:p w:rsidR="00C91295" w:rsidRPr="00526311" w:rsidRDefault="00C91295" w:rsidP="00F1387F">
            <w:pPr>
              <w:keepNext/>
              <w:autoSpaceDE w:val="0"/>
              <w:autoSpaceDN w:val="0"/>
              <w:adjustRightInd w:val="0"/>
              <w:spacing w:before="120" w:after="120"/>
              <w:rPr>
                <w:sz w:val="16"/>
                <w:szCs w:val="16"/>
              </w:rPr>
            </w:pPr>
            <w:r w:rsidRPr="00526311">
              <w:rPr>
                <w:sz w:val="16"/>
                <w:szCs w:val="16"/>
              </w:rPr>
              <w:t>Sede de la OMPI / 3 funcionarios de Viet Nam</w:t>
            </w:r>
          </w:p>
        </w:tc>
        <w:tc>
          <w:tcPr>
            <w:tcW w:w="4395" w:type="dxa"/>
          </w:tcPr>
          <w:p w:rsidR="00C91295" w:rsidRPr="00526311" w:rsidRDefault="00C91295" w:rsidP="00F1387F">
            <w:pPr>
              <w:keepNext/>
              <w:autoSpaceDE w:val="0"/>
              <w:autoSpaceDN w:val="0"/>
              <w:adjustRightInd w:val="0"/>
              <w:spacing w:before="120" w:after="120"/>
              <w:rPr>
                <w:sz w:val="16"/>
                <w:szCs w:val="16"/>
              </w:rPr>
            </w:pPr>
            <w:r w:rsidRPr="00526311">
              <w:rPr>
                <w:sz w:val="16"/>
                <w:szCs w:val="16"/>
              </w:rPr>
              <w:t>Prestar asistencia a funcionarios gubernamentales, legisladores y encargados de formular políticas de un país en desarrollo para que adquieran un conocimiento profundo del derecho de autor y los derechos conexos, así como de los tratados administrados por la OMPI.</w:t>
            </w:r>
          </w:p>
        </w:tc>
      </w:tr>
      <w:tr w:rsidR="00C91295" w:rsidRPr="00526311" w:rsidTr="00F1387F">
        <w:trPr>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Taller regional Asia-Pacífico sobre derecho de autor y derechos conexos para directores de oficinas de derecho de autor </w:t>
            </w:r>
          </w:p>
        </w:tc>
        <w:tc>
          <w:tcPr>
            <w:tcW w:w="1134" w:type="dxa"/>
          </w:tcPr>
          <w:p w:rsidR="00C91295" w:rsidRPr="00526311" w:rsidRDefault="00C91295" w:rsidP="00F1387F">
            <w:pPr>
              <w:autoSpaceDE w:val="0"/>
              <w:autoSpaceDN w:val="0"/>
              <w:adjustRightInd w:val="0"/>
              <w:spacing w:before="120" w:after="120"/>
              <w:rPr>
                <w:sz w:val="16"/>
                <w:szCs w:val="16"/>
              </w:rPr>
            </w:pPr>
            <w:r w:rsidRPr="00526311">
              <w:rPr>
                <w:sz w:val="16"/>
                <w:szCs w:val="16"/>
              </w:rPr>
              <w:t>27 a 30 de octubre de 2014</w:t>
            </w:r>
          </w:p>
        </w:tc>
        <w:tc>
          <w:tcPr>
            <w:tcW w:w="2126" w:type="dxa"/>
          </w:tcPr>
          <w:p w:rsidR="00C91295" w:rsidRPr="00526311" w:rsidRDefault="00C91295" w:rsidP="00F1387F">
            <w:pPr>
              <w:autoSpaceDE w:val="0"/>
              <w:autoSpaceDN w:val="0"/>
              <w:adjustRightInd w:val="0"/>
              <w:spacing w:before="120" w:after="120"/>
              <w:rPr>
                <w:sz w:val="16"/>
                <w:szCs w:val="16"/>
              </w:rPr>
            </w:pPr>
            <w:r w:rsidRPr="00526311">
              <w:rPr>
                <w:sz w:val="16"/>
                <w:szCs w:val="16"/>
              </w:rPr>
              <w:t>Japón /  24 participantes de 24 países de Asia y el Pacífico</w:t>
            </w:r>
          </w:p>
        </w:tc>
        <w:tc>
          <w:tcPr>
            <w:tcW w:w="4395"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i) Intercambiar  opiniones e información sobre consideraciones de política y estrategia en relación con el derecho de autor y los derechos conexos, ii) intercambiar opiniones y experiencias en relación con el fortalecimiento de las capacidades de las instituciones gubernamentales de derecho de autor en la formulación de políticas, entre ellas, las relativas al desarrollo cultural y económico, y iii) examinar nuevos ámbitos de cooperación entre las oficinas de derecho de autor en la región. </w:t>
            </w:r>
          </w:p>
        </w:tc>
      </w:tr>
    </w:tbl>
    <w:p w:rsidR="00C91295" w:rsidRPr="00526311" w:rsidRDefault="00C91295" w:rsidP="00F1387F">
      <w:pPr>
        <w:rPr>
          <w:b/>
          <w:sz w:val="18"/>
          <w:szCs w:val="18"/>
        </w:rPr>
      </w:pPr>
    </w:p>
    <w:p w:rsidR="00C91295" w:rsidRPr="007D4926" w:rsidRDefault="00C91295" w:rsidP="00F1387F">
      <w:pPr>
        <w:rPr>
          <w:b/>
          <w:sz w:val="20"/>
        </w:rPr>
      </w:pPr>
      <w:r w:rsidRPr="007D4926">
        <w:rPr>
          <w:b/>
          <w:sz w:val="20"/>
        </w:rPr>
        <w:t>JAPÓN – DERECHO DE AUTOR – Contribuciones de donantes y gastos en 2014</w:t>
      </w:r>
    </w:p>
    <w:p w:rsidR="00C91295" w:rsidRPr="007D4926" w:rsidRDefault="00C91295" w:rsidP="00F1387F">
      <w:pPr>
        <w:rPr>
          <w:b/>
          <w:sz w:val="20"/>
        </w:rPr>
      </w:pPr>
    </w:p>
    <w:tbl>
      <w:tblPr>
        <w:tblW w:w="9087" w:type="dxa"/>
        <w:jc w:val="center"/>
        <w:tblInd w:w="93" w:type="dxa"/>
        <w:tblLook w:val="04A0" w:firstRow="1" w:lastRow="0" w:firstColumn="1" w:lastColumn="0" w:noHBand="0" w:noVBand="1"/>
      </w:tblPr>
      <w:tblGrid>
        <w:gridCol w:w="1858"/>
        <w:gridCol w:w="1559"/>
        <w:gridCol w:w="1843"/>
        <w:gridCol w:w="1843"/>
        <w:gridCol w:w="1984"/>
      </w:tblGrid>
      <w:tr w:rsidR="00C91295" w:rsidRPr="00526311" w:rsidTr="00F1387F">
        <w:trPr>
          <w:trHeight w:val="765"/>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Ingresos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Gastos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Reembolsos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2014</w:t>
            </w:r>
          </w:p>
        </w:tc>
      </w:tr>
      <w:tr w:rsidR="00C91295" w:rsidRPr="00526311" w:rsidTr="00F1387F">
        <w:trPr>
          <w:trHeight w:val="70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277.402</w:t>
            </w:r>
          </w:p>
        </w:tc>
        <w:tc>
          <w:tcPr>
            <w:tcW w:w="1559"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468.692</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406.583</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339.511</w:t>
            </w:r>
          </w:p>
        </w:tc>
      </w:tr>
    </w:tbl>
    <w:p w:rsidR="00C91295" w:rsidRPr="00526311" w:rsidRDefault="00C91295" w:rsidP="00F1387F">
      <w:pPr>
        <w:rPr>
          <w:b/>
          <w:sz w:val="20"/>
        </w:rPr>
      </w:pPr>
    </w:p>
    <w:p w:rsidR="00C91295" w:rsidRPr="00526311" w:rsidRDefault="00C91295" w:rsidP="00F1387F">
      <w:pPr>
        <w:rPr>
          <w:b/>
          <w:sz w:val="20"/>
        </w:rPr>
      </w:pPr>
    </w:p>
    <w:p w:rsidR="00C91295" w:rsidRPr="00526311" w:rsidRDefault="00C91295" w:rsidP="00F1387F">
      <w:pPr>
        <w:keepNext/>
        <w:keepLines/>
        <w:rPr>
          <w:b/>
          <w:sz w:val="20"/>
        </w:rPr>
      </w:pPr>
      <w:r w:rsidRPr="00526311">
        <w:rPr>
          <w:b/>
          <w:sz w:val="20"/>
        </w:rPr>
        <w:t>JAPÓN – PROPIEDAD INDUSTRIAL</w:t>
      </w:r>
    </w:p>
    <w:p w:rsidR="00C91295" w:rsidRPr="00526311" w:rsidRDefault="00C91295" w:rsidP="00F1387F">
      <w:pPr>
        <w:keepNext/>
        <w:keepLines/>
        <w:rPr>
          <w:b/>
          <w:sz w:val="20"/>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73"/>
        <w:gridCol w:w="12"/>
        <w:gridCol w:w="4394"/>
      </w:tblGrid>
      <w:tr w:rsidR="00C91295" w:rsidRPr="00526311" w:rsidTr="00F1387F">
        <w:trPr>
          <w:cantSplit/>
        </w:trPr>
        <w:tc>
          <w:tcPr>
            <w:tcW w:w="9356" w:type="dxa"/>
            <w:gridSpan w:val="5"/>
            <w:tcBorders>
              <w:top w:val="single" w:sz="4" w:space="0" w:color="000000"/>
              <w:bottom w:val="single" w:sz="4" w:space="0" w:color="auto"/>
            </w:tcBorders>
            <w:shd w:val="clear" w:color="auto" w:fill="CCFFFF"/>
            <w:vAlign w:val="center"/>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w:t>
            </w:r>
            <w:r w:rsidRPr="00526311">
              <w:rPr>
                <w:rFonts w:eastAsia="MS Mincho"/>
                <w:bCs/>
                <w:sz w:val="16"/>
                <w:szCs w:val="16"/>
                <w:lang w:eastAsia="ja-JP"/>
              </w:rPr>
              <w:t>2</w:t>
            </w:r>
            <w:r w:rsidRPr="00526311">
              <w:rPr>
                <w:bCs/>
                <w:sz w:val="16"/>
                <w:szCs w:val="16"/>
              </w:rPr>
              <w:tab/>
              <w:t>Marcos de P.I. adaptados y equilibrados en el ámbito legislativo, reglamentario y de política</w:t>
            </w:r>
          </w:p>
        </w:tc>
      </w:tr>
      <w:tr w:rsidR="00C91295" w:rsidRPr="00526311" w:rsidTr="00F1387F">
        <w:trPr>
          <w:cantSplit/>
        </w:trPr>
        <w:tc>
          <w:tcPr>
            <w:tcW w:w="1843" w:type="dxa"/>
            <w:tcBorders>
              <w:top w:val="single" w:sz="4" w:space="0" w:color="auto"/>
              <w:left w:val="single" w:sz="4" w:space="0" w:color="auto"/>
              <w:bottom w:val="nil"/>
            </w:tcBorders>
            <w:vAlign w:val="center"/>
          </w:tcPr>
          <w:p w:rsidR="00C91295" w:rsidRPr="00526311" w:rsidRDefault="00C91295" w:rsidP="00F1387F">
            <w:pPr>
              <w:keepNext/>
              <w:keepLines/>
              <w:rPr>
                <w:b/>
                <w:bCs/>
                <w:sz w:val="16"/>
                <w:szCs w:val="16"/>
              </w:rPr>
            </w:pPr>
            <w:r w:rsidRPr="00526311">
              <w:rPr>
                <w:b/>
                <w:bCs/>
                <w:sz w:val="16"/>
                <w:szCs w:val="16"/>
              </w:rPr>
              <w:t>Actividad</w:t>
            </w:r>
          </w:p>
        </w:tc>
        <w:tc>
          <w:tcPr>
            <w:tcW w:w="1134" w:type="dxa"/>
            <w:tcBorders>
              <w:top w:val="single" w:sz="4" w:space="0" w:color="auto"/>
              <w:bottom w:val="nil"/>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Fecha</w:t>
            </w:r>
          </w:p>
        </w:tc>
        <w:tc>
          <w:tcPr>
            <w:tcW w:w="1985" w:type="dxa"/>
            <w:gridSpan w:val="2"/>
            <w:tcBorders>
              <w:top w:val="single" w:sz="4" w:space="0" w:color="auto"/>
              <w:bottom w:val="nil"/>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País anfitrión / Beneficiarios</w:t>
            </w:r>
          </w:p>
        </w:tc>
        <w:tc>
          <w:tcPr>
            <w:tcW w:w="4394" w:type="dxa"/>
            <w:tcBorders>
              <w:top w:val="single" w:sz="4" w:space="0" w:color="auto"/>
              <w:bottom w:val="nil"/>
              <w:right w:val="single" w:sz="4" w:space="0" w:color="auto"/>
            </w:tcBorders>
            <w:shd w:val="clear" w:color="auto" w:fill="FFFFFF"/>
            <w:tcMar>
              <w:top w:w="110" w:type="dxa"/>
            </w:tcMar>
            <w:vAlign w:val="center"/>
          </w:tcPr>
          <w:p w:rsidR="00C91295" w:rsidRPr="00526311" w:rsidRDefault="00C91295" w:rsidP="00F1387F">
            <w:pPr>
              <w:keepNext/>
              <w:keepLines/>
              <w:rPr>
                <w:sz w:val="16"/>
                <w:szCs w:val="16"/>
              </w:rPr>
            </w:pPr>
            <w:r w:rsidRPr="00526311">
              <w:rPr>
                <w:b/>
                <w:sz w:val="16"/>
                <w:szCs w:val="16"/>
              </w:rPr>
              <w:t>Propósito(s)/Descripción</w:t>
            </w:r>
          </w:p>
        </w:tc>
      </w:tr>
      <w:tr w:rsidR="00C91295" w:rsidRPr="00526311" w:rsidTr="00F1387F">
        <w:trPr>
          <w:cantSplit/>
          <w:trHeight w:val="473"/>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Misión de expertos sobre la aplicación del Acta de Ginebra del Arreglo de La Haya</w:t>
            </w:r>
          </w:p>
        </w:tc>
        <w:tc>
          <w:tcPr>
            <w:tcW w:w="1134" w:type="dxa"/>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12 a 13 de febrero de 2014</w:t>
            </w:r>
          </w:p>
        </w:tc>
        <w:tc>
          <w:tcPr>
            <w:tcW w:w="1973" w:type="dxa"/>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Indonesia</w:t>
            </w:r>
          </w:p>
        </w:tc>
        <w:tc>
          <w:tcPr>
            <w:tcW w:w="4406" w:type="dxa"/>
            <w:gridSpan w:val="2"/>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i) Fomentar la labor preparatoria para la adhesión de los Estados miembros de la ASEAN al Arreglo de La Haya mediante el intercambio de información, experiencias y cuestiones de cada Estado miembro en relación con la adhesión al Acta de Ginebra y ii) examinar las posibles soluciones y mejores prácticas entre los Estados miembros de la ASEAN y la Oficina Internacional de la OMPI.</w:t>
            </w:r>
          </w:p>
        </w:tc>
      </w:tr>
      <w:tr w:rsidR="00C91295" w:rsidRPr="00526311" w:rsidTr="003C2005">
        <w:trPr>
          <w:cantSplit/>
          <w:trHeight w:val="473"/>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Taller nacional de la OMPI sobre mediación en controversias de propiedad intelectual </w:t>
            </w:r>
          </w:p>
        </w:tc>
        <w:tc>
          <w:tcPr>
            <w:tcW w:w="1134" w:type="dxa"/>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11 a 12 de marzo de 2014</w:t>
            </w:r>
          </w:p>
        </w:tc>
        <w:tc>
          <w:tcPr>
            <w:tcW w:w="1973" w:type="dxa"/>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Indonesia</w:t>
            </w:r>
          </w:p>
        </w:tc>
        <w:tc>
          <w:tcPr>
            <w:tcW w:w="4406" w:type="dxa"/>
            <w:gridSpan w:val="2"/>
            <w:tcBorders>
              <w:top w:val="nil"/>
              <w:bottom w:val="nil"/>
              <w:right w:val="single" w:sz="4" w:space="0" w:color="auto"/>
            </w:tcBorders>
          </w:tcPr>
          <w:p w:rsidR="00C91295" w:rsidRPr="00526311" w:rsidRDefault="00C91295" w:rsidP="00F1387F">
            <w:pPr>
              <w:autoSpaceDE w:val="0"/>
              <w:autoSpaceDN w:val="0"/>
              <w:adjustRightInd w:val="0"/>
              <w:spacing w:before="120" w:after="120"/>
              <w:ind w:left="-96"/>
              <w:rPr>
                <w:rFonts w:eastAsia="MS Mincho"/>
                <w:sz w:val="16"/>
                <w:szCs w:val="16"/>
                <w:lang w:eastAsia="ja-JP"/>
              </w:rPr>
            </w:pPr>
            <w:r w:rsidRPr="00526311">
              <w:rPr>
                <w:rFonts w:eastAsia="MS Mincho"/>
                <w:sz w:val="16"/>
                <w:szCs w:val="16"/>
                <w:lang w:eastAsia="ja-JP"/>
              </w:rPr>
              <w:t>Dar a conocer más adecuadamente:  i) el proceso de mediación en controversias de P.I. y ii) las ventajas de la mediación para los letrados y los abogados de empresa que presten asistencia a sus clientes u organizaciones al presentar solicitudes de títulos de P.I. ante las Oficinas de P.I. en cuestión o que asesoren o representen a sus clientes u organizaciones en controversias de P.I. ante esa Oficina.</w:t>
            </w:r>
          </w:p>
        </w:tc>
      </w:tr>
      <w:tr w:rsidR="00C91295" w:rsidRPr="00526311" w:rsidTr="002C0072">
        <w:trPr>
          <w:cantSplit/>
          <w:trHeight w:val="36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Proyecto de integración de la propiedad intelectual en la política nacional de innovación</w:t>
            </w:r>
          </w:p>
        </w:tc>
        <w:tc>
          <w:tcPr>
            <w:tcW w:w="1134" w:type="dxa"/>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Abril a noviembre de 2014 </w:t>
            </w:r>
          </w:p>
        </w:tc>
        <w:tc>
          <w:tcPr>
            <w:tcW w:w="1973" w:type="dxa"/>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Sri Lanka</w:t>
            </w:r>
          </w:p>
        </w:tc>
        <w:tc>
          <w:tcPr>
            <w:tcW w:w="4406" w:type="dxa"/>
            <w:gridSpan w:val="2"/>
            <w:tcBorders>
              <w:top w:val="nil"/>
              <w:bottom w:val="nil"/>
              <w:right w:val="single" w:sz="4" w:space="0" w:color="auto"/>
            </w:tcBorders>
          </w:tcPr>
          <w:p w:rsidR="00C91295" w:rsidRPr="00526311" w:rsidRDefault="00C91295" w:rsidP="00F1387F">
            <w:pPr>
              <w:autoSpaceDE w:val="0"/>
              <w:autoSpaceDN w:val="0"/>
              <w:adjustRightInd w:val="0"/>
              <w:spacing w:before="120" w:after="120"/>
              <w:ind w:left="-96"/>
              <w:rPr>
                <w:sz w:val="16"/>
                <w:szCs w:val="16"/>
              </w:rPr>
            </w:pPr>
            <w:r w:rsidRPr="00526311">
              <w:rPr>
                <w:sz w:val="16"/>
                <w:szCs w:val="16"/>
              </w:rPr>
              <w:t>i) Evaluar los esfuerzos realizados en la formulación de políticas de innovación en el país y la incidencia de dichos esfuerzos en el terreno, ii) señalar las carencias y necesidades, de haberlas, y iii) formular recomendaciones en cuanto al apoyo que cabe prestar para integrar los actores y el sistema de la P.I. en el sistema de innovación.</w:t>
            </w:r>
          </w:p>
        </w:tc>
      </w:tr>
      <w:tr w:rsidR="00C91295" w:rsidRPr="00526311" w:rsidTr="002C0072">
        <w:trPr>
          <w:cantSplit/>
          <w:trHeight w:val="473"/>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Taller subregional de la OMPI sobre el Sistema de La Haya para el Registro Internacional de Dibujos y Modelos Industriales</w:t>
            </w:r>
          </w:p>
        </w:tc>
        <w:tc>
          <w:tcPr>
            <w:tcW w:w="1134" w:type="dxa"/>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18 a 19 de septiembre de 2014</w:t>
            </w:r>
          </w:p>
        </w:tc>
        <w:tc>
          <w:tcPr>
            <w:tcW w:w="1973" w:type="dxa"/>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Singapur /  Brunei Darussalam, Camboya, Indonesia, República Democrática Popular Lao, Malasia, Myanmar, Filipinas, Tailandia y  Viet Nam  </w:t>
            </w:r>
          </w:p>
        </w:tc>
        <w:tc>
          <w:tcPr>
            <w:tcW w:w="4406" w:type="dxa"/>
            <w:gridSpan w:val="2"/>
            <w:tcBorders>
              <w:top w:val="nil"/>
              <w:bottom w:val="nil"/>
              <w:right w:val="single" w:sz="4" w:space="0" w:color="auto"/>
            </w:tcBorders>
          </w:tcPr>
          <w:p w:rsidR="00C91295" w:rsidRPr="00526311" w:rsidRDefault="00C91295" w:rsidP="00F1387F">
            <w:pPr>
              <w:autoSpaceDE w:val="0"/>
              <w:autoSpaceDN w:val="0"/>
              <w:adjustRightInd w:val="0"/>
              <w:spacing w:before="120" w:after="120"/>
              <w:ind w:left="-96"/>
              <w:rPr>
                <w:sz w:val="16"/>
                <w:szCs w:val="16"/>
              </w:rPr>
            </w:pPr>
            <w:r w:rsidRPr="00526311">
              <w:rPr>
                <w:sz w:val="16"/>
                <w:szCs w:val="16"/>
              </w:rPr>
              <w:t>Fomentar el conocimiento de las cuestiones relacionadas con la adhesión al Arreglo de La Haya.</w:t>
            </w:r>
          </w:p>
        </w:tc>
      </w:tr>
      <w:tr w:rsidR="00C91295" w:rsidRPr="00526311" w:rsidTr="00F1387F">
        <w:trPr>
          <w:cantSplit/>
          <w:trHeight w:val="473"/>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Seminario regional de la OMPI para miembros del poder judicial sobre el fomento del respeto por la P.I. </w:t>
            </w:r>
          </w:p>
        </w:tc>
        <w:tc>
          <w:tcPr>
            <w:tcW w:w="1134" w:type="dxa"/>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24 y 25 de noviembre de 2014</w:t>
            </w:r>
          </w:p>
        </w:tc>
        <w:tc>
          <w:tcPr>
            <w:tcW w:w="1973" w:type="dxa"/>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Sri Lanka / Bangladesh, Bhután, India, Myanmar, Nepal, Pakistán </w:t>
            </w:r>
          </w:p>
        </w:tc>
        <w:tc>
          <w:tcPr>
            <w:tcW w:w="4406" w:type="dxa"/>
            <w:gridSpan w:val="2"/>
            <w:tcBorders>
              <w:top w:val="nil"/>
              <w:bottom w:val="nil"/>
              <w:right w:val="single" w:sz="4" w:space="0" w:color="auto"/>
            </w:tcBorders>
          </w:tcPr>
          <w:p w:rsidR="00C91295" w:rsidRPr="00526311" w:rsidRDefault="00C91295" w:rsidP="00F1387F">
            <w:pPr>
              <w:autoSpaceDE w:val="0"/>
              <w:autoSpaceDN w:val="0"/>
              <w:adjustRightInd w:val="0"/>
              <w:spacing w:before="120" w:after="120"/>
              <w:ind w:left="-96"/>
              <w:rPr>
                <w:sz w:val="16"/>
                <w:szCs w:val="16"/>
              </w:rPr>
            </w:pPr>
            <w:r w:rsidRPr="00526311">
              <w:rPr>
                <w:sz w:val="16"/>
                <w:szCs w:val="16"/>
              </w:rPr>
              <w:t>i) Examinar el alcance y la repercusión de la falsificación y la piratería en la región, incluida la necesidad de concienciar al público, ii) examinar los requisitos probatorios y procedimentales en los procedimientos penales y civiles, medidas y órdenes provisionales, medidas correctivas, así como las opciones a la hora de dictar sentencia, iii) examinar cuestiones de actualidad y la evolución de la jurisprudencia, sin olvidarse de las infracciones de la P.I. en Internet y iv) intercambiar experiencias e información.</w:t>
            </w:r>
          </w:p>
        </w:tc>
      </w:tr>
      <w:tr w:rsidR="00C91295" w:rsidRPr="00526311" w:rsidTr="00F1387F">
        <w:trPr>
          <w:cantSplit/>
          <w:trHeight w:val="473"/>
        </w:trPr>
        <w:tc>
          <w:tcPr>
            <w:tcW w:w="1843"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Traducción de legislación nacional</w:t>
            </w:r>
          </w:p>
        </w:tc>
        <w:tc>
          <w:tcPr>
            <w:tcW w:w="1134" w:type="dxa"/>
            <w:tcBorders>
              <w:top w:val="nil"/>
              <w:bottom w:val="single" w:sz="4" w:space="0" w:color="auto"/>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2014 (iniciado)</w:t>
            </w:r>
          </w:p>
        </w:tc>
        <w:tc>
          <w:tcPr>
            <w:tcW w:w="1973" w:type="dxa"/>
            <w:tcBorders>
              <w:top w:val="nil"/>
              <w:bottom w:val="single" w:sz="4" w:space="0" w:color="auto"/>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Bhután</w:t>
            </w:r>
          </w:p>
        </w:tc>
        <w:tc>
          <w:tcPr>
            <w:tcW w:w="4406" w:type="dxa"/>
            <w:gridSpan w:val="2"/>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La legislación nacional de propiedad industrial y derecho de autor se está traduciendo al butanés.</w:t>
            </w:r>
          </w:p>
        </w:tc>
      </w:tr>
      <w:tr w:rsidR="00C91295" w:rsidRPr="00526311" w:rsidTr="00F1387F">
        <w:trPr>
          <w:cantSplit/>
          <w:trHeight w:val="315"/>
        </w:trPr>
        <w:tc>
          <w:tcPr>
            <w:tcW w:w="9356" w:type="dxa"/>
            <w:gridSpan w:val="5"/>
            <w:tcBorders>
              <w:top w:val="single" w:sz="4" w:space="0" w:color="auto"/>
              <w:bottom w:val="single" w:sz="4" w:space="0" w:color="auto"/>
            </w:tcBorders>
            <w:shd w:val="clear" w:color="auto" w:fill="CCFFFF"/>
          </w:tcPr>
          <w:p w:rsidR="00C91295" w:rsidRPr="00526311" w:rsidRDefault="00C91295" w:rsidP="00F1387F">
            <w:pPr>
              <w:keepNext/>
              <w:keepLines/>
              <w:spacing w:before="120" w:after="120"/>
              <w:ind w:left="1168" w:hanging="1168"/>
              <w:rPr>
                <w:sz w:val="16"/>
                <w:szCs w:val="16"/>
              </w:rPr>
            </w:pPr>
            <w:r w:rsidRPr="00526311">
              <w:rPr>
                <w:b/>
                <w:bCs/>
                <w:sz w:val="16"/>
                <w:szCs w:val="16"/>
              </w:rPr>
              <w:lastRenderedPageBreak/>
              <w:t>RESULTADO</w:t>
            </w:r>
            <w:r w:rsidRPr="00526311">
              <w:rPr>
                <w:bCs/>
                <w:sz w:val="16"/>
                <w:szCs w:val="16"/>
              </w:rPr>
              <w:t>:</w:t>
            </w:r>
            <w:r w:rsidRPr="00526311">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rPr>
          <w:cantSplit/>
          <w:trHeight w:val="402"/>
        </w:trPr>
        <w:tc>
          <w:tcPr>
            <w:tcW w:w="1843" w:type="dxa"/>
            <w:tcBorders>
              <w:top w:val="single" w:sz="4" w:space="0" w:color="auto"/>
              <w:left w:val="single" w:sz="4" w:space="0" w:color="auto"/>
              <w:bottom w:val="nil"/>
            </w:tcBorders>
            <w:vAlign w:val="center"/>
          </w:tcPr>
          <w:p w:rsidR="00C91295" w:rsidRPr="00526311" w:rsidRDefault="00C91295" w:rsidP="00F1387F">
            <w:pPr>
              <w:keepNext/>
              <w:keepLines/>
              <w:spacing w:before="120"/>
              <w:rPr>
                <w:b/>
                <w:bCs/>
                <w:sz w:val="16"/>
                <w:szCs w:val="16"/>
              </w:rPr>
            </w:pPr>
            <w:r w:rsidRPr="00526311">
              <w:rPr>
                <w:b/>
                <w:bCs/>
                <w:sz w:val="16"/>
                <w:szCs w:val="16"/>
              </w:rPr>
              <w:t>Actividad</w:t>
            </w:r>
          </w:p>
        </w:tc>
        <w:tc>
          <w:tcPr>
            <w:tcW w:w="1134" w:type="dxa"/>
            <w:tcBorders>
              <w:top w:val="single" w:sz="4" w:space="0" w:color="auto"/>
              <w:bottom w:val="nil"/>
            </w:tcBorders>
            <w:vAlign w:val="center"/>
          </w:tcPr>
          <w:p w:rsidR="00C91295" w:rsidRPr="00526311" w:rsidRDefault="00C91295" w:rsidP="00F1387F">
            <w:pPr>
              <w:keepNext/>
              <w:keepLines/>
              <w:spacing w:before="120"/>
              <w:rPr>
                <w:sz w:val="16"/>
                <w:szCs w:val="16"/>
              </w:rPr>
            </w:pPr>
            <w:r w:rsidRPr="00526311">
              <w:rPr>
                <w:b/>
                <w:sz w:val="16"/>
                <w:szCs w:val="16"/>
              </w:rPr>
              <w:t>Fecha</w:t>
            </w:r>
          </w:p>
        </w:tc>
        <w:tc>
          <w:tcPr>
            <w:tcW w:w="1985" w:type="dxa"/>
            <w:gridSpan w:val="2"/>
            <w:tcBorders>
              <w:top w:val="single" w:sz="4" w:space="0" w:color="auto"/>
              <w:bottom w:val="nil"/>
            </w:tcBorders>
            <w:vAlign w:val="center"/>
          </w:tcPr>
          <w:p w:rsidR="00C91295" w:rsidRPr="00526311" w:rsidRDefault="00C91295" w:rsidP="00F1387F">
            <w:pPr>
              <w:keepNext/>
              <w:keepLines/>
              <w:spacing w:before="120"/>
              <w:rPr>
                <w:sz w:val="16"/>
                <w:szCs w:val="16"/>
              </w:rPr>
            </w:pPr>
            <w:r w:rsidRPr="00526311">
              <w:rPr>
                <w:b/>
                <w:sz w:val="16"/>
                <w:szCs w:val="16"/>
              </w:rPr>
              <w:t>País anfitrión / Beneficiarios</w:t>
            </w:r>
          </w:p>
        </w:tc>
        <w:tc>
          <w:tcPr>
            <w:tcW w:w="4394" w:type="dxa"/>
            <w:tcBorders>
              <w:top w:val="single" w:sz="4" w:space="0" w:color="auto"/>
              <w:bottom w:val="nil"/>
              <w:right w:val="single" w:sz="4" w:space="0" w:color="auto"/>
            </w:tcBorders>
            <w:vAlign w:val="center"/>
          </w:tcPr>
          <w:p w:rsidR="00C91295" w:rsidRPr="00526311" w:rsidRDefault="00C91295" w:rsidP="00F1387F">
            <w:pPr>
              <w:keepNext/>
              <w:keepLines/>
              <w:spacing w:before="120"/>
              <w:rPr>
                <w:sz w:val="16"/>
                <w:szCs w:val="16"/>
              </w:rPr>
            </w:pPr>
            <w:r w:rsidRPr="00526311">
              <w:rPr>
                <w:b/>
                <w:sz w:val="16"/>
                <w:szCs w:val="16"/>
              </w:rPr>
              <w:t>Propósito(s)/Descripción</w:t>
            </w:r>
          </w:p>
        </w:tc>
      </w:tr>
      <w:tr w:rsidR="00C91295" w:rsidRPr="00526311" w:rsidTr="00F1387F">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rFonts w:eastAsia="MS Mincho"/>
                <w:sz w:val="16"/>
                <w:szCs w:val="16"/>
                <w:lang w:eastAsia="ja-JP"/>
              </w:rPr>
              <w:t>Misión de expertos sobre la búsqueda y el examen de patentes</w:t>
            </w:r>
          </w:p>
        </w:tc>
        <w:tc>
          <w:tcPr>
            <w:tcW w:w="1134" w:type="dxa"/>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10 a 14 de marzo de 2014</w:t>
            </w:r>
          </w:p>
        </w:tc>
        <w:tc>
          <w:tcPr>
            <w:tcW w:w="1985" w:type="dxa"/>
            <w:gridSpan w:val="2"/>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Filipinas</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i) Proporcionar  formación sobre información contenida en las patentes, prácticas de publicación, utilidad de la información contenida en las patentes y bases de datos sobre patentes y ii) formar al personal en estrategias de búsqueda de patentes, la Clasificación Internacional de Patentes (CIP), el informe de búsqueda internacional y el informe preliminar internacional sobre la patentabilidad.</w:t>
            </w:r>
          </w:p>
        </w:tc>
      </w:tr>
      <w:tr w:rsidR="00C91295" w:rsidRPr="00526311" w:rsidTr="00F1387F">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Misión de expertos sobre el examen de marcas y procedimientos administrativos conexos</w:t>
            </w:r>
          </w:p>
        </w:tc>
        <w:tc>
          <w:tcPr>
            <w:tcW w:w="1134" w:type="dxa"/>
            <w:tcBorders>
              <w:top w:val="nil"/>
              <w:bottom w:val="nil"/>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24 a 28 de marzo de</w:t>
            </w:r>
          </w:p>
        </w:tc>
        <w:tc>
          <w:tcPr>
            <w:tcW w:w="1985" w:type="dxa"/>
            <w:gridSpan w:val="2"/>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Myanmar</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sz w:val="16"/>
                <w:szCs w:val="16"/>
              </w:rPr>
            </w:pPr>
            <w:r w:rsidRPr="00526311">
              <w:rPr>
                <w:rFonts w:eastAsia="MS Mincho"/>
                <w:sz w:val="16"/>
                <w:szCs w:val="16"/>
                <w:lang w:eastAsia="ja-JP"/>
              </w:rPr>
              <w:t>Centrarse en los aspectos básicos del examen de marcas (requisitos de forma y examen sustantivo), la búsqueda de marcas y los procedimientos de oposición.</w:t>
            </w:r>
          </w:p>
        </w:tc>
      </w:tr>
      <w:tr w:rsidR="00C91295" w:rsidRPr="00526311" w:rsidTr="00ED1C79">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Seminario regional de la OMPI sobre P.I., transferencia de tecnología y comercialización</w:t>
            </w:r>
          </w:p>
        </w:tc>
        <w:tc>
          <w:tcPr>
            <w:tcW w:w="1134" w:type="dxa"/>
            <w:tcBorders>
              <w:top w:val="nil"/>
              <w:bottom w:val="nil"/>
            </w:tcBorders>
          </w:tcPr>
          <w:p w:rsidR="00C91295" w:rsidRPr="00526311" w:rsidRDefault="00C91295" w:rsidP="00087DDA">
            <w:pPr>
              <w:spacing w:before="120" w:after="120"/>
              <w:rPr>
                <w:rFonts w:eastAsia="MS Mincho"/>
                <w:sz w:val="16"/>
                <w:szCs w:val="16"/>
                <w:lang w:eastAsia="ja-JP"/>
              </w:rPr>
            </w:pPr>
            <w:r w:rsidRPr="00526311">
              <w:rPr>
                <w:rFonts w:eastAsia="MS Mincho"/>
                <w:sz w:val="16"/>
                <w:szCs w:val="16"/>
                <w:lang w:eastAsia="ja-JP"/>
              </w:rPr>
              <w:t xml:space="preserve">27 </w:t>
            </w:r>
            <w:r w:rsidR="00087DDA" w:rsidRPr="00526311">
              <w:rPr>
                <w:rFonts w:eastAsia="MS Mincho"/>
                <w:sz w:val="16"/>
                <w:szCs w:val="16"/>
                <w:lang w:eastAsia="ja-JP"/>
              </w:rPr>
              <w:t>y</w:t>
            </w:r>
            <w:r w:rsidRPr="00526311">
              <w:rPr>
                <w:rFonts w:eastAsia="MS Mincho"/>
                <w:sz w:val="16"/>
                <w:szCs w:val="16"/>
                <w:lang w:eastAsia="ja-JP"/>
              </w:rPr>
              <w:t xml:space="preserve"> 28 de agosto de 2014</w:t>
            </w:r>
          </w:p>
        </w:tc>
        <w:tc>
          <w:tcPr>
            <w:tcW w:w="1985" w:type="dxa"/>
            <w:gridSpan w:val="2"/>
            <w:tcBorders>
              <w:top w:val="nil"/>
              <w:bottom w:val="nil"/>
            </w:tcBorders>
          </w:tcPr>
          <w:p w:rsidR="00C91295" w:rsidRPr="00526311" w:rsidRDefault="00C91295" w:rsidP="00087DDA">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Singapur  /  Bangladesh, Brunei Darussalam, Camboya, India, Indonesia, República Democrática Popular Lao, Malasia, Myanmar, Pakistán, Sri Lanka, Tailandia y Viet Nam </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sz w:val="16"/>
                <w:szCs w:val="16"/>
              </w:rPr>
            </w:pPr>
            <w:r w:rsidRPr="00526311">
              <w:rPr>
                <w:sz w:val="16"/>
                <w:szCs w:val="16"/>
              </w:rPr>
              <w:t>Fortalecer la capacidad de las Oficinas de P.I. y los institutos de investigación para ocuparse de las cuestiones de P.I. relacionadas con la transferencia de tecnología y la comercialización de las invenciones.</w:t>
            </w:r>
          </w:p>
        </w:tc>
      </w:tr>
      <w:tr w:rsidR="00C91295" w:rsidRPr="00526311" w:rsidTr="00C72703">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Seminario subregional de la OMPI sobre la utilización eficaz de los sistemas de clasificación de marcas</w:t>
            </w:r>
          </w:p>
        </w:tc>
        <w:tc>
          <w:tcPr>
            <w:tcW w:w="1134" w:type="dxa"/>
            <w:tcBorders>
              <w:top w:val="nil"/>
              <w:bottom w:val="nil"/>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27 y 28 de octubre de 2014</w:t>
            </w:r>
          </w:p>
        </w:tc>
        <w:tc>
          <w:tcPr>
            <w:tcW w:w="1985" w:type="dxa"/>
            <w:gridSpan w:val="2"/>
            <w:tcBorders>
              <w:top w:val="nil"/>
              <w:bottom w:val="nil"/>
            </w:tcBorders>
          </w:tcPr>
          <w:p w:rsidR="00C91295" w:rsidRPr="00526311" w:rsidRDefault="00C91295" w:rsidP="00087DDA">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Brunei Darussalam / Camboya, Indonesia, República Democrática Popular Lao, Malasia,  Filipinas, Tailandia y Viet Nam  </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sz w:val="16"/>
                <w:szCs w:val="16"/>
              </w:rPr>
            </w:pPr>
            <w:r w:rsidRPr="00526311">
              <w:rPr>
                <w:sz w:val="16"/>
                <w:szCs w:val="16"/>
              </w:rPr>
              <w:t>Proporcionar a los participantes la oportunidad de conocer los sistemas de clasificación de marcas, entre ellos, las clasificaciones de Niza, Viena y otros sistemas de clasificación útiles.</w:t>
            </w:r>
          </w:p>
        </w:tc>
      </w:tr>
      <w:tr w:rsidR="00C91295" w:rsidRPr="00526311" w:rsidTr="00C72703">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Elaboración de un estudio monográfico sobre las necesidades y las oportunidades de las tecnologías ecológicas</w:t>
            </w:r>
          </w:p>
        </w:tc>
        <w:tc>
          <w:tcPr>
            <w:tcW w:w="1134" w:type="dxa"/>
            <w:tcBorders>
              <w:top w:val="nil"/>
              <w:bottom w:val="nil"/>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Abril de 2014 (iniciado)</w:t>
            </w:r>
          </w:p>
        </w:tc>
        <w:tc>
          <w:tcPr>
            <w:tcW w:w="1985" w:type="dxa"/>
            <w:gridSpan w:val="2"/>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Indonesia, Filipinas y Viet Nam</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 xml:space="preserve">i) Señalar las necesidades específicas de dos países (por seleccionar) en materia de tecnología ecológica, ii) describir y formular las necesidades para cargarlas en la base de datos de WIPO GREEN,  iii) poner de manifiesto las oportunidades de colaboración acerca de las necesidades señaladas haciendo hincapié en la capacidad nacional y las aportaciones de las pymes, y facilitar la elaboración de un acuerdo de transferencia de tecnología, iv) elaborar un estudio monográfico sobre las conclusiones y las pruebas obtenidas en el análisis de la transferencia de tecnología, del que formará parte la contribución de WIPO GREEN en tanto que herramienta eficaz de mercado para hallar y exponer necesidades y soluciones tecnológicas y vi) fortalecer la capacidad en cuestiones de P.I. relativas a la transferencia de tecnología y al uso de la P.I. como instrumento de desarrollo (comercialización, negociación de licencias y gestión de la P.I.). </w:t>
            </w:r>
          </w:p>
        </w:tc>
      </w:tr>
      <w:tr w:rsidR="00C91295" w:rsidRPr="00526311" w:rsidTr="00FB2F60">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Elaboración de un Manual de la OMPI de estadísticas de P.I.</w:t>
            </w:r>
          </w:p>
        </w:tc>
        <w:tc>
          <w:tcPr>
            <w:tcW w:w="1134" w:type="dxa"/>
            <w:tcBorders>
              <w:top w:val="nil"/>
              <w:bottom w:val="nil"/>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 xml:space="preserve">Abril de 2014 (iniciado) </w:t>
            </w:r>
          </w:p>
        </w:tc>
        <w:tc>
          <w:tcPr>
            <w:tcW w:w="1985" w:type="dxa"/>
            <w:gridSpan w:val="2"/>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Todos los Estados miembros de la OMPI</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i) Difundir las mejores prácticas en la compilación y presentación de informes estadísticos de P.I., ii) establecer definiciones estadísticas que promuevan la presentación armonizada de informes estadísticos de P.I., entre ellos, las estadísticas de P.I. presentadas a la OMPI y iii) orientar a los usuarios de estadísticas de P.I. en relación con definiciones y clasificaciones estadísticas, así como posibles usos analíticos de estadísticas de P.I.</w:t>
            </w:r>
          </w:p>
        </w:tc>
      </w:tr>
      <w:tr w:rsidR="00C91295" w:rsidRPr="00526311" w:rsidTr="00FB2F60">
        <w:trPr>
          <w:cantSplit/>
          <w:trHeight w:val="315"/>
        </w:trPr>
        <w:tc>
          <w:tcPr>
            <w:tcW w:w="1843"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Curso de formación sobre prácticas de examen en materia de propiedad industrial (Programa básico) </w:t>
            </w:r>
          </w:p>
        </w:tc>
        <w:tc>
          <w:tcPr>
            <w:tcW w:w="1134" w:type="dxa"/>
            <w:tcBorders>
              <w:top w:val="nil"/>
              <w:bottom w:val="single" w:sz="4" w:space="0" w:color="auto"/>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20 a 31 de enero de 2014</w:t>
            </w:r>
          </w:p>
        </w:tc>
        <w:tc>
          <w:tcPr>
            <w:tcW w:w="1985" w:type="dxa"/>
            <w:gridSpan w:val="2"/>
            <w:tcBorders>
              <w:top w:val="nil"/>
              <w:bottom w:val="single" w:sz="4" w:space="0" w:color="auto"/>
            </w:tcBorders>
          </w:tcPr>
          <w:p w:rsidR="00C91295" w:rsidRPr="00526311" w:rsidRDefault="00C91295" w:rsidP="00087DDA">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Japón /  Camboya, Indonesia, República Democrática Popular Lao, Malasia, Mongolia, Myanmar, Pakistán, Papua Nueva Guinea, Perú, Singapur, </w:t>
            </w:r>
            <w:r w:rsidRPr="00526311">
              <w:rPr>
                <w:rFonts w:eastAsia="MS Mincho"/>
                <w:sz w:val="16"/>
                <w:szCs w:val="16"/>
                <w:lang w:eastAsia="ja-JP"/>
              </w:rPr>
              <w:br/>
              <w:t>Tayikistán y Viet Nam</w:t>
            </w:r>
          </w:p>
        </w:tc>
        <w:tc>
          <w:tcPr>
            <w:tcW w:w="4394"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Fomentar los conocimientos esenciales de la legislación y los procedimientos de examen sustantivo en el ámbito del examen de derechos de propiedad industrial.</w:t>
            </w:r>
          </w:p>
        </w:tc>
      </w:tr>
      <w:tr w:rsidR="00FB2F60" w:rsidRPr="00526311" w:rsidTr="00FB2F60">
        <w:trPr>
          <w:cantSplit/>
          <w:trHeight w:val="402"/>
        </w:trPr>
        <w:tc>
          <w:tcPr>
            <w:tcW w:w="1843" w:type="dxa"/>
            <w:tcBorders>
              <w:top w:val="single" w:sz="4" w:space="0" w:color="auto"/>
              <w:left w:val="single" w:sz="4" w:space="0" w:color="auto"/>
              <w:bottom w:val="nil"/>
            </w:tcBorders>
            <w:vAlign w:val="center"/>
          </w:tcPr>
          <w:p w:rsidR="00FB2F60" w:rsidRPr="00526311" w:rsidRDefault="00FB2F60" w:rsidP="001A4F69">
            <w:pPr>
              <w:keepNext/>
              <w:keepLines/>
              <w:spacing w:before="120"/>
              <w:rPr>
                <w:b/>
                <w:bCs/>
                <w:sz w:val="16"/>
                <w:szCs w:val="16"/>
              </w:rPr>
            </w:pPr>
            <w:r w:rsidRPr="00526311">
              <w:rPr>
                <w:b/>
                <w:bCs/>
                <w:sz w:val="16"/>
                <w:szCs w:val="16"/>
              </w:rPr>
              <w:lastRenderedPageBreak/>
              <w:t>Actividad</w:t>
            </w:r>
          </w:p>
        </w:tc>
        <w:tc>
          <w:tcPr>
            <w:tcW w:w="1134" w:type="dxa"/>
            <w:tcBorders>
              <w:top w:val="single" w:sz="4" w:space="0" w:color="auto"/>
              <w:bottom w:val="nil"/>
            </w:tcBorders>
            <w:vAlign w:val="center"/>
          </w:tcPr>
          <w:p w:rsidR="00FB2F60" w:rsidRPr="00526311" w:rsidRDefault="00FB2F60" w:rsidP="001A4F69">
            <w:pPr>
              <w:keepNext/>
              <w:keepLines/>
              <w:spacing w:before="120"/>
              <w:rPr>
                <w:sz w:val="16"/>
                <w:szCs w:val="16"/>
              </w:rPr>
            </w:pPr>
            <w:r w:rsidRPr="00526311">
              <w:rPr>
                <w:b/>
                <w:sz w:val="16"/>
                <w:szCs w:val="16"/>
              </w:rPr>
              <w:t>Fecha</w:t>
            </w:r>
          </w:p>
        </w:tc>
        <w:tc>
          <w:tcPr>
            <w:tcW w:w="1985" w:type="dxa"/>
            <w:gridSpan w:val="2"/>
            <w:tcBorders>
              <w:top w:val="single" w:sz="4" w:space="0" w:color="auto"/>
              <w:bottom w:val="nil"/>
            </w:tcBorders>
            <w:vAlign w:val="center"/>
          </w:tcPr>
          <w:p w:rsidR="00FB2F60" w:rsidRPr="00526311" w:rsidRDefault="00FB2F60" w:rsidP="001A4F69">
            <w:pPr>
              <w:keepNext/>
              <w:keepLines/>
              <w:spacing w:before="120"/>
              <w:rPr>
                <w:sz w:val="16"/>
                <w:szCs w:val="16"/>
              </w:rPr>
            </w:pPr>
            <w:r w:rsidRPr="00526311">
              <w:rPr>
                <w:b/>
                <w:sz w:val="16"/>
                <w:szCs w:val="16"/>
              </w:rPr>
              <w:t>País anfitrión / Beneficiarios</w:t>
            </w:r>
          </w:p>
        </w:tc>
        <w:tc>
          <w:tcPr>
            <w:tcW w:w="4394" w:type="dxa"/>
            <w:tcBorders>
              <w:top w:val="single" w:sz="4" w:space="0" w:color="auto"/>
              <w:bottom w:val="nil"/>
              <w:right w:val="single" w:sz="4" w:space="0" w:color="auto"/>
            </w:tcBorders>
            <w:vAlign w:val="center"/>
          </w:tcPr>
          <w:p w:rsidR="00FB2F60" w:rsidRPr="00526311" w:rsidRDefault="00FB2F60" w:rsidP="001A4F69">
            <w:pPr>
              <w:keepNext/>
              <w:keepLines/>
              <w:spacing w:before="120"/>
              <w:rPr>
                <w:sz w:val="16"/>
                <w:szCs w:val="16"/>
              </w:rPr>
            </w:pPr>
            <w:r w:rsidRPr="00526311">
              <w:rPr>
                <w:b/>
                <w:sz w:val="16"/>
                <w:szCs w:val="16"/>
              </w:rPr>
              <w:t>Propósito(s)/Descripción</w:t>
            </w:r>
          </w:p>
        </w:tc>
      </w:tr>
      <w:tr w:rsidR="00C91295" w:rsidRPr="00526311" w:rsidTr="00FB2F60">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Curso de formación sobre gestión de la P.I. y formulación y aplicación de planes de oficina de P.I. basados en resultados</w:t>
            </w:r>
          </w:p>
        </w:tc>
        <w:tc>
          <w:tcPr>
            <w:tcW w:w="1134" w:type="dxa"/>
            <w:tcBorders>
              <w:top w:val="nil"/>
              <w:bottom w:val="nil"/>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29 de enero a 5 de febrero de 2014</w:t>
            </w:r>
          </w:p>
        </w:tc>
        <w:tc>
          <w:tcPr>
            <w:tcW w:w="1985" w:type="dxa"/>
            <w:gridSpan w:val="2"/>
            <w:tcBorders>
              <w:top w:val="nil"/>
              <w:bottom w:val="nil"/>
            </w:tcBorders>
          </w:tcPr>
          <w:p w:rsidR="00C91295" w:rsidRPr="00526311" w:rsidRDefault="00ED2E11"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Japón / </w:t>
            </w:r>
            <w:r w:rsidR="00C91295" w:rsidRPr="00526311">
              <w:rPr>
                <w:rFonts w:eastAsia="MS Mincho"/>
                <w:sz w:val="16"/>
                <w:szCs w:val="16"/>
                <w:lang w:eastAsia="ja-JP"/>
              </w:rPr>
              <w:t>Bangladesh, India, Indonesia, Malasia, Myanmar, Pakistán, Filipinas, Sri Lanka,  Tailandia y Viet Nam</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i) Ampliar los conocimientos de los participantes sobre prácticas modernas de gestión de la P.I. y ii) mejorar la capacidad de los participantes de formular, aplicar y evaluar planes de oficina de P.I. sujetos a plazo, orientados a resultados y con efectos mensurables.</w:t>
            </w:r>
          </w:p>
        </w:tc>
      </w:tr>
      <w:tr w:rsidR="00C91295" w:rsidRPr="00526311" w:rsidTr="00ED1C79">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Curso de formación para examinadores de patentes sobre tecnologías específicas (biotecnología)</w:t>
            </w:r>
          </w:p>
        </w:tc>
        <w:tc>
          <w:tcPr>
            <w:tcW w:w="1134" w:type="dxa"/>
            <w:tcBorders>
              <w:top w:val="nil"/>
              <w:bottom w:val="nil"/>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12 a 19 de febrero de 2014</w:t>
            </w:r>
          </w:p>
        </w:tc>
        <w:tc>
          <w:tcPr>
            <w:tcW w:w="1985" w:type="dxa"/>
            <w:gridSpan w:val="2"/>
            <w:tcBorders>
              <w:top w:val="nil"/>
              <w:bottom w:val="nil"/>
            </w:tcBorders>
          </w:tcPr>
          <w:p w:rsidR="00C91295" w:rsidRPr="00526311" w:rsidRDefault="00C91295" w:rsidP="00087DDA">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Japón / India, Indonesia,  Filipinas, Tailandia y Viet Nam</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i) Poner al día a los participantes en las tendencias actuales y las prácticas modernas de examen de patentes relacionadas con la biotecnología, ii) impartir conocimientos prácticos sobre metodologías de examen de patentes, iii) ofrecer la oportunidad de compartir experiencias y opiniones entre los participantes en asuntos relativos al examen de patentes y iv) fomentar las capacidades profesionales de los participantes para el examen de patentes de biotecnología.</w:t>
            </w:r>
          </w:p>
        </w:tc>
      </w:tr>
      <w:tr w:rsidR="00C91295" w:rsidRPr="00526311" w:rsidTr="0080113E">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Curso de formación para examinadores de patentes sobre tecnologías específicas (artículos de óptica).</w:t>
            </w:r>
          </w:p>
        </w:tc>
        <w:tc>
          <w:tcPr>
            <w:tcW w:w="1134" w:type="dxa"/>
            <w:tcBorders>
              <w:top w:val="nil"/>
              <w:bottom w:val="nil"/>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20 a 27 de febrero de 2014</w:t>
            </w:r>
          </w:p>
        </w:tc>
        <w:tc>
          <w:tcPr>
            <w:tcW w:w="1985" w:type="dxa"/>
            <w:gridSpan w:val="2"/>
            <w:tcBorders>
              <w:top w:val="nil"/>
              <w:bottom w:val="nil"/>
            </w:tcBorders>
          </w:tcPr>
          <w:p w:rsidR="00C91295" w:rsidRPr="00526311" w:rsidRDefault="00C91295" w:rsidP="00087DDA">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Japón / Indonesia, Malasia, México,  Filipinas, Tailandia y Viet Nam</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i) Poner al día a los participantes en las tendencias actuales y las prácticas modernas de examen de patentes relacionadas con los artículos de óptica, ii) impartir conocimientos prácticos sobre metodologías de examen de patentes, iii) ofrecer la oportunidad de compartir experiencias y opiniones entre los participantes en asuntos relativos al examen de patentes y iv) fomentar las capacidades profesionales de los participantes para el examen de patentes de artículos de óptica.</w:t>
            </w:r>
          </w:p>
        </w:tc>
      </w:tr>
      <w:tr w:rsidR="00C91295" w:rsidRPr="00526311" w:rsidTr="0080113E">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Curso de formación en el uso de las tecnologías de la información para la administración de la propiedad industrial. </w:t>
            </w:r>
          </w:p>
        </w:tc>
        <w:tc>
          <w:tcPr>
            <w:tcW w:w="1134" w:type="dxa"/>
            <w:tcBorders>
              <w:top w:val="nil"/>
              <w:bottom w:val="nil"/>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27 de octubre a 7 de noviembre de 2014</w:t>
            </w:r>
          </w:p>
        </w:tc>
        <w:tc>
          <w:tcPr>
            <w:tcW w:w="1985" w:type="dxa"/>
            <w:gridSpan w:val="2"/>
            <w:tcBorders>
              <w:top w:val="nil"/>
              <w:bottom w:val="nil"/>
            </w:tcBorders>
          </w:tcPr>
          <w:p w:rsidR="00C91295" w:rsidRPr="00526311" w:rsidRDefault="00C91295" w:rsidP="00087DDA">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Japón / Bangladesh, Brasil, Brunei Darussalam, Camboya, Chile, India, Indonesia, República Democrática Popular Lao, Malasia, México, Mongolia, Myanmar, Pakistán, Papua Nueva Guinea, Filipinas, Tailandia  y Viet Nam </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i) Familiarizar a los participantes con las novedades recientes en tecnologías de la información para la administración de la propiedad industrial, la difusión de información sobre propiedad industrial y el suministro de servicios en línea, ii) impartir conocimientos prácticos sobre las herramientas y tecnologías más recientes por medio de sesiones interactivas, así como mediante visitas a entidades privadas que resulten pertinentes y iii) proporcionar la oportunidad de intercambiar opiniones e inquietudes entre los participantes sobre cuestiones de actualidad, y de ese modo fomentar las capacidades profesionales de los participantes para la planificación y la gestión del uso de las tecnologías de la información en la administración de la propiedad industrial.</w:t>
            </w:r>
          </w:p>
        </w:tc>
      </w:tr>
      <w:tr w:rsidR="00C91295" w:rsidRPr="00526311" w:rsidTr="00ED1C79">
        <w:trPr>
          <w:cantSplit/>
          <w:trHeight w:val="315"/>
        </w:trPr>
        <w:tc>
          <w:tcPr>
            <w:tcW w:w="1843" w:type="dxa"/>
            <w:tcBorders>
              <w:top w:val="nil"/>
              <w:left w:val="single" w:sz="4" w:space="0" w:color="auto"/>
              <w:bottom w:val="nil"/>
            </w:tcBorders>
          </w:tcPr>
          <w:p w:rsidR="00C91295" w:rsidRPr="00526311" w:rsidRDefault="00C91295" w:rsidP="00087DDA">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Curso de formación sobre prácticas de examen en materia de propiedad industrial (Programa </w:t>
            </w:r>
            <w:r w:rsidR="00087DDA" w:rsidRPr="00526311">
              <w:rPr>
                <w:rFonts w:eastAsia="MS Mincho"/>
                <w:sz w:val="16"/>
                <w:szCs w:val="16"/>
                <w:lang w:eastAsia="ja-JP"/>
              </w:rPr>
              <w:t xml:space="preserve">de nivel intermedio / </w:t>
            </w:r>
            <w:r w:rsidRPr="00526311">
              <w:rPr>
                <w:rFonts w:eastAsia="MS Mincho"/>
                <w:sz w:val="16"/>
                <w:szCs w:val="16"/>
                <w:lang w:eastAsia="ja-JP"/>
              </w:rPr>
              <w:t>avanzado)</w:t>
            </w:r>
          </w:p>
        </w:tc>
        <w:tc>
          <w:tcPr>
            <w:tcW w:w="1134" w:type="dxa"/>
            <w:tcBorders>
              <w:top w:val="nil"/>
              <w:bottom w:val="nil"/>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10 a 21 de noviembre de 2014</w:t>
            </w:r>
          </w:p>
        </w:tc>
        <w:tc>
          <w:tcPr>
            <w:tcW w:w="1985" w:type="dxa"/>
            <w:gridSpan w:val="2"/>
            <w:tcBorders>
              <w:top w:val="nil"/>
              <w:bottom w:val="nil"/>
            </w:tcBorders>
          </w:tcPr>
          <w:p w:rsidR="00C91295" w:rsidRPr="00526311" w:rsidRDefault="00C91295" w:rsidP="00087DDA">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Japón / Brasil, Chile, China, India, Indonesia, Malasia, México, Pakistán, Filipinas, Tailandia, Turquía y Viet Nam</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i) proporcionar a los participantes los conocimientos básicos de la legislación y los procedimientos en el ámbito del examen de los derechos de P.I., ii) recalcar la importancia del diálogo con los examinadores de la JPO sobre cuestiones pertinentes por medio de sesiones interactivas, iii) fomentar las capacidades profesionales de los examinadores de la JPO mediante la participación activa en la formación en el empleo y iv) proporcionar a los participantes la oportunidad de intercambiar opiniones sobre cuestiones de actualidad en el ámbito de la propiedad industrial.</w:t>
            </w:r>
          </w:p>
        </w:tc>
      </w:tr>
      <w:tr w:rsidR="00C91295" w:rsidRPr="00526311" w:rsidTr="0080113E">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Curso de formación sobre la observancia de los derechos de propiedad intelectual</w:t>
            </w:r>
          </w:p>
        </w:tc>
        <w:tc>
          <w:tcPr>
            <w:tcW w:w="1134" w:type="dxa"/>
            <w:tcBorders>
              <w:top w:val="nil"/>
              <w:bottom w:val="nil"/>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1 y 12 de diciembre de 2014</w:t>
            </w:r>
          </w:p>
        </w:tc>
        <w:tc>
          <w:tcPr>
            <w:tcW w:w="1985" w:type="dxa"/>
            <w:gridSpan w:val="2"/>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Japón / Bhután, Camboya, China, Indonesia, República Democrática Popular Lao, Malasia, Myanmar, Pakistán, Filipinas, Tailandia y Viet Nam</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Fomentar las capacidades de los jueces y fiscales en el ámbito de la observancia de la P.I.: i) examinando las normas mínimas y las flexibilidades contenidas en la Parte III del Acuerdo sobre los ADPIC, i) considerando las pruebas en los procedimientos judiciales, iii) reflexionando sobre las novedades recientes en la jurisprudencia y iv) examinando otras cuestiones de actualidad en el contexto del Comité Asesor sobre Observancia.</w:t>
            </w:r>
          </w:p>
        </w:tc>
      </w:tr>
      <w:tr w:rsidR="00C91295" w:rsidRPr="00526311" w:rsidTr="0080113E">
        <w:trPr>
          <w:cantSplit/>
          <w:trHeight w:val="315"/>
        </w:trPr>
        <w:tc>
          <w:tcPr>
            <w:tcW w:w="1843"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Becas de estudios superiores de larga duración</w:t>
            </w:r>
          </w:p>
        </w:tc>
        <w:tc>
          <w:tcPr>
            <w:tcW w:w="1134" w:type="dxa"/>
            <w:tcBorders>
              <w:top w:val="nil"/>
              <w:bottom w:val="single" w:sz="4" w:space="0" w:color="auto"/>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Abril a octubre de 2014</w:t>
            </w:r>
          </w:p>
        </w:tc>
        <w:tc>
          <w:tcPr>
            <w:tcW w:w="1985" w:type="dxa"/>
            <w:gridSpan w:val="2"/>
            <w:tcBorders>
              <w:top w:val="nil"/>
              <w:bottom w:val="single" w:sz="4" w:space="0" w:color="auto"/>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Japón / Camboya y República Democrática Popular Lao</w:t>
            </w:r>
          </w:p>
        </w:tc>
        <w:tc>
          <w:tcPr>
            <w:tcW w:w="4394"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Aumentar el conjunto de expertos de P.I. en la región que emprendan labores de enseñanza e investigación en cuestiones de P.I.</w:t>
            </w:r>
          </w:p>
        </w:tc>
      </w:tr>
      <w:tr w:rsidR="0080113E" w:rsidRPr="00526311" w:rsidTr="0080113E">
        <w:trPr>
          <w:cantSplit/>
          <w:trHeight w:val="402"/>
        </w:trPr>
        <w:tc>
          <w:tcPr>
            <w:tcW w:w="1843" w:type="dxa"/>
            <w:tcBorders>
              <w:top w:val="single" w:sz="4" w:space="0" w:color="auto"/>
              <w:left w:val="single" w:sz="4" w:space="0" w:color="auto"/>
              <w:bottom w:val="nil"/>
            </w:tcBorders>
            <w:vAlign w:val="center"/>
          </w:tcPr>
          <w:p w:rsidR="0080113E" w:rsidRPr="00526311" w:rsidRDefault="0080113E" w:rsidP="001A4F69">
            <w:pPr>
              <w:keepNext/>
              <w:keepLines/>
              <w:spacing w:before="120"/>
              <w:rPr>
                <w:b/>
                <w:bCs/>
                <w:sz w:val="16"/>
                <w:szCs w:val="16"/>
              </w:rPr>
            </w:pPr>
            <w:r w:rsidRPr="00526311">
              <w:rPr>
                <w:b/>
                <w:bCs/>
                <w:sz w:val="16"/>
                <w:szCs w:val="16"/>
              </w:rPr>
              <w:lastRenderedPageBreak/>
              <w:t>Actividad</w:t>
            </w:r>
          </w:p>
        </w:tc>
        <w:tc>
          <w:tcPr>
            <w:tcW w:w="1134" w:type="dxa"/>
            <w:tcBorders>
              <w:top w:val="single" w:sz="4" w:space="0" w:color="auto"/>
              <w:bottom w:val="nil"/>
            </w:tcBorders>
            <w:vAlign w:val="center"/>
          </w:tcPr>
          <w:p w:rsidR="0080113E" w:rsidRPr="00526311" w:rsidRDefault="0080113E" w:rsidP="001A4F69">
            <w:pPr>
              <w:keepNext/>
              <w:keepLines/>
              <w:spacing w:before="120"/>
              <w:rPr>
                <w:sz w:val="16"/>
                <w:szCs w:val="16"/>
              </w:rPr>
            </w:pPr>
            <w:r w:rsidRPr="00526311">
              <w:rPr>
                <w:b/>
                <w:sz w:val="16"/>
                <w:szCs w:val="16"/>
              </w:rPr>
              <w:t>Fecha</w:t>
            </w:r>
          </w:p>
        </w:tc>
        <w:tc>
          <w:tcPr>
            <w:tcW w:w="1985" w:type="dxa"/>
            <w:gridSpan w:val="2"/>
            <w:tcBorders>
              <w:top w:val="single" w:sz="4" w:space="0" w:color="auto"/>
              <w:bottom w:val="nil"/>
            </w:tcBorders>
            <w:vAlign w:val="center"/>
          </w:tcPr>
          <w:p w:rsidR="0080113E" w:rsidRPr="00526311" w:rsidRDefault="0080113E" w:rsidP="001A4F69">
            <w:pPr>
              <w:keepNext/>
              <w:keepLines/>
              <w:spacing w:before="120"/>
              <w:rPr>
                <w:sz w:val="16"/>
                <w:szCs w:val="16"/>
              </w:rPr>
            </w:pPr>
            <w:r w:rsidRPr="00526311">
              <w:rPr>
                <w:b/>
                <w:sz w:val="16"/>
                <w:szCs w:val="16"/>
              </w:rPr>
              <w:t>País anfitrión / Beneficiarios</w:t>
            </w:r>
          </w:p>
        </w:tc>
        <w:tc>
          <w:tcPr>
            <w:tcW w:w="4394" w:type="dxa"/>
            <w:tcBorders>
              <w:top w:val="single" w:sz="4" w:space="0" w:color="auto"/>
              <w:bottom w:val="nil"/>
              <w:right w:val="single" w:sz="4" w:space="0" w:color="auto"/>
            </w:tcBorders>
            <w:vAlign w:val="center"/>
          </w:tcPr>
          <w:p w:rsidR="0080113E" w:rsidRPr="00526311" w:rsidRDefault="0080113E" w:rsidP="001A4F69">
            <w:pPr>
              <w:keepNext/>
              <w:keepLines/>
              <w:spacing w:before="120"/>
              <w:rPr>
                <w:sz w:val="16"/>
                <w:szCs w:val="16"/>
              </w:rPr>
            </w:pPr>
            <w:r w:rsidRPr="00526311">
              <w:rPr>
                <w:b/>
                <w:sz w:val="16"/>
                <w:szCs w:val="16"/>
              </w:rPr>
              <w:t>Propósito(s)/Descripción</w:t>
            </w:r>
          </w:p>
        </w:tc>
      </w:tr>
      <w:tr w:rsidR="00C91295" w:rsidRPr="00526311" w:rsidTr="0080113E">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Investigación a cargo de la Oficina de la OMPI en el Japón de casos de éxito que vinculan la actividad empresarial y la P.I.</w:t>
            </w:r>
          </w:p>
        </w:tc>
        <w:tc>
          <w:tcPr>
            <w:tcW w:w="1134" w:type="dxa"/>
            <w:tcBorders>
              <w:top w:val="nil"/>
              <w:bottom w:val="nil"/>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Enero a diciembre de 2014</w:t>
            </w:r>
          </w:p>
        </w:tc>
        <w:tc>
          <w:tcPr>
            <w:tcW w:w="1985" w:type="dxa"/>
            <w:gridSpan w:val="2"/>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Todos los Estados miembros de la OMPI</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 xml:space="preserve">i) Llevar a cabo (a cargo de la Oficina de la OMPI en el Japón) investigaciones y recopilar casos de éxito que vinculan la actividad empresarial y la P.I., haciendo hincapié especialmente en los casos asociados a los países en desarrollo y ii) alimentar la base de datos de </w:t>
            </w:r>
            <w:r w:rsidRPr="008902F3">
              <w:rPr>
                <w:rFonts w:eastAsia="MS Mincho"/>
                <w:i/>
                <w:sz w:val="16"/>
                <w:szCs w:val="16"/>
                <w:lang w:eastAsia="ja-JP"/>
              </w:rPr>
              <w:t>IP Advantage</w:t>
            </w:r>
            <w:r w:rsidRPr="00526311">
              <w:rPr>
                <w:rFonts w:eastAsia="MS Mincho"/>
                <w:sz w:val="16"/>
                <w:szCs w:val="16"/>
                <w:lang w:eastAsia="ja-JP"/>
              </w:rPr>
              <w:t>.</w:t>
            </w:r>
          </w:p>
        </w:tc>
      </w:tr>
      <w:tr w:rsidR="00C91295" w:rsidRPr="00526311" w:rsidTr="00F1387F">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Traducción de una publicación de la OMPI </w:t>
            </w:r>
          </w:p>
        </w:tc>
        <w:tc>
          <w:tcPr>
            <w:tcW w:w="1134" w:type="dxa"/>
            <w:tcBorders>
              <w:top w:val="nil"/>
              <w:bottom w:val="nil"/>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2014  (Iniciado)</w:t>
            </w:r>
          </w:p>
        </w:tc>
        <w:tc>
          <w:tcPr>
            <w:tcW w:w="1985" w:type="dxa"/>
            <w:gridSpan w:val="2"/>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Viet Nam</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Se están traduciendo al vietnamita las siguientes publicaciones de la OMPI:  Marcas, diseños industriales e indicaciones geográficas (DL-302: material de aprendizaje electrónico de la Academia de la OMPI) y Búsqueda de información contenida en las patentes (DL-318:</w:t>
            </w:r>
            <w:r w:rsidRPr="00526311">
              <w:t xml:space="preserve"> </w:t>
            </w:r>
            <w:r w:rsidRPr="00526311">
              <w:rPr>
                <w:rFonts w:eastAsia="MS Mincho"/>
                <w:sz w:val="16"/>
                <w:szCs w:val="16"/>
                <w:lang w:eastAsia="ja-JP"/>
              </w:rPr>
              <w:t xml:space="preserve">material de aprendizaje electrónico de la Academia de la OMPI). </w:t>
            </w:r>
          </w:p>
        </w:tc>
      </w:tr>
      <w:tr w:rsidR="00C91295" w:rsidRPr="00526311" w:rsidTr="00F1387F">
        <w:trPr>
          <w:cantSplit/>
          <w:trHeight w:val="315"/>
        </w:trPr>
        <w:tc>
          <w:tcPr>
            <w:tcW w:w="1843"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Suministro de material de referencia sobre P.I.</w:t>
            </w:r>
          </w:p>
        </w:tc>
        <w:tc>
          <w:tcPr>
            <w:tcW w:w="1134" w:type="dxa"/>
            <w:tcBorders>
              <w:top w:val="nil"/>
              <w:bottom w:val="single" w:sz="4" w:space="0" w:color="auto"/>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2014</w:t>
            </w:r>
          </w:p>
        </w:tc>
        <w:tc>
          <w:tcPr>
            <w:tcW w:w="1985" w:type="dxa"/>
            <w:gridSpan w:val="2"/>
            <w:tcBorders>
              <w:top w:val="nil"/>
              <w:bottom w:val="single" w:sz="4" w:space="0" w:color="auto"/>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India</w:t>
            </w:r>
          </w:p>
        </w:tc>
        <w:tc>
          <w:tcPr>
            <w:tcW w:w="4394"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Se proporcionó un conjunto de publicaciones esenciales sobre P.I. al Departamento de Fomento y Política Industrial (DIPP), Ministerio de Industria y Comercio y Gobierno de la India.</w:t>
            </w:r>
          </w:p>
        </w:tc>
      </w:tr>
      <w:tr w:rsidR="00C91295" w:rsidRPr="00526311" w:rsidTr="00F1387F">
        <w:trPr>
          <w:cantSplit/>
          <w:trHeight w:val="315"/>
        </w:trPr>
        <w:tc>
          <w:tcPr>
            <w:tcW w:w="9356" w:type="dxa"/>
            <w:gridSpan w:val="5"/>
            <w:tcBorders>
              <w:top w:val="single" w:sz="4" w:space="0" w:color="auto"/>
              <w:bottom w:val="single" w:sz="4" w:space="0" w:color="000000"/>
            </w:tcBorders>
            <w:shd w:val="clear" w:color="auto" w:fill="CCFFFF"/>
          </w:tcPr>
          <w:p w:rsidR="00C91295" w:rsidRPr="00526311" w:rsidRDefault="00C91295" w:rsidP="00F1387F">
            <w:pPr>
              <w:keepNext/>
              <w:keepLines/>
              <w:tabs>
                <w:tab w:val="left" w:pos="1740"/>
              </w:tabs>
              <w:spacing w:before="120" w:after="120"/>
              <w:ind w:left="1740" w:hanging="1740"/>
              <w:rPr>
                <w:sz w:val="16"/>
                <w:szCs w:val="16"/>
              </w:rPr>
            </w:pPr>
            <w:r w:rsidRPr="00526311">
              <w:rPr>
                <w:b/>
                <w:bCs/>
                <w:sz w:val="16"/>
                <w:szCs w:val="16"/>
              </w:rPr>
              <w:t>RESULTADO</w:t>
            </w:r>
            <w:r w:rsidRPr="00526311">
              <w:rPr>
                <w:bCs/>
                <w:sz w:val="16"/>
                <w:szCs w:val="16"/>
              </w:rPr>
              <w:t>:</w:t>
            </w:r>
            <w:r w:rsidRPr="00526311">
              <w:rPr>
                <w:bCs/>
                <w:sz w:val="16"/>
                <w:szCs w:val="16"/>
              </w:rPr>
              <w:tab/>
              <w:t>IV.4 Mejora en la infraestructura técnica y de conocimientos de las Oficinas y demás instituciones de P.I. que les permita prestar mejores servicios (más económicos, más rápidos y de mejor calidad) a sus partes interesadas</w:t>
            </w:r>
          </w:p>
        </w:tc>
      </w:tr>
      <w:tr w:rsidR="00C91295" w:rsidRPr="00526311" w:rsidTr="00F1387F">
        <w:trPr>
          <w:cantSplit/>
          <w:trHeight w:val="429"/>
        </w:trPr>
        <w:tc>
          <w:tcPr>
            <w:tcW w:w="1843" w:type="dxa"/>
            <w:tcBorders>
              <w:top w:val="single" w:sz="4" w:space="0" w:color="000000"/>
            </w:tcBorders>
            <w:vAlign w:val="center"/>
          </w:tcPr>
          <w:p w:rsidR="00C91295" w:rsidRPr="00526311" w:rsidRDefault="00C91295" w:rsidP="00F1387F">
            <w:pPr>
              <w:keepNext/>
              <w:keepLines/>
              <w:spacing w:before="120"/>
              <w:rPr>
                <w:b/>
                <w:bCs/>
                <w:sz w:val="16"/>
                <w:szCs w:val="16"/>
              </w:rPr>
            </w:pPr>
            <w:r w:rsidRPr="00526311">
              <w:rPr>
                <w:b/>
                <w:bCs/>
                <w:sz w:val="16"/>
                <w:szCs w:val="16"/>
              </w:rPr>
              <w:t>Actividad</w:t>
            </w:r>
          </w:p>
        </w:tc>
        <w:tc>
          <w:tcPr>
            <w:tcW w:w="1134" w:type="dxa"/>
            <w:tcBorders>
              <w:top w:val="single" w:sz="4" w:space="0" w:color="000000"/>
            </w:tcBorders>
            <w:vAlign w:val="center"/>
          </w:tcPr>
          <w:p w:rsidR="00C91295" w:rsidRPr="00526311" w:rsidRDefault="00C91295" w:rsidP="00F1387F">
            <w:pPr>
              <w:keepNext/>
              <w:keepLines/>
              <w:spacing w:before="120"/>
              <w:rPr>
                <w:sz w:val="16"/>
                <w:szCs w:val="16"/>
              </w:rPr>
            </w:pPr>
            <w:r w:rsidRPr="00526311">
              <w:rPr>
                <w:b/>
                <w:sz w:val="16"/>
                <w:szCs w:val="16"/>
              </w:rPr>
              <w:t>Fecha</w:t>
            </w:r>
          </w:p>
        </w:tc>
        <w:tc>
          <w:tcPr>
            <w:tcW w:w="1985" w:type="dxa"/>
            <w:gridSpan w:val="2"/>
            <w:tcBorders>
              <w:top w:val="single" w:sz="4" w:space="0" w:color="000000"/>
            </w:tcBorders>
            <w:vAlign w:val="center"/>
          </w:tcPr>
          <w:p w:rsidR="00C91295" w:rsidRPr="00526311" w:rsidRDefault="00C91295" w:rsidP="00F1387F">
            <w:pPr>
              <w:keepNext/>
              <w:keepLines/>
              <w:spacing w:before="120"/>
              <w:rPr>
                <w:sz w:val="16"/>
                <w:szCs w:val="16"/>
              </w:rPr>
            </w:pPr>
            <w:r w:rsidRPr="00526311">
              <w:rPr>
                <w:b/>
                <w:sz w:val="16"/>
                <w:szCs w:val="16"/>
              </w:rPr>
              <w:t>País anfitrión / Beneficiarios</w:t>
            </w:r>
          </w:p>
        </w:tc>
        <w:tc>
          <w:tcPr>
            <w:tcW w:w="4394" w:type="dxa"/>
            <w:tcBorders>
              <w:top w:val="single" w:sz="4" w:space="0" w:color="000000"/>
            </w:tcBorders>
            <w:vAlign w:val="center"/>
          </w:tcPr>
          <w:p w:rsidR="00C91295" w:rsidRPr="00526311" w:rsidRDefault="00C91295" w:rsidP="00F1387F">
            <w:pPr>
              <w:keepNext/>
              <w:keepLines/>
              <w:spacing w:before="120"/>
              <w:rPr>
                <w:sz w:val="16"/>
                <w:szCs w:val="16"/>
              </w:rPr>
            </w:pPr>
            <w:r w:rsidRPr="00526311">
              <w:rPr>
                <w:b/>
                <w:sz w:val="16"/>
                <w:szCs w:val="16"/>
              </w:rPr>
              <w:t>Propósito(s) / Descripción</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rFonts w:eastAsia="MS Mincho"/>
                <w:sz w:val="16"/>
                <w:szCs w:val="16"/>
                <w:lang w:eastAsia="ja-JP"/>
              </w:rPr>
              <w:t>Proyecto sobre fortalecimiento de la infraestructura de las oficinas de P.I. de la ASEAN para respaldar la cooperación regional en la división del trabajo en materia de patentes</w:t>
            </w:r>
          </w:p>
        </w:tc>
        <w:tc>
          <w:tcPr>
            <w:tcW w:w="1134" w:type="dxa"/>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Abril de 2014 (iniciado)</w:t>
            </w:r>
          </w:p>
        </w:tc>
        <w:tc>
          <w:tcPr>
            <w:tcW w:w="1985" w:type="dxa"/>
            <w:gridSpan w:val="2"/>
          </w:tcPr>
          <w:p w:rsidR="00C91295" w:rsidRPr="00526311" w:rsidRDefault="00C91295" w:rsidP="00F1387F">
            <w:pPr>
              <w:autoSpaceDE w:val="0"/>
              <w:autoSpaceDN w:val="0"/>
              <w:adjustRightInd w:val="0"/>
              <w:spacing w:before="120" w:after="120"/>
              <w:rPr>
                <w:sz w:val="16"/>
                <w:szCs w:val="16"/>
              </w:rPr>
            </w:pPr>
            <w:r w:rsidRPr="00526311">
              <w:rPr>
                <w:rFonts w:eastAsia="MS Mincho"/>
                <w:sz w:val="16"/>
                <w:szCs w:val="16"/>
                <w:lang w:eastAsia="ja-JP"/>
              </w:rPr>
              <w:t>Estados miembros de la ASEAN</w:t>
            </w:r>
          </w:p>
        </w:tc>
        <w:tc>
          <w:tcPr>
            <w:tcW w:w="4394" w:type="dxa"/>
          </w:tcPr>
          <w:p w:rsidR="00C91295" w:rsidRPr="00526311" w:rsidRDefault="00C91295" w:rsidP="00F1387F">
            <w:pPr>
              <w:autoSpaceDE w:val="0"/>
              <w:autoSpaceDN w:val="0"/>
              <w:adjustRightInd w:val="0"/>
              <w:spacing w:before="120" w:after="120"/>
              <w:ind w:left="-108"/>
              <w:rPr>
                <w:sz w:val="16"/>
                <w:szCs w:val="16"/>
              </w:rPr>
            </w:pPr>
            <w:r w:rsidRPr="00526311">
              <w:rPr>
                <w:rFonts w:eastAsia="MS Mincho"/>
                <w:sz w:val="16"/>
                <w:szCs w:val="16"/>
                <w:lang w:eastAsia="ja-JP"/>
              </w:rPr>
              <w:t xml:space="preserve">Consta de los </w:t>
            </w:r>
            <w:r w:rsidRPr="00526311">
              <w:rPr>
                <w:sz w:val="16"/>
                <w:szCs w:val="16"/>
              </w:rPr>
              <w:t>elementos siguientes:</w:t>
            </w:r>
            <w:r w:rsidRPr="00526311">
              <w:rPr>
                <w:rFonts w:eastAsia="MS Mincho"/>
                <w:sz w:val="16"/>
                <w:szCs w:val="16"/>
                <w:lang w:eastAsia="ja-JP"/>
              </w:rPr>
              <w:t xml:space="preserve"> </w:t>
            </w:r>
            <w:r w:rsidRPr="00526311">
              <w:rPr>
                <w:sz w:val="16"/>
                <w:szCs w:val="16"/>
              </w:rPr>
              <w:t xml:space="preserve"> i) desarrollo de un servidor estándar (plataforma de </w:t>
            </w:r>
            <w:r w:rsidRPr="008902F3">
              <w:rPr>
                <w:sz w:val="16"/>
                <w:szCs w:val="16"/>
              </w:rPr>
              <w:t>software</w:t>
            </w:r>
            <w:r w:rsidRPr="00526311">
              <w:rPr>
                <w:sz w:val="16"/>
                <w:szCs w:val="16"/>
              </w:rPr>
              <w:t xml:space="preserve">) que permita a las oficinas de P.I. de la ASEAN compartir de forma segura la información contenida en sus expedientes y ello incluye los resultados de la búsqueda y el examen de patentes, con otras oficinas de P.I., por conducto de la red WIPO CASE, así como recuperar documentos de otras oficinas de P.I., utilizando con eficacia la plataforma de </w:t>
            </w:r>
            <w:r w:rsidRPr="008902F3">
              <w:rPr>
                <w:sz w:val="16"/>
                <w:szCs w:val="16"/>
              </w:rPr>
              <w:t>software</w:t>
            </w:r>
            <w:r w:rsidRPr="00526311">
              <w:rPr>
                <w:sz w:val="16"/>
                <w:szCs w:val="16"/>
              </w:rPr>
              <w:t xml:space="preserve">; </w:t>
            </w:r>
            <w:r w:rsidRPr="00526311">
              <w:rPr>
                <w:rFonts w:eastAsia="MS Mincho"/>
                <w:sz w:val="16"/>
                <w:szCs w:val="16"/>
                <w:lang w:eastAsia="ja-JP"/>
              </w:rPr>
              <w:t xml:space="preserve"> </w:t>
            </w:r>
            <w:r w:rsidRPr="00526311">
              <w:rPr>
                <w:sz w:val="16"/>
                <w:szCs w:val="16"/>
              </w:rPr>
              <w:t>ii) un Taller subregional de la OMPI sobre intercambio de conocimientos y planificación estratégica para respaldar la cooperación regional en la división del trabajo en materia de patentes;  y</w:t>
            </w:r>
            <w:r w:rsidRPr="00526311">
              <w:rPr>
                <w:rFonts w:eastAsia="MS Mincho"/>
                <w:sz w:val="16"/>
                <w:szCs w:val="16"/>
                <w:lang w:eastAsia="ja-JP"/>
              </w:rPr>
              <w:t xml:space="preserve"> </w:t>
            </w:r>
            <w:r w:rsidRPr="00526311">
              <w:rPr>
                <w:sz w:val="16"/>
                <w:szCs w:val="16"/>
              </w:rPr>
              <w:t xml:space="preserve">iii) un Taller subregional de la OMPI  sobre plataformas de </w:t>
            </w:r>
            <w:r w:rsidRPr="00526311">
              <w:rPr>
                <w:i/>
                <w:sz w:val="16"/>
                <w:szCs w:val="16"/>
              </w:rPr>
              <w:t>software</w:t>
            </w:r>
            <w:r w:rsidRPr="00526311">
              <w:rPr>
                <w:sz w:val="16"/>
                <w:szCs w:val="16"/>
              </w:rPr>
              <w:t xml:space="preserve"> para la división del trabajo en materia de patentes.</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rFonts w:eastAsia="MS Mincho"/>
                <w:b/>
                <w:sz w:val="16"/>
                <w:szCs w:val="16"/>
                <w:lang w:eastAsia="ja-JP"/>
              </w:rPr>
            </w:pPr>
            <w:r w:rsidRPr="00526311">
              <w:rPr>
                <w:rFonts w:eastAsia="MS Mincho"/>
                <w:sz w:val="16"/>
                <w:szCs w:val="16"/>
                <w:lang w:eastAsia="ja-JP"/>
              </w:rPr>
              <w:t>Manual sobre herramientas de código abierto para el análisis de patentes y Seminario subregional conexo de la OMPI</w:t>
            </w:r>
          </w:p>
        </w:tc>
        <w:tc>
          <w:tcPr>
            <w:tcW w:w="1134" w:type="dxa"/>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Abril de 2014 (iniciado)</w:t>
            </w:r>
          </w:p>
        </w:tc>
        <w:tc>
          <w:tcPr>
            <w:tcW w:w="1985" w:type="dxa"/>
            <w:gridSpan w:val="2"/>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Todos los Estados miembros de la OMPI</w:t>
            </w:r>
          </w:p>
        </w:tc>
        <w:tc>
          <w:tcPr>
            <w:tcW w:w="4394" w:type="dxa"/>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Fortalecer las capacidades de los especialistas en la información contenida en patentes de las oficinas de P.I. y otras instituciones públicas en la preparación de informes de patentamiento, mediante:  i) la preparación de un manual sobre el uso de herramientas de código abierto para el análisis de patentes, y ii) la organización de un seminario subregional para presentar el manual a los usuarios potenciales, explicándoles la forma de utilizarlo con eficacia.</w:t>
            </w:r>
          </w:p>
        </w:tc>
      </w:tr>
      <w:tr w:rsidR="00087DDA" w:rsidRPr="00526311" w:rsidTr="00F1387F">
        <w:trPr>
          <w:cantSplit/>
          <w:trHeight w:val="315"/>
        </w:trPr>
        <w:tc>
          <w:tcPr>
            <w:tcW w:w="1843" w:type="dxa"/>
          </w:tcPr>
          <w:p w:rsidR="00087DDA" w:rsidRPr="00526311" w:rsidRDefault="00087DDA" w:rsidP="00194EE9">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Creación </w:t>
            </w:r>
            <w:r w:rsidR="00194EE9" w:rsidRPr="00526311">
              <w:rPr>
                <w:rFonts w:eastAsia="MS Mincho"/>
                <w:sz w:val="16"/>
                <w:szCs w:val="16"/>
                <w:lang w:eastAsia="ja-JP"/>
              </w:rPr>
              <w:t>y fortalecimiento de capacidad para prestar servicios eficaces de apoyo a la innovación, en particular para acceder a bases de datos sobre tecnología y usarlas</w:t>
            </w:r>
          </w:p>
        </w:tc>
        <w:tc>
          <w:tcPr>
            <w:tcW w:w="1134" w:type="dxa"/>
          </w:tcPr>
          <w:p w:rsidR="00087DDA" w:rsidRPr="00526311" w:rsidRDefault="00194EE9" w:rsidP="00F1387F">
            <w:pPr>
              <w:spacing w:before="120" w:after="120"/>
              <w:rPr>
                <w:rFonts w:eastAsia="MS Mincho"/>
                <w:sz w:val="16"/>
                <w:szCs w:val="16"/>
                <w:lang w:eastAsia="ja-JP"/>
              </w:rPr>
            </w:pPr>
            <w:r w:rsidRPr="00526311">
              <w:rPr>
                <w:rFonts w:eastAsia="MS Mincho"/>
                <w:sz w:val="16"/>
                <w:szCs w:val="16"/>
                <w:lang w:eastAsia="ja-JP"/>
              </w:rPr>
              <w:t>Abril de 2014 (iniciado)</w:t>
            </w:r>
          </w:p>
        </w:tc>
        <w:tc>
          <w:tcPr>
            <w:tcW w:w="1985" w:type="dxa"/>
            <w:gridSpan w:val="2"/>
          </w:tcPr>
          <w:p w:rsidR="00087DDA" w:rsidRPr="00526311" w:rsidRDefault="00194EE9"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Malasia, Mongolia, Bangladesh, Camboya, Viet Nam</w:t>
            </w:r>
          </w:p>
        </w:tc>
        <w:tc>
          <w:tcPr>
            <w:tcW w:w="4394" w:type="dxa"/>
          </w:tcPr>
          <w:p w:rsidR="00087DDA" w:rsidRPr="00526311" w:rsidRDefault="00194EE9" w:rsidP="00194EE9">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Contribuir a la prestación de servicios eficaces de apoyo a la innovación, en particular el uso y la explotación de bases de datos sobre tecnología por parte de investigadores locales en la región de Asia y el Pacífico, mediante: i) una mayor capacitación del personal de los centros nacionales de apoyo a la tecnología y la innovación (CATI), y ii) la puesta a disposición de material de información y capacitación traducido a idiomas locales.  El proyecto estaría compuesto por los elementos siguientes: i) un seminario subregional para considerar y preparar una hoja de ruta práctica para que los países de la ASEAN pongan en marcha servicios de apoyo a la innovación, celebrado en Malasia en noviembre de 2014;  ii) el Seminario de la OMPI sobre Capacitación de los CATI Nacionales, a celebrarse en Mongolia en 2015;  y iii) traducción del material de la OMPI sobre formación en la búsqueda de información contenida en patentes al bengalí (Bangladesh), al khmer (Camboya) y al vietnamita (Viet Nam) en 2015.</w:t>
            </w:r>
          </w:p>
        </w:tc>
      </w:tr>
    </w:tbl>
    <w:p w:rsidR="00C91295" w:rsidRPr="00526311" w:rsidRDefault="00C91295" w:rsidP="00F1387F">
      <w:pPr>
        <w:keepLines/>
        <w:rPr>
          <w:b/>
          <w:sz w:val="20"/>
        </w:rPr>
      </w:pPr>
    </w:p>
    <w:p w:rsidR="00C91295" w:rsidRPr="00526311" w:rsidRDefault="00C91295" w:rsidP="00F1387F">
      <w:pPr>
        <w:keepLines/>
        <w:ind w:left="720" w:hanging="720"/>
        <w:rPr>
          <w:b/>
          <w:sz w:val="20"/>
        </w:rPr>
      </w:pPr>
    </w:p>
    <w:p w:rsidR="00C91295" w:rsidRPr="00526311" w:rsidRDefault="00C91295" w:rsidP="00F1387F">
      <w:pPr>
        <w:keepNext/>
        <w:ind w:left="2160" w:hanging="2160"/>
        <w:rPr>
          <w:b/>
          <w:bCs/>
          <w:sz w:val="18"/>
          <w:szCs w:val="18"/>
        </w:rPr>
      </w:pPr>
      <w:r w:rsidRPr="00526311">
        <w:rPr>
          <w:b/>
          <w:bCs/>
          <w:sz w:val="18"/>
          <w:szCs w:val="18"/>
        </w:rPr>
        <w:lastRenderedPageBreak/>
        <w:t>JAPÓN / PROPIEDAD INDUSTRIAL – Contribuciones de donantes y gastos en 2014</w:t>
      </w:r>
    </w:p>
    <w:p w:rsidR="00C91295" w:rsidRPr="00526311" w:rsidRDefault="00C91295" w:rsidP="00F1387F">
      <w:pPr>
        <w:keepNext/>
        <w:rPr>
          <w:sz w:val="18"/>
          <w:szCs w:val="18"/>
        </w:rPr>
      </w:pPr>
    </w:p>
    <w:p w:rsidR="00C91295" w:rsidRPr="00526311" w:rsidRDefault="00C91295" w:rsidP="00F1387F">
      <w:pPr>
        <w:keepNext/>
        <w:rPr>
          <w:b/>
          <w:sz w:val="18"/>
          <w:szCs w:val="18"/>
        </w:rPr>
      </w:pPr>
    </w:p>
    <w:tbl>
      <w:tblPr>
        <w:tblW w:w="9087" w:type="dxa"/>
        <w:tblInd w:w="93" w:type="dxa"/>
        <w:tblLook w:val="04A0" w:firstRow="1" w:lastRow="0" w:firstColumn="1" w:lastColumn="0" w:noHBand="0" w:noVBand="1"/>
      </w:tblPr>
      <w:tblGrid>
        <w:gridCol w:w="2000"/>
        <w:gridCol w:w="1276"/>
        <w:gridCol w:w="1984"/>
        <w:gridCol w:w="1843"/>
        <w:gridCol w:w="1984"/>
      </w:tblGrid>
      <w:tr w:rsidR="00C91295" w:rsidRPr="00526311" w:rsidTr="00F1387F">
        <w:trPr>
          <w:trHeight w:val="498"/>
        </w:trPr>
        <w:tc>
          <w:tcPr>
            <w:tcW w:w="200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keepNext/>
              <w:jc w:val="center"/>
              <w:rPr>
                <w:b/>
                <w:bCs/>
                <w:sz w:val="16"/>
                <w:szCs w:val="16"/>
              </w:rPr>
            </w:pPr>
            <w:r w:rsidRPr="00526311">
              <w:rPr>
                <w:b/>
                <w:bCs/>
                <w:sz w:val="16"/>
                <w:szCs w:val="16"/>
              </w:rPr>
              <w:t>Balance a 31 de diciembre de 2013</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keepNext/>
              <w:jc w:val="center"/>
              <w:rPr>
                <w:b/>
                <w:bCs/>
                <w:sz w:val="16"/>
                <w:szCs w:val="16"/>
              </w:rPr>
            </w:pPr>
            <w:r w:rsidRPr="00526311">
              <w:rPr>
                <w:b/>
                <w:bCs/>
                <w:sz w:val="16"/>
                <w:szCs w:val="16"/>
              </w:rPr>
              <w:t>Ingresos en 2014</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keepNext/>
              <w:jc w:val="center"/>
              <w:rPr>
                <w:b/>
                <w:bCs/>
                <w:sz w:val="16"/>
                <w:szCs w:val="16"/>
              </w:rPr>
            </w:pPr>
            <w:r w:rsidRPr="00526311">
              <w:rPr>
                <w:b/>
                <w:bCs/>
                <w:sz w:val="16"/>
                <w:szCs w:val="16"/>
              </w:rPr>
              <w:t>Gastos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keepNext/>
              <w:jc w:val="center"/>
              <w:rPr>
                <w:b/>
                <w:bCs/>
                <w:sz w:val="16"/>
                <w:szCs w:val="16"/>
              </w:rPr>
            </w:pPr>
            <w:r w:rsidRPr="00526311">
              <w:rPr>
                <w:b/>
                <w:bCs/>
                <w:sz w:val="16"/>
                <w:szCs w:val="16"/>
              </w:rPr>
              <w:t>Reembolsos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keepNext/>
              <w:jc w:val="center"/>
              <w:rPr>
                <w:b/>
                <w:bCs/>
                <w:sz w:val="16"/>
                <w:szCs w:val="16"/>
              </w:rPr>
            </w:pPr>
            <w:r w:rsidRPr="00526311">
              <w:rPr>
                <w:b/>
                <w:bCs/>
                <w:sz w:val="16"/>
                <w:szCs w:val="16"/>
              </w:rPr>
              <w:t>Balance a 31 de diciembre de 2014</w:t>
            </w:r>
          </w:p>
        </w:tc>
      </w:tr>
      <w:tr w:rsidR="00C91295" w:rsidRPr="00526311" w:rsidTr="00F1387F">
        <w:trPr>
          <w:trHeight w:val="562"/>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4.287.471</w:t>
            </w:r>
          </w:p>
        </w:tc>
        <w:tc>
          <w:tcPr>
            <w:tcW w:w="1276"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4.331.080</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3.706.216</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 </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4.912.335</w:t>
            </w:r>
          </w:p>
        </w:tc>
      </w:tr>
    </w:tbl>
    <w:p w:rsidR="00C91295" w:rsidRPr="00526311" w:rsidRDefault="00C91295" w:rsidP="00F1387F">
      <w:pPr>
        <w:widowControl w:val="0"/>
        <w:rPr>
          <w:b/>
          <w:sz w:val="20"/>
        </w:rPr>
      </w:pPr>
    </w:p>
    <w:p w:rsidR="00C91295" w:rsidRPr="00526311" w:rsidRDefault="00C91295" w:rsidP="00F1387F">
      <w:pPr>
        <w:widowControl w:val="0"/>
        <w:rPr>
          <w:b/>
          <w:sz w:val="20"/>
        </w:rPr>
      </w:pPr>
    </w:p>
    <w:p w:rsidR="00C91295" w:rsidRPr="00526311" w:rsidRDefault="00C91295" w:rsidP="00194EE9">
      <w:pPr>
        <w:keepNext/>
        <w:keepLines/>
        <w:widowControl w:val="0"/>
        <w:rPr>
          <w:b/>
          <w:sz w:val="20"/>
        </w:rPr>
      </w:pPr>
      <w:r w:rsidRPr="00526311">
        <w:rPr>
          <w:b/>
          <w:sz w:val="20"/>
        </w:rPr>
        <w:t>JAPÓN – P.I. / ÁFRICA–PMA</w:t>
      </w:r>
    </w:p>
    <w:p w:rsidR="00C91295" w:rsidRPr="00526311" w:rsidRDefault="00C91295" w:rsidP="00194EE9">
      <w:pPr>
        <w:keepNext/>
        <w:keepLines/>
        <w:widowControl w:val="0"/>
        <w:rPr>
          <w:b/>
          <w:sz w:val="20"/>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C91295" w:rsidRPr="00526311" w:rsidTr="00F1387F">
        <w:trPr>
          <w:cantSplit/>
          <w:trHeight w:val="315"/>
        </w:trPr>
        <w:tc>
          <w:tcPr>
            <w:tcW w:w="9356" w:type="dxa"/>
            <w:gridSpan w:val="4"/>
            <w:tcBorders>
              <w:top w:val="single" w:sz="4" w:space="0" w:color="000000"/>
              <w:bottom w:val="single" w:sz="4" w:space="0" w:color="000000"/>
            </w:tcBorders>
            <w:shd w:val="clear" w:color="auto" w:fill="CCFFFF"/>
          </w:tcPr>
          <w:p w:rsidR="00C91295" w:rsidRPr="00526311" w:rsidRDefault="00C91295" w:rsidP="00194EE9">
            <w:pPr>
              <w:keepNext/>
              <w:keepLines/>
              <w:tabs>
                <w:tab w:val="left" w:pos="1740"/>
              </w:tabs>
              <w:spacing w:before="120" w:after="120"/>
              <w:ind w:left="1740" w:hanging="1740"/>
              <w:rPr>
                <w:sz w:val="16"/>
                <w:szCs w:val="16"/>
              </w:rPr>
            </w:pPr>
            <w:r w:rsidRPr="00526311">
              <w:rPr>
                <w:b/>
                <w:bCs/>
                <w:sz w:val="16"/>
                <w:szCs w:val="16"/>
              </w:rPr>
              <w:t>RESULTADO</w:t>
            </w:r>
            <w:r w:rsidRPr="00526311">
              <w:rPr>
                <w:bCs/>
                <w:sz w:val="16"/>
                <w:szCs w:val="16"/>
              </w:rPr>
              <w:t>:</w:t>
            </w:r>
            <w:r w:rsidRPr="00526311">
              <w:rPr>
                <w:bCs/>
                <w:sz w:val="16"/>
                <w:szCs w:val="16"/>
              </w:rPr>
              <w:tab/>
              <w:t>III.1 Estrategias y planes nacionales de innovación y de P.I. que estén en sintonía con los objetivos nacionales de desarrollo</w:t>
            </w:r>
          </w:p>
        </w:tc>
      </w:tr>
      <w:tr w:rsidR="00C91295" w:rsidRPr="00526311" w:rsidTr="00F1387F">
        <w:trPr>
          <w:cantSplit/>
          <w:trHeight w:val="402"/>
        </w:trPr>
        <w:tc>
          <w:tcPr>
            <w:tcW w:w="1843" w:type="dxa"/>
            <w:tcBorders>
              <w:top w:val="single" w:sz="4" w:space="0" w:color="000000"/>
            </w:tcBorders>
            <w:vAlign w:val="center"/>
          </w:tcPr>
          <w:p w:rsidR="00C91295" w:rsidRPr="00526311" w:rsidRDefault="00C91295" w:rsidP="00194EE9">
            <w:pPr>
              <w:keepNext/>
              <w:keepLines/>
              <w:spacing w:before="120"/>
              <w:rPr>
                <w:b/>
                <w:bCs/>
                <w:sz w:val="16"/>
                <w:szCs w:val="16"/>
              </w:rPr>
            </w:pPr>
            <w:r w:rsidRPr="00526311">
              <w:rPr>
                <w:b/>
                <w:bCs/>
                <w:sz w:val="16"/>
                <w:szCs w:val="16"/>
              </w:rPr>
              <w:t>Actividad</w:t>
            </w:r>
          </w:p>
        </w:tc>
        <w:tc>
          <w:tcPr>
            <w:tcW w:w="1134" w:type="dxa"/>
            <w:tcBorders>
              <w:top w:val="single" w:sz="4" w:space="0" w:color="000000"/>
            </w:tcBorders>
            <w:vAlign w:val="center"/>
          </w:tcPr>
          <w:p w:rsidR="00C91295" w:rsidRPr="00526311" w:rsidRDefault="00C91295" w:rsidP="00194EE9">
            <w:pPr>
              <w:keepNext/>
              <w:keepLines/>
              <w:spacing w:before="120"/>
              <w:rPr>
                <w:sz w:val="16"/>
                <w:szCs w:val="16"/>
              </w:rPr>
            </w:pPr>
            <w:r w:rsidRPr="00526311">
              <w:rPr>
                <w:b/>
                <w:sz w:val="16"/>
                <w:szCs w:val="16"/>
              </w:rPr>
              <w:t>Fecha</w:t>
            </w:r>
          </w:p>
        </w:tc>
        <w:tc>
          <w:tcPr>
            <w:tcW w:w="1985" w:type="dxa"/>
            <w:tcBorders>
              <w:top w:val="single" w:sz="4" w:space="0" w:color="000000"/>
            </w:tcBorders>
            <w:vAlign w:val="center"/>
          </w:tcPr>
          <w:p w:rsidR="00C91295" w:rsidRPr="00526311" w:rsidRDefault="00C91295" w:rsidP="00194EE9">
            <w:pPr>
              <w:keepNext/>
              <w:keepLines/>
              <w:spacing w:before="120"/>
              <w:rPr>
                <w:sz w:val="16"/>
                <w:szCs w:val="16"/>
              </w:rPr>
            </w:pPr>
            <w:r w:rsidRPr="00526311">
              <w:rPr>
                <w:b/>
                <w:sz w:val="16"/>
                <w:szCs w:val="16"/>
              </w:rPr>
              <w:t>País anfitrión / Beneficiarios</w:t>
            </w:r>
          </w:p>
        </w:tc>
        <w:tc>
          <w:tcPr>
            <w:tcW w:w="4394" w:type="dxa"/>
            <w:tcBorders>
              <w:top w:val="single" w:sz="4" w:space="0" w:color="000000"/>
            </w:tcBorders>
            <w:vAlign w:val="center"/>
          </w:tcPr>
          <w:p w:rsidR="00C91295" w:rsidRPr="00526311" w:rsidRDefault="00C91295" w:rsidP="00194EE9">
            <w:pPr>
              <w:keepNext/>
              <w:keepLines/>
              <w:spacing w:before="120"/>
              <w:rPr>
                <w:sz w:val="16"/>
                <w:szCs w:val="16"/>
              </w:rPr>
            </w:pPr>
            <w:r w:rsidRPr="00526311">
              <w:rPr>
                <w:b/>
                <w:sz w:val="16"/>
                <w:szCs w:val="16"/>
              </w:rPr>
              <w:t>Propósito(s) / Descripción</w:t>
            </w:r>
          </w:p>
        </w:tc>
      </w:tr>
      <w:tr w:rsidR="00C91295" w:rsidRPr="00526311" w:rsidTr="00F1387F">
        <w:trPr>
          <w:cantSplit/>
          <w:trHeight w:val="315"/>
        </w:trPr>
        <w:tc>
          <w:tcPr>
            <w:tcW w:w="1843" w:type="dxa"/>
          </w:tcPr>
          <w:p w:rsidR="00C91295" w:rsidRPr="00526311" w:rsidRDefault="00C91295" w:rsidP="00194EE9">
            <w:pPr>
              <w:keepNext/>
              <w:keepLines/>
              <w:autoSpaceDE w:val="0"/>
              <w:autoSpaceDN w:val="0"/>
              <w:adjustRightInd w:val="0"/>
              <w:spacing w:before="120" w:after="120"/>
              <w:rPr>
                <w:sz w:val="16"/>
                <w:szCs w:val="16"/>
              </w:rPr>
            </w:pPr>
            <w:r w:rsidRPr="00526311">
              <w:rPr>
                <w:sz w:val="16"/>
                <w:szCs w:val="16"/>
              </w:rPr>
              <w:t>Proyecto de integración de las políticas de innovación en el ámbito de la P.I. en el Camerún</w:t>
            </w:r>
          </w:p>
        </w:tc>
        <w:tc>
          <w:tcPr>
            <w:tcW w:w="1134" w:type="dxa"/>
          </w:tcPr>
          <w:p w:rsidR="00C91295" w:rsidRPr="00526311" w:rsidRDefault="00C91295" w:rsidP="00194EE9">
            <w:pPr>
              <w:keepNext/>
              <w:keepLines/>
              <w:autoSpaceDE w:val="0"/>
              <w:autoSpaceDN w:val="0"/>
              <w:adjustRightInd w:val="0"/>
              <w:spacing w:before="120" w:after="120"/>
              <w:rPr>
                <w:sz w:val="16"/>
                <w:szCs w:val="16"/>
              </w:rPr>
            </w:pPr>
            <w:r w:rsidRPr="00526311">
              <w:rPr>
                <w:sz w:val="16"/>
                <w:szCs w:val="16"/>
              </w:rPr>
              <w:t>Enero a junio de 2014</w:t>
            </w:r>
          </w:p>
        </w:tc>
        <w:tc>
          <w:tcPr>
            <w:tcW w:w="1985" w:type="dxa"/>
          </w:tcPr>
          <w:p w:rsidR="00C91295" w:rsidRPr="00526311" w:rsidRDefault="00C91295" w:rsidP="00194EE9">
            <w:pPr>
              <w:keepNext/>
              <w:keepLines/>
              <w:autoSpaceDE w:val="0"/>
              <w:autoSpaceDN w:val="0"/>
              <w:adjustRightInd w:val="0"/>
              <w:spacing w:before="120" w:after="120"/>
              <w:rPr>
                <w:sz w:val="16"/>
                <w:szCs w:val="16"/>
              </w:rPr>
            </w:pPr>
            <w:r w:rsidRPr="00526311">
              <w:rPr>
                <w:sz w:val="16"/>
                <w:szCs w:val="16"/>
              </w:rPr>
              <w:t>Camerún</w:t>
            </w:r>
          </w:p>
        </w:tc>
        <w:tc>
          <w:tcPr>
            <w:tcW w:w="4394" w:type="dxa"/>
          </w:tcPr>
          <w:p w:rsidR="00C91295" w:rsidRPr="00526311" w:rsidRDefault="00C91295" w:rsidP="00194EE9">
            <w:pPr>
              <w:keepNext/>
              <w:keepLines/>
              <w:autoSpaceDE w:val="0"/>
              <w:autoSpaceDN w:val="0"/>
              <w:adjustRightInd w:val="0"/>
              <w:spacing w:before="120" w:after="120"/>
              <w:rPr>
                <w:sz w:val="16"/>
                <w:szCs w:val="16"/>
              </w:rPr>
            </w:pPr>
            <w:r w:rsidRPr="00526311">
              <w:rPr>
                <w:sz w:val="16"/>
                <w:szCs w:val="16"/>
              </w:rPr>
              <w:t>i) Entender las iniciativas dedicadas a la formulación de políticas en el Camerún y la incidencia de esas iniciativas en el terreno;  ii) identificar las lagunas y necesidades, de haberlas, desde la perspectiva de la P.I.;  y iii) formular recomendaciones sobre la integración de los actores de la P.I. y el sistema de P.I. en el sistema de innovación</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Proyecto de integración de las políticas de innovación en el ámbito de la P.I. en Rwanda</w:t>
            </w:r>
          </w:p>
        </w:tc>
        <w:tc>
          <w:tcPr>
            <w:tcW w:w="1134" w:type="dxa"/>
          </w:tcPr>
          <w:p w:rsidR="00C91295" w:rsidRPr="00526311" w:rsidRDefault="00C91295" w:rsidP="00F1387F">
            <w:pPr>
              <w:autoSpaceDE w:val="0"/>
              <w:autoSpaceDN w:val="0"/>
              <w:adjustRightInd w:val="0"/>
              <w:spacing w:before="120" w:after="120"/>
              <w:rPr>
                <w:sz w:val="16"/>
                <w:szCs w:val="16"/>
              </w:rPr>
            </w:pPr>
            <w:r w:rsidRPr="00526311">
              <w:rPr>
                <w:sz w:val="16"/>
                <w:szCs w:val="16"/>
              </w:rPr>
              <w:t>Febrero a diciembre de 2014</w:t>
            </w:r>
          </w:p>
          <w:p w:rsidR="00C91295" w:rsidRPr="00526311" w:rsidRDefault="00C91295" w:rsidP="00F1387F">
            <w:pPr>
              <w:autoSpaceDE w:val="0"/>
              <w:autoSpaceDN w:val="0"/>
              <w:adjustRightInd w:val="0"/>
              <w:spacing w:before="120" w:after="120"/>
              <w:rPr>
                <w:sz w:val="16"/>
                <w:szCs w:val="16"/>
              </w:rPr>
            </w:pPr>
            <w:r w:rsidRPr="00526311">
              <w:rPr>
                <w:sz w:val="16"/>
                <w:szCs w:val="16"/>
              </w:rPr>
              <w:t>(En curso)</w:t>
            </w:r>
          </w:p>
        </w:tc>
        <w:tc>
          <w:tcPr>
            <w:tcW w:w="1985" w:type="dxa"/>
          </w:tcPr>
          <w:p w:rsidR="00C91295" w:rsidRPr="00526311" w:rsidRDefault="00C91295" w:rsidP="00F1387F">
            <w:pPr>
              <w:autoSpaceDE w:val="0"/>
              <w:autoSpaceDN w:val="0"/>
              <w:adjustRightInd w:val="0"/>
              <w:spacing w:before="120" w:after="120"/>
              <w:rPr>
                <w:sz w:val="16"/>
                <w:szCs w:val="16"/>
              </w:rPr>
            </w:pPr>
            <w:r w:rsidRPr="00526311">
              <w:rPr>
                <w:sz w:val="16"/>
                <w:szCs w:val="16"/>
              </w:rPr>
              <w:t>Rwanda</w:t>
            </w:r>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i) Entender las iniciativas dedicadas a la formulación de políticas en Rwanda y la incidencia de esas iniciativas en el terreno;  ii) identificar las lagunas y necesidades, de haberlas, desde la perspectiva de la P.I.;  y iii) formular recomendaciones sobre la integración de los actores de la P.I. y el sistema de P.I. en el sistema de innovación</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Diálogo regional sobre políticas acerca de la importancia de la elaboración y aplicación de políticas nacionales relacionadas con la propiedad intelectual y el fomento de la investigación y la innovación con miras a la competitividad</w:t>
            </w:r>
          </w:p>
        </w:tc>
        <w:tc>
          <w:tcPr>
            <w:tcW w:w="1134" w:type="dxa"/>
          </w:tcPr>
          <w:p w:rsidR="00C91295" w:rsidRPr="00526311" w:rsidRDefault="00C91295" w:rsidP="00F1387F">
            <w:pPr>
              <w:autoSpaceDE w:val="0"/>
              <w:autoSpaceDN w:val="0"/>
              <w:adjustRightInd w:val="0"/>
              <w:spacing w:before="120" w:after="120"/>
              <w:rPr>
                <w:sz w:val="16"/>
                <w:szCs w:val="16"/>
              </w:rPr>
            </w:pPr>
            <w:r w:rsidRPr="00526311">
              <w:rPr>
                <w:sz w:val="16"/>
                <w:szCs w:val="16"/>
              </w:rPr>
              <w:t>21 a 23 de octubre de 2014</w:t>
            </w:r>
          </w:p>
        </w:tc>
        <w:tc>
          <w:tcPr>
            <w:tcW w:w="1985" w:type="dxa"/>
          </w:tcPr>
          <w:p w:rsidR="00C91295" w:rsidRPr="00526311" w:rsidRDefault="00C91295" w:rsidP="00F1387F">
            <w:pPr>
              <w:autoSpaceDE w:val="0"/>
              <w:autoSpaceDN w:val="0"/>
              <w:adjustRightInd w:val="0"/>
              <w:spacing w:before="120" w:after="120"/>
              <w:rPr>
                <w:sz w:val="16"/>
                <w:szCs w:val="16"/>
              </w:rPr>
            </w:pPr>
            <w:r w:rsidRPr="00526311">
              <w:rPr>
                <w:sz w:val="16"/>
                <w:szCs w:val="16"/>
              </w:rPr>
              <w:t>Marruecos / 37 participantes de Burkina Faso, Camerún, Congo, Egipto, Gabón, Ghana, Kenya, Marruecos, Senegal, Túnez y República Unida de Tanzanía</w:t>
            </w:r>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i) Crear una plataforma de debate e intercambio de experiencias nacionales, destacando la importancia de la propiedad intelectual para los sectores industrial y comercial;  y ii) alentar la integración de políticas y estrategias nacionales en materia de P.I. para fomentar la investigación y la innovación con miras a la competitividad de los sectores industriales.</w:t>
            </w:r>
          </w:p>
        </w:tc>
      </w:tr>
      <w:tr w:rsidR="00C91295" w:rsidRPr="00526311" w:rsidTr="00F1387F">
        <w:trPr>
          <w:cantSplit/>
          <w:trHeight w:val="315"/>
        </w:trPr>
        <w:tc>
          <w:tcPr>
            <w:tcW w:w="9356" w:type="dxa"/>
            <w:gridSpan w:val="4"/>
            <w:tcBorders>
              <w:top w:val="single" w:sz="4" w:space="0" w:color="000000"/>
              <w:bottom w:val="single" w:sz="4" w:space="0" w:color="auto"/>
            </w:tcBorders>
            <w:shd w:val="clear" w:color="auto" w:fill="CCFFFF"/>
          </w:tcPr>
          <w:p w:rsidR="00C91295" w:rsidRPr="00526311" w:rsidRDefault="00C91295" w:rsidP="00F1387F">
            <w:pPr>
              <w:keepNext/>
              <w:keepLines/>
              <w:tabs>
                <w:tab w:val="left" w:pos="1740"/>
              </w:tabs>
              <w:spacing w:before="120" w:after="120"/>
              <w:ind w:left="1740" w:hanging="1740"/>
              <w:rPr>
                <w:sz w:val="16"/>
                <w:szCs w:val="16"/>
              </w:rPr>
            </w:pPr>
            <w:r w:rsidRPr="00526311">
              <w:rPr>
                <w:b/>
                <w:bCs/>
                <w:sz w:val="16"/>
                <w:szCs w:val="16"/>
              </w:rPr>
              <w:t>RESULTADO</w:t>
            </w:r>
            <w:r w:rsidRPr="00526311">
              <w:rPr>
                <w:bCs/>
                <w:sz w:val="16"/>
                <w:szCs w:val="16"/>
              </w:rPr>
              <w:t>:</w:t>
            </w:r>
            <w:r w:rsidRPr="00526311">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rPr>
          <w:cantSplit/>
          <w:trHeight w:val="429"/>
        </w:trPr>
        <w:tc>
          <w:tcPr>
            <w:tcW w:w="1843" w:type="dxa"/>
            <w:tcBorders>
              <w:top w:val="single" w:sz="4" w:space="0" w:color="auto"/>
              <w:left w:val="single" w:sz="4" w:space="0" w:color="auto"/>
              <w:bottom w:val="nil"/>
            </w:tcBorders>
            <w:vAlign w:val="center"/>
          </w:tcPr>
          <w:p w:rsidR="00C91295" w:rsidRPr="00526311" w:rsidRDefault="00C91295" w:rsidP="00F1387F">
            <w:pPr>
              <w:keepNext/>
              <w:keepLines/>
              <w:spacing w:before="120"/>
              <w:rPr>
                <w:b/>
                <w:bCs/>
                <w:sz w:val="16"/>
                <w:szCs w:val="16"/>
              </w:rPr>
            </w:pPr>
            <w:r w:rsidRPr="00526311">
              <w:rPr>
                <w:b/>
                <w:bCs/>
                <w:sz w:val="16"/>
                <w:szCs w:val="16"/>
              </w:rPr>
              <w:t>Actividad</w:t>
            </w:r>
          </w:p>
        </w:tc>
        <w:tc>
          <w:tcPr>
            <w:tcW w:w="1134" w:type="dxa"/>
            <w:tcBorders>
              <w:top w:val="single" w:sz="4" w:space="0" w:color="auto"/>
              <w:bottom w:val="nil"/>
            </w:tcBorders>
            <w:vAlign w:val="center"/>
          </w:tcPr>
          <w:p w:rsidR="00C91295" w:rsidRPr="00526311" w:rsidRDefault="00C91295" w:rsidP="00F1387F">
            <w:pPr>
              <w:keepNext/>
              <w:keepLines/>
              <w:spacing w:before="120"/>
              <w:rPr>
                <w:sz w:val="16"/>
                <w:szCs w:val="16"/>
              </w:rPr>
            </w:pPr>
            <w:r w:rsidRPr="00526311">
              <w:rPr>
                <w:b/>
                <w:sz w:val="16"/>
                <w:szCs w:val="16"/>
              </w:rPr>
              <w:t>Fecha</w:t>
            </w:r>
          </w:p>
        </w:tc>
        <w:tc>
          <w:tcPr>
            <w:tcW w:w="1985" w:type="dxa"/>
            <w:tcBorders>
              <w:top w:val="single" w:sz="4" w:space="0" w:color="auto"/>
              <w:bottom w:val="nil"/>
            </w:tcBorders>
            <w:vAlign w:val="center"/>
          </w:tcPr>
          <w:p w:rsidR="00C91295" w:rsidRPr="00526311" w:rsidRDefault="00C91295" w:rsidP="00F1387F">
            <w:pPr>
              <w:keepNext/>
              <w:keepLines/>
              <w:spacing w:before="120"/>
              <w:rPr>
                <w:sz w:val="16"/>
                <w:szCs w:val="16"/>
              </w:rPr>
            </w:pPr>
            <w:r w:rsidRPr="00526311">
              <w:rPr>
                <w:b/>
                <w:sz w:val="16"/>
                <w:szCs w:val="16"/>
              </w:rPr>
              <w:t>País anfitrión / Beneficiarios</w:t>
            </w:r>
          </w:p>
        </w:tc>
        <w:tc>
          <w:tcPr>
            <w:tcW w:w="4394" w:type="dxa"/>
            <w:tcBorders>
              <w:top w:val="single" w:sz="4" w:space="0" w:color="auto"/>
              <w:bottom w:val="nil"/>
              <w:right w:val="single" w:sz="4" w:space="0" w:color="auto"/>
            </w:tcBorders>
            <w:vAlign w:val="center"/>
          </w:tcPr>
          <w:p w:rsidR="00C91295" w:rsidRPr="00526311" w:rsidRDefault="00C91295" w:rsidP="00F1387F">
            <w:pPr>
              <w:keepNext/>
              <w:keepLines/>
              <w:spacing w:before="120"/>
              <w:rPr>
                <w:sz w:val="16"/>
                <w:szCs w:val="16"/>
              </w:rPr>
            </w:pPr>
            <w:r w:rsidRPr="00526311">
              <w:rPr>
                <w:b/>
                <w:sz w:val="16"/>
                <w:szCs w:val="16"/>
              </w:rPr>
              <w:t>Propósito(s) / Descripción</w:t>
            </w:r>
          </w:p>
        </w:tc>
      </w:tr>
      <w:tr w:rsidR="00C91295" w:rsidRPr="00526311" w:rsidTr="0080113E">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Examen de solicitudes de P.I. (nivel básico) – Patentes, Curso de formación sobre examen de solicitudes de propiedad industrial (programa básico)</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20 a 31 de enero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Japón /                Marruecos</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Asistir a los participantes en la adquisición de conocimientos básicos sobre la legislación y los procedimientos de examen de fondo en el ámbito de las patentes.</w:t>
            </w:r>
          </w:p>
        </w:tc>
      </w:tr>
      <w:tr w:rsidR="00C91295" w:rsidRPr="00526311" w:rsidTr="0080113E">
        <w:trPr>
          <w:cantSplit/>
          <w:trHeight w:val="315"/>
        </w:trPr>
        <w:tc>
          <w:tcPr>
            <w:tcW w:w="1843"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Examen de solicitudes de P.I. (nivel básico) – Marcas, Curso de formación sobre examen de solicitudes de propiedad industrial (programa básico)</w:t>
            </w:r>
          </w:p>
        </w:tc>
        <w:tc>
          <w:tcPr>
            <w:tcW w:w="1134"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20 a 31 de enero de 2014</w:t>
            </w:r>
          </w:p>
        </w:tc>
        <w:tc>
          <w:tcPr>
            <w:tcW w:w="1985"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Japón /                   Ghana y Nigeria</w:t>
            </w:r>
          </w:p>
        </w:tc>
        <w:tc>
          <w:tcPr>
            <w:tcW w:w="4394"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Asistir a los participantes en la adquisición de conocimientos básicos sobre la legislación y los procedimientos de examen de fondo en el ámbito de las marcas.</w:t>
            </w:r>
          </w:p>
        </w:tc>
      </w:tr>
      <w:tr w:rsidR="0080113E" w:rsidRPr="00526311" w:rsidTr="0080113E">
        <w:trPr>
          <w:cantSplit/>
          <w:trHeight w:val="429"/>
        </w:trPr>
        <w:tc>
          <w:tcPr>
            <w:tcW w:w="1843" w:type="dxa"/>
            <w:tcBorders>
              <w:top w:val="single" w:sz="4" w:space="0" w:color="auto"/>
              <w:left w:val="single" w:sz="4" w:space="0" w:color="auto"/>
              <w:bottom w:val="nil"/>
            </w:tcBorders>
            <w:vAlign w:val="center"/>
          </w:tcPr>
          <w:p w:rsidR="0080113E" w:rsidRPr="00526311" w:rsidRDefault="0080113E" w:rsidP="001A4F69">
            <w:pPr>
              <w:keepNext/>
              <w:keepLines/>
              <w:spacing w:before="120"/>
              <w:rPr>
                <w:b/>
                <w:bCs/>
                <w:sz w:val="16"/>
                <w:szCs w:val="16"/>
              </w:rPr>
            </w:pPr>
            <w:r w:rsidRPr="00526311">
              <w:rPr>
                <w:b/>
                <w:bCs/>
                <w:sz w:val="16"/>
                <w:szCs w:val="16"/>
              </w:rPr>
              <w:lastRenderedPageBreak/>
              <w:t>Actividad</w:t>
            </w:r>
          </w:p>
        </w:tc>
        <w:tc>
          <w:tcPr>
            <w:tcW w:w="1134" w:type="dxa"/>
            <w:tcBorders>
              <w:top w:val="single" w:sz="4" w:space="0" w:color="auto"/>
              <w:bottom w:val="nil"/>
            </w:tcBorders>
            <w:vAlign w:val="center"/>
          </w:tcPr>
          <w:p w:rsidR="0080113E" w:rsidRPr="00526311" w:rsidRDefault="0080113E" w:rsidP="001A4F69">
            <w:pPr>
              <w:keepNext/>
              <w:keepLines/>
              <w:spacing w:before="120"/>
              <w:rPr>
                <w:sz w:val="16"/>
                <w:szCs w:val="16"/>
              </w:rPr>
            </w:pPr>
            <w:r w:rsidRPr="00526311">
              <w:rPr>
                <w:b/>
                <w:sz w:val="16"/>
                <w:szCs w:val="16"/>
              </w:rPr>
              <w:t>Fecha</w:t>
            </w:r>
          </w:p>
        </w:tc>
        <w:tc>
          <w:tcPr>
            <w:tcW w:w="1985" w:type="dxa"/>
            <w:tcBorders>
              <w:top w:val="single" w:sz="4" w:space="0" w:color="auto"/>
              <w:bottom w:val="nil"/>
            </w:tcBorders>
            <w:vAlign w:val="center"/>
          </w:tcPr>
          <w:p w:rsidR="0080113E" w:rsidRPr="00526311" w:rsidRDefault="0080113E" w:rsidP="001A4F69">
            <w:pPr>
              <w:keepNext/>
              <w:keepLines/>
              <w:spacing w:before="120"/>
              <w:rPr>
                <w:sz w:val="16"/>
                <w:szCs w:val="16"/>
              </w:rPr>
            </w:pPr>
            <w:r w:rsidRPr="00526311">
              <w:rPr>
                <w:b/>
                <w:sz w:val="16"/>
                <w:szCs w:val="16"/>
              </w:rPr>
              <w:t>País anfitrión / Beneficiarios</w:t>
            </w:r>
          </w:p>
        </w:tc>
        <w:tc>
          <w:tcPr>
            <w:tcW w:w="4394" w:type="dxa"/>
            <w:tcBorders>
              <w:top w:val="single" w:sz="4" w:space="0" w:color="auto"/>
              <w:bottom w:val="nil"/>
              <w:right w:val="single" w:sz="4" w:space="0" w:color="auto"/>
            </w:tcBorders>
            <w:vAlign w:val="center"/>
          </w:tcPr>
          <w:p w:rsidR="0080113E" w:rsidRPr="00526311" w:rsidRDefault="0080113E" w:rsidP="001A4F69">
            <w:pPr>
              <w:keepNext/>
              <w:keepLines/>
              <w:spacing w:before="120"/>
              <w:rPr>
                <w:sz w:val="16"/>
                <w:szCs w:val="16"/>
              </w:rPr>
            </w:pPr>
            <w:r w:rsidRPr="00526311">
              <w:rPr>
                <w:b/>
                <w:sz w:val="16"/>
                <w:szCs w:val="16"/>
              </w:rPr>
              <w:t>Propósito(s) / Descripción</w:t>
            </w:r>
          </w:p>
        </w:tc>
      </w:tr>
      <w:tr w:rsidR="00C91295" w:rsidRPr="00526311" w:rsidTr="0080113E">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Curso de formación sobre gestión de la P.I. y formulación y aplicación de la gestión por resultados en las oficinas de propiedad industrial</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29 de enero a 5 de febrero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Japón /                   Egipto y Kenya</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Ampliar los conocimientos de los participantes sobre prácticas modernas de gestión de la P.I.;  y ii) mejorar la capacidad de los participantes de formular, aplicar y evaluar planes de oficina de P.I. sujetos a plazo, orientados a resultados y con efectos mensurables</w:t>
            </w:r>
          </w:p>
        </w:tc>
      </w:tr>
      <w:tr w:rsidR="00C91295" w:rsidRPr="00526311" w:rsidTr="00A1461F">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Curso de formación para examinadores de patentes sobre tecnologías específicas (biotecnología)</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12 a 19 de febrero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Japón /                    Organización Regional Africana de la Propiedad Intelectual (ARIPO), Egipto, y Organización Africana de la Propiedad Intelectual</w:t>
            </w:r>
            <w:r w:rsidRPr="00526311" w:rsidDel="0033769D">
              <w:rPr>
                <w:sz w:val="16"/>
                <w:szCs w:val="16"/>
              </w:rPr>
              <w:t xml:space="preserve"> </w:t>
            </w:r>
            <w:r w:rsidRPr="00526311">
              <w:rPr>
                <w:sz w:val="16"/>
                <w:szCs w:val="16"/>
              </w:rPr>
              <w:t>(OAPI)</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Familiarizar a los participantes con las tendencias actuales y las nuevas prácticas para el examen de patentes en lo concerniente a la biotecnología;  ii) ofrecer ideas y conocimientos prácticos sobre metodologías de examen;  iii) brindar a los participantes la oportunidad de compartir experiencias y opiniones sobre cuestiones relativas al examen de patentes;  y iv) fortalecer las capacidades profesionales de los participantes para el examen de las patentes en el ámbito de la biotecnología.</w:t>
            </w:r>
          </w:p>
        </w:tc>
      </w:tr>
      <w:tr w:rsidR="00C91295" w:rsidRPr="00526311" w:rsidTr="003D4D07">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Curso de formación para examinadores de patentes sobre tecnologías específicas (artículos de óptica)</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20 a 27 de febrero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Japón /                    ARIPO y Egipto</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Familiarizar a los participantes con las tendencias actuales y las nuevas prácticas para el examen de patentes en lo concerniente a los artículos de óptica;  ii) ofrecer ideas y conocimientos prácticos sobre metodologías de examen;  iii) brindar a los participantes la oportunidad de compartir experiencias y opiniones sobre cuestiones relativas al examen de patentes;  y iv) fortalecer las capacidades profesionales de los participantes para el examen de patentes en el ámbito de los artículos de óptica.</w:t>
            </w:r>
          </w:p>
        </w:tc>
      </w:tr>
      <w:tr w:rsidR="00C91295" w:rsidRPr="00526311" w:rsidTr="00F92E1D">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Asociación entre la OMPI / la ARIPO y la </w:t>
            </w:r>
            <w:r w:rsidRPr="00526311">
              <w:rPr>
                <w:i/>
                <w:sz w:val="16"/>
                <w:szCs w:val="16"/>
              </w:rPr>
              <w:t>Africa University</w:t>
            </w:r>
            <w:r w:rsidRPr="00526311">
              <w:rPr>
                <w:sz w:val="16"/>
                <w:szCs w:val="16"/>
              </w:rPr>
              <w:t>, en Mutare (Zimbabwe).</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1 de mayo de 2014 a 28 de abril de 2015</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Zimbabwe /                     8 becas otorgadas a estudiantes seleccionados de Burundi, Kenya, Lesotho, Malawi, Nigeria, República Unida de Tanzanía, Zimbabwe y Uganda</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Impartir formación general y especializada sobre P.I. a los funcionarios gubernamentales y profesionales de la P.I.;  y ii) ofrecer oportunidades para el desarrollo de los recursos humanos y el fortalecimiento de las capacidades mediante la formación y la enseñanza de la P.I. a las personas que se dedican a la enseñanza y la investigación en materia de P.I. en las universidades y otras instituciones.</w:t>
            </w:r>
          </w:p>
        </w:tc>
      </w:tr>
      <w:tr w:rsidR="00C91295" w:rsidRPr="00526311" w:rsidTr="00F1387F">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Asociación entre la OMPI / la OAPI (Centro de formación Denis Ekani) y la Universidad de Yaundé II</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1 de octubre de 2013 a 27 de junio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Camerún /                    10 becas otorgadas a estudiantes seleccionados de Benin, Burkina Faso, Congo, Gabón, Guinea, Níger, Senegal y Togo</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Impartir formación general y especializada sobre P.I. a los funcionarios gubernamentales y profesionales de la P.I;  y ii) ofrecer oportunidades para el desarrollo de los recursos humanos y el fortalecimiento de las capacidades mediante la formación y la enseñanza de la P.I. a las personas que se dedican a la enseñanza y la investigación en materia de P.I. en las universidades y otras instituciones.</w:t>
            </w:r>
          </w:p>
        </w:tc>
      </w:tr>
      <w:tr w:rsidR="00C91295" w:rsidRPr="00526311" w:rsidTr="00142313">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Reunión subregional de alto nivel para miembros del Parlamento de los Estados miembros de la OAPI y Burundi, Djibouti y Madagascar</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10 y 11 de junio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Togo /                           23 participantes de Benin, Burundi, Chad, Comoras, Congo, Gabón, Guinea, Guinea Ecuatorial, Madagascar, Malí, Mauritania, Níger, Togo y Senegal</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Ayudar a los participantes a familiarizarse con el funcionamiento de la P.I. y entenderlo mejor, por tratarse de uno de los pilares de la economía del siglo XXI, basada en los conocimientos, la innovación tecnológica y la competitividad.</w:t>
            </w:r>
          </w:p>
        </w:tc>
      </w:tr>
      <w:tr w:rsidR="00C91295" w:rsidRPr="00526311" w:rsidTr="00142313">
        <w:trPr>
          <w:cantSplit/>
          <w:trHeight w:val="315"/>
        </w:trPr>
        <w:tc>
          <w:tcPr>
            <w:tcW w:w="1843"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Taller sobre desarrollo de los recursos humanos para agentes de patentes / marcas de los Estados miembros de la ARIPO y Estados observadores</w:t>
            </w:r>
          </w:p>
        </w:tc>
        <w:tc>
          <w:tcPr>
            <w:tcW w:w="1134"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27 y 28 de octubre de 2014</w:t>
            </w:r>
          </w:p>
        </w:tc>
        <w:tc>
          <w:tcPr>
            <w:tcW w:w="1985"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Zimbabwe /                   34 participantes de Botswana, Gambia, Ghana, Kenya, Lesotho, Malawi, Mozambique, Namibia, República Unida de Tanzanía, Rwanda, Swazilandia, Uganda, Zambia y Zimbabwe</w:t>
            </w:r>
          </w:p>
        </w:tc>
        <w:tc>
          <w:tcPr>
            <w:tcW w:w="4394"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Dar asistencia a la ARIPO en los intercambios entre los agentes de patentes / marcas, con miras a encontrar las mejores formas de mejorar la calidad de las prácticas actuales ante la ARIPO;  y ii) examinar las iniciativas que podrían aplicarse para mejorar la calidad de los servicios que prestan, con el fin de adaptarlos a las necesidades de los usuarios del sistema de P.I.</w:t>
            </w:r>
          </w:p>
        </w:tc>
      </w:tr>
      <w:tr w:rsidR="00142313" w:rsidRPr="00526311" w:rsidTr="00142313">
        <w:trPr>
          <w:cantSplit/>
          <w:trHeight w:val="429"/>
        </w:trPr>
        <w:tc>
          <w:tcPr>
            <w:tcW w:w="1843" w:type="dxa"/>
            <w:tcBorders>
              <w:top w:val="single" w:sz="4" w:space="0" w:color="auto"/>
              <w:left w:val="single" w:sz="4" w:space="0" w:color="auto"/>
              <w:bottom w:val="nil"/>
            </w:tcBorders>
            <w:vAlign w:val="center"/>
          </w:tcPr>
          <w:p w:rsidR="00142313" w:rsidRPr="00526311" w:rsidRDefault="00142313" w:rsidP="001A4F69">
            <w:pPr>
              <w:keepNext/>
              <w:keepLines/>
              <w:spacing w:before="120"/>
              <w:rPr>
                <w:b/>
                <w:bCs/>
                <w:sz w:val="16"/>
                <w:szCs w:val="16"/>
              </w:rPr>
            </w:pPr>
            <w:r w:rsidRPr="00526311">
              <w:rPr>
                <w:b/>
                <w:bCs/>
                <w:sz w:val="16"/>
                <w:szCs w:val="16"/>
              </w:rPr>
              <w:lastRenderedPageBreak/>
              <w:t>Actividad</w:t>
            </w:r>
          </w:p>
        </w:tc>
        <w:tc>
          <w:tcPr>
            <w:tcW w:w="1134" w:type="dxa"/>
            <w:tcBorders>
              <w:top w:val="single" w:sz="4" w:space="0" w:color="auto"/>
              <w:bottom w:val="nil"/>
            </w:tcBorders>
            <w:vAlign w:val="center"/>
          </w:tcPr>
          <w:p w:rsidR="00142313" w:rsidRPr="00526311" w:rsidRDefault="00142313" w:rsidP="001A4F69">
            <w:pPr>
              <w:keepNext/>
              <w:keepLines/>
              <w:spacing w:before="120"/>
              <w:rPr>
                <w:sz w:val="16"/>
                <w:szCs w:val="16"/>
              </w:rPr>
            </w:pPr>
            <w:r w:rsidRPr="00526311">
              <w:rPr>
                <w:b/>
                <w:sz w:val="16"/>
                <w:szCs w:val="16"/>
              </w:rPr>
              <w:t>Fecha</w:t>
            </w:r>
          </w:p>
        </w:tc>
        <w:tc>
          <w:tcPr>
            <w:tcW w:w="1985" w:type="dxa"/>
            <w:tcBorders>
              <w:top w:val="single" w:sz="4" w:space="0" w:color="auto"/>
              <w:bottom w:val="nil"/>
            </w:tcBorders>
            <w:vAlign w:val="center"/>
          </w:tcPr>
          <w:p w:rsidR="00142313" w:rsidRPr="00526311" w:rsidRDefault="00142313" w:rsidP="001A4F69">
            <w:pPr>
              <w:keepNext/>
              <w:keepLines/>
              <w:spacing w:before="120"/>
              <w:rPr>
                <w:sz w:val="16"/>
                <w:szCs w:val="16"/>
              </w:rPr>
            </w:pPr>
            <w:r w:rsidRPr="00526311">
              <w:rPr>
                <w:b/>
                <w:sz w:val="16"/>
                <w:szCs w:val="16"/>
              </w:rPr>
              <w:t>País anfitrión / Beneficiarios</w:t>
            </w:r>
          </w:p>
        </w:tc>
        <w:tc>
          <w:tcPr>
            <w:tcW w:w="4394" w:type="dxa"/>
            <w:tcBorders>
              <w:top w:val="single" w:sz="4" w:space="0" w:color="auto"/>
              <w:bottom w:val="nil"/>
              <w:right w:val="single" w:sz="4" w:space="0" w:color="auto"/>
            </w:tcBorders>
            <w:vAlign w:val="center"/>
          </w:tcPr>
          <w:p w:rsidR="00142313" w:rsidRPr="00526311" w:rsidRDefault="00142313" w:rsidP="001A4F69">
            <w:pPr>
              <w:keepNext/>
              <w:keepLines/>
              <w:spacing w:before="120"/>
              <w:rPr>
                <w:sz w:val="16"/>
                <w:szCs w:val="16"/>
              </w:rPr>
            </w:pPr>
            <w:r w:rsidRPr="00526311">
              <w:rPr>
                <w:b/>
                <w:sz w:val="16"/>
                <w:szCs w:val="16"/>
              </w:rPr>
              <w:t>Propósito(s) / Descripción</w:t>
            </w:r>
          </w:p>
        </w:tc>
      </w:tr>
      <w:tr w:rsidR="00C91295" w:rsidRPr="00526311" w:rsidTr="00142313">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Curso de formación en el uso de las tecnologías de la información para la administración de la propiedad industrial.</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27 de octubre a 7 de noviembre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Japón / ARIPO, Botswana, Egipto, Kenya y OAPI</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Familiarizar a los participantes con las últimas novedades en materia de tecnologías de la información en relación con administración de la propiedad industrial, la difusión de información sobre propiedad industrial, y la prestación de servicios en línea; ii) impartir conocimientos prácticos sobre las herramientas y tecnologías más recientes mediante sesiones interactivas, así como a través de visitas a las instituciones privadas pertinentes;  y iii) brindar una oportunidad para que los participantes intercambien opiniones y manifiesten sus preocupaciones sobre cuestiones conexas concretas, ampliando así las capacidades profesionales de los participantes en la planificación del uso de las tecnologías de información para la administración de la propiedad industrial.</w:t>
            </w:r>
          </w:p>
        </w:tc>
      </w:tr>
      <w:tr w:rsidR="00C91295" w:rsidRPr="00526311" w:rsidTr="00F92E1D">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Examen de solicitudes de P.I. (nivel avanzado) – Patentes, Curso de formación sobre examen de solicitudes de propiedad industrial (programa avanzado)</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10 a 21 de noviembre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Japón /                    Egipto</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Impartir a los participantes conocimientos básicos acerca de la legislación y los procedimientos de examen de derechos de propiedad industrial;  y ii) darles capacitación en el trabajo para mejorar sus aptitudes profesionales.</w:t>
            </w:r>
          </w:p>
        </w:tc>
      </w:tr>
      <w:tr w:rsidR="00C91295" w:rsidRPr="00526311" w:rsidTr="00142313">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Curso avanzado de verano OMPI-Sudáfrica sobre propiedad intelectual y transferencia de tecnología</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24 de noviembre a 5 de diciembre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Sudáfrica /                    10 becas otorgadas a estudiantes de Botswana, Camerún, Etiopía, Ghana, Kenya, Nigeria, República Unida de Tanzanía, Uganda y Zimbabwe</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Brindar la oportunidad a estudiantes de grado y posgrado, y profesionales jóvenes, de adquirir conocimientos más profundos sobre la propiedad intelectual y la transferencia de tecnología.</w:t>
            </w:r>
          </w:p>
        </w:tc>
      </w:tr>
      <w:tr w:rsidR="00C91295" w:rsidRPr="00526311" w:rsidTr="00F92E1D">
        <w:trPr>
          <w:cantSplit/>
          <w:trHeight w:val="315"/>
        </w:trPr>
        <w:tc>
          <w:tcPr>
            <w:tcW w:w="1843"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Observancia de los derechos de propiedad intelectual</w:t>
            </w:r>
          </w:p>
        </w:tc>
        <w:tc>
          <w:tcPr>
            <w:tcW w:w="1134"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1 a 12 de diciembre de 2014</w:t>
            </w:r>
          </w:p>
        </w:tc>
        <w:tc>
          <w:tcPr>
            <w:tcW w:w="1985"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Japón /                  Nigeria</w:t>
            </w:r>
          </w:p>
        </w:tc>
        <w:tc>
          <w:tcPr>
            <w:tcW w:w="4394" w:type="dxa"/>
            <w:tcBorders>
              <w:top w:val="nil"/>
              <w:bottom w:val="single" w:sz="4" w:space="0" w:color="auto"/>
              <w:right w:val="single" w:sz="4" w:space="0" w:color="auto"/>
            </w:tcBorders>
          </w:tcPr>
          <w:p w:rsidR="00C91295" w:rsidRPr="00526311" w:rsidRDefault="00C91295" w:rsidP="008902F3">
            <w:pPr>
              <w:autoSpaceDE w:val="0"/>
              <w:autoSpaceDN w:val="0"/>
              <w:adjustRightInd w:val="0"/>
              <w:spacing w:before="120" w:after="120"/>
              <w:rPr>
                <w:sz w:val="16"/>
                <w:szCs w:val="16"/>
              </w:rPr>
            </w:pPr>
            <w:r w:rsidRPr="00526311">
              <w:rPr>
                <w:sz w:val="16"/>
                <w:szCs w:val="16"/>
              </w:rPr>
              <w:t>Fomentar el respeto de la P.I. mediante el examen de las normas mínimas y las flexibilidades en materia de observancia de la P.I. contenidas en la Parte III del Acuerdo sobre los Derechos de Propiedad Intelectual relacionados con el Comercio (Acuerdo sobre los ADPIC) y el intercambio de opiniones al respecto.</w:t>
            </w:r>
          </w:p>
        </w:tc>
      </w:tr>
      <w:tr w:rsidR="00C91295" w:rsidRPr="00526311" w:rsidTr="00F1387F">
        <w:trPr>
          <w:cantSplit/>
          <w:trHeight w:val="315"/>
        </w:trPr>
        <w:tc>
          <w:tcPr>
            <w:tcW w:w="9356" w:type="dxa"/>
            <w:gridSpan w:val="4"/>
            <w:tcBorders>
              <w:top w:val="single" w:sz="4" w:space="0" w:color="auto"/>
              <w:bottom w:val="single" w:sz="4" w:space="0" w:color="auto"/>
            </w:tcBorders>
            <w:shd w:val="clear" w:color="auto" w:fill="CCFFFF"/>
          </w:tcPr>
          <w:p w:rsidR="00C91295" w:rsidRPr="00526311" w:rsidRDefault="00C91295" w:rsidP="00F1387F">
            <w:pPr>
              <w:keepNext/>
              <w:keepLines/>
              <w:tabs>
                <w:tab w:val="left" w:pos="1740"/>
              </w:tabs>
              <w:spacing w:before="120" w:after="120"/>
              <w:ind w:left="1740" w:hanging="1740"/>
              <w:rPr>
                <w:sz w:val="16"/>
                <w:szCs w:val="16"/>
              </w:rPr>
            </w:pPr>
            <w:r w:rsidRPr="00526311">
              <w:rPr>
                <w:b/>
                <w:bCs/>
                <w:sz w:val="16"/>
                <w:szCs w:val="16"/>
              </w:rPr>
              <w:t>RESULTADO:</w:t>
            </w:r>
            <w:r w:rsidRPr="00526311">
              <w:rPr>
                <w:b/>
                <w:bCs/>
                <w:sz w:val="16"/>
                <w:szCs w:val="16"/>
              </w:rPr>
              <w:tab/>
            </w:r>
            <w:r w:rsidRPr="00526311">
              <w:rPr>
                <w:bCs/>
                <w:sz w:val="16"/>
                <w:szCs w:val="16"/>
              </w:rPr>
              <w:t>III.6 Mayor capacidad de las pymes para utilizar con éxito la P.I. con el fin de apoyar la innovación</w:t>
            </w:r>
          </w:p>
        </w:tc>
      </w:tr>
      <w:tr w:rsidR="00C91295" w:rsidRPr="00526311" w:rsidTr="00F1387F">
        <w:trPr>
          <w:cantSplit/>
          <w:trHeight w:val="315"/>
        </w:trPr>
        <w:tc>
          <w:tcPr>
            <w:tcW w:w="1843" w:type="dxa"/>
            <w:tcBorders>
              <w:top w:val="single" w:sz="4" w:space="0" w:color="auto"/>
            </w:tcBorders>
            <w:vAlign w:val="center"/>
          </w:tcPr>
          <w:p w:rsidR="00C91295" w:rsidRPr="00526311" w:rsidRDefault="00C91295" w:rsidP="00F1387F">
            <w:pPr>
              <w:keepNext/>
              <w:keepLines/>
              <w:spacing w:before="120"/>
              <w:rPr>
                <w:b/>
                <w:bCs/>
                <w:sz w:val="16"/>
                <w:szCs w:val="16"/>
              </w:rPr>
            </w:pPr>
            <w:r w:rsidRPr="00526311">
              <w:rPr>
                <w:b/>
                <w:bCs/>
                <w:sz w:val="16"/>
                <w:szCs w:val="16"/>
              </w:rPr>
              <w:t>Actividad</w:t>
            </w:r>
          </w:p>
        </w:tc>
        <w:tc>
          <w:tcPr>
            <w:tcW w:w="1134" w:type="dxa"/>
            <w:tcBorders>
              <w:top w:val="single" w:sz="4" w:space="0" w:color="auto"/>
            </w:tcBorders>
            <w:vAlign w:val="center"/>
          </w:tcPr>
          <w:p w:rsidR="00C91295" w:rsidRPr="00526311" w:rsidRDefault="00C91295" w:rsidP="00F1387F">
            <w:pPr>
              <w:keepNext/>
              <w:keepLines/>
              <w:spacing w:before="120"/>
              <w:rPr>
                <w:sz w:val="16"/>
                <w:szCs w:val="16"/>
              </w:rPr>
            </w:pPr>
            <w:r w:rsidRPr="00526311">
              <w:rPr>
                <w:b/>
                <w:sz w:val="16"/>
                <w:szCs w:val="16"/>
              </w:rPr>
              <w:t>Fecha</w:t>
            </w:r>
          </w:p>
        </w:tc>
        <w:tc>
          <w:tcPr>
            <w:tcW w:w="1985" w:type="dxa"/>
            <w:tcBorders>
              <w:top w:val="single" w:sz="4" w:space="0" w:color="auto"/>
            </w:tcBorders>
            <w:vAlign w:val="center"/>
          </w:tcPr>
          <w:p w:rsidR="00C91295" w:rsidRPr="00526311" w:rsidRDefault="00C91295" w:rsidP="00F1387F">
            <w:pPr>
              <w:keepNext/>
              <w:keepLines/>
              <w:spacing w:before="120"/>
              <w:rPr>
                <w:sz w:val="16"/>
                <w:szCs w:val="16"/>
              </w:rPr>
            </w:pPr>
            <w:r w:rsidRPr="00526311">
              <w:rPr>
                <w:b/>
                <w:sz w:val="16"/>
                <w:szCs w:val="16"/>
              </w:rPr>
              <w:t>País anfitrión / Beneficiarios</w:t>
            </w:r>
          </w:p>
        </w:tc>
        <w:tc>
          <w:tcPr>
            <w:tcW w:w="4394" w:type="dxa"/>
            <w:tcBorders>
              <w:top w:val="single" w:sz="4" w:space="0" w:color="auto"/>
            </w:tcBorders>
            <w:vAlign w:val="center"/>
          </w:tcPr>
          <w:p w:rsidR="00C91295" w:rsidRPr="00526311" w:rsidRDefault="00C91295" w:rsidP="00F1387F">
            <w:pPr>
              <w:keepNext/>
              <w:keepLines/>
              <w:spacing w:before="120"/>
              <w:rPr>
                <w:sz w:val="16"/>
                <w:szCs w:val="16"/>
              </w:rPr>
            </w:pPr>
            <w:r w:rsidRPr="00526311">
              <w:rPr>
                <w:b/>
                <w:sz w:val="16"/>
                <w:szCs w:val="16"/>
              </w:rPr>
              <w:t>Propósito(s) / Descripción</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Programa de formación de formadores sobre la gestión eficaz de los activos de propiedad intelectual por las pequeñas y medianas empresas (pymes) en países africanos de habla portuguesa</w:t>
            </w:r>
          </w:p>
        </w:tc>
        <w:tc>
          <w:tcPr>
            <w:tcW w:w="1134" w:type="dxa"/>
          </w:tcPr>
          <w:p w:rsidR="00C91295" w:rsidRPr="00526311" w:rsidRDefault="00C91295" w:rsidP="00F1387F">
            <w:pPr>
              <w:autoSpaceDE w:val="0"/>
              <w:autoSpaceDN w:val="0"/>
              <w:adjustRightInd w:val="0"/>
              <w:spacing w:before="120" w:after="120"/>
              <w:rPr>
                <w:sz w:val="16"/>
                <w:szCs w:val="16"/>
              </w:rPr>
            </w:pPr>
            <w:r w:rsidRPr="00526311">
              <w:rPr>
                <w:sz w:val="16"/>
                <w:szCs w:val="16"/>
              </w:rPr>
              <w:t>9 a 11 de abril de 2014</w:t>
            </w:r>
          </w:p>
        </w:tc>
        <w:tc>
          <w:tcPr>
            <w:tcW w:w="1985" w:type="dxa"/>
          </w:tcPr>
          <w:p w:rsidR="00C91295" w:rsidRPr="00526311" w:rsidRDefault="00C91295" w:rsidP="00F1387F">
            <w:pPr>
              <w:autoSpaceDE w:val="0"/>
              <w:autoSpaceDN w:val="0"/>
              <w:adjustRightInd w:val="0"/>
              <w:spacing w:before="120" w:after="120"/>
              <w:rPr>
                <w:sz w:val="16"/>
                <w:szCs w:val="16"/>
              </w:rPr>
            </w:pPr>
            <w:r w:rsidRPr="00526311">
              <w:rPr>
                <w:sz w:val="16"/>
                <w:szCs w:val="16"/>
              </w:rPr>
              <w:t>Portugal /                        6 participantes de Angola, Cabo Verde, Mozambique y Santo Tomé y Príncipe</w:t>
            </w:r>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i) Mejorar la comprensión sobre el uso del sistema de P.I. por las pymes;  ii) preparar un número suficiente de formadores en el país que tengan las competencias y los conocimientos básicos necesarios para prestar a las pymes asistencia preliminar en materia de P.I. en la gestión eficaz de activos de P.I.;  iii) examinar los obstáculos y los desafíos que se plantean a las pymes, impidiéndoles aprovechar el sistema de P.I.;  y iv) proponer una hoja de ruta destinada a superar esos desafíos y obstáculos.</w:t>
            </w:r>
          </w:p>
        </w:tc>
      </w:tr>
      <w:tr w:rsidR="00C91295" w:rsidRPr="00526311" w:rsidTr="00F1387F">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lastRenderedPageBreak/>
              <w:t>RESULTADO:</w:t>
            </w:r>
            <w:r w:rsidRPr="00526311">
              <w:rPr>
                <w:b/>
                <w:bCs/>
                <w:sz w:val="16"/>
                <w:szCs w:val="16"/>
              </w:rPr>
              <w:tab/>
            </w:r>
            <w:r w:rsidRPr="00526311">
              <w:rPr>
                <w:bCs/>
                <w:sz w:val="16"/>
                <w:szCs w:val="16"/>
              </w:rPr>
              <w:t>IV.2 Mejora del acceso y uso de información de P.I. por parte de instituciones de P.I. y el público para fomentar la innovación y la creatividad</w:t>
            </w:r>
          </w:p>
        </w:tc>
      </w:tr>
      <w:tr w:rsidR="00C91295" w:rsidRPr="00526311" w:rsidTr="00F1387F">
        <w:trPr>
          <w:cantSplit/>
          <w:trHeight w:val="315"/>
        </w:trPr>
        <w:tc>
          <w:tcPr>
            <w:tcW w:w="1843" w:type="dxa"/>
            <w:tcBorders>
              <w:top w:val="single" w:sz="4" w:space="0" w:color="auto"/>
              <w:left w:val="single" w:sz="4" w:space="0" w:color="auto"/>
              <w:bottom w:val="nil"/>
            </w:tcBorders>
            <w:vAlign w:val="center"/>
          </w:tcPr>
          <w:p w:rsidR="00C91295" w:rsidRPr="00526311" w:rsidRDefault="00C91295" w:rsidP="00F1387F">
            <w:pPr>
              <w:keepNext/>
              <w:keepLines/>
              <w:spacing w:before="120"/>
              <w:rPr>
                <w:b/>
                <w:bCs/>
                <w:sz w:val="16"/>
                <w:szCs w:val="16"/>
              </w:rPr>
            </w:pPr>
            <w:r w:rsidRPr="00526311">
              <w:rPr>
                <w:b/>
                <w:bCs/>
                <w:sz w:val="16"/>
                <w:szCs w:val="16"/>
              </w:rPr>
              <w:t>Actividad</w:t>
            </w:r>
          </w:p>
        </w:tc>
        <w:tc>
          <w:tcPr>
            <w:tcW w:w="1134" w:type="dxa"/>
            <w:tcBorders>
              <w:top w:val="single" w:sz="4" w:space="0" w:color="auto"/>
              <w:bottom w:val="nil"/>
            </w:tcBorders>
            <w:vAlign w:val="center"/>
          </w:tcPr>
          <w:p w:rsidR="00C91295" w:rsidRPr="00526311" w:rsidRDefault="00C91295" w:rsidP="00F1387F">
            <w:pPr>
              <w:keepNext/>
              <w:keepLines/>
              <w:spacing w:before="120"/>
              <w:rPr>
                <w:sz w:val="16"/>
                <w:szCs w:val="16"/>
              </w:rPr>
            </w:pPr>
            <w:r w:rsidRPr="00526311">
              <w:rPr>
                <w:b/>
                <w:sz w:val="16"/>
                <w:szCs w:val="16"/>
              </w:rPr>
              <w:t>Fecha</w:t>
            </w:r>
          </w:p>
        </w:tc>
        <w:tc>
          <w:tcPr>
            <w:tcW w:w="1985" w:type="dxa"/>
            <w:tcBorders>
              <w:top w:val="single" w:sz="4" w:space="0" w:color="auto"/>
              <w:bottom w:val="nil"/>
            </w:tcBorders>
            <w:vAlign w:val="center"/>
          </w:tcPr>
          <w:p w:rsidR="00C91295" w:rsidRPr="00526311" w:rsidRDefault="00C91295" w:rsidP="00F1387F">
            <w:pPr>
              <w:keepNext/>
              <w:keepLines/>
              <w:spacing w:before="120"/>
              <w:rPr>
                <w:sz w:val="16"/>
                <w:szCs w:val="16"/>
              </w:rPr>
            </w:pPr>
            <w:r w:rsidRPr="00526311">
              <w:rPr>
                <w:b/>
                <w:sz w:val="16"/>
                <w:szCs w:val="16"/>
              </w:rPr>
              <w:t>País anfitrión / Beneficiarios</w:t>
            </w:r>
          </w:p>
        </w:tc>
        <w:tc>
          <w:tcPr>
            <w:tcW w:w="4394" w:type="dxa"/>
            <w:tcBorders>
              <w:top w:val="single" w:sz="4" w:space="0" w:color="auto"/>
              <w:bottom w:val="nil"/>
              <w:right w:val="single" w:sz="4" w:space="0" w:color="auto"/>
            </w:tcBorders>
            <w:vAlign w:val="center"/>
          </w:tcPr>
          <w:p w:rsidR="00C91295" w:rsidRPr="00526311" w:rsidRDefault="00C91295" w:rsidP="00F1387F">
            <w:pPr>
              <w:keepNext/>
              <w:keepLines/>
              <w:spacing w:before="120"/>
              <w:rPr>
                <w:sz w:val="16"/>
                <w:szCs w:val="16"/>
              </w:rPr>
            </w:pPr>
            <w:r w:rsidRPr="00526311">
              <w:rPr>
                <w:b/>
                <w:sz w:val="16"/>
                <w:szCs w:val="16"/>
              </w:rPr>
              <w:t>Propósito(s) / Descripción</w:t>
            </w:r>
          </w:p>
        </w:tc>
      </w:tr>
      <w:tr w:rsidR="00C91295" w:rsidRPr="00526311" w:rsidTr="00F1387F">
        <w:trPr>
          <w:cantSplit/>
          <w:trHeight w:val="315"/>
        </w:trPr>
        <w:tc>
          <w:tcPr>
            <w:tcW w:w="1843" w:type="dxa"/>
            <w:tcBorders>
              <w:top w:val="nil"/>
              <w:left w:val="single" w:sz="4" w:space="0" w:color="auto"/>
              <w:bottom w:val="nil"/>
            </w:tcBorders>
          </w:tcPr>
          <w:p w:rsidR="00C91295" w:rsidRPr="00526311" w:rsidRDefault="00C91295" w:rsidP="00F1387F">
            <w:pPr>
              <w:keepNext/>
              <w:keepLines/>
              <w:spacing w:before="120"/>
              <w:rPr>
                <w:sz w:val="16"/>
                <w:szCs w:val="16"/>
              </w:rPr>
            </w:pPr>
            <w:r w:rsidRPr="00526311">
              <w:rPr>
                <w:sz w:val="16"/>
                <w:szCs w:val="16"/>
              </w:rPr>
              <w:t>CATI – Seminario sobre la utilización eficaz de la información sobre tecnología y formación de formadores</w:t>
            </w:r>
          </w:p>
        </w:tc>
        <w:tc>
          <w:tcPr>
            <w:tcW w:w="1134" w:type="dxa"/>
            <w:tcBorders>
              <w:top w:val="nil"/>
              <w:bottom w:val="nil"/>
            </w:tcBorders>
          </w:tcPr>
          <w:p w:rsidR="00C91295" w:rsidRPr="00526311" w:rsidRDefault="00C91295" w:rsidP="00F1387F">
            <w:pPr>
              <w:keepNext/>
              <w:keepLines/>
              <w:spacing w:before="120"/>
              <w:rPr>
                <w:sz w:val="16"/>
                <w:szCs w:val="16"/>
              </w:rPr>
            </w:pPr>
            <w:r w:rsidRPr="00526311">
              <w:rPr>
                <w:sz w:val="16"/>
                <w:szCs w:val="16"/>
              </w:rPr>
              <w:t>19 y 21 de mayo de 2014</w:t>
            </w:r>
          </w:p>
        </w:tc>
        <w:tc>
          <w:tcPr>
            <w:tcW w:w="1985" w:type="dxa"/>
            <w:tcBorders>
              <w:top w:val="nil"/>
              <w:bottom w:val="nil"/>
            </w:tcBorders>
          </w:tcPr>
          <w:p w:rsidR="00C91295" w:rsidRPr="00526311" w:rsidRDefault="00C91295" w:rsidP="00F1387F">
            <w:pPr>
              <w:keepNext/>
              <w:keepLines/>
              <w:spacing w:before="120"/>
              <w:rPr>
                <w:sz w:val="16"/>
                <w:szCs w:val="16"/>
              </w:rPr>
            </w:pPr>
            <w:r w:rsidRPr="00526311">
              <w:rPr>
                <w:sz w:val="16"/>
                <w:szCs w:val="16"/>
              </w:rPr>
              <w:t>Santo Tomé y Príncipe / aproximadamente 40 participantes locales</w:t>
            </w:r>
          </w:p>
        </w:tc>
        <w:tc>
          <w:tcPr>
            <w:tcW w:w="4394" w:type="dxa"/>
            <w:tcBorders>
              <w:top w:val="nil"/>
              <w:bottom w:val="nil"/>
              <w:right w:val="single" w:sz="4" w:space="0" w:color="auto"/>
            </w:tcBorders>
          </w:tcPr>
          <w:p w:rsidR="00C91295" w:rsidRPr="00526311" w:rsidRDefault="00C91295" w:rsidP="00F1387F">
            <w:pPr>
              <w:keepNext/>
              <w:keepLines/>
              <w:spacing w:before="120"/>
              <w:rPr>
                <w:sz w:val="16"/>
                <w:szCs w:val="16"/>
              </w:rPr>
            </w:pPr>
            <w:r w:rsidRPr="00526311">
              <w:rPr>
                <w:sz w:val="16"/>
                <w:szCs w:val="16"/>
              </w:rPr>
              <w:t>i) Impartir formación a los miembros del personal de los Centros de Apoyo a la Tecnología y la Innovación (CATI) y los participantes;  y ii) sensibilizar acerca del proyecto CATI.</w:t>
            </w:r>
          </w:p>
        </w:tc>
      </w:tr>
      <w:tr w:rsidR="00C91295" w:rsidRPr="00526311" w:rsidTr="00F1387F">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CATI – Seminario sobre la utilización eficaz de la información técnica y científica, refuerzo de la formación de formadores e inauguración oficial de CATI</w:t>
            </w:r>
          </w:p>
        </w:tc>
        <w:tc>
          <w:tcPr>
            <w:tcW w:w="1134" w:type="dxa"/>
            <w:tcBorders>
              <w:top w:val="nil"/>
              <w:bottom w:val="nil"/>
            </w:tcBorders>
          </w:tcPr>
          <w:p w:rsidR="00C91295" w:rsidRPr="00526311" w:rsidRDefault="00C91295" w:rsidP="00F1387F">
            <w:pPr>
              <w:spacing w:before="120" w:after="120"/>
              <w:rPr>
                <w:sz w:val="16"/>
                <w:szCs w:val="16"/>
              </w:rPr>
            </w:pPr>
            <w:r w:rsidRPr="00526311">
              <w:rPr>
                <w:sz w:val="16"/>
                <w:szCs w:val="16"/>
              </w:rPr>
              <w:t>10 a 14 de junio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Senegal /              aproximadamente 40 participantes locales</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Fortalecer las capacidades de los participantes en materia de búsqueda y aprovechamiento de la información técnica y científica para mejorar la realización de sus actividades;  y ii) inauguración oficial de dos nuevos CATI.</w:t>
            </w:r>
          </w:p>
        </w:tc>
      </w:tr>
      <w:tr w:rsidR="00C91295" w:rsidRPr="00526311" w:rsidTr="006F545B">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Reunión sobre el desarrollo del proyecto CATI:  Seminario sobre apoyo a la innovación, Taller sobre formación de formadores y Reunión sobre planificación del proyecto CATI</w:t>
            </w:r>
          </w:p>
        </w:tc>
        <w:tc>
          <w:tcPr>
            <w:tcW w:w="1134" w:type="dxa"/>
            <w:tcBorders>
              <w:top w:val="nil"/>
              <w:bottom w:val="nil"/>
            </w:tcBorders>
          </w:tcPr>
          <w:p w:rsidR="00C91295" w:rsidRPr="00526311" w:rsidRDefault="00C91295" w:rsidP="00F1387F">
            <w:pPr>
              <w:spacing w:before="120" w:after="120"/>
              <w:rPr>
                <w:sz w:val="16"/>
                <w:szCs w:val="16"/>
              </w:rPr>
            </w:pPr>
            <w:r w:rsidRPr="00526311">
              <w:rPr>
                <w:sz w:val="16"/>
                <w:szCs w:val="16"/>
              </w:rPr>
              <w:t>16 a 18 de junio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Zambia /               aproximadamente 25 participantes locales</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Reunir a los principales sectores interesados para examinar el establecimiento de una red nacional de CATI.</w:t>
            </w:r>
          </w:p>
        </w:tc>
      </w:tr>
      <w:tr w:rsidR="00C91295" w:rsidRPr="00526311" w:rsidTr="00BE5A96">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CATI – Talleres (segunda edición) sobre la utilización eficaz de la información técnica y científica </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4 y 5 de septiembre, y 8 y 9 de septiembre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República Unida de Tanzanía /            aproximadamente 50 participantes locales en Dar es Salam; aproximadamente 30 participantes locales in Zanzíbar</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Fortalecer las capacidades de los participantes en materia de búsqueda y aprovechamiento de la información técnica y científica para mejorar la realización de sus actividades.</w:t>
            </w:r>
          </w:p>
        </w:tc>
      </w:tr>
      <w:tr w:rsidR="00C91295" w:rsidRPr="00526311" w:rsidTr="006F545B">
        <w:trPr>
          <w:cantSplit/>
          <w:trHeight w:val="315"/>
        </w:trPr>
        <w:tc>
          <w:tcPr>
            <w:tcW w:w="1843"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Acceso a la información científica y técnica con miras al fortalecimiento de la capacidad tecnológica y el desarrollo de marcas de productos que interesan a la exportación para los PMA de habla inglesa</w:t>
            </w:r>
          </w:p>
        </w:tc>
        <w:tc>
          <w:tcPr>
            <w:tcW w:w="1134"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21 a 24 de octubre de 2014</w:t>
            </w:r>
          </w:p>
        </w:tc>
        <w:tc>
          <w:tcPr>
            <w:tcW w:w="1985"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Zimbabwe /                   11 participantes de Etiopía, República Unida de Tanzanía, Rwanda, Uganda y Zambia</w:t>
            </w:r>
          </w:p>
          <w:p w:rsidR="00C91295" w:rsidRPr="00526311" w:rsidRDefault="00C91295" w:rsidP="00F1387F">
            <w:pPr>
              <w:rPr>
                <w:sz w:val="16"/>
                <w:szCs w:val="16"/>
              </w:rPr>
            </w:pPr>
          </w:p>
          <w:p w:rsidR="00C91295" w:rsidRPr="00526311" w:rsidRDefault="00C91295" w:rsidP="00F1387F">
            <w:pPr>
              <w:autoSpaceDE w:val="0"/>
              <w:autoSpaceDN w:val="0"/>
              <w:adjustRightInd w:val="0"/>
              <w:spacing w:before="120" w:after="120"/>
              <w:rPr>
                <w:sz w:val="16"/>
                <w:szCs w:val="16"/>
              </w:rPr>
            </w:pPr>
          </w:p>
        </w:tc>
        <w:tc>
          <w:tcPr>
            <w:tcW w:w="4394"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Crear una plataforma en la que los participantes puedan compartir sus experiencias nacionales y aprender la forma de:  i) acceder a la información tecnológica y a la adquisición de tecnología extranjera utilizando modernos mecanismos de búsqueda y aprovechando la formación en materia de búsqueda y de métodos de búsqueda de información contenida en patentes, en bases de datos, en Internet y en publicaciones científicas;  ii) fortalecer las capacidades de manera que los PMA puedan utilizar con eficacia el sistema de propiedad industrial para intensificar sus oportunidades comerciales (aumentando la capacidad productiva, la diversificación de los productos, mejorando la eficiencia y la competitividad de los procesos comerciales);  y iii) consolidar las asociaciones entre los sectores público y privado en los PMA en relación con determinadas iniciativas en el campo del sistema de propiedad industrial, para generar mayores beneficios económicos.</w:t>
            </w:r>
          </w:p>
        </w:tc>
      </w:tr>
      <w:tr w:rsidR="00C91295" w:rsidRPr="00526311" w:rsidTr="00F1387F">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lastRenderedPageBreak/>
              <w:t>RESULTADO:</w:t>
            </w:r>
            <w:r w:rsidRPr="00526311">
              <w:rPr>
                <w:b/>
                <w:bCs/>
                <w:sz w:val="16"/>
                <w:szCs w:val="16"/>
              </w:rPr>
              <w:tab/>
            </w:r>
            <w:r w:rsidRPr="00526311">
              <w:rPr>
                <w:bCs/>
                <w:sz w:val="16"/>
                <w:szCs w:val="16"/>
              </w:rPr>
              <w:t>IV.4 Mejora en la infraestructura técnica y de conocimientos de las Oficinas y demás instituciones de P.I. que les permita prestar mejores servicios (más económicos, más rápidos y de mejor calidad) a sus partes interesadas</w:t>
            </w:r>
          </w:p>
        </w:tc>
      </w:tr>
      <w:tr w:rsidR="00C91295" w:rsidRPr="00526311" w:rsidTr="00F1387F">
        <w:trPr>
          <w:cantSplit/>
          <w:trHeight w:val="315"/>
        </w:trPr>
        <w:tc>
          <w:tcPr>
            <w:tcW w:w="1843" w:type="dxa"/>
            <w:tcBorders>
              <w:top w:val="single" w:sz="4" w:space="0" w:color="auto"/>
              <w:bottom w:val="nil"/>
            </w:tcBorders>
            <w:vAlign w:val="center"/>
          </w:tcPr>
          <w:p w:rsidR="00C91295" w:rsidRPr="00526311" w:rsidRDefault="00C91295" w:rsidP="00F1387F">
            <w:pPr>
              <w:keepNext/>
              <w:keepLines/>
              <w:spacing w:before="120"/>
              <w:rPr>
                <w:b/>
                <w:bCs/>
                <w:sz w:val="16"/>
                <w:szCs w:val="16"/>
              </w:rPr>
            </w:pPr>
            <w:r w:rsidRPr="00526311">
              <w:rPr>
                <w:b/>
                <w:bCs/>
                <w:sz w:val="16"/>
                <w:szCs w:val="16"/>
              </w:rPr>
              <w:t>Actividad</w:t>
            </w:r>
          </w:p>
        </w:tc>
        <w:tc>
          <w:tcPr>
            <w:tcW w:w="1134" w:type="dxa"/>
            <w:tcBorders>
              <w:top w:val="single" w:sz="4" w:space="0" w:color="auto"/>
              <w:bottom w:val="nil"/>
            </w:tcBorders>
            <w:vAlign w:val="center"/>
          </w:tcPr>
          <w:p w:rsidR="00C91295" w:rsidRPr="00526311" w:rsidRDefault="00C91295" w:rsidP="00F1387F">
            <w:pPr>
              <w:keepNext/>
              <w:keepLines/>
              <w:spacing w:before="120" w:after="120"/>
              <w:rPr>
                <w:sz w:val="16"/>
                <w:szCs w:val="16"/>
              </w:rPr>
            </w:pPr>
            <w:r w:rsidRPr="00526311">
              <w:rPr>
                <w:b/>
                <w:sz w:val="16"/>
                <w:szCs w:val="16"/>
              </w:rPr>
              <w:t>Fecha</w:t>
            </w:r>
          </w:p>
        </w:tc>
        <w:tc>
          <w:tcPr>
            <w:tcW w:w="1985" w:type="dxa"/>
            <w:tcBorders>
              <w:top w:val="single" w:sz="4" w:space="0" w:color="auto"/>
              <w:bottom w:val="nil"/>
            </w:tcBorders>
            <w:vAlign w:val="center"/>
          </w:tcPr>
          <w:p w:rsidR="00C91295" w:rsidRPr="00526311" w:rsidRDefault="00C91295" w:rsidP="00F1387F">
            <w:pPr>
              <w:keepNext/>
              <w:keepLines/>
              <w:spacing w:before="120" w:after="120"/>
              <w:rPr>
                <w:sz w:val="16"/>
                <w:szCs w:val="16"/>
              </w:rPr>
            </w:pPr>
            <w:r w:rsidRPr="00526311">
              <w:rPr>
                <w:b/>
                <w:sz w:val="16"/>
                <w:szCs w:val="16"/>
              </w:rPr>
              <w:t>País anfitrión / Beneficiarios</w:t>
            </w:r>
          </w:p>
        </w:tc>
        <w:tc>
          <w:tcPr>
            <w:tcW w:w="4394" w:type="dxa"/>
            <w:tcBorders>
              <w:top w:val="single" w:sz="4" w:space="0" w:color="auto"/>
              <w:bottom w:val="nil"/>
            </w:tcBorders>
            <w:vAlign w:val="center"/>
          </w:tcPr>
          <w:p w:rsidR="00C91295" w:rsidRPr="00526311" w:rsidRDefault="00C91295" w:rsidP="00F1387F">
            <w:pPr>
              <w:keepNext/>
              <w:keepLines/>
              <w:spacing w:before="120" w:after="120"/>
              <w:rPr>
                <w:sz w:val="16"/>
                <w:szCs w:val="16"/>
              </w:rPr>
            </w:pPr>
            <w:r w:rsidRPr="00526311">
              <w:rPr>
                <w:b/>
                <w:sz w:val="16"/>
                <w:szCs w:val="16"/>
              </w:rPr>
              <w:t>Propósito(s) / Descripción</w:t>
            </w:r>
          </w:p>
        </w:tc>
      </w:tr>
      <w:tr w:rsidR="00C91295" w:rsidRPr="00526311" w:rsidTr="00F1387F">
        <w:trPr>
          <w:cantSplit/>
          <w:trHeight w:val="315"/>
        </w:trPr>
        <w:tc>
          <w:tcPr>
            <w:tcW w:w="1843" w:type="dxa"/>
            <w:tcBorders>
              <w:top w:val="nil"/>
              <w:bottom w:val="nil"/>
            </w:tcBorders>
          </w:tcPr>
          <w:p w:rsidR="00C91295" w:rsidRPr="00526311" w:rsidRDefault="00C91295" w:rsidP="00F1387F">
            <w:pPr>
              <w:keepNext/>
              <w:autoSpaceDE w:val="0"/>
              <w:autoSpaceDN w:val="0"/>
              <w:adjustRightInd w:val="0"/>
              <w:spacing w:before="120" w:after="120"/>
              <w:rPr>
                <w:sz w:val="16"/>
                <w:szCs w:val="16"/>
              </w:rPr>
            </w:pPr>
            <w:r w:rsidRPr="00526311">
              <w:rPr>
                <w:sz w:val="16"/>
                <w:szCs w:val="16"/>
              </w:rPr>
              <w:t>Proyecto de captura de datos en el Registro de Marcas, Patentes y Diseños de Nigeria</w:t>
            </w:r>
          </w:p>
        </w:tc>
        <w:tc>
          <w:tcPr>
            <w:tcW w:w="1134" w:type="dxa"/>
            <w:tcBorders>
              <w:top w:val="nil"/>
              <w:bottom w:val="nil"/>
            </w:tcBorders>
          </w:tcPr>
          <w:p w:rsidR="00C91295" w:rsidRPr="00526311" w:rsidRDefault="00C91295" w:rsidP="00F1387F">
            <w:pPr>
              <w:keepNext/>
              <w:spacing w:before="120" w:after="120"/>
              <w:rPr>
                <w:sz w:val="16"/>
                <w:szCs w:val="16"/>
              </w:rPr>
            </w:pPr>
            <w:r w:rsidRPr="00526311">
              <w:rPr>
                <w:sz w:val="16"/>
                <w:szCs w:val="16"/>
              </w:rPr>
              <w:t>Marzo a diciembre de 2014</w:t>
            </w:r>
          </w:p>
          <w:p w:rsidR="00C91295" w:rsidRPr="00526311" w:rsidRDefault="00C91295" w:rsidP="00F1387F">
            <w:pPr>
              <w:keepNext/>
              <w:spacing w:before="120" w:after="120"/>
              <w:rPr>
                <w:sz w:val="16"/>
                <w:szCs w:val="16"/>
              </w:rPr>
            </w:pPr>
            <w:r w:rsidRPr="00526311">
              <w:rPr>
                <w:sz w:val="16"/>
                <w:szCs w:val="16"/>
              </w:rPr>
              <w:t>(En curso)</w:t>
            </w:r>
          </w:p>
        </w:tc>
        <w:tc>
          <w:tcPr>
            <w:tcW w:w="1985" w:type="dxa"/>
            <w:tcBorders>
              <w:top w:val="nil"/>
              <w:bottom w:val="nil"/>
            </w:tcBorders>
          </w:tcPr>
          <w:p w:rsidR="00C91295" w:rsidRPr="00526311" w:rsidRDefault="00C91295" w:rsidP="00F1387F">
            <w:pPr>
              <w:keepNext/>
              <w:autoSpaceDE w:val="0"/>
              <w:autoSpaceDN w:val="0"/>
              <w:adjustRightInd w:val="0"/>
              <w:spacing w:before="120" w:after="120"/>
              <w:rPr>
                <w:sz w:val="16"/>
                <w:szCs w:val="16"/>
              </w:rPr>
            </w:pPr>
            <w:r w:rsidRPr="00526311">
              <w:rPr>
                <w:sz w:val="16"/>
                <w:szCs w:val="16"/>
              </w:rPr>
              <w:t>Nigeria</w:t>
            </w:r>
          </w:p>
        </w:tc>
        <w:tc>
          <w:tcPr>
            <w:tcW w:w="4394" w:type="dxa"/>
            <w:tcBorders>
              <w:top w:val="nil"/>
              <w:bottom w:val="nil"/>
            </w:tcBorders>
          </w:tcPr>
          <w:p w:rsidR="00C91295" w:rsidRPr="00526311" w:rsidRDefault="00C91295" w:rsidP="00F1387F">
            <w:pPr>
              <w:keepNext/>
              <w:autoSpaceDE w:val="0"/>
              <w:autoSpaceDN w:val="0"/>
              <w:adjustRightInd w:val="0"/>
              <w:spacing w:before="120" w:after="120"/>
              <w:rPr>
                <w:sz w:val="16"/>
                <w:szCs w:val="16"/>
              </w:rPr>
            </w:pPr>
            <w:r w:rsidRPr="00526311">
              <w:rPr>
                <w:sz w:val="16"/>
                <w:szCs w:val="16"/>
              </w:rPr>
              <w:t>Dar asistencia a la Oficina en la captura de sus datos bibliográficos correspondientes a marcas, registradas y activas, y a expedientes de patentes y diseños con el fin de pasarlos del papel al formato digital, con la asistencia de un proveedor especializado.</w:t>
            </w:r>
          </w:p>
        </w:tc>
      </w:tr>
      <w:tr w:rsidR="00C91295" w:rsidRPr="00526311" w:rsidTr="00F1387F">
        <w:trPr>
          <w:cantSplit/>
          <w:trHeight w:val="315"/>
        </w:trPr>
        <w:tc>
          <w:tcPr>
            <w:tcW w:w="1843"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Proyecto de digitalización para la Oficina de Propiedad intelectual, en Etiopía</w:t>
            </w:r>
          </w:p>
        </w:tc>
        <w:tc>
          <w:tcPr>
            <w:tcW w:w="1134" w:type="dxa"/>
            <w:tcBorders>
              <w:top w:val="nil"/>
              <w:bottom w:val="nil"/>
            </w:tcBorders>
          </w:tcPr>
          <w:p w:rsidR="00C91295" w:rsidRPr="00526311" w:rsidRDefault="00C91295" w:rsidP="00F1387F">
            <w:pPr>
              <w:spacing w:before="120" w:after="120"/>
              <w:rPr>
                <w:sz w:val="16"/>
                <w:szCs w:val="16"/>
              </w:rPr>
            </w:pPr>
            <w:r w:rsidRPr="00526311">
              <w:rPr>
                <w:sz w:val="16"/>
                <w:szCs w:val="16"/>
              </w:rPr>
              <w:t>Junio a diciembre de 2014</w:t>
            </w:r>
          </w:p>
          <w:p w:rsidR="00C91295" w:rsidRPr="00526311" w:rsidRDefault="00C91295" w:rsidP="00F1387F">
            <w:pPr>
              <w:spacing w:before="120" w:after="120"/>
              <w:rPr>
                <w:sz w:val="16"/>
                <w:szCs w:val="16"/>
              </w:rPr>
            </w:pPr>
            <w:r w:rsidRPr="00526311">
              <w:rPr>
                <w:sz w:val="16"/>
                <w:szCs w:val="16"/>
              </w:rPr>
              <w:t>(En curso)</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Etiopía</w:t>
            </w:r>
          </w:p>
        </w:tc>
        <w:tc>
          <w:tcPr>
            <w:tcW w:w="439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Dar asistencia a la Oficina nacional de P.I. para que intensifique la eficiencia de sus procedimientos de concesión de derechos de propiedad industrial y agilice la administración de la P.I. mediante la racionalización de los procedimientos administrativos, la utilización de la tecnología y la automatización de la Oficina.</w:t>
            </w:r>
          </w:p>
        </w:tc>
      </w:tr>
      <w:tr w:rsidR="00C91295" w:rsidRPr="00526311" w:rsidTr="00F1387F">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Digitalización de los expedientes de P.I. en la OAPI</w:t>
            </w:r>
          </w:p>
        </w:tc>
        <w:tc>
          <w:tcPr>
            <w:tcW w:w="1134" w:type="dxa"/>
            <w:tcBorders>
              <w:top w:val="nil"/>
              <w:bottom w:val="nil"/>
            </w:tcBorders>
          </w:tcPr>
          <w:p w:rsidR="00C91295" w:rsidRPr="00526311" w:rsidRDefault="00C91295" w:rsidP="00F1387F">
            <w:pPr>
              <w:spacing w:before="120" w:after="120"/>
              <w:rPr>
                <w:sz w:val="16"/>
                <w:szCs w:val="16"/>
              </w:rPr>
            </w:pPr>
            <w:r w:rsidRPr="00526311">
              <w:rPr>
                <w:sz w:val="16"/>
                <w:szCs w:val="16"/>
              </w:rPr>
              <w:t>Marzo a diciembre de 2014</w:t>
            </w:r>
          </w:p>
          <w:p w:rsidR="00C91295" w:rsidRPr="00526311" w:rsidRDefault="00C91295" w:rsidP="00F1387F">
            <w:pPr>
              <w:spacing w:before="120" w:after="120"/>
              <w:rPr>
                <w:sz w:val="16"/>
                <w:szCs w:val="16"/>
              </w:rPr>
            </w:pPr>
            <w:r w:rsidRPr="00526311">
              <w:rPr>
                <w:sz w:val="16"/>
                <w:szCs w:val="16"/>
              </w:rPr>
              <w:t>(En curso)</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OAPI</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Reducir la carga que supone el procedimiento de introducción de datos de la documentación relacionada con la P.I., así como optimizar ese procedimiento; y ii) abordar de forma eficiente y eficaz la sobrecarga en la digitalización que ya debería haber sido realizada;  y iii) acelerar los procesos administrativos y de examen.</w:t>
            </w:r>
          </w:p>
        </w:tc>
      </w:tr>
      <w:tr w:rsidR="00C91295" w:rsidRPr="00526311" w:rsidTr="00F1387F">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Misiones de asesoramiento por expertos</w:t>
            </w:r>
          </w:p>
        </w:tc>
        <w:tc>
          <w:tcPr>
            <w:tcW w:w="1134" w:type="dxa"/>
            <w:tcBorders>
              <w:top w:val="nil"/>
              <w:bottom w:val="nil"/>
            </w:tcBorders>
          </w:tcPr>
          <w:p w:rsidR="00C91295" w:rsidRPr="00526311" w:rsidRDefault="00C91295" w:rsidP="00F1387F">
            <w:pPr>
              <w:spacing w:before="120" w:after="120"/>
              <w:rPr>
                <w:sz w:val="16"/>
                <w:szCs w:val="16"/>
              </w:rPr>
            </w:pPr>
            <w:r w:rsidRPr="00526311">
              <w:rPr>
                <w:sz w:val="16"/>
                <w:szCs w:val="16"/>
              </w:rPr>
              <w:t>28 de abril a 7 de mayo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Nigeria</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Identificar las necesidades y exigencias con respecto a las operaciones de P.I. del Registro de Nigeria;  ii) realizar una auditoría de la Oficina;  iii) evaluar las necesidades estructurales de la Oficina de P.I., teniendo en mente los elementos de modernización, por ejemplo, los procesos de trabajo y la infraestructura de TIC;  y iv) formular propuestas y recomendaciones acerca de la reestructuración de la Oficina de P.I.</w:t>
            </w:r>
          </w:p>
        </w:tc>
      </w:tr>
      <w:tr w:rsidR="00C91295" w:rsidRPr="00526311" w:rsidTr="006F545B">
        <w:trPr>
          <w:cantSplit/>
          <w:trHeight w:val="315"/>
        </w:trPr>
        <w:tc>
          <w:tcPr>
            <w:tcW w:w="1843"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Implantación del sistema de gestión electrónica de documentos del IPAS en Botswana</w:t>
            </w:r>
          </w:p>
        </w:tc>
        <w:tc>
          <w:tcPr>
            <w:tcW w:w="1134" w:type="dxa"/>
            <w:tcBorders>
              <w:top w:val="nil"/>
              <w:bottom w:val="nil"/>
            </w:tcBorders>
          </w:tcPr>
          <w:p w:rsidR="00C91295" w:rsidRPr="00526311" w:rsidRDefault="00C91295" w:rsidP="00F1387F">
            <w:pPr>
              <w:spacing w:before="120" w:after="120"/>
              <w:rPr>
                <w:sz w:val="16"/>
                <w:szCs w:val="16"/>
              </w:rPr>
            </w:pPr>
            <w:r w:rsidRPr="00526311">
              <w:rPr>
                <w:sz w:val="16"/>
                <w:szCs w:val="16"/>
              </w:rPr>
              <w:t>5 a 9 de mayo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Botswana</w:t>
            </w:r>
          </w:p>
        </w:tc>
        <w:tc>
          <w:tcPr>
            <w:tcW w:w="439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Crear una infraestructura lógica para el almacenamiento y la gestión de las imágenes escaneadas (</w:t>
            </w:r>
            <w:r w:rsidRPr="00526311">
              <w:rPr>
                <w:i/>
                <w:sz w:val="16"/>
                <w:szCs w:val="16"/>
              </w:rPr>
              <w:t>e-dossiers</w:t>
            </w:r>
            <w:r w:rsidRPr="00526311">
              <w:rPr>
                <w:sz w:val="16"/>
                <w:szCs w:val="16"/>
              </w:rPr>
              <w:t>);  ii) transferir aptitudes y fortalecer las capacidades para la captura y la digitalización de los documentos creados diariamente por la oficina;  y iii) abrir la puerta a los servicios en línea para la Oficina de P.I. en Botswana.</w:t>
            </w:r>
          </w:p>
        </w:tc>
      </w:tr>
      <w:tr w:rsidR="00C91295" w:rsidRPr="00526311" w:rsidTr="00163E34">
        <w:trPr>
          <w:cantSplit/>
          <w:trHeight w:val="315"/>
        </w:trPr>
        <w:tc>
          <w:tcPr>
            <w:tcW w:w="1843"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Implantación del sistema de gestión electrónica de documentos del IPAS en Namibia</w:t>
            </w:r>
          </w:p>
        </w:tc>
        <w:tc>
          <w:tcPr>
            <w:tcW w:w="1134" w:type="dxa"/>
            <w:tcBorders>
              <w:top w:val="nil"/>
              <w:bottom w:val="nil"/>
            </w:tcBorders>
          </w:tcPr>
          <w:p w:rsidR="00C91295" w:rsidRPr="00526311" w:rsidRDefault="00C91295" w:rsidP="00F1387F">
            <w:pPr>
              <w:spacing w:before="120" w:after="120"/>
              <w:rPr>
                <w:sz w:val="16"/>
                <w:szCs w:val="16"/>
              </w:rPr>
            </w:pPr>
            <w:r w:rsidRPr="00526311">
              <w:rPr>
                <w:sz w:val="16"/>
                <w:szCs w:val="16"/>
              </w:rPr>
              <w:t>12 a 16 de mayo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Namibia</w:t>
            </w:r>
          </w:p>
        </w:tc>
        <w:tc>
          <w:tcPr>
            <w:tcW w:w="439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Crear una infraestructura lógica para el almacenamiento y la gestión de las imágenes escaneadas (</w:t>
            </w:r>
            <w:r w:rsidRPr="00526311">
              <w:rPr>
                <w:i/>
                <w:sz w:val="16"/>
                <w:szCs w:val="16"/>
              </w:rPr>
              <w:t>e-dossiers</w:t>
            </w:r>
            <w:r w:rsidRPr="00526311">
              <w:rPr>
                <w:sz w:val="16"/>
                <w:szCs w:val="16"/>
              </w:rPr>
              <w:t>);  ii) transferir aptitudes y fortalecer las capacidades para la captura y la digitalización de los documentos creados diariamente por la oficina;  y iii) abrir la puerta a los servicios en línea para la Oficina de P.I. en Namibia.</w:t>
            </w:r>
          </w:p>
        </w:tc>
      </w:tr>
      <w:tr w:rsidR="00C91295" w:rsidRPr="00526311" w:rsidTr="006F545B">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Implantación del sistema de gestión electrónica de documentos del IPAS en Malawi</w:t>
            </w:r>
          </w:p>
        </w:tc>
        <w:tc>
          <w:tcPr>
            <w:tcW w:w="1134" w:type="dxa"/>
            <w:tcBorders>
              <w:top w:val="nil"/>
              <w:bottom w:val="nil"/>
            </w:tcBorders>
          </w:tcPr>
          <w:p w:rsidR="00C91295" w:rsidRPr="00526311" w:rsidRDefault="00C91295" w:rsidP="00F1387F">
            <w:pPr>
              <w:spacing w:before="120" w:after="120"/>
              <w:rPr>
                <w:sz w:val="16"/>
                <w:szCs w:val="16"/>
              </w:rPr>
            </w:pPr>
            <w:r w:rsidRPr="00526311">
              <w:rPr>
                <w:sz w:val="16"/>
                <w:szCs w:val="16"/>
              </w:rPr>
              <w:t>19 a 23 de mayo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Malawi</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Crear una infraestructura lógica para el almacenamiento y la gestión de las imágenes escaneadas (</w:t>
            </w:r>
            <w:r w:rsidRPr="00526311">
              <w:rPr>
                <w:i/>
                <w:sz w:val="16"/>
                <w:szCs w:val="16"/>
              </w:rPr>
              <w:t>e-dossiers</w:t>
            </w:r>
            <w:r w:rsidRPr="00526311">
              <w:rPr>
                <w:sz w:val="16"/>
                <w:szCs w:val="16"/>
              </w:rPr>
              <w:t>);  ii) transferir aptitudes y fortalecer las capacidades para la captura y la digitalización de los documentos creados diariamente por la oficina;  y iii) abrir la puerta a los servicios en línea para la Oficina de P.I. en Malawi.</w:t>
            </w:r>
          </w:p>
        </w:tc>
      </w:tr>
      <w:tr w:rsidR="00C91295" w:rsidRPr="00526311" w:rsidTr="00F1387F">
        <w:trPr>
          <w:cantSplit/>
          <w:trHeight w:val="315"/>
        </w:trPr>
        <w:tc>
          <w:tcPr>
            <w:tcW w:w="1843"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Implantación del sistema de gestión electrónica de documentos del IPAS en Kenya</w:t>
            </w:r>
          </w:p>
        </w:tc>
        <w:tc>
          <w:tcPr>
            <w:tcW w:w="1134" w:type="dxa"/>
            <w:tcBorders>
              <w:top w:val="nil"/>
              <w:bottom w:val="single" w:sz="4" w:space="0" w:color="auto"/>
            </w:tcBorders>
          </w:tcPr>
          <w:p w:rsidR="00C91295" w:rsidRPr="00526311" w:rsidRDefault="00C91295" w:rsidP="00F1387F">
            <w:pPr>
              <w:spacing w:before="120" w:after="120"/>
              <w:rPr>
                <w:sz w:val="16"/>
                <w:szCs w:val="16"/>
              </w:rPr>
            </w:pPr>
            <w:r w:rsidRPr="00526311">
              <w:rPr>
                <w:sz w:val="16"/>
                <w:szCs w:val="16"/>
              </w:rPr>
              <w:t>2 a 6 de junio de 2014</w:t>
            </w:r>
          </w:p>
        </w:tc>
        <w:tc>
          <w:tcPr>
            <w:tcW w:w="1985"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Kenya</w:t>
            </w:r>
          </w:p>
        </w:tc>
        <w:tc>
          <w:tcPr>
            <w:tcW w:w="4394"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Crear una infraestructura lógica para el almacenamiento y la gestión de las imágenes escaneadas (</w:t>
            </w:r>
            <w:r w:rsidRPr="00526311">
              <w:rPr>
                <w:i/>
                <w:sz w:val="16"/>
                <w:szCs w:val="16"/>
              </w:rPr>
              <w:t>e-dossiers</w:t>
            </w:r>
            <w:r w:rsidRPr="00526311">
              <w:rPr>
                <w:sz w:val="16"/>
                <w:szCs w:val="16"/>
              </w:rPr>
              <w:t>);  ii) transferir aptitudes y fortalecer las capacidades para la captura y la digitalización de los documentos creados diariamente por la oficina;  y iii) abrir la puerta a los servicios en línea para la Oficina de P.I. en Kenya.</w:t>
            </w:r>
          </w:p>
        </w:tc>
      </w:tr>
      <w:tr w:rsidR="00C91295" w:rsidRPr="00526311" w:rsidTr="00F1387F">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lastRenderedPageBreak/>
              <w:t>RESULTADO:</w:t>
            </w:r>
            <w:r w:rsidRPr="00526311">
              <w:rPr>
                <w:b/>
                <w:bCs/>
                <w:sz w:val="16"/>
                <w:szCs w:val="16"/>
              </w:rPr>
              <w:tab/>
            </w:r>
            <w:r w:rsidRPr="00526311">
              <w:rPr>
                <w:bCs/>
                <w:sz w:val="16"/>
                <w:szCs w:val="16"/>
              </w:rPr>
              <w:t>VI.1 Avances en el diálogo internacional sobre políticas entre los Estados miembros de la OMPI para fomentar el respeto por la P.I. sobre la base de la recomendación 45 de la Agenda de la OMPI para el Desarrollo</w:t>
            </w:r>
          </w:p>
        </w:tc>
      </w:tr>
      <w:tr w:rsidR="00C91295" w:rsidRPr="00526311" w:rsidTr="00F1387F">
        <w:trPr>
          <w:cantSplit/>
          <w:trHeight w:val="315"/>
        </w:trPr>
        <w:tc>
          <w:tcPr>
            <w:tcW w:w="1843" w:type="dxa"/>
            <w:tcBorders>
              <w:top w:val="single" w:sz="4" w:space="0" w:color="auto"/>
              <w:bottom w:val="nil"/>
            </w:tcBorders>
            <w:vAlign w:val="center"/>
          </w:tcPr>
          <w:p w:rsidR="00C91295" w:rsidRPr="00526311" w:rsidRDefault="00C91295" w:rsidP="00F1387F">
            <w:pPr>
              <w:keepNext/>
              <w:keepLines/>
              <w:spacing w:before="120"/>
              <w:rPr>
                <w:b/>
                <w:bCs/>
                <w:sz w:val="16"/>
                <w:szCs w:val="16"/>
              </w:rPr>
            </w:pPr>
            <w:r w:rsidRPr="00526311">
              <w:rPr>
                <w:b/>
                <w:bCs/>
                <w:sz w:val="16"/>
                <w:szCs w:val="16"/>
              </w:rPr>
              <w:t>Actividad</w:t>
            </w:r>
          </w:p>
        </w:tc>
        <w:tc>
          <w:tcPr>
            <w:tcW w:w="1134" w:type="dxa"/>
            <w:tcBorders>
              <w:top w:val="single" w:sz="4" w:space="0" w:color="auto"/>
              <w:bottom w:val="nil"/>
            </w:tcBorders>
            <w:vAlign w:val="center"/>
          </w:tcPr>
          <w:p w:rsidR="00C91295" w:rsidRPr="00526311" w:rsidRDefault="00C91295" w:rsidP="00F1387F">
            <w:pPr>
              <w:keepNext/>
              <w:keepLines/>
              <w:spacing w:before="120"/>
              <w:rPr>
                <w:sz w:val="16"/>
                <w:szCs w:val="16"/>
              </w:rPr>
            </w:pPr>
            <w:r w:rsidRPr="00526311">
              <w:rPr>
                <w:b/>
                <w:sz w:val="16"/>
                <w:szCs w:val="16"/>
              </w:rPr>
              <w:t>Fecha</w:t>
            </w:r>
          </w:p>
        </w:tc>
        <w:tc>
          <w:tcPr>
            <w:tcW w:w="1985" w:type="dxa"/>
            <w:tcBorders>
              <w:top w:val="single" w:sz="4" w:space="0" w:color="auto"/>
              <w:bottom w:val="nil"/>
            </w:tcBorders>
            <w:vAlign w:val="center"/>
          </w:tcPr>
          <w:p w:rsidR="00C91295" w:rsidRPr="00526311" w:rsidRDefault="00C91295" w:rsidP="00F1387F">
            <w:pPr>
              <w:keepNext/>
              <w:keepLines/>
              <w:spacing w:before="120"/>
              <w:rPr>
                <w:sz w:val="16"/>
                <w:szCs w:val="16"/>
              </w:rPr>
            </w:pPr>
            <w:r w:rsidRPr="00526311">
              <w:rPr>
                <w:b/>
                <w:sz w:val="16"/>
                <w:szCs w:val="16"/>
              </w:rPr>
              <w:t>País anfitrión / Beneficiarios</w:t>
            </w:r>
          </w:p>
        </w:tc>
        <w:tc>
          <w:tcPr>
            <w:tcW w:w="4394" w:type="dxa"/>
            <w:tcBorders>
              <w:top w:val="single" w:sz="4" w:space="0" w:color="auto"/>
              <w:bottom w:val="nil"/>
            </w:tcBorders>
            <w:vAlign w:val="center"/>
          </w:tcPr>
          <w:p w:rsidR="00C91295" w:rsidRPr="00526311" w:rsidRDefault="00C91295" w:rsidP="00F1387F">
            <w:pPr>
              <w:keepNext/>
              <w:keepLines/>
              <w:spacing w:before="120"/>
              <w:rPr>
                <w:sz w:val="16"/>
                <w:szCs w:val="16"/>
              </w:rPr>
            </w:pPr>
            <w:r w:rsidRPr="00526311">
              <w:rPr>
                <w:b/>
                <w:sz w:val="16"/>
                <w:szCs w:val="16"/>
              </w:rPr>
              <w:t>Propósito(s) / Descripción</w:t>
            </w:r>
          </w:p>
        </w:tc>
      </w:tr>
      <w:tr w:rsidR="00C91295" w:rsidRPr="00526311" w:rsidTr="00F1387F">
        <w:trPr>
          <w:cantSplit/>
          <w:trHeight w:val="315"/>
        </w:trPr>
        <w:tc>
          <w:tcPr>
            <w:tcW w:w="1843" w:type="dxa"/>
            <w:tcBorders>
              <w:top w:val="nil"/>
              <w:bottom w:val="single" w:sz="4" w:space="0" w:color="auto"/>
            </w:tcBorders>
          </w:tcPr>
          <w:p w:rsidR="00C91295" w:rsidRPr="00526311" w:rsidRDefault="00C91295" w:rsidP="008902F3">
            <w:pPr>
              <w:autoSpaceDE w:val="0"/>
              <w:autoSpaceDN w:val="0"/>
              <w:adjustRightInd w:val="0"/>
              <w:spacing w:before="120" w:after="120"/>
              <w:rPr>
                <w:sz w:val="16"/>
                <w:szCs w:val="16"/>
              </w:rPr>
            </w:pPr>
            <w:r w:rsidRPr="00526311">
              <w:rPr>
                <w:sz w:val="16"/>
                <w:szCs w:val="16"/>
              </w:rPr>
              <w:t xml:space="preserve">Coloquio regional sobre fomento del respeto por la P.I. para los miembros del Poder Judicial de los países de </w:t>
            </w:r>
            <w:r w:rsidR="008902F3" w:rsidRPr="00526311">
              <w:rPr>
                <w:i/>
                <w:sz w:val="16"/>
                <w:szCs w:val="16"/>
              </w:rPr>
              <w:t>common law</w:t>
            </w:r>
            <w:r w:rsidR="008902F3" w:rsidRPr="00526311">
              <w:rPr>
                <w:sz w:val="16"/>
                <w:szCs w:val="16"/>
              </w:rPr>
              <w:t xml:space="preserve"> </w:t>
            </w:r>
            <w:r w:rsidRPr="00526311">
              <w:rPr>
                <w:sz w:val="16"/>
                <w:szCs w:val="16"/>
              </w:rPr>
              <w:t>de la Comunidad del África Meridional para el Desarrollo (SADC)</w:t>
            </w:r>
          </w:p>
        </w:tc>
        <w:tc>
          <w:tcPr>
            <w:tcW w:w="1134" w:type="dxa"/>
            <w:tcBorders>
              <w:top w:val="nil"/>
              <w:bottom w:val="single" w:sz="4" w:space="0" w:color="auto"/>
            </w:tcBorders>
          </w:tcPr>
          <w:p w:rsidR="00C91295" w:rsidRPr="00526311" w:rsidRDefault="00C91295" w:rsidP="00F1387F">
            <w:pPr>
              <w:spacing w:before="120" w:after="120"/>
              <w:rPr>
                <w:sz w:val="16"/>
                <w:szCs w:val="16"/>
              </w:rPr>
            </w:pPr>
            <w:r w:rsidRPr="00526311">
              <w:rPr>
                <w:sz w:val="16"/>
                <w:szCs w:val="16"/>
              </w:rPr>
              <w:t>29 y 30 de octubre de 2014</w:t>
            </w:r>
          </w:p>
        </w:tc>
        <w:tc>
          <w:tcPr>
            <w:tcW w:w="1985"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Sudáfrica /                    17 participantes de Botswana, Lesotho, Malawi, Mauricio, República Unida de Tanzanía, Seychelles, Sudáfrica, Swazilandia, Zambia y Zimbabwe</w:t>
            </w:r>
          </w:p>
        </w:tc>
        <w:tc>
          <w:tcPr>
            <w:tcW w:w="4394"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Mejorar la comprensión de la observancia de la P.I. entre los miembros del Poder Judicial para velar por una tramitación justa y eficiente de los litigios de P.I.</w:t>
            </w:r>
          </w:p>
        </w:tc>
      </w:tr>
      <w:tr w:rsidR="00C91295" w:rsidRPr="00526311" w:rsidTr="00F1387F">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VII.2 Plataformas y herramientas de P.I. utilizadas para la transferencia de conocimiento y la difusión y adaptación de tecnología de los países desarrollados en los países en desarrollo, en particular en los menos adelantados, con el fin de atender los desafíos mundiales</w:t>
            </w:r>
          </w:p>
        </w:tc>
      </w:tr>
      <w:tr w:rsidR="00C91295" w:rsidRPr="00526311" w:rsidTr="00F1387F">
        <w:trPr>
          <w:cantSplit/>
          <w:trHeight w:val="315"/>
        </w:trPr>
        <w:tc>
          <w:tcPr>
            <w:tcW w:w="1843" w:type="dxa"/>
            <w:tcBorders>
              <w:top w:val="single" w:sz="4" w:space="0" w:color="auto"/>
              <w:bottom w:val="nil"/>
            </w:tcBorders>
            <w:vAlign w:val="center"/>
          </w:tcPr>
          <w:p w:rsidR="00C91295" w:rsidRPr="00526311" w:rsidRDefault="00C91295" w:rsidP="00F1387F">
            <w:pPr>
              <w:keepNext/>
              <w:keepLines/>
              <w:spacing w:before="120"/>
              <w:rPr>
                <w:b/>
                <w:bCs/>
                <w:sz w:val="16"/>
                <w:szCs w:val="16"/>
              </w:rPr>
            </w:pPr>
            <w:r w:rsidRPr="00526311">
              <w:rPr>
                <w:b/>
                <w:bCs/>
                <w:sz w:val="16"/>
                <w:szCs w:val="16"/>
              </w:rPr>
              <w:t>Actividad</w:t>
            </w:r>
          </w:p>
        </w:tc>
        <w:tc>
          <w:tcPr>
            <w:tcW w:w="1134" w:type="dxa"/>
            <w:tcBorders>
              <w:top w:val="single" w:sz="4" w:space="0" w:color="auto"/>
              <w:bottom w:val="nil"/>
            </w:tcBorders>
            <w:vAlign w:val="center"/>
          </w:tcPr>
          <w:p w:rsidR="00C91295" w:rsidRPr="00526311" w:rsidRDefault="00C91295" w:rsidP="00F1387F">
            <w:pPr>
              <w:keepNext/>
              <w:keepLines/>
              <w:spacing w:before="120"/>
              <w:rPr>
                <w:sz w:val="16"/>
                <w:szCs w:val="16"/>
              </w:rPr>
            </w:pPr>
            <w:r w:rsidRPr="00526311">
              <w:rPr>
                <w:b/>
                <w:sz w:val="16"/>
                <w:szCs w:val="16"/>
              </w:rPr>
              <w:t>Fecha</w:t>
            </w:r>
          </w:p>
        </w:tc>
        <w:tc>
          <w:tcPr>
            <w:tcW w:w="1985" w:type="dxa"/>
            <w:tcBorders>
              <w:top w:val="single" w:sz="4" w:space="0" w:color="auto"/>
              <w:bottom w:val="nil"/>
            </w:tcBorders>
            <w:vAlign w:val="center"/>
          </w:tcPr>
          <w:p w:rsidR="00C91295" w:rsidRPr="00526311" w:rsidRDefault="00C91295" w:rsidP="00F1387F">
            <w:pPr>
              <w:keepNext/>
              <w:keepLines/>
              <w:spacing w:before="120"/>
              <w:rPr>
                <w:sz w:val="16"/>
                <w:szCs w:val="16"/>
              </w:rPr>
            </w:pPr>
            <w:r w:rsidRPr="00526311">
              <w:rPr>
                <w:b/>
                <w:sz w:val="16"/>
                <w:szCs w:val="16"/>
              </w:rPr>
              <w:t>País anfitrión / Beneficiarios</w:t>
            </w:r>
          </w:p>
        </w:tc>
        <w:tc>
          <w:tcPr>
            <w:tcW w:w="4394" w:type="dxa"/>
            <w:tcBorders>
              <w:top w:val="single" w:sz="4" w:space="0" w:color="auto"/>
              <w:bottom w:val="nil"/>
            </w:tcBorders>
            <w:vAlign w:val="center"/>
          </w:tcPr>
          <w:p w:rsidR="00C91295" w:rsidRPr="00526311" w:rsidRDefault="00C91295" w:rsidP="00F1387F">
            <w:pPr>
              <w:keepNext/>
              <w:keepLines/>
              <w:spacing w:before="120"/>
              <w:rPr>
                <w:sz w:val="16"/>
                <w:szCs w:val="16"/>
              </w:rPr>
            </w:pPr>
            <w:r w:rsidRPr="00526311">
              <w:rPr>
                <w:b/>
                <w:sz w:val="16"/>
                <w:szCs w:val="16"/>
              </w:rPr>
              <w:t>Propósito(s) / Descripción</w:t>
            </w:r>
          </w:p>
        </w:tc>
      </w:tr>
      <w:tr w:rsidR="00C91295" w:rsidRPr="00526311" w:rsidTr="00F1387F">
        <w:trPr>
          <w:cantSplit/>
          <w:trHeight w:val="315"/>
        </w:trPr>
        <w:tc>
          <w:tcPr>
            <w:tcW w:w="1843" w:type="dxa"/>
            <w:tcBorders>
              <w:top w:val="nil"/>
              <w:bottom w:val="single" w:sz="4" w:space="0" w:color="auto"/>
            </w:tcBorders>
          </w:tcPr>
          <w:p w:rsidR="00C91295" w:rsidRPr="00526311" w:rsidRDefault="009724D3" w:rsidP="009724D3">
            <w:pPr>
              <w:autoSpaceDE w:val="0"/>
              <w:autoSpaceDN w:val="0"/>
              <w:adjustRightInd w:val="0"/>
              <w:spacing w:before="120" w:after="120"/>
              <w:rPr>
                <w:sz w:val="16"/>
                <w:szCs w:val="16"/>
              </w:rPr>
            </w:pPr>
            <w:r w:rsidRPr="00526311">
              <w:rPr>
                <w:sz w:val="16"/>
                <w:szCs w:val="16"/>
              </w:rPr>
              <w:t>WIPO</w:t>
            </w:r>
            <w:r w:rsidR="00C91295" w:rsidRPr="00526311">
              <w:rPr>
                <w:sz w:val="16"/>
                <w:szCs w:val="16"/>
              </w:rPr>
              <w:t xml:space="preserve"> Re: Search – Realización de un video sobre casos exitosos</w:t>
            </w:r>
          </w:p>
        </w:tc>
        <w:tc>
          <w:tcPr>
            <w:tcW w:w="1134" w:type="dxa"/>
            <w:tcBorders>
              <w:top w:val="nil"/>
              <w:bottom w:val="single" w:sz="4" w:space="0" w:color="auto"/>
            </w:tcBorders>
          </w:tcPr>
          <w:p w:rsidR="00C91295" w:rsidRPr="00526311" w:rsidRDefault="009724D3" w:rsidP="00F1387F">
            <w:pPr>
              <w:spacing w:before="120" w:after="120"/>
              <w:rPr>
                <w:sz w:val="16"/>
                <w:szCs w:val="16"/>
              </w:rPr>
            </w:pPr>
            <w:r w:rsidRPr="00526311">
              <w:rPr>
                <w:sz w:val="16"/>
                <w:szCs w:val="16"/>
              </w:rPr>
              <w:t>Abril a agosto de 2014</w:t>
            </w:r>
          </w:p>
        </w:tc>
        <w:tc>
          <w:tcPr>
            <w:tcW w:w="1985"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Camerún</w:t>
            </w:r>
          </w:p>
        </w:tc>
        <w:tc>
          <w:tcPr>
            <w:tcW w:w="4394"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Mostrar casos exitosos de investigación en el ámbito de las ETD en el Camerún.</w:t>
            </w:r>
          </w:p>
        </w:tc>
      </w:tr>
    </w:tbl>
    <w:p w:rsidR="00C91295" w:rsidRPr="00526311" w:rsidRDefault="00C91295" w:rsidP="00F1387F">
      <w:pPr>
        <w:keepNext/>
        <w:keepLines/>
        <w:rPr>
          <w:b/>
          <w:sz w:val="20"/>
        </w:rPr>
      </w:pPr>
    </w:p>
    <w:p w:rsidR="00C91295" w:rsidRPr="00526311" w:rsidRDefault="00C91295" w:rsidP="00F1387F">
      <w:pPr>
        <w:rPr>
          <w:b/>
          <w:sz w:val="18"/>
          <w:szCs w:val="18"/>
        </w:rPr>
      </w:pPr>
    </w:p>
    <w:p w:rsidR="00C91295" w:rsidRPr="007D4926" w:rsidRDefault="00C91295" w:rsidP="00F1387F">
      <w:pPr>
        <w:rPr>
          <w:b/>
          <w:bCs/>
          <w:sz w:val="20"/>
        </w:rPr>
      </w:pPr>
      <w:r w:rsidRPr="007D4926">
        <w:rPr>
          <w:b/>
          <w:bCs/>
          <w:sz w:val="20"/>
        </w:rPr>
        <w:t>JAPÓN – P.I. / ÁFRICA–PMA – Contribuciones de donantes y gastos en 2014</w:t>
      </w:r>
    </w:p>
    <w:p w:rsidR="00C91295" w:rsidRPr="00526311" w:rsidRDefault="00C91295" w:rsidP="00F1387F">
      <w:pPr>
        <w:keepNext/>
        <w:keepLines/>
        <w:rPr>
          <w:b/>
          <w:sz w:val="20"/>
        </w:rPr>
      </w:pPr>
    </w:p>
    <w:tbl>
      <w:tblPr>
        <w:tblW w:w="9087" w:type="dxa"/>
        <w:tblInd w:w="93" w:type="dxa"/>
        <w:tblLook w:val="04A0" w:firstRow="1" w:lastRow="0" w:firstColumn="1" w:lastColumn="0" w:noHBand="0" w:noVBand="1"/>
      </w:tblPr>
      <w:tblGrid>
        <w:gridCol w:w="1858"/>
        <w:gridCol w:w="1559"/>
        <w:gridCol w:w="1560"/>
        <w:gridCol w:w="2126"/>
        <w:gridCol w:w="1984"/>
      </w:tblGrid>
      <w:tr w:rsidR="00C91295" w:rsidRPr="00526311" w:rsidTr="00F1387F">
        <w:trPr>
          <w:trHeight w:val="624"/>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Ingresos en 2014</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Gastos en 2014</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Reembolsos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2014</w:t>
            </w:r>
          </w:p>
        </w:tc>
      </w:tr>
      <w:tr w:rsidR="00C91295" w:rsidRPr="00526311" w:rsidTr="00F1387F">
        <w:trPr>
          <w:trHeight w:val="4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1.391.783</w:t>
            </w:r>
          </w:p>
        </w:tc>
        <w:tc>
          <w:tcPr>
            <w:tcW w:w="1559"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1.100.544</w:t>
            </w:r>
          </w:p>
        </w:tc>
        <w:tc>
          <w:tcPr>
            <w:tcW w:w="1560"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1.057.237</w:t>
            </w:r>
          </w:p>
        </w:tc>
        <w:tc>
          <w:tcPr>
            <w:tcW w:w="2126"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1.435.090</w:t>
            </w:r>
          </w:p>
        </w:tc>
      </w:tr>
    </w:tbl>
    <w:p w:rsidR="00C91295" w:rsidRPr="00526311" w:rsidRDefault="00C91295" w:rsidP="00F1387F">
      <w:pPr>
        <w:rPr>
          <w:b/>
          <w:sz w:val="20"/>
        </w:rPr>
      </w:pPr>
    </w:p>
    <w:p w:rsidR="00C91295" w:rsidRPr="00526311" w:rsidRDefault="00C91295" w:rsidP="00F1387F">
      <w:pPr>
        <w:rPr>
          <w:b/>
          <w:sz w:val="20"/>
        </w:rPr>
      </w:pPr>
    </w:p>
    <w:p w:rsidR="00C91295" w:rsidRPr="00526311" w:rsidRDefault="00C91295" w:rsidP="006F545B">
      <w:pPr>
        <w:keepNext/>
        <w:keepLines/>
        <w:rPr>
          <w:b/>
          <w:sz w:val="20"/>
        </w:rPr>
      </w:pPr>
      <w:r w:rsidRPr="00526311">
        <w:rPr>
          <w:b/>
          <w:sz w:val="20"/>
        </w:rPr>
        <w:t>REPÚBLICA DE COREA / FOMENTAR EL RESPETO POR LA PROPIEDAD INTELECTUAL</w:t>
      </w:r>
    </w:p>
    <w:p w:rsidR="00C91295" w:rsidRPr="00526311" w:rsidRDefault="00C91295" w:rsidP="006F545B">
      <w:pPr>
        <w:keepNext/>
        <w:keepLines/>
        <w:rPr>
          <w:b/>
          <w:sz w:val="16"/>
          <w:szCs w:val="16"/>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C91295" w:rsidRPr="00526311" w:rsidTr="00F1387F">
        <w:tc>
          <w:tcPr>
            <w:tcW w:w="9386" w:type="dxa"/>
            <w:gridSpan w:val="4"/>
            <w:tcBorders>
              <w:top w:val="single" w:sz="4" w:space="0" w:color="000000"/>
              <w:bottom w:val="single" w:sz="4" w:space="0" w:color="000000"/>
            </w:tcBorders>
            <w:shd w:val="clear" w:color="auto" w:fill="CCFFFF"/>
            <w:vAlign w:val="center"/>
          </w:tcPr>
          <w:p w:rsidR="00C91295" w:rsidRPr="00526311" w:rsidRDefault="00C91295" w:rsidP="006F545B">
            <w:pPr>
              <w:keepNext/>
              <w:keepLines/>
              <w:spacing w:before="120" w:after="60"/>
              <w:ind w:left="1701" w:hanging="1701"/>
              <w:rPr>
                <w:bCs/>
                <w:sz w:val="16"/>
                <w:szCs w:val="16"/>
              </w:rPr>
            </w:pPr>
            <w:r w:rsidRPr="00526311">
              <w:rPr>
                <w:b/>
                <w:bCs/>
                <w:sz w:val="16"/>
                <w:szCs w:val="16"/>
              </w:rPr>
              <w:t>RESULTADO:</w:t>
            </w:r>
            <w:r w:rsidRPr="00526311">
              <w:rPr>
                <w:b/>
                <w:bCs/>
                <w:sz w:val="16"/>
                <w:szCs w:val="16"/>
              </w:rPr>
              <w:tab/>
            </w:r>
            <w:r w:rsidRPr="00526311">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c>
          <w:tcPr>
            <w:tcW w:w="1873" w:type="dxa"/>
            <w:tcBorders>
              <w:top w:val="single" w:sz="4" w:space="0" w:color="000000"/>
            </w:tcBorders>
            <w:vAlign w:val="center"/>
          </w:tcPr>
          <w:p w:rsidR="00C91295" w:rsidRPr="00526311" w:rsidRDefault="00C91295" w:rsidP="006F545B">
            <w:pPr>
              <w:keepNext/>
              <w:keepLines/>
              <w:rPr>
                <w:b/>
                <w:bCs/>
                <w:sz w:val="16"/>
                <w:szCs w:val="16"/>
              </w:rPr>
            </w:pPr>
            <w:r w:rsidRPr="00526311">
              <w:rPr>
                <w:b/>
                <w:bCs/>
                <w:sz w:val="16"/>
                <w:szCs w:val="16"/>
              </w:rPr>
              <w:t>Actividad</w:t>
            </w:r>
          </w:p>
        </w:tc>
        <w:tc>
          <w:tcPr>
            <w:tcW w:w="1134" w:type="dxa"/>
            <w:tcBorders>
              <w:top w:val="single" w:sz="4" w:space="0" w:color="000000"/>
            </w:tcBorders>
            <w:shd w:val="clear" w:color="auto" w:fill="auto"/>
            <w:tcMar>
              <w:top w:w="110" w:type="dxa"/>
            </w:tcMar>
            <w:vAlign w:val="center"/>
          </w:tcPr>
          <w:p w:rsidR="00C91295" w:rsidRPr="00526311" w:rsidRDefault="00C91295" w:rsidP="006F545B">
            <w:pPr>
              <w:keepNext/>
              <w:keepLines/>
              <w:rPr>
                <w:b/>
                <w:bCs/>
                <w:sz w:val="16"/>
                <w:szCs w:val="16"/>
              </w:rPr>
            </w:pPr>
            <w:r w:rsidRPr="00526311">
              <w:rPr>
                <w:b/>
                <w:bCs/>
                <w:sz w:val="16"/>
                <w:szCs w:val="16"/>
              </w:rPr>
              <w:t>Fecha</w:t>
            </w:r>
          </w:p>
        </w:tc>
        <w:tc>
          <w:tcPr>
            <w:tcW w:w="1843" w:type="dxa"/>
            <w:tcBorders>
              <w:top w:val="single" w:sz="4" w:space="0" w:color="000000"/>
            </w:tcBorders>
            <w:shd w:val="clear" w:color="auto" w:fill="auto"/>
            <w:tcMar>
              <w:top w:w="110" w:type="dxa"/>
            </w:tcMar>
            <w:vAlign w:val="center"/>
          </w:tcPr>
          <w:p w:rsidR="00C91295" w:rsidRPr="00526311" w:rsidRDefault="00C91295" w:rsidP="006F545B">
            <w:pPr>
              <w:keepNext/>
              <w:keepLines/>
              <w:rPr>
                <w:sz w:val="16"/>
                <w:szCs w:val="16"/>
              </w:rPr>
            </w:pPr>
            <w:r w:rsidRPr="00526311">
              <w:rPr>
                <w:b/>
                <w:sz w:val="16"/>
                <w:szCs w:val="16"/>
              </w:rPr>
              <w:t>País anfitrión / Beneficiarios</w:t>
            </w:r>
          </w:p>
        </w:tc>
        <w:tc>
          <w:tcPr>
            <w:tcW w:w="4536" w:type="dxa"/>
            <w:tcBorders>
              <w:top w:val="single" w:sz="4" w:space="0" w:color="000000"/>
            </w:tcBorders>
            <w:shd w:val="clear" w:color="auto" w:fill="FFFFFF"/>
            <w:tcMar>
              <w:top w:w="110" w:type="dxa"/>
            </w:tcMar>
            <w:vAlign w:val="center"/>
          </w:tcPr>
          <w:p w:rsidR="00C91295" w:rsidRPr="00526311" w:rsidRDefault="00C91295" w:rsidP="006F545B">
            <w:pPr>
              <w:keepNext/>
              <w:keepLines/>
              <w:rPr>
                <w:sz w:val="16"/>
                <w:szCs w:val="16"/>
              </w:rPr>
            </w:pPr>
            <w:r w:rsidRPr="00526311">
              <w:rPr>
                <w:b/>
                <w:sz w:val="16"/>
                <w:szCs w:val="16"/>
              </w:rPr>
              <w:t>Propósito(s) / Descripción</w:t>
            </w:r>
          </w:p>
        </w:tc>
      </w:tr>
      <w:tr w:rsidR="00C91295" w:rsidRPr="00526311" w:rsidTr="00F1387F">
        <w:tc>
          <w:tcPr>
            <w:tcW w:w="1873" w:type="dxa"/>
          </w:tcPr>
          <w:p w:rsidR="00C91295" w:rsidRPr="00526311" w:rsidRDefault="00C91295" w:rsidP="006F545B">
            <w:pPr>
              <w:keepNext/>
              <w:rPr>
                <w:rFonts w:eastAsia="Batang"/>
                <w:sz w:val="16"/>
                <w:szCs w:val="16"/>
                <w:lang w:eastAsia="ko-KR"/>
              </w:rPr>
            </w:pPr>
            <w:r w:rsidRPr="00526311">
              <w:rPr>
                <w:rFonts w:eastAsia="Batang"/>
                <w:sz w:val="16"/>
                <w:szCs w:val="16"/>
                <w:lang w:eastAsia="ko-KR"/>
              </w:rPr>
              <w:t>Taller interregional sobre observancia del derecho de autor</w:t>
            </w:r>
          </w:p>
        </w:tc>
        <w:tc>
          <w:tcPr>
            <w:tcW w:w="1134" w:type="dxa"/>
            <w:shd w:val="clear" w:color="auto" w:fill="auto"/>
            <w:tcMar>
              <w:top w:w="110" w:type="dxa"/>
            </w:tcMar>
          </w:tcPr>
          <w:p w:rsidR="00C91295" w:rsidRPr="00526311" w:rsidRDefault="00C91295" w:rsidP="006F545B">
            <w:pPr>
              <w:keepNext/>
              <w:keepLines/>
              <w:rPr>
                <w:b/>
                <w:bCs/>
                <w:sz w:val="16"/>
                <w:szCs w:val="16"/>
              </w:rPr>
            </w:pPr>
            <w:r w:rsidRPr="00526311">
              <w:rPr>
                <w:b/>
                <w:bCs/>
                <w:sz w:val="16"/>
                <w:szCs w:val="16"/>
              </w:rPr>
              <w:t>13 a 17 de octubre de 2014</w:t>
            </w:r>
          </w:p>
        </w:tc>
        <w:tc>
          <w:tcPr>
            <w:tcW w:w="1843" w:type="dxa"/>
            <w:shd w:val="clear" w:color="auto" w:fill="auto"/>
            <w:tcMar>
              <w:top w:w="110" w:type="dxa"/>
            </w:tcMar>
          </w:tcPr>
          <w:p w:rsidR="00C91295" w:rsidRPr="00526311" w:rsidRDefault="00C91295" w:rsidP="006F545B">
            <w:pPr>
              <w:keepNext/>
              <w:rPr>
                <w:bCs/>
                <w:kern w:val="36"/>
                <w:sz w:val="16"/>
                <w:szCs w:val="16"/>
                <w:lang w:eastAsia="ko-KR"/>
              </w:rPr>
            </w:pPr>
            <w:r w:rsidRPr="00526311">
              <w:rPr>
                <w:bCs/>
                <w:kern w:val="36"/>
                <w:sz w:val="16"/>
                <w:szCs w:val="16"/>
                <w:lang w:eastAsia="ko-KR"/>
              </w:rPr>
              <w:t xml:space="preserve">República de Corea </w:t>
            </w:r>
          </w:p>
          <w:p w:rsidR="00C91295" w:rsidRPr="00526311" w:rsidRDefault="00C91295" w:rsidP="006F545B">
            <w:pPr>
              <w:keepNext/>
              <w:rPr>
                <w:bCs/>
                <w:kern w:val="36"/>
                <w:sz w:val="16"/>
                <w:szCs w:val="16"/>
                <w:lang w:eastAsia="ko-KR"/>
              </w:rPr>
            </w:pPr>
            <w:r w:rsidRPr="00526311">
              <w:rPr>
                <w:bCs/>
                <w:kern w:val="36"/>
                <w:sz w:val="16"/>
                <w:szCs w:val="16"/>
                <w:lang w:eastAsia="ko-KR"/>
              </w:rPr>
              <w:t>18 participantes extranjeros de 9 países</w:t>
            </w:r>
          </w:p>
        </w:tc>
        <w:tc>
          <w:tcPr>
            <w:tcW w:w="4536" w:type="dxa"/>
            <w:shd w:val="clear" w:color="auto" w:fill="FFFFFF"/>
            <w:tcMar>
              <w:top w:w="110" w:type="dxa"/>
            </w:tcMar>
          </w:tcPr>
          <w:p w:rsidR="00C91295" w:rsidRPr="00526311" w:rsidRDefault="00C91295" w:rsidP="006F545B">
            <w:pPr>
              <w:keepNext/>
              <w:rPr>
                <w:sz w:val="16"/>
                <w:szCs w:val="16"/>
                <w:lang w:eastAsia="ko-KR"/>
              </w:rPr>
            </w:pPr>
            <w:r w:rsidRPr="00526311">
              <w:rPr>
                <w:sz w:val="16"/>
                <w:szCs w:val="16"/>
                <w:lang w:eastAsia="ko-KR"/>
              </w:rPr>
              <w:t xml:space="preserve">En el marco de la meta estratégica VI de la OMPI: </w:t>
            </w:r>
          </w:p>
          <w:p w:rsidR="00C91295" w:rsidRPr="00526311" w:rsidRDefault="00C91295" w:rsidP="006F545B">
            <w:pPr>
              <w:keepNext/>
              <w:tabs>
                <w:tab w:val="left" w:pos="317"/>
              </w:tabs>
              <w:ind w:left="317" w:hanging="317"/>
              <w:rPr>
                <w:sz w:val="16"/>
                <w:szCs w:val="16"/>
                <w:lang w:eastAsia="ko-KR"/>
              </w:rPr>
            </w:pPr>
            <w:r w:rsidRPr="00526311">
              <w:rPr>
                <w:sz w:val="16"/>
                <w:szCs w:val="16"/>
                <w:lang w:eastAsia="ko-KR"/>
              </w:rPr>
              <w:t>i)</w:t>
            </w:r>
            <w:r w:rsidRPr="00526311">
              <w:rPr>
                <w:sz w:val="16"/>
                <w:szCs w:val="16"/>
                <w:lang w:eastAsia="ko-KR"/>
              </w:rPr>
              <w:tab/>
              <w:t>examinar el valor que la protección del derecho de autor y los derechos conexos (derecho de autor) y la observancia tienen para el desarrollo social, económico y cultural de los países participantes;</w:t>
            </w:r>
          </w:p>
          <w:p w:rsidR="00C91295" w:rsidRPr="00526311" w:rsidRDefault="00C91295" w:rsidP="006F545B">
            <w:pPr>
              <w:keepNext/>
              <w:tabs>
                <w:tab w:val="left" w:pos="317"/>
              </w:tabs>
              <w:ind w:left="317" w:hanging="317"/>
              <w:rPr>
                <w:sz w:val="16"/>
                <w:szCs w:val="16"/>
                <w:lang w:eastAsia="ko-KR"/>
              </w:rPr>
            </w:pPr>
            <w:r w:rsidRPr="00526311">
              <w:rPr>
                <w:sz w:val="16"/>
                <w:szCs w:val="16"/>
                <w:lang w:eastAsia="ko-KR"/>
              </w:rPr>
              <w:t>ii)</w:t>
            </w:r>
            <w:r w:rsidRPr="00526311">
              <w:rPr>
                <w:sz w:val="16"/>
                <w:szCs w:val="16"/>
                <w:lang w:eastAsia="ko-KR"/>
              </w:rPr>
              <w:tab/>
              <w:t>impartir formación básica sobre las vías de recurso y las medidas de observancia, centrando la atención, en particular, en el entorno digital;</w:t>
            </w:r>
          </w:p>
          <w:p w:rsidR="00C91295" w:rsidRPr="00526311" w:rsidRDefault="00C91295" w:rsidP="006F545B">
            <w:pPr>
              <w:keepNext/>
              <w:tabs>
                <w:tab w:val="left" w:pos="317"/>
              </w:tabs>
              <w:ind w:left="317" w:hanging="317"/>
              <w:rPr>
                <w:sz w:val="16"/>
                <w:szCs w:val="16"/>
                <w:lang w:eastAsia="ko-KR"/>
              </w:rPr>
            </w:pPr>
            <w:r w:rsidRPr="00526311">
              <w:rPr>
                <w:sz w:val="16"/>
                <w:szCs w:val="16"/>
                <w:lang w:eastAsia="ko-KR"/>
              </w:rPr>
              <w:t>iii)</w:t>
            </w:r>
            <w:r w:rsidRPr="00526311">
              <w:rPr>
                <w:sz w:val="16"/>
                <w:szCs w:val="16"/>
                <w:lang w:eastAsia="ko-KR"/>
              </w:rPr>
              <w:tab/>
              <w:t>examinar diversas cuestiones relacionadas con el fomento del respeto por el derecho de autor;  y</w:t>
            </w:r>
          </w:p>
          <w:p w:rsidR="00C91295" w:rsidRPr="00526311" w:rsidRDefault="00C91295" w:rsidP="006F545B">
            <w:pPr>
              <w:keepNext/>
              <w:tabs>
                <w:tab w:val="left" w:pos="317"/>
              </w:tabs>
              <w:ind w:left="317" w:hanging="317"/>
              <w:rPr>
                <w:sz w:val="16"/>
                <w:szCs w:val="16"/>
                <w:lang w:eastAsia="ko-KR"/>
              </w:rPr>
            </w:pPr>
            <w:r w:rsidRPr="00526311">
              <w:rPr>
                <w:sz w:val="16"/>
                <w:szCs w:val="16"/>
                <w:lang w:eastAsia="ko-KR"/>
              </w:rPr>
              <w:t>iv)</w:t>
            </w:r>
            <w:r w:rsidRPr="00526311">
              <w:rPr>
                <w:sz w:val="16"/>
                <w:szCs w:val="16"/>
                <w:lang w:eastAsia="ko-KR"/>
              </w:rPr>
              <w:tab/>
              <w:t xml:space="preserve">elaborar estrategias nacionales y transnacionales de cooperación eficaz para fomentar el respeto por el derecho de autor.  </w:t>
            </w:r>
          </w:p>
        </w:tc>
      </w:tr>
    </w:tbl>
    <w:p w:rsidR="00C91295" w:rsidRPr="00526311" w:rsidRDefault="00C91295" w:rsidP="006F545B">
      <w:pPr>
        <w:keepNext/>
        <w:widowControl w:val="0"/>
        <w:rPr>
          <w:b/>
          <w:sz w:val="18"/>
          <w:szCs w:val="18"/>
        </w:rPr>
      </w:pPr>
    </w:p>
    <w:p w:rsidR="00C91295" w:rsidRPr="00526311" w:rsidRDefault="00C91295" w:rsidP="006F545B">
      <w:pPr>
        <w:keepNext/>
        <w:widowControl w:val="0"/>
        <w:rPr>
          <w:b/>
          <w:bCs/>
          <w:sz w:val="20"/>
          <w:szCs w:val="18"/>
        </w:rPr>
      </w:pPr>
      <w:r w:rsidRPr="00526311">
        <w:rPr>
          <w:b/>
          <w:sz w:val="20"/>
          <w:szCs w:val="18"/>
        </w:rPr>
        <w:t>REPÚBLICA DE COREA / FOMENTAR EL RESPETO POR LA PROPIEDAD INTELECTUAL - Contribuciones de donantes y gastos en 2014</w:t>
      </w:r>
    </w:p>
    <w:p w:rsidR="00C91295" w:rsidRPr="00526311" w:rsidRDefault="00C91295" w:rsidP="00F1387F">
      <w:pPr>
        <w:keepNext/>
        <w:widowControl w:val="0"/>
        <w:rPr>
          <w:b/>
          <w:sz w:val="20"/>
        </w:rPr>
      </w:pPr>
    </w:p>
    <w:tbl>
      <w:tblPr>
        <w:tblW w:w="9235" w:type="dxa"/>
        <w:jc w:val="center"/>
        <w:tblInd w:w="-55" w:type="dxa"/>
        <w:tblLook w:val="04A0" w:firstRow="1" w:lastRow="0" w:firstColumn="1" w:lastColumn="0" w:noHBand="0" w:noVBand="1"/>
      </w:tblPr>
      <w:tblGrid>
        <w:gridCol w:w="2028"/>
        <w:gridCol w:w="1537"/>
        <w:gridCol w:w="1843"/>
        <w:gridCol w:w="1843"/>
        <w:gridCol w:w="1984"/>
      </w:tblGrid>
      <w:tr w:rsidR="00C91295" w:rsidRPr="00526311" w:rsidTr="00F1387F">
        <w:trPr>
          <w:trHeight w:val="514"/>
          <w:jc w:val="center"/>
        </w:trPr>
        <w:tc>
          <w:tcPr>
            <w:tcW w:w="202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keepNext/>
              <w:widowControl w:val="0"/>
              <w:jc w:val="center"/>
              <w:rPr>
                <w:b/>
                <w:bCs/>
                <w:sz w:val="16"/>
                <w:szCs w:val="16"/>
              </w:rPr>
            </w:pPr>
            <w:r w:rsidRPr="00526311">
              <w:rPr>
                <w:b/>
                <w:bCs/>
                <w:sz w:val="16"/>
                <w:szCs w:val="16"/>
              </w:rPr>
              <w:t>Balance a 31 de diciembre de 2013</w:t>
            </w:r>
          </w:p>
        </w:tc>
        <w:tc>
          <w:tcPr>
            <w:tcW w:w="1537"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keepNext/>
              <w:widowControl w:val="0"/>
              <w:jc w:val="center"/>
              <w:rPr>
                <w:b/>
                <w:bCs/>
                <w:sz w:val="16"/>
                <w:szCs w:val="16"/>
              </w:rPr>
            </w:pPr>
            <w:r w:rsidRPr="00526311">
              <w:rPr>
                <w:b/>
                <w:bCs/>
                <w:sz w:val="16"/>
                <w:szCs w:val="16"/>
              </w:rPr>
              <w:t>Ingresos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keepNext/>
              <w:widowControl w:val="0"/>
              <w:jc w:val="center"/>
              <w:rPr>
                <w:b/>
                <w:bCs/>
                <w:sz w:val="16"/>
                <w:szCs w:val="16"/>
              </w:rPr>
            </w:pPr>
            <w:r w:rsidRPr="00526311">
              <w:rPr>
                <w:b/>
                <w:bCs/>
                <w:sz w:val="16"/>
                <w:szCs w:val="16"/>
              </w:rPr>
              <w:t>Gastos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keepNext/>
              <w:widowControl w:val="0"/>
              <w:jc w:val="center"/>
              <w:rPr>
                <w:b/>
                <w:bCs/>
                <w:sz w:val="16"/>
                <w:szCs w:val="16"/>
              </w:rPr>
            </w:pPr>
            <w:r w:rsidRPr="00526311">
              <w:rPr>
                <w:b/>
                <w:bCs/>
                <w:sz w:val="16"/>
                <w:szCs w:val="16"/>
              </w:rPr>
              <w:t>Reembolsos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keepNext/>
              <w:widowControl w:val="0"/>
              <w:jc w:val="center"/>
              <w:rPr>
                <w:b/>
                <w:bCs/>
                <w:sz w:val="16"/>
                <w:szCs w:val="16"/>
              </w:rPr>
            </w:pPr>
            <w:r w:rsidRPr="00526311">
              <w:rPr>
                <w:b/>
                <w:bCs/>
                <w:sz w:val="16"/>
                <w:szCs w:val="16"/>
              </w:rPr>
              <w:t>Balance a 31 de diciembre de 2014</w:t>
            </w:r>
          </w:p>
        </w:tc>
      </w:tr>
      <w:tr w:rsidR="00C91295" w:rsidRPr="00526311" w:rsidTr="00F1387F">
        <w:trPr>
          <w:trHeight w:val="408"/>
          <w:jc w:val="center"/>
        </w:trPr>
        <w:tc>
          <w:tcPr>
            <w:tcW w:w="2028"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w:t>
            </w:r>
          </w:p>
        </w:tc>
        <w:tc>
          <w:tcPr>
            <w:tcW w:w="1537"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131.267</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88.957</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42.310</w:t>
            </w:r>
          </w:p>
        </w:tc>
      </w:tr>
    </w:tbl>
    <w:p w:rsidR="00C91295" w:rsidRPr="00526311" w:rsidRDefault="00C91295" w:rsidP="00F1387F">
      <w:pPr>
        <w:widowControl w:val="0"/>
        <w:rPr>
          <w:b/>
          <w:sz w:val="20"/>
        </w:rPr>
      </w:pPr>
    </w:p>
    <w:p w:rsidR="00C91295" w:rsidRPr="00526311" w:rsidRDefault="00C91295" w:rsidP="00F1387F">
      <w:pPr>
        <w:widowControl w:val="0"/>
        <w:rPr>
          <w:b/>
          <w:sz w:val="20"/>
        </w:rPr>
      </w:pPr>
      <w:r w:rsidRPr="00526311">
        <w:rPr>
          <w:b/>
          <w:sz w:val="20"/>
        </w:rPr>
        <w:lastRenderedPageBreak/>
        <w:t>REPÚBLICA DE COREA – DERECHO DE AUTOR</w:t>
      </w:r>
    </w:p>
    <w:p w:rsidR="00C91295" w:rsidRPr="00526311" w:rsidRDefault="00C91295" w:rsidP="00F1387F">
      <w:pPr>
        <w:widowControl w:val="0"/>
        <w:rPr>
          <w:b/>
          <w:sz w:val="20"/>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C91295" w:rsidRPr="00526311" w:rsidTr="00F1387F">
        <w:tc>
          <w:tcPr>
            <w:tcW w:w="9386" w:type="dxa"/>
            <w:gridSpan w:val="4"/>
            <w:tcBorders>
              <w:top w:val="single" w:sz="4" w:space="0" w:color="000000"/>
              <w:bottom w:val="single" w:sz="4" w:space="0" w:color="000000"/>
            </w:tcBorders>
            <w:shd w:val="clear" w:color="auto" w:fill="CCFFFF"/>
            <w:vAlign w:val="center"/>
          </w:tcPr>
          <w:p w:rsidR="00C91295" w:rsidRPr="00526311" w:rsidRDefault="00C91295" w:rsidP="00F1387F">
            <w:pPr>
              <w:widowControl w:val="0"/>
              <w:spacing w:before="120" w:after="60"/>
              <w:ind w:left="1701" w:hanging="1701"/>
              <w:rPr>
                <w:bCs/>
                <w:sz w:val="16"/>
                <w:szCs w:val="16"/>
              </w:rPr>
            </w:pPr>
            <w:r w:rsidRPr="00526311">
              <w:rPr>
                <w:b/>
                <w:bCs/>
                <w:sz w:val="16"/>
                <w:szCs w:val="16"/>
              </w:rPr>
              <w:t>RESULTADO:</w:t>
            </w:r>
            <w:r w:rsidRPr="00526311">
              <w:rPr>
                <w:b/>
                <w:bCs/>
                <w:sz w:val="16"/>
                <w:szCs w:val="16"/>
              </w:rPr>
              <w:tab/>
            </w:r>
            <w:r w:rsidRPr="00526311">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c>
          <w:tcPr>
            <w:tcW w:w="1873" w:type="dxa"/>
            <w:tcBorders>
              <w:top w:val="single" w:sz="4" w:space="0" w:color="000000"/>
            </w:tcBorders>
            <w:vAlign w:val="center"/>
          </w:tcPr>
          <w:p w:rsidR="00C91295" w:rsidRPr="00526311" w:rsidRDefault="00C91295" w:rsidP="00F1387F">
            <w:pPr>
              <w:widowControl w:val="0"/>
              <w:rPr>
                <w:b/>
                <w:bCs/>
                <w:sz w:val="16"/>
                <w:szCs w:val="16"/>
              </w:rPr>
            </w:pPr>
            <w:r w:rsidRPr="00526311">
              <w:rPr>
                <w:b/>
                <w:bCs/>
                <w:sz w:val="16"/>
                <w:szCs w:val="16"/>
              </w:rPr>
              <w:t>Actividad</w:t>
            </w:r>
          </w:p>
        </w:tc>
        <w:tc>
          <w:tcPr>
            <w:tcW w:w="1134" w:type="dxa"/>
            <w:tcBorders>
              <w:top w:val="single" w:sz="4" w:space="0" w:color="000000"/>
            </w:tcBorders>
            <w:shd w:val="clear" w:color="auto" w:fill="auto"/>
            <w:tcMar>
              <w:top w:w="110" w:type="dxa"/>
            </w:tcMar>
            <w:vAlign w:val="center"/>
          </w:tcPr>
          <w:p w:rsidR="00C91295" w:rsidRPr="00526311" w:rsidRDefault="00C91295" w:rsidP="00F1387F">
            <w:pPr>
              <w:widowControl w:val="0"/>
              <w:rPr>
                <w:b/>
                <w:bCs/>
                <w:sz w:val="16"/>
                <w:szCs w:val="16"/>
              </w:rPr>
            </w:pPr>
            <w:r w:rsidRPr="00526311">
              <w:rPr>
                <w:b/>
                <w:bCs/>
                <w:sz w:val="16"/>
                <w:szCs w:val="16"/>
              </w:rPr>
              <w:t>Fecha</w:t>
            </w:r>
          </w:p>
        </w:tc>
        <w:tc>
          <w:tcPr>
            <w:tcW w:w="1843" w:type="dxa"/>
            <w:tcBorders>
              <w:top w:val="single" w:sz="4" w:space="0" w:color="000000"/>
            </w:tcBorders>
            <w:shd w:val="clear" w:color="auto" w:fill="auto"/>
            <w:tcMar>
              <w:top w:w="110" w:type="dxa"/>
            </w:tcMar>
            <w:vAlign w:val="center"/>
          </w:tcPr>
          <w:p w:rsidR="00C91295" w:rsidRPr="00526311" w:rsidRDefault="00C91295" w:rsidP="00F1387F">
            <w:pPr>
              <w:widowControl w:val="0"/>
              <w:rPr>
                <w:sz w:val="16"/>
                <w:szCs w:val="16"/>
              </w:rPr>
            </w:pPr>
            <w:r w:rsidRPr="00526311">
              <w:rPr>
                <w:b/>
                <w:sz w:val="16"/>
                <w:szCs w:val="16"/>
              </w:rPr>
              <w:t>País anfitrión / Beneficiarios</w:t>
            </w:r>
          </w:p>
        </w:tc>
        <w:tc>
          <w:tcPr>
            <w:tcW w:w="4536" w:type="dxa"/>
            <w:tcBorders>
              <w:top w:val="single" w:sz="4" w:space="0" w:color="000000"/>
            </w:tcBorders>
            <w:shd w:val="clear" w:color="auto" w:fill="FFFFFF"/>
            <w:tcMar>
              <w:top w:w="110" w:type="dxa"/>
            </w:tcMar>
            <w:vAlign w:val="center"/>
          </w:tcPr>
          <w:p w:rsidR="00C91295" w:rsidRPr="00526311" w:rsidRDefault="00C91295" w:rsidP="00F1387F">
            <w:pPr>
              <w:widowControl w:val="0"/>
              <w:rPr>
                <w:sz w:val="16"/>
                <w:szCs w:val="16"/>
              </w:rPr>
            </w:pPr>
            <w:r w:rsidRPr="00526311">
              <w:rPr>
                <w:b/>
                <w:sz w:val="16"/>
                <w:szCs w:val="16"/>
              </w:rPr>
              <w:t>Propósito(s) / Descripción</w:t>
            </w:r>
          </w:p>
        </w:tc>
      </w:tr>
      <w:tr w:rsidR="00C91295" w:rsidRPr="00526311" w:rsidTr="00F1387F">
        <w:tc>
          <w:tcPr>
            <w:tcW w:w="1873" w:type="dxa"/>
          </w:tcPr>
          <w:p w:rsidR="00C91295" w:rsidRPr="00526311" w:rsidDel="009E0498" w:rsidRDefault="00C91295" w:rsidP="00F1387F">
            <w:pPr>
              <w:widowControl w:val="0"/>
              <w:autoSpaceDE w:val="0"/>
              <w:autoSpaceDN w:val="0"/>
              <w:adjustRightInd w:val="0"/>
              <w:spacing w:after="120"/>
              <w:rPr>
                <w:sz w:val="16"/>
                <w:szCs w:val="16"/>
              </w:rPr>
            </w:pPr>
            <w:r w:rsidRPr="00526311">
              <w:rPr>
                <w:sz w:val="16"/>
                <w:szCs w:val="16"/>
              </w:rPr>
              <w:t>Seminario nacional sobre el papel del derecho de autor en el fomento de la creatividad y la prosperidad cultural</w:t>
            </w:r>
          </w:p>
        </w:tc>
        <w:tc>
          <w:tcPr>
            <w:tcW w:w="1134" w:type="dxa"/>
            <w:shd w:val="clear" w:color="auto" w:fill="auto"/>
            <w:tcMar>
              <w:top w:w="110" w:type="dxa"/>
            </w:tcMar>
          </w:tcPr>
          <w:p w:rsidR="00C91295" w:rsidRPr="00526311" w:rsidRDefault="00C91295" w:rsidP="00F1387F">
            <w:pPr>
              <w:widowControl w:val="0"/>
              <w:autoSpaceDE w:val="0"/>
              <w:autoSpaceDN w:val="0"/>
              <w:adjustRightInd w:val="0"/>
              <w:spacing w:after="120"/>
              <w:rPr>
                <w:sz w:val="16"/>
                <w:szCs w:val="16"/>
              </w:rPr>
            </w:pPr>
            <w:r w:rsidRPr="00526311">
              <w:rPr>
                <w:sz w:val="16"/>
                <w:szCs w:val="16"/>
              </w:rPr>
              <w:t>5 y 6 de marzo de 2014</w:t>
            </w:r>
          </w:p>
        </w:tc>
        <w:tc>
          <w:tcPr>
            <w:tcW w:w="1843" w:type="dxa"/>
            <w:shd w:val="clear" w:color="auto" w:fill="auto"/>
            <w:tcMar>
              <w:top w:w="110" w:type="dxa"/>
            </w:tcMar>
          </w:tcPr>
          <w:p w:rsidR="00C91295" w:rsidRPr="00526311" w:rsidRDefault="00C91295" w:rsidP="00F1387F">
            <w:pPr>
              <w:widowControl w:val="0"/>
              <w:autoSpaceDE w:val="0"/>
              <w:autoSpaceDN w:val="0"/>
              <w:adjustRightInd w:val="0"/>
              <w:spacing w:after="120"/>
              <w:rPr>
                <w:sz w:val="16"/>
                <w:szCs w:val="16"/>
              </w:rPr>
            </w:pPr>
            <w:r w:rsidRPr="00526311">
              <w:rPr>
                <w:sz w:val="16"/>
                <w:szCs w:val="16"/>
              </w:rPr>
              <w:t>República Democrática Popular Lao / 80 participantes locales</w:t>
            </w:r>
          </w:p>
        </w:tc>
        <w:tc>
          <w:tcPr>
            <w:tcW w:w="4536" w:type="dxa"/>
            <w:shd w:val="clear" w:color="auto" w:fill="FFFFFF"/>
            <w:tcMar>
              <w:top w:w="110" w:type="dxa"/>
            </w:tcMar>
          </w:tcPr>
          <w:p w:rsidR="00C91295" w:rsidRPr="00526311" w:rsidDel="00152E3E" w:rsidRDefault="00C91295" w:rsidP="00F1387F">
            <w:pPr>
              <w:widowControl w:val="0"/>
              <w:autoSpaceDE w:val="0"/>
              <w:autoSpaceDN w:val="0"/>
              <w:adjustRightInd w:val="0"/>
              <w:spacing w:after="120"/>
              <w:rPr>
                <w:sz w:val="16"/>
                <w:szCs w:val="16"/>
              </w:rPr>
            </w:pPr>
            <w:r w:rsidRPr="00526311">
              <w:rPr>
                <w:sz w:val="16"/>
                <w:szCs w:val="16"/>
              </w:rPr>
              <w:t>i) Sensibilizar a los encargados de la adopción de políticas y los principales sectores interesados del ámbito del derecho de autor y los derechos conexos acerca de la utilidad y la importancia del derecho de autor;  y ii) impartirles conocimientos prácticos para la elaboración de políticas y estrategias adecuadas en materia de derecho de autor.</w:t>
            </w:r>
          </w:p>
        </w:tc>
      </w:tr>
      <w:tr w:rsidR="00C91295" w:rsidRPr="00526311" w:rsidTr="00F1387F">
        <w:tc>
          <w:tcPr>
            <w:tcW w:w="1873" w:type="dxa"/>
            <w:vAlign w:val="center"/>
          </w:tcPr>
          <w:p w:rsidR="00C91295" w:rsidRPr="00526311" w:rsidRDefault="00C91295" w:rsidP="00F1387F">
            <w:pPr>
              <w:widowControl w:val="0"/>
              <w:spacing w:before="120"/>
              <w:rPr>
                <w:b/>
                <w:bCs/>
                <w:sz w:val="16"/>
                <w:szCs w:val="16"/>
              </w:rPr>
            </w:pPr>
            <w:r w:rsidRPr="00526311">
              <w:rPr>
                <w:b/>
                <w:bCs/>
                <w:sz w:val="16"/>
                <w:szCs w:val="16"/>
              </w:rPr>
              <w:t>Actividad</w:t>
            </w:r>
          </w:p>
        </w:tc>
        <w:tc>
          <w:tcPr>
            <w:tcW w:w="1134" w:type="dxa"/>
            <w:shd w:val="clear" w:color="auto" w:fill="auto"/>
            <w:tcMar>
              <w:top w:w="110" w:type="dxa"/>
            </w:tcMar>
            <w:vAlign w:val="center"/>
          </w:tcPr>
          <w:p w:rsidR="00C91295" w:rsidRPr="00526311" w:rsidRDefault="00C91295" w:rsidP="00F1387F">
            <w:pPr>
              <w:widowControl w:val="0"/>
              <w:spacing w:before="120"/>
              <w:rPr>
                <w:sz w:val="16"/>
                <w:szCs w:val="16"/>
              </w:rPr>
            </w:pPr>
            <w:r w:rsidRPr="00526311">
              <w:rPr>
                <w:b/>
                <w:sz w:val="16"/>
                <w:szCs w:val="16"/>
              </w:rPr>
              <w:t>Fecha</w:t>
            </w:r>
          </w:p>
        </w:tc>
        <w:tc>
          <w:tcPr>
            <w:tcW w:w="1843" w:type="dxa"/>
            <w:shd w:val="clear" w:color="auto" w:fill="auto"/>
            <w:tcMar>
              <w:top w:w="110" w:type="dxa"/>
            </w:tcMar>
            <w:vAlign w:val="center"/>
          </w:tcPr>
          <w:p w:rsidR="00C91295" w:rsidRPr="00526311" w:rsidRDefault="00C91295" w:rsidP="00F1387F">
            <w:pPr>
              <w:widowControl w:val="0"/>
              <w:spacing w:before="120"/>
              <w:rPr>
                <w:sz w:val="16"/>
                <w:szCs w:val="16"/>
              </w:rPr>
            </w:pPr>
            <w:r w:rsidRPr="00526311">
              <w:rPr>
                <w:b/>
                <w:sz w:val="16"/>
                <w:szCs w:val="16"/>
              </w:rPr>
              <w:t>País anfitrión / Beneficiarios</w:t>
            </w:r>
          </w:p>
        </w:tc>
        <w:tc>
          <w:tcPr>
            <w:tcW w:w="4536" w:type="dxa"/>
            <w:shd w:val="clear" w:color="auto" w:fill="FFFFFF"/>
            <w:tcMar>
              <w:top w:w="110" w:type="dxa"/>
            </w:tcMar>
            <w:vAlign w:val="center"/>
          </w:tcPr>
          <w:p w:rsidR="00C91295" w:rsidRPr="00526311" w:rsidRDefault="00C91295" w:rsidP="00F1387F">
            <w:pPr>
              <w:widowControl w:val="0"/>
              <w:spacing w:before="120"/>
              <w:rPr>
                <w:sz w:val="16"/>
                <w:szCs w:val="16"/>
              </w:rPr>
            </w:pPr>
            <w:r w:rsidRPr="00526311">
              <w:rPr>
                <w:b/>
                <w:sz w:val="16"/>
                <w:szCs w:val="16"/>
              </w:rPr>
              <w:t>Propósito(s) / Descripción</w:t>
            </w:r>
          </w:p>
        </w:tc>
      </w:tr>
      <w:tr w:rsidR="00C91295" w:rsidRPr="00526311" w:rsidTr="00F1387F">
        <w:tc>
          <w:tcPr>
            <w:tcW w:w="1873" w:type="dxa"/>
          </w:tcPr>
          <w:p w:rsidR="00C91295" w:rsidRPr="00526311" w:rsidRDefault="00C91295" w:rsidP="00F1387F">
            <w:pPr>
              <w:widowControl w:val="0"/>
              <w:autoSpaceDE w:val="0"/>
              <w:autoSpaceDN w:val="0"/>
              <w:adjustRightInd w:val="0"/>
              <w:spacing w:after="120"/>
              <w:rPr>
                <w:sz w:val="16"/>
                <w:szCs w:val="16"/>
              </w:rPr>
            </w:pPr>
            <w:r w:rsidRPr="00526311">
              <w:rPr>
                <w:sz w:val="16"/>
                <w:szCs w:val="16"/>
              </w:rPr>
              <w:t>Taller interregional para expertos locales sobre fortalecimiento de capacidades en materia de derecho de autor</w:t>
            </w:r>
          </w:p>
        </w:tc>
        <w:tc>
          <w:tcPr>
            <w:tcW w:w="1134" w:type="dxa"/>
            <w:shd w:val="clear" w:color="auto" w:fill="auto"/>
            <w:tcMar>
              <w:top w:w="110" w:type="dxa"/>
            </w:tcMar>
          </w:tcPr>
          <w:p w:rsidR="00C91295" w:rsidRPr="00526311" w:rsidRDefault="00C91295" w:rsidP="00F1387F">
            <w:pPr>
              <w:widowControl w:val="0"/>
              <w:autoSpaceDE w:val="0"/>
              <w:autoSpaceDN w:val="0"/>
              <w:adjustRightInd w:val="0"/>
              <w:spacing w:after="120"/>
              <w:rPr>
                <w:sz w:val="16"/>
                <w:szCs w:val="16"/>
              </w:rPr>
            </w:pPr>
            <w:r w:rsidRPr="00526311">
              <w:rPr>
                <w:sz w:val="16"/>
                <w:szCs w:val="16"/>
              </w:rPr>
              <w:t>9 a 11 de abril de 2014</w:t>
            </w:r>
          </w:p>
        </w:tc>
        <w:tc>
          <w:tcPr>
            <w:tcW w:w="1843" w:type="dxa"/>
            <w:shd w:val="clear" w:color="auto" w:fill="auto"/>
            <w:tcMar>
              <w:top w:w="110" w:type="dxa"/>
            </w:tcMar>
          </w:tcPr>
          <w:p w:rsidR="00C91295" w:rsidRPr="00526311" w:rsidRDefault="00C91295" w:rsidP="00F1387F">
            <w:pPr>
              <w:widowControl w:val="0"/>
              <w:autoSpaceDE w:val="0"/>
              <w:autoSpaceDN w:val="0"/>
              <w:adjustRightInd w:val="0"/>
              <w:spacing w:after="120"/>
              <w:rPr>
                <w:sz w:val="16"/>
                <w:szCs w:val="16"/>
              </w:rPr>
            </w:pPr>
            <w:r w:rsidRPr="00526311">
              <w:rPr>
                <w:sz w:val="16"/>
                <w:szCs w:val="16"/>
              </w:rPr>
              <w:t>República de Corea / 19 participantes extranjeros de 12 países (Argelia, China, Federación de Rusia, Filipinas, Jordania, Malawi, México, Mongolia, Namibia, Paraguay, Perú, Tailandia), la ARIPO y algunos participantes locales</w:t>
            </w:r>
          </w:p>
        </w:tc>
        <w:tc>
          <w:tcPr>
            <w:tcW w:w="4536" w:type="dxa"/>
            <w:shd w:val="clear" w:color="auto" w:fill="FFFFFF"/>
            <w:tcMar>
              <w:top w:w="110" w:type="dxa"/>
            </w:tcMar>
          </w:tcPr>
          <w:p w:rsidR="00C91295" w:rsidRPr="00526311" w:rsidRDefault="00C91295" w:rsidP="00F1387F">
            <w:pPr>
              <w:widowControl w:val="0"/>
              <w:autoSpaceDE w:val="0"/>
              <w:autoSpaceDN w:val="0"/>
              <w:adjustRightInd w:val="0"/>
              <w:spacing w:after="120"/>
              <w:rPr>
                <w:sz w:val="16"/>
                <w:szCs w:val="16"/>
              </w:rPr>
            </w:pPr>
            <w:r w:rsidRPr="00526311">
              <w:rPr>
                <w:sz w:val="16"/>
                <w:szCs w:val="16"/>
              </w:rPr>
              <w:t>i) Proporcionar a los expertos locales / nacionales información y conocimientos actualizados sobre derecho de autor;  ii) compartir experiencias sobre fortalecimiento de las capacidades;  iii) intercambiar opiniones y metodologías sobre programas eficaces de fortalecimiento de las capacidades;  y iv) examinar la forma de perfeccionar los programas de fortalecimiento de las capacidades a escala nacional, regional e internacional.</w:t>
            </w:r>
          </w:p>
        </w:tc>
      </w:tr>
      <w:tr w:rsidR="009724D3" w:rsidRPr="00526311" w:rsidTr="00163E34">
        <w:trPr>
          <w:trHeight w:val="1635"/>
        </w:trPr>
        <w:tc>
          <w:tcPr>
            <w:tcW w:w="1873" w:type="dxa"/>
          </w:tcPr>
          <w:p w:rsidR="009724D3" w:rsidRPr="00526311" w:rsidRDefault="009724D3" w:rsidP="00F1387F">
            <w:pPr>
              <w:widowControl w:val="0"/>
              <w:autoSpaceDE w:val="0"/>
              <w:autoSpaceDN w:val="0"/>
              <w:adjustRightInd w:val="0"/>
              <w:spacing w:after="120"/>
              <w:rPr>
                <w:sz w:val="16"/>
                <w:szCs w:val="16"/>
              </w:rPr>
            </w:pPr>
            <w:r w:rsidRPr="00526311">
              <w:rPr>
                <w:sz w:val="16"/>
                <w:szCs w:val="16"/>
              </w:rPr>
              <w:t>Taller subregional sobre cooperación en derecho de autor y derechos conexos</w:t>
            </w:r>
          </w:p>
        </w:tc>
        <w:tc>
          <w:tcPr>
            <w:tcW w:w="1134" w:type="dxa"/>
            <w:shd w:val="clear" w:color="auto" w:fill="auto"/>
            <w:tcMar>
              <w:top w:w="110" w:type="dxa"/>
            </w:tcMar>
          </w:tcPr>
          <w:p w:rsidR="009724D3" w:rsidRPr="00526311" w:rsidRDefault="009724D3" w:rsidP="00F1387F">
            <w:pPr>
              <w:widowControl w:val="0"/>
              <w:autoSpaceDE w:val="0"/>
              <w:autoSpaceDN w:val="0"/>
              <w:adjustRightInd w:val="0"/>
              <w:spacing w:after="120"/>
              <w:rPr>
                <w:sz w:val="16"/>
                <w:szCs w:val="16"/>
              </w:rPr>
            </w:pPr>
            <w:r w:rsidRPr="00526311">
              <w:rPr>
                <w:sz w:val="16"/>
                <w:szCs w:val="16"/>
              </w:rPr>
              <w:t>14 y 15 de abril de 2014</w:t>
            </w:r>
          </w:p>
        </w:tc>
        <w:tc>
          <w:tcPr>
            <w:tcW w:w="1843" w:type="dxa"/>
            <w:shd w:val="clear" w:color="auto" w:fill="auto"/>
            <w:tcMar>
              <w:top w:w="110" w:type="dxa"/>
            </w:tcMar>
          </w:tcPr>
          <w:p w:rsidR="009724D3" w:rsidRPr="00526311" w:rsidRDefault="009724D3" w:rsidP="009724D3">
            <w:pPr>
              <w:widowControl w:val="0"/>
              <w:autoSpaceDE w:val="0"/>
              <w:autoSpaceDN w:val="0"/>
              <w:adjustRightInd w:val="0"/>
              <w:spacing w:after="120"/>
              <w:rPr>
                <w:sz w:val="16"/>
                <w:szCs w:val="16"/>
              </w:rPr>
            </w:pPr>
            <w:r w:rsidRPr="00526311">
              <w:rPr>
                <w:sz w:val="16"/>
                <w:szCs w:val="16"/>
              </w:rPr>
              <w:t>Seúl, Rep. de Corea / 16 participantes extranjeros de 4 países (China, Mongolia, Rep. de Corea y F. de Rusia), y observadores de la Comisión Surcoreana de Comunicaciones</w:t>
            </w:r>
          </w:p>
        </w:tc>
        <w:tc>
          <w:tcPr>
            <w:tcW w:w="4536" w:type="dxa"/>
            <w:shd w:val="clear" w:color="auto" w:fill="FFFFFF"/>
            <w:tcMar>
              <w:top w:w="110" w:type="dxa"/>
            </w:tcMar>
          </w:tcPr>
          <w:p w:rsidR="009724D3" w:rsidRPr="00526311" w:rsidRDefault="009724D3" w:rsidP="00F1387F">
            <w:pPr>
              <w:widowControl w:val="0"/>
              <w:autoSpaceDE w:val="0"/>
              <w:autoSpaceDN w:val="0"/>
              <w:adjustRightInd w:val="0"/>
              <w:spacing w:after="120"/>
              <w:rPr>
                <w:sz w:val="16"/>
                <w:szCs w:val="16"/>
              </w:rPr>
            </w:pPr>
            <w:r w:rsidRPr="00526311">
              <w:rPr>
                <w:sz w:val="16"/>
                <w:szCs w:val="16"/>
              </w:rPr>
              <w:t>i) Intercambiar información y experiencias entre países vecinos en cuanto a la implantación de sistemas de derechos de autor, ii) buscar oportunidades para una mayor cooperación entre países con el fin de aumentar el conocimiento del derecho de autor y los derechos conexos entre el público.</w:t>
            </w:r>
          </w:p>
        </w:tc>
      </w:tr>
      <w:tr w:rsidR="00C91295" w:rsidRPr="00526311" w:rsidTr="00F1387F">
        <w:tc>
          <w:tcPr>
            <w:tcW w:w="1873" w:type="dxa"/>
          </w:tcPr>
          <w:p w:rsidR="00C91295" w:rsidRPr="00526311" w:rsidDel="009E0498" w:rsidRDefault="00C91295" w:rsidP="00F1387F">
            <w:pPr>
              <w:autoSpaceDE w:val="0"/>
              <w:autoSpaceDN w:val="0"/>
              <w:adjustRightInd w:val="0"/>
              <w:spacing w:after="120"/>
              <w:rPr>
                <w:sz w:val="16"/>
                <w:szCs w:val="16"/>
              </w:rPr>
            </w:pPr>
            <w:r w:rsidRPr="00526311">
              <w:rPr>
                <w:sz w:val="16"/>
                <w:szCs w:val="16"/>
              </w:rPr>
              <w:t>Seminario nacional sobre financiación de la cultura gracias al derecho de autor en el siglo XXI</w:t>
            </w:r>
          </w:p>
        </w:tc>
        <w:tc>
          <w:tcPr>
            <w:tcW w:w="1134" w:type="dxa"/>
            <w:shd w:val="clear" w:color="auto" w:fill="auto"/>
            <w:tcMar>
              <w:top w:w="110" w:type="dxa"/>
            </w:tcMar>
          </w:tcPr>
          <w:p w:rsidR="00C91295" w:rsidRPr="00526311" w:rsidRDefault="00C91295" w:rsidP="00F1387F">
            <w:pPr>
              <w:autoSpaceDE w:val="0"/>
              <w:autoSpaceDN w:val="0"/>
              <w:adjustRightInd w:val="0"/>
              <w:spacing w:after="120"/>
              <w:rPr>
                <w:sz w:val="16"/>
                <w:szCs w:val="16"/>
              </w:rPr>
            </w:pPr>
            <w:r w:rsidRPr="00526311">
              <w:rPr>
                <w:sz w:val="16"/>
                <w:szCs w:val="16"/>
              </w:rPr>
              <w:t>18 de septiembre de 2014</w:t>
            </w:r>
          </w:p>
        </w:tc>
        <w:tc>
          <w:tcPr>
            <w:tcW w:w="1843" w:type="dxa"/>
            <w:shd w:val="clear" w:color="auto" w:fill="auto"/>
            <w:tcMar>
              <w:top w:w="110" w:type="dxa"/>
            </w:tcMar>
          </w:tcPr>
          <w:p w:rsidR="00C91295" w:rsidRPr="00526311" w:rsidRDefault="00C91295" w:rsidP="00F1387F">
            <w:pPr>
              <w:autoSpaceDE w:val="0"/>
              <w:autoSpaceDN w:val="0"/>
              <w:adjustRightInd w:val="0"/>
              <w:spacing w:after="120"/>
              <w:rPr>
                <w:sz w:val="16"/>
                <w:szCs w:val="16"/>
              </w:rPr>
            </w:pPr>
            <w:r w:rsidRPr="00526311">
              <w:rPr>
                <w:sz w:val="16"/>
                <w:szCs w:val="16"/>
              </w:rPr>
              <w:t>China / organizador y participantes en la 5ª Exposición International sobre Derecho de Autor</w:t>
            </w:r>
          </w:p>
        </w:tc>
        <w:tc>
          <w:tcPr>
            <w:tcW w:w="4536" w:type="dxa"/>
            <w:shd w:val="clear" w:color="auto" w:fill="FFFFFF"/>
            <w:tcMar>
              <w:top w:w="110" w:type="dxa"/>
            </w:tcMar>
          </w:tcPr>
          <w:p w:rsidR="00C91295" w:rsidRPr="00526311" w:rsidDel="00152E3E" w:rsidRDefault="00C91295" w:rsidP="00F1387F">
            <w:pPr>
              <w:rPr>
                <w:sz w:val="16"/>
                <w:szCs w:val="16"/>
              </w:rPr>
            </w:pPr>
            <w:r w:rsidRPr="00526311">
              <w:rPr>
                <w:sz w:val="16"/>
                <w:szCs w:val="16"/>
              </w:rPr>
              <w:t xml:space="preserve">Compartir información y experiencias entre los oradores y los participantes acerca del papel del derecho de autor en el fomento de la creatividad y la prosperidad cultural para los países en desarrollo, en particular, respaldar y financiar la creatividad cultural en el nuevo entorno del siglo XXI. </w:t>
            </w:r>
          </w:p>
        </w:tc>
      </w:tr>
      <w:tr w:rsidR="00C91295" w:rsidRPr="00526311" w:rsidTr="00F1387F">
        <w:tc>
          <w:tcPr>
            <w:tcW w:w="9386" w:type="dxa"/>
            <w:gridSpan w:val="4"/>
            <w:tcBorders>
              <w:top w:val="single" w:sz="4" w:space="0" w:color="000000"/>
              <w:bottom w:val="single" w:sz="4" w:space="0" w:color="000000"/>
            </w:tcBorders>
            <w:shd w:val="clear" w:color="auto" w:fill="CCFFFF"/>
            <w:vAlign w:val="center"/>
          </w:tcPr>
          <w:p w:rsidR="00C91295" w:rsidRPr="00526311" w:rsidRDefault="00C91295" w:rsidP="00F1387F">
            <w:pPr>
              <w:keepNext/>
              <w:keepLines/>
              <w:tabs>
                <w:tab w:val="left" w:pos="1740"/>
              </w:tabs>
              <w:spacing w:before="120" w:after="120"/>
              <w:ind w:left="1701" w:hanging="1701"/>
              <w:rPr>
                <w:bCs/>
                <w:sz w:val="16"/>
                <w:szCs w:val="16"/>
              </w:rPr>
            </w:pPr>
            <w:r w:rsidRPr="00526311">
              <w:rPr>
                <w:b/>
                <w:bCs/>
                <w:sz w:val="16"/>
                <w:szCs w:val="16"/>
              </w:rPr>
              <w:t>RESULTADO:</w:t>
            </w:r>
            <w:r w:rsidRPr="00526311">
              <w:rPr>
                <w:b/>
                <w:bCs/>
                <w:sz w:val="16"/>
                <w:szCs w:val="16"/>
              </w:rPr>
              <w:tab/>
            </w:r>
            <w:r w:rsidRPr="00526311">
              <w:rPr>
                <w:bCs/>
                <w:sz w:val="16"/>
                <w:szCs w:val="16"/>
              </w:rPr>
              <w:t>IV.4. Mejora en la infraestructura técnica y de conocimientos de las Oficinas y demás instituciones de P.I. que les permita prestar mejores servicios (más económicos, más rápidos y de mejor calidad) a sus partes interesadas</w:t>
            </w:r>
          </w:p>
        </w:tc>
      </w:tr>
      <w:tr w:rsidR="00C91295" w:rsidRPr="00526311" w:rsidTr="00F1387F">
        <w:tc>
          <w:tcPr>
            <w:tcW w:w="1873" w:type="dxa"/>
            <w:tcBorders>
              <w:top w:val="single" w:sz="4" w:space="0" w:color="000000"/>
            </w:tcBorders>
            <w:vAlign w:val="center"/>
          </w:tcPr>
          <w:p w:rsidR="00C91295" w:rsidRPr="00526311" w:rsidRDefault="00C91295" w:rsidP="00F1387F">
            <w:pPr>
              <w:keepNext/>
              <w:keepLines/>
              <w:rPr>
                <w:b/>
                <w:bCs/>
                <w:sz w:val="16"/>
                <w:szCs w:val="16"/>
              </w:rPr>
            </w:pPr>
            <w:r w:rsidRPr="00526311">
              <w:rPr>
                <w:b/>
                <w:bCs/>
                <w:sz w:val="16"/>
                <w:szCs w:val="16"/>
              </w:rPr>
              <w:t>Actividad</w:t>
            </w:r>
          </w:p>
        </w:tc>
        <w:tc>
          <w:tcPr>
            <w:tcW w:w="1134" w:type="dxa"/>
            <w:tcBorders>
              <w:top w:val="single" w:sz="4" w:space="0" w:color="000000"/>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Fecha</w:t>
            </w:r>
          </w:p>
        </w:tc>
        <w:tc>
          <w:tcPr>
            <w:tcW w:w="1843" w:type="dxa"/>
            <w:tcBorders>
              <w:top w:val="single" w:sz="4" w:space="0" w:color="000000"/>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País anfitrión / Beneficiarios</w:t>
            </w:r>
          </w:p>
        </w:tc>
        <w:tc>
          <w:tcPr>
            <w:tcW w:w="4536" w:type="dxa"/>
            <w:tcBorders>
              <w:top w:val="single" w:sz="4" w:space="0" w:color="000000"/>
            </w:tcBorders>
            <w:shd w:val="clear" w:color="auto" w:fill="FFFFFF"/>
            <w:tcMar>
              <w:top w:w="110" w:type="dxa"/>
            </w:tcMar>
            <w:vAlign w:val="center"/>
          </w:tcPr>
          <w:p w:rsidR="00C91295" w:rsidRPr="00526311" w:rsidRDefault="00C91295" w:rsidP="00F1387F">
            <w:pPr>
              <w:keepNext/>
              <w:keepLines/>
              <w:rPr>
                <w:sz w:val="16"/>
                <w:szCs w:val="16"/>
              </w:rPr>
            </w:pPr>
            <w:r w:rsidRPr="00526311">
              <w:rPr>
                <w:b/>
                <w:sz w:val="16"/>
                <w:szCs w:val="16"/>
              </w:rPr>
              <w:t>Propósito(s) / Descripción</w:t>
            </w:r>
          </w:p>
        </w:tc>
      </w:tr>
      <w:tr w:rsidR="00C91295" w:rsidRPr="00526311" w:rsidTr="00163E34">
        <w:trPr>
          <w:trHeight w:val="1272"/>
        </w:trPr>
        <w:tc>
          <w:tcPr>
            <w:tcW w:w="1873" w:type="dxa"/>
          </w:tcPr>
          <w:p w:rsidR="00C91295" w:rsidRPr="00526311" w:rsidRDefault="00C91295" w:rsidP="00163E34">
            <w:pPr>
              <w:autoSpaceDE w:val="0"/>
              <w:autoSpaceDN w:val="0"/>
              <w:adjustRightInd w:val="0"/>
              <w:spacing w:before="120"/>
              <w:rPr>
                <w:sz w:val="16"/>
                <w:szCs w:val="16"/>
              </w:rPr>
            </w:pPr>
            <w:r w:rsidRPr="00526311">
              <w:rPr>
                <w:sz w:val="16"/>
                <w:szCs w:val="16"/>
              </w:rPr>
              <w:t>Proyecto nacional de aumento de la concienciación sobre el derecho de autor y derechos conexos en Bhután</w:t>
            </w:r>
          </w:p>
        </w:tc>
        <w:tc>
          <w:tcPr>
            <w:tcW w:w="1134" w:type="dxa"/>
            <w:shd w:val="clear" w:color="auto" w:fill="auto"/>
            <w:tcMar>
              <w:top w:w="110" w:type="dxa"/>
            </w:tcMar>
          </w:tcPr>
          <w:p w:rsidR="00C91295" w:rsidRPr="00526311" w:rsidRDefault="00C91295" w:rsidP="00163E34">
            <w:pPr>
              <w:autoSpaceDE w:val="0"/>
              <w:autoSpaceDN w:val="0"/>
              <w:adjustRightInd w:val="0"/>
              <w:spacing w:before="120"/>
              <w:rPr>
                <w:sz w:val="16"/>
                <w:szCs w:val="16"/>
              </w:rPr>
            </w:pPr>
            <w:r w:rsidRPr="00526311">
              <w:rPr>
                <w:sz w:val="16"/>
                <w:szCs w:val="16"/>
              </w:rPr>
              <w:t>Abril de 2014  (finalizado)</w:t>
            </w:r>
          </w:p>
        </w:tc>
        <w:tc>
          <w:tcPr>
            <w:tcW w:w="1843" w:type="dxa"/>
            <w:shd w:val="clear" w:color="auto" w:fill="auto"/>
            <w:tcMar>
              <w:top w:w="110" w:type="dxa"/>
            </w:tcMar>
          </w:tcPr>
          <w:p w:rsidR="00C91295" w:rsidRPr="00526311" w:rsidRDefault="00C91295" w:rsidP="00163E34">
            <w:pPr>
              <w:autoSpaceDE w:val="0"/>
              <w:autoSpaceDN w:val="0"/>
              <w:adjustRightInd w:val="0"/>
              <w:spacing w:before="120"/>
              <w:rPr>
                <w:sz w:val="16"/>
                <w:szCs w:val="16"/>
              </w:rPr>
            </w:pPr>
            <w:r w:rsidRPr="00526311">
              <w:rPr>
                <w:sz w:val="16"/>
                <w:szCs w:val="16"/>
              </w:rPr>
              <w:t>Bhután</w:t>
            </w:r>
          </w:p>
        </w:tc>
        <w:tc>
          <w:tcPr>
            <w:tcW w:w="4536" w:type="dxa"/>
            <w:shd w:val="clear" w:color="auto" w:fill="FFFFFF"/>
            <w:tcMar>
              <w:top w:w="110" w:type="dxa"/>
            </w:tcMar>
          </w:tcPr>
          <w:p w:rsidR="00C91295" w:rsidRPr="00526311" w:rsidRDefault="00C91295" w:rsidP="00163E34">
            <w:pPr>
              <w:autoSpaceDE w:val="0"/>
              <w:autoSpaceDN w:val="0"/>
              <w:adjustRightInd w:val="0"/>
              <w:spacing w:before="120"/>
              <w:rPr>
                <w:sz w:val="16"/>
                <w:szCs w:val="16"/>
              </w:rPr>
            </w:pPr>
            <w:r w:rsidRPr="00526311">
              <w:rPr>
                <w:sz w:val="16"/>
                <w:szCs w:val="16"/>
              </w:rPr>
              <w:t xml:space="preserve">Mejorar la capacidad del país de poner en marcha programas sistemáticos y sostenibles de concienciación, creando así un entorno propicio para el uso y la protección eficaces del derecho de autor y los derechos conexos.  </w:t>
            </w:r>
          </w:p>
        </w:tc>
      </w:tr>
      <w:tr w:rsidR="00C91295" w:rsidRPr="00526311" w:rsidTr="00F1387F">
        <w:tc>
          <w:tcPr>
            <w:tcW w:w="1873" w:type="dxa"/>
          </w:tcPr>
          <w:p w:rsidR="00C91295" w:rsidRPr="00526311" w:rsidRDefault="00C91295" w:rsidP="00163E34">
            <w:pPr>
              <w:autoSpaceDE w:val="0"/>
              <w:autoSpaceDN w:val="0"/>
              <w:adjustRightInd w:val="0"/>
              <w:spacing w:after="120"/>
              <w:rPr>
                <w:sz w:val="16"/>
                <w:szCs w:val="16"/>
              </w:rPr>
            </w:pPr>
            <w:r w:rsidRPr="00526311">
              <w:rPr>
                <w:sz w:val="16"/>
                <w:szCs w:val="16"/>
              </w:rPr>
              <w:t xml:space="preserve">Taller subregional OMPI ASEAN sobre evolución del derecho de autor y los derechos conexos y cuestiones incipientes en esa esfera </w:t>
            </w:r>
          </w:p>
        </w:tc>
        <w:tc>
          <w:tcPr>
            <w:tcW w:w="1134" w:type="dxa"/>
            <w:shd w:val="clear" w:color="auto" w:fill="auto"/>
            <w:tcMar>
              <w:top w:w="110" w:type="dxa"/>
            </w:tcMar>
          </w:tcPr>
          <w:p w:rsidR="00C91295" w:rsidRPr="00526311" w:rsidRDefault="00C91295" w:rsidP="00163E34">
            <w:pPr>
              <w:autoSpaceDE w:val="0"/>
              <w:autoSpaceDN w:val="0"/>
              <w:adjustRightInd w:val="0"/>
              <w:spacing w:after="120"/>
              <w:rPr>
                <w:sz w:val="16"/>
                <w:szCs w:val="16"/>
              </w:rPr>
            </w:pPr>
            <w:r w:rsidRPr="00526311">
              <w:rPr>
                <w:sz w:val="16"/>
                <w:szCs w:val="16"/>
              </w:rPr>
              <w:t>25 y 26 de junio de 2014</w:t>
            </w:r>
          </w:p>
        </w:tc>
        <w:tc>
          <w:tcPr>
            <w:tcW w:w="1843" w:type="dxa"/>
            <w:shd w:val="clear" w:color="auto" w:fill="auto"/>
            <w:tcMar>
              <w:top w:w="110" w:type="dxa"/>
            </w:tcMar>
          </w:tcPr>
          <w:p w:rsidR="00C91295" w:rsidRPr="00526311" w:rsidRDefault="00C91295" w:rsidP="00163E34">
            <w:pPr>
              <w:autoSpaceDE w:val="0"/>
              <w:autoSpaceDN w:val="0"/>
              <w:adjustRightInd w:val="0"/>
              <w:spacing w:after="120"/>
              <w:rPr>
                <w:sz w:val="16"/>
                <w:szCs w:val="16"/>
              </w:rPr>
            </w:pPr>
            <w:r w:rsidRPr="00526311">
              <w:rPr>
                <w:sz w:val="16"/>
                <w:szCs w:val="16"/>
              </w:rPr>
              <w:t>Tailandia / más de 60 participantes locales de Tailandia, y 14 participantes extranjeros, en representación de 8 países (Camboya, Filipinas, Indonesia, Malasia, Myanmar, República Democrática Popular Lao, Singapur y Viet Nam)</w:t>
            </w:r>
          </w:p>
        </w:tc>
        <w:tc>
          <w:tcPr>
            <w:tcW w:w="4536" w:type="dxa"/>
            <w:shd w:val="clear" w:color="auto" w:fill="FFFFFF"/>
            <w:tcMar>
              <w:top w:w="110" w:type="dxa"/>
            </w:tcMar>
          </w:tcPr>
          <w:p w:rsidR="00C91295" w:rsidRPr="00526311" w:rsidRDefault="00C91295" w:rsidP="00163E34">
            <w:pPr>
              <w:autoSpaceDE w:val="0"/>
              <w:autoSpaceDN w:val="0"/>
              <w:adjustRightInd w:val="0"/>
              <w:spacing w:after="120"/>
              <w:rPr>
                <w:sz w:val="16"/>
                <w:szCs w:val="16"/>
              </w:rPr>
            </w:pPr>
            <w:r w:rsidRPr="00526311">
              <w:rPr>
                <w:sz w:val="16"/>
                <w:szCs w:val="16"/>
              </w:rPr>
              <w:t>Dar a los Estados miembros de la Asociación de Naciones del Asia Sudoriental (ASEAN) la oportunidad de entender mejor y compartir la información sobre la evolución reciente del derecho de autor y los derechos conexos y las cuestiones incipientes de ese ámbito, así como sus repercusiones.</w:t>
            </w:r>
          </w:p>
        </w:tc>
      </w:tr>
      <w:tr w:rsidR="00163E34" w:rsidRPr="00526311" w:rsidTr="001A4F69">
        <w:tc>
          <w:tcPr>
            <w:tcW w:w="1873" w:type="dxa"/>
            <w:tcBorders>
              <w:top w:val="single" w:sz="4" w:space="0" w:color="000000"/>
            </w:tcBorders>
            <w:vAlign w:val="center"/>
          </w:tcPr>
          <w:p w:rsidR="00163E34" w:rsidRPr="00526311" w:rsidRDefault="00163E34" w:rsidP="001A4F69">
            <w:pPr>
              <w:keepNext/>
              <w:keepLines/>
              <w:rPr>
                <w:b/>
                <w:bCs/>
                <w:sz w:val="16"/>
                <w:szCs w:val="16"/>
              </w:rPr>
            </w:pPr>
            <w:r w:rsidRPr="00526311">
              <w:rPr>
                <w:b/>
                <w:bCs/>
                <w:sz w:val="16"/>
                <w:szCs w:val="16"/>
              </w:rPr>
              <w:lastRenderedPageBreak/>
              <w:t>Actividad</w:t>
            </w:r>
          </w:p>
        </w:tc>
        <w:tc>
          <w:tcPr>
            <w:tcW w:w="1134" w:type="dxa"/>
            <w:tcBorders>
              <w:top w:val="single" w:sz="4" w:space="0" w:color="000000"/>
            </w:tcBorders>
            <w:shd w:val="clear" w:color="auto" w:fill="auto"/>
            <w:tcMar>
              <w:top w:w="110" w:type="dxa"/>
            </w:tcMar>
            <w:vAlign w:val="center"/>
          </w:tcPr>
          <w:p w:rsidR="00163E34" w:rsidRPr="00526311" w:rsidRDefault="00163E34" w:rsidP="001A4F69">
            <w:pPr>
              <w:keepNext/>
              <w:keepLines/>
              <w:rPr>
                <w:sz w:val="16"/>
                <w:szCs w:val="16"/>
              </w:rPr>
            </w:pPr>
            <w:r w:rsidRPr="00526311">
              <w:rPr>
                <w:b/>
                <w:sz w:val="16"/>
                <w:szCs w:val="16"/>
              </w:rPr>
              <w:t>Fecha</w:t>
            </w:r>
          </w:p>
        </w:tc>
        <w:tc>
          <w:tcPr>
            <w:tcW w:w="1843" w:type="dxa"/>
            <w:tcBorders>
              <w:top w:val="single" w:sz="4" w:space="0" w:color="000000"/>
            </w:tcBorders>
            <w:shd w:val="clear" w:color="auto" w:fill="auto"/>
            <w:tcMar>
              <w:top w:w="110" w:type="dxa"/>
            </w:tcMar>
            <w:vAlign w:val="center"/>
          </w:tcPr>
          <w:p w:rsidR="00163E34" w:rsidRPr="00526311" w:rsidRDefault="00163E34" w:rsidP="001A4F69">
            <w:pPr>
              <w:keepNext/>
              <w:keepLines/>
              <w:rPr>
                <w:sz w:val="16"/>
                <w:szCs w:val="16"/>
              </w:rPr>
            </w:pPr>
            <w:r w:rsidRPr="00526311">
              <w:rPr>
                <w:b/>
                <w:sz w:val="16"/>
                <w:szCs w:val="16"/>
              </w:rPr>
              <w:t>País anfitrión / Beneficiarios</w:t>
            </w:r>
          </w:p>
        </w:tc>
        <w:tc>
          <w:tcPr>
            <w:tcW w:w="4536" w:type="dxa"/>
            <w:tcBorders>
              <w:top w:val="single" w:sz="4" w:space="0" w:color="000000"/>
            </w:tcBorders>
            <w:shd w:val="clear" w:color="auto" w:fill="FFFFFF"/>
            <w:tcMar>
              <w:top w:w="110" w:type="dxa"/>
            </w:tcMar>
            <w:vAlign w:val="center"/>
          </w:tcPr>
          <w:p w:rsidR="00163E34" w:rsidRPr="00526311" w:rsidRDefault="00163E34" w:rsidP="001A4F69">
            <w:pPr>
              <w:keepNext/>
              <w:keepLines/>
              <w:rPr>
                <w:sz w:val="16"/>
                <w:szCs w:val="16"/>
              </w:rPr>
            </w:pPr>
            <w:r w:rsidRPr="00526311">
              <w:rPr>
                <w:b/>
                <w:sz w:val="16"/>
                <w:szCs w:val="16"/>
              </w:rPr>
              <w:t>Propósito(s) / Descripción</w:t>
            </w:r>
          </w:p>
        </w:tc>
      </w:tr>
      <w:tr w:rsidR="00C91295" w:rsidRPr="00526311" w:rsidTr="00F1387F">
        <w:tc>
          <w:tcPr>
            <w:tcW w:w="1873" w:type="dxa"/>
          </w:tcPr>
          <w:p w:rsidR="00C91295" w:rsidRPr="00526311" w:rsidRDefault="00C91295" w:rsidP="00F1387F">
            <w:pPr>
              <w:autoSpaceDE w:val="0"/>
              <w:autoSpaceDN w:val="0"/>
              <w:adjustRightInd w:val="0"/>
              <w:spacing w:before="120" w:after="120"/>
              <w:rPr>
                <w:sz w:val="16"/>
                <w:szCs w:val="16"/>
              </w:rPr>
            </w:pPr>
            <w:r w:rsidRPr="00526311">
              <w:rPr>
                <w:sz w:val="16"/>
                <w:szCs w:val="16"/>
              </w:rPr>
              <w:t>Visita de estudio a la Comisión de Derecho de Autor de la República de Corea.</w:t>
            </w:r>
          </w:p>
        </w:tc>
        <w:tc>
          <w:tcPr>
            <w:tcW w:w="1134" w:type="dxa"/>
            <w:shd w:val="clear" w:color="auto" w:fill="auto"/>
            <w:tcMar>
              <w:top w:w="110" w:type="dxa"/>
            </w:tcMar>
          </w:tcPr>
          <w:p w:rsidR="00C91295" w:rsidRPr="00526311" w:rsidRDefault="00C91295" w:rsidP="00F1387F">
            <w:pPr>
              <w:autoSpaceDE w:val="0"/>
              <w:autoSpaceDN w:val="0"/>
              <w:adjustRightInd w:val="0"/>
              <w:spacing w:before="120" w:after="120"/>
              <w:rPr>
                <w:sz w:val="16"/>
                <w:szCs w:val="16"/>
              </w:rPr>
            </w:pPr>
            <w:r w:rsidRPr="00526311">
              <w:rPr>
                <w:sz w:val="16"/>
                <w:szCs w:val="16"/>
              </w:rPr>
              <w:t>18 a 21 de noviembre de 2014</w:t>
            </w:r>
          </w:p>
        </w:tc>
        <w:tc>
          <w:tcPr>
            <w:tcW w:w="1843" w:type="dxa"/>
            <w:shd w:val="clear" w:color="auto" w:fill="auto"/>
            <w:tcMar>
              <w:top w:w="110" w:type="dxa"/>
            </w:tcMar>
          </w:tcPr>
          <w:p w:rsidR="00C91295" w:rsidRPr="00526311" w:rsidRDefault="00C91295" w:rsidP="00F1387F">
            <w:pPr>
              <w:autoSpaceDE w:val="0"/>
              <w:autoSpaceDN w:val="0"/>
              <w:adjustRightInd w:val="0"/>
              <w:spacing w:before="120" w:after="120"/>
              <w:rPr>
                <w:sz w:val="16"/>
                <w:szCs w:val="16"/>
              </w:rPr>
            </w:pPr>
            <w:r w:rsidRPr="00526311">
              <w:rPr>
                <w:sz w:val="16"/>
                <w:szCs w:val="16"/>
              </w:rPr>
              <w:t>República de Corea / 11 participantes extranjeros en representación de 10 países (Colombia, Egipto, Filipinas, Kazajstán, Omán, Paraguay, Sri Lanka, Tailandia, Uzbekistán y Viet Nam)</w:t>
            </w:r>
          </w:p>
        </w:tc>
        <w:tc>
          <w:tcPr>
            <w:tcW w:w="4536" w:type="dxa"/>
            <w:shd w:val="clear" w:color="auto" w:fill="FFFFFF"/>
            <w:tcMar>
              <w:top w:w="110" w:type="dxa"/>
            </w:tcMar>
          </w:tcPr>
          <w:p w:rsidR="00C91295" w:rsidRPr="00526311" w:rsidRDefault="00C91295" w:rsidP="00F1387F">
            <w:pPr>
              <w:autoSpaceDE w:val="0"/>
              <w:autoSpaceDN w:val="0"/>
              <w:adjustRightInd w:val="0"/>
              <w:spacing w:before="120" w:after="120"/>
              <w:rPr>
                <w:sz w:val="16"/>
                <w:szCs w:val="16"/>
              </w:rPr>
            </w:pPr>
            <w:r w:rsidRPr="00526311">
              <w:rPr>
                <w:sz w:val="16"/>
                <w:szCs w:val="16"/>
              </w:rPr>
              <w:t>i) Compartir la experiencia de la República de Corea en la protección y administración del derecho de autor y los derechos conexos:  y ii) fortalecer la capacidad de los participantes de formular políticas en materia de derecho de autor, modernizar los marcos legislativo y administrativo y mejorar el funcionamiento de las oficinas de derecho de autor y demás organizaciones conexas en sus países.</w:t>
            </w:r>
          </w:p>
        </w:tc>
      </w:tr>
      <w:tr w:rsidR="00C91295" w:rsidRPr="00526311" w:rsidTr="00F1387F">
        <w:tc>
          <w:tcPr>
            <w:tcW w:w="1873" w:type="dxa"/>
          </w:tcPr>
          <w:p w:rsidR="00C91295" w:rsidRPr="00526311" w:rsidRDefault="00C91295" w:rsidP="00F1387F">
            <w:pPr>
              <w:autoSpaceDE w:val="0"/>
              <w:autoSpaceDN w:val="0"/>
              <w:adjustRightInd w:val="0"/>
              <w:spacing w:before="120" w:after="120"/>
              <w:rPr>
                <w:sz w:val="16"/>
                <w:szCs w:val="16"/>
              </w:rPr>
            </w:pPr>
            <w:r w:rsidRPr="00526311">
              <w:rPr>
                <w:sz w:val="16"/>
                <w:szCs w:val="16"/>
              </w:rPr>
              <w:t>Recopilación de litigios sobre derecho de autor y derechos conexos en el ámbito de la música, en la región de Asia y el Pacífico</w:t>
            </w:r>
          </w:p>
        </w:tc>
        <w:tc>
          <w:tcPr>
            <w:tcW w:w="1134" w:type="dxa"/>
            <w:shd w:val="clear" w:color="auto" w:fill="auto"/>
            <w:tcMar>
              <w:top w:w="110" w:type="dxa"/>
            </w:tcMar>
          </w:tcPr>
          <w:p w:rsidR="00C91295" w:rsidRPr="00526311" w:rsidRDefault="00C91295" w:rsidP="00F1387F">
            <w:pPr>
              <w:autoSpaceDE w:val="0"/>
              <w:autoSpaceDN w:val="0"/>
              <w:adjustRightInd w:val="0"/>
              <w:spacing w:before="120" w:after="120"/>
              <w:rPr>
                <w:sz w:val="16"/>
                <w:szCs w:val="16"/>
              </w:rPr>
            </w:pPr>
            <w:r w:rsidRPr="00526311">
              <w:rPr>
                <w:sz w:val="16"/>
                <w:szCs w:val="16"/>
              </w:rPr>
              <w:t>Diciembre de 2014 (finalizado)</w:t>
            </w:r>
          </w:p>
        </w:tc>
        <w:tc>
          <w:tcPr>
            <w:tcW w:w="1843" w:type="dxa"/>
            <w:shd w:val="clear" w:color="auto" w:fill="auto"/>
            <w:tcMar>
              <w:top w:w="110" w:type="dxa"/>
            </w:tcMar>
          </w:tcPr>
          <w:p w:rsidR="00C91295" w:rsidRPr="00526311" w:rsidRDefault="00C91295" w:rsidP="00F1387F">
            <w:pPr>
              <w:autoSpaceDE w:val="0"/>
              <w:autoSpaceDN w:val="0"/>
              <w:adjustRightInd w:val="0"/>
              <w:spacing w:before="120" w:after="120"/>
              <w:rPr>
                <w:sz w:val="16"/>
                <w:szCs w:val="16"/>
              </w:rPr>
            </w:pPr>
            <w:r w:rsidRPr="00526311">
              <w:rPr>
                <w:sz w:val="16"/>
                <w:szCs w:val="16"/>
              </w:rPr>
              <w:t>Países de Asia y el Pacífico</w:t>
            </w:r>
          </w:p>
        </w:tc>
        <w:tc>
          <w:tcPr>
            <w:tcW w:w="4536" w:type="dxa"/>
            <w:shd w:val="clear" w:color="auto" w:fill="FFFFFF"/>
            <w:tcMar>
              <w:top w:w="110" w:type="dxa"/>
            </w:tcMar>
          </w:tcPr>
          <w:p w:rsidR="00C91295" w:rsidRPr="00526311" w:rsidRDefault="00C91295" w:rsidP="00F1387F">
            <w:pPr>
              <w:autoSpaceDE w:val="0"/>
              <w:autoSpaceDN w:val="0"/>
              <w:adjustRightInd w:val="0"/>
              <w:spacing w:before="120" w:after="120"/>
              <w:rPr>
                <w:sz w:val="16"/>
                <w:szCs w:val="16"/>
              </w:rPr>
            </w:pPr>
            <w:r w:rsidRPr="00526311">
              <w:rPr>
                <w:sz w:val="16"/>
                <w:szCs w:val="16"/>
              </w:rPr>
              <w:t>Proporcionar a los países en desarrollo de Asia y el Pacifico información actualizada sobre los litigios más recientes que atañen al derecho de autor y los derechos conexos en la industria musical.</w:t>
            </w:r>
          </w:p>
          <w:p w:rsidR="00C91295" w:rsidRPr="00526311" w:rsidRDefault="00C91295" w:rsidP="00F1387F">
            <w:pPr>
              <w:autoSpaceDE w:val="0"/>
              <w:autoSpaceDN w:val="0"/>
              <w:adjustRightInd w:val="0"/>
              <w:spacing w:before="120" w:after="120"/>
              <w:rPr>
                <w:sz w:val="16"/>
                <w:szCs w:val="16"/>
              </w:rPr>
            </w:pPr>
          </w:p>
        </w:tc>
      </w:tr>
    </w:tbl>
    <w:p w:rsidR="00C91295" w:rsidRPr="00526311" w:rsidRDefault="00C91295" w:rsidP="00F1387F">
      <w:pPr>
        <w:keepNext/>
        <w:keepLines/>
        <w:rPr>
          <w:b/>
          <w:sz w:val="20"/>
        </w:rPr>
      </w:pPr>
    </w:p>
    <w:p w:rsidR="00C91295" w:rsidRPr="00526311" w:rsidRDefault="00C91295" w:rsidP="00F1387F">
      <w:pPr>
        <w:tabs>
          <w:tab w:val="left" w:pos="2325"/>
        </w:tabs>
        <w:rPr>
          <w:sz w:val="18"/>
          <w:szCs w:val="18"/>
        </w:rPr>
      </w:pPr>
    </w:p>
    <w:p w:rsidR="00C91295" w:rsidRPr="007D4926" w:rsidRDefault="00C91295" w:rsidP="00F1387F">
      <w:pPr>
        <w:keepNext/>
        <w:keepLines/>
        <w:rPr>
          <w:b/>
          <w:bCs/>
          <w:sz w:val="20"/>
        </w:rPr>
      </w:pPr>
      <w:r w:rsidRPr="007D4926">
        <w:rPr>
          <w:b/>
          <w:bCs/>
          <w:sz w:val="20"/>
        </w:rPr>
        <w:t>REPÚBLICA DE COREA / DERECHO DE AUTOR – Contribuciones de donantes y gastos en 2014</w:t>
      </w:r>
    </w:p>
    <w:p w:rsidR="00C91295" w:rsidRPr="00526311" w:rsidRDefault="00C91295" w:rsidP="00F1387F">
      <w:pPr>
        <w:keepNext/>
        <w:keepLines/>
        <w:rPr>
          <w:b/>
          <w:bCs/>
          <w:sz w:val="18"/>
          <w:szCs w:val="18"/>
        </w:rPr>
      </w:pPr>
    </w:p>
    <w:tbl>
      <w:tblPr>
        <w:tblW w:w="9087" w:type="dxa"/>
        <w:tblInd w:w="93" w:type="dxa"/>
        <w:tblLook w:val="04A0" w:firstRow="1" w:lastRow="0" w:firstColumn="1" w:lastColumn="0" w:noHBand="0" w:noVBand="1"/>
      </w:tblPr>
      <w:tblGrid>
        <w:gridCol w:w="1780"/>
        <w:gridCol w:w="1496"/>
        <w:gridCol w:w="1842"/>
        <w:gridCol w:w="1985"/>
        <w:gridCol w:w="1984"/>
      </w:tblGrid>
      <w:tr w:rsidR="00C91295" w:rsidRPr="00526311" w:rsidTr="00F1387F">
        <w:trPr>
          <w:trHeight w:val="504"/>
        </w:trPr>
        <w:tc>
          <w:tcPr>
            <w:tcW w:w="17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2013</w:t>
            </w:r>
          </w:p>
        </w:tc>
        <w:tc>
          <w:tcPr>
            <w:tcW w:w="1496"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Ingresos en 2014</w:t>
            </w:r>
          </w:p>
        </w:tc>
        <w:tc>
          <w:tcPr>
            <w:tcW w:w="1842"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Gastos en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Reembolsos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2014</w:t>
            </w:r>
          </w:p>
        </w:tc>
      </w:tr>
      <w:tr w:rsidR="00C91295" w:rsidRPr="00526311" w:rsidTr="00F1387F">
        <w:trPr>
          <w:trHeight w:val="426"/>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565.824</w:t>
            </w:r>
          </w:p>
        </w:tc>
        <w:tc>
          <w:tcPr>
            <w:tcW w:w="1496"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350.168</w:t>
            </w:r>
          </w:p>
        </w:tc>
        <w:tc>
          <w:tcPr>
            <w:tcW w:w="1842"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336.212</w:t>
            </w:r>
          </w:p>
        </w:tc>
        <w:tc>
          <w:tcPr>
            <w:tcW w:w="1985"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579.780</w:t>
            </w:r>
          </w:p>
        </w:tc>
      </w:tr>
    </w:tbl>
    <w:p w:rsidR="00C91295" w:rsidRPr="00526311" w:rsidRDefault="00C91295" w:rsidP="00F1387F">
      <w:pPr>
        <w:rPr>
          <w:b/>
          <w:bCs/>
          <w:sz w:val="18"/>
          <w:szCs w:val="18"/>
        </w:rPr>
      </w:pPr>
    </w:p>
    <w:p w:rsidR="00C91295" w:rsidRPr="00526311" w:rsidRDefault="00C91295" w:rsidP="00F1387F">
      <w:pPr>
        <w:rPr>
          <w:b/>
          <w:bCs/>
          <w:sz w:val="18"/>
          <w:szCs w:val="18"/>
        </w:rPr>
      </w:pPr>
    </w:p>
    <w:p w:rsidR="00C91295" w:rsidRPr="00526311" w:rsidRDefault="00C91295" w:rsidP="006F545B">
      <w:pPr>
        <w:keepNext/>
        <w:keepLines/>
        <w:rPr>
          <w:b/>
          <w:sz w:val="20"/>
        </w:rPr>
      </w:pPr>
      <w:r w:rsidRPr="00526311">
        <w:rPr>
          <w:b/>
          <w:sz w:val="20"/>
        </w:rPr>
        <w:t>REPÚBLICA DE COREA (EDUCACIÓN) – Becas en P.I. (Academia)</w:t>
      </w:r>
    </w:p>
    <w:p w:rsidR="00C91295" w:rsidRPr="00526311" w:rsidRDefault="00C91295" w:rsidP="006F545B">
      <w:pPr>
        <w:keepNext/>
        <w:keepLines/>
        <w:rPr>
          <w:b/>
          <w:sz w:val="20"/>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268"/>
        <w:gridCol w:w="4111"/>
      </w:tblGrid>
      <w:tr w:rsidR="00C91295" w:rsidRPr="00526311" w:rsidTr="00F1387F">
        <w:tc>
          <w:tcPr>
            <w:tcW w:w="9356" w:type="dxa"/>
            <w:gridSpan w:val="4"/>
            <w:tcBorders>
              <w:top w:val="single" w:sz="4" w:space="0" w:color="000000"/>
              <w:bottom w:val="single" w:sz="4" w:space="0" w:color="auto"/>
            </w:tcBorders>
            <w:shd w:val="clear" w:color="auto" w:fill="CCFFFF"/>
            <w:vAlign w:val="center"/>
          </w:tcPr>
          <w:p w:rsidR="00C91295" w:rsidRPr="00526311" w:rsidRDefault="00C91295" w:rsidP="006F545B">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c>
          <w:tcPr>
            <w:tcW w:w="1843" w:type="dxa"/>
            <w:tcBorders>
              <w:top w:val="single" w:sz="4" w:space="0" w:color="auto"/>
              <w:left w:val="single" w:sz="4" w:space="0" w:color="auto"/>
              <w:bottom w:val="nil"/>
            </w:tcBorders>
            <w:vAlign w:val="center"/>
          </w:tcPr>
          <w:p w:rsidR="00C91295" w:rsidRPr="00526311" w:rsidRDefault="00C91295" w:rsidP="006F545B">
            <w:pPr>
              <w:keepNext/>
              <w:keepLines/>
              <w:rPr>
                <w:b/>
                <w:bCs/>
                <w:sz w:val="16"/>
                <w:szCs w:val="16"/>
              </w:rPr>
            </w:pPr>
            <w:r w:rsidRPr="00526311">
              <w:rPr>
                <w:b/>
                <w:bCs/>
                <w:sz w:val="16"/>
                <w:szCs w:val="16"/>
              </w:rPr>
              <w:t>Actividad</w:t>
            </w:r>
          </w:p>
        </w:tc>
        <w:tc>
          <w:tcPr>
            <w:tcW w:w="1134" w:type="dxa"/>
            <w:tcBorders>
              <w:top w:val="single" w:sz="4" w:space="0" w:color="auto"/>
              <w:bottom w:val="nil"/>
            </w:tcBorders>
            <w:shd w:val="clear" w:color="auto" w:fill="auto"/>
            <w:tcMar>
              <w:top w:w="110" w:type="dxa"/>
            </w:tcMar>
            <w:vAlign w:val="center"/>
          </w:tcPr>
          <w:p w:rsidR="00C91295" w:rsidRPr="00526311" w:rsidRDefault="00C91295" w:rsidP="006F545B">
            <w:pPr>
              <w:keepNext/>
              <w:keepLines/>
              <w:rPr>
                <w:sz w:val="16"/>
                <w:szCs w:val="16"/>
              </w:rPr>
            </w:pPr>
            <w:r w:rsidRPr="00526311">
              <w:rPr>
                <w:b/>
                <w:sz w:val="16"/>
                <w:szCs w:val="16"/>
              </w:rPr>
              <w:t>Fecha</w:t>
            </w:r>
          </w:p>
        </w:tc>
        <w:tc>
          <w:tcPr>
            <w:tcW w:w="2268" w:type="dxa"/>
            <w:tcBorders>
              <w:top w:val="single" w:sz="4" w:space="0" w:color="auto"/>
              <w:bottom w:val="nil"/>
            </w:tcBorders>
            <w:shd w:val="clear" w:color="auto" w:fill="auto"/>
            <w:tcMar>
              <w:top w:w="110" w:type="dxa"/>
            </w:tcMar>
            <w:vAlign w:val="center"/>
          </w:tcPr>
          <w:p w:rsidR="00C91295" w:rsidRPr="00526311" w:rsidRDefault="00C91295" w:rsidP="006F545B">
            <w:pPr>
              <w:keepNext/>
              <w:keepLines/>
              <w:rPr>
                <w:sz w:val="16"/>
                <w:szCs w:val="16"/>
              </w:rPr>
            </w:pPr>
            <w:r w:rsidRPr="00526311">
              <w:rPr>
                <w:b/>
                <w:sz w:val="16"/>
                <w:szCs w:val="16"/>
              </w:rPr>
              <w:t>País anfitrión / Beneficiarios</w:t>
            </w:r>
          </w:p>
        </w:tc>
        <w:tc>
          <w:tcPr>
            <w:tcW w:w="4111" w:type="dxa"/>
            <w:tcBorders>
              <w:top w:val="single" w:sz="4" w:space="0" w:color="auto"/>
              <w:bottom w:val="nil"/>
              <w:right w:val="single" w:sz="4" w:space="0" w:color="auto"/>
            </w:tcBorders>
            <w:shd w:val="clear" w:color="auto" w:fill="FFFFFF"/>
            <w:tcMar>
              <w:top w:w="110" w:type="dxa"/>
            </w:tcMar>
            <w:vAlign w:val="center"/>
          </w:tcPr>
          <w:p w:rsidR="00C91295" w:rsidRPr="00526311" w:rsidRDefault="00C91295" w:rsidP="006F545B">
            <w:pPr>
              <w:keepNext/>
              <w:keepLines/>
              <w:rPr>
                <w:sz w:val="16"/>
                <w:szCs w:val="16"/>
              </w:rPr>
            </w:pPr>
            <w:r w:rsidRPr="00526311">
              <w:rPr>
                <w:b/>
                <w:sz w:val="16"/>
                <w:szCs w:val="16"/>
              </w:rPr>
              <w:t>Propósito(s) / Descripción</w:t>
            </w:r>
          </w:p>
        </w:tc>
      </w:tr>
      <w:tr w:rsidR="00C91295" w:rsidRPr="00526311" w:rsidTr="00F1387F">
        <w:trPr>
          <w:trHeight w:val="495"/>
        </w:trPr>
        <w:tc>
          <w:tcPr>
            <w:tcW w:w="1843" w:type="dxa"/>
            <w:tcBorders>
              <w:top w:val="nil"/>
              <w:left w:val="single" w:sz="4" w:space="0" w:color="auto"/>
              <w:bottom w:val="nil"/>
            </w:tcBorders>
          </w:tcPr>
          <w:p w:rsidR="00C91295" w:rsidRPr="00526311" w:rsidRDefault="00C91295" w:rsidP="006F545B">
            <w:pPr>
              <w:keepNext/>
              <w:keepLines/>
              <w:autoSpaceDE w:val="0"/>
              <w:autoSpaceDN w:val="0"/>
              <w:adjustRightInd w:val="0"/>
              <w:spacing w:before="120" w:after="120"/>
              <w:rPr>
                <w:sz w:val="16"/>
                <w:szCs w:val="16"/>
              </w:rPr>
            </w:pPr>
            <w:r w:rsidRPr="00526311">
              <w:rPr>
                <w:sz w:val="16"/>
                <w:szCs w:val="16"/>
              </w:rPr>
              <w:t>Becas para el Programa de Máster en Derecho de P.I. (MIP) de la Academia de la OMPI – </w:t>
            </w:r>
            <w:r w:rsidRPr="00526311">
              <w:rPr>
                <w:i/>
                <w:sz w:val="16"/>
                <w:szCs w:val="16"/>
              </w:rPr>
              <w:t>Queensland University of Technology</w:t>
            </w:r>
            <w:r w:rsidRPr="00526311">
              <w:rPr>
                <w:sz w:val="16"/>
                <w:szCs w:val="16"/>
              </w:rPr>
              <w:t xml:space="preserve"> (OMPI-QUT)</w:t>
            </w:r>
          </w:p>
        </w:tc>
        <w:tc>
          <w:tcPr>
            <w:tcW w:w="1134" w:type="dxa"/>
            <w:tcBorders>
              <w:top w:val="nil"/>
              <w:bottom w:val="nil"/>
            </w:tcBorders>
          </w:tcPr>
          <w:p w:rsidR="00C91295" w:rsidRPr="00526311" w:rsidRDefault="00C91295" w:rsidP="006F545B">
            <w:pPr>
              <w:keepNext/>
              <w:keepLines/>
              <w:autoSpaceDE w:val="0"/>
              <w:autoSpaceDN w:val="0"/>
              <w:adjustRightInd w:val="0"/>
              <w:spacing w:before="120" w:after="120"/>
              <w:rPr>
                <w:sz w:val="16"/>
                <w:szCs w:val="16"/>
              </w:rPr>
            </w:pPr>
            <w:r w:rsidRPr="00526311">
              <w:rPr>
                <w:sz w:val="16"/>
                <w:szCs w:val="16"/>
              </w:rPr>
              <w:t>24 de febrero a 3 de noviembre de 2014</w:t>
            </w:r>
          </w:p>
        </w:tc>
        <w:tc>
          <w:tcPr>
            <w:tcW w:w="2268" w:type="dxa"/>
            <w:tcBorders>
              <w:top w:val="nil"/>
              <w:bottom w:val="nil"/>
            </w:tcBorders>
          </w:tcPr>
          <w:p w:rsidR="00C91295" w:rsidRPr="00526311" w:rsidRDefault="00C91295" w:rsidP="006F545B">
            <w:pPr>
              <w:keepNext/>
              <w:keepLines/>
              <w:autoSpaceDE w:val="0"/>
              <w:autoSpaceDN w:val="0"/>
              <w:adjustRightInd w:val="0"/>
              <w:spacing w:before="120" w:after="120"/>
              <w:rPr>
                <w:sz w:val="16"/>
                <w:szCs w:val="16"/>
              </w:rPr>
            </w:pPr>
            <w:r w:rsidRPr="00526311">
              <w:rPr>
                <w:sz w:val="16"/>
                <w:szCs w:val="16"/>
              </w:rPr>
              <w:t>Australia / 6 estudiantes de Nepal y la República de Corea (5)</w:t>
            </w:r>
          </w:p>
        </w:tc>
        <w:tc>
          <w:tcPr>
            <w:tcW w:w="4111" w:type="dxa"/>
            <w:tcBorders>
              <w:top w:val="nil"/>
              <w:bottom w:val="nil"/>
              <w:right w:val="single" w:sz="4" w:space="0" w:color="auto"/>
            </w:tcBorders>
          </w:tcPr>
          <w:p w:rsidR="00C91295" w:rsidRPr="00526311" w:rsidRDefault="00C91295" w:rsidP="006F545B">
            <w:pPr>
              <w:keepNext/>
              <w:keepLines/>
              <w:autoSpaceDE w:val="0"/>
              <w:autoSpaceDN w:val="0"/>
              <w:adjustRightInd w:val="0"/>
              <w:spacing w:before="120" w:after="120"/>
              <w:rPr>
                <w:sz w:val="16"/>
                <w:szCs w:val="16"/>
              </w:rPr>
            </w:pPr>
            <w:r w:rsidRPr="00526311">
              <w:rPr>
                <w:sz w:val="16"/>
                <w:szCs w:val="16"/>
              </w:rPr>
              <w:t>Impartir educación superior a los funcionarios gubernamentales y otros expertos en P.I. para mejorar su capacidad de utilizar la P.I. y administrar derechos de P.I.</w:t>
            </w:r>
          </w:p>
        </w:tc>
      </w:tr>
      <w:tr w:rsidR="00C91295" w:rsidRPr="00526311" w:rsidTr="00F1387F">
        <w:trPr>
          <w:trHeight w:val="495"/>
        </w:trPr>
        <w:tc>
          <w:tcPr>
            <w:tcW w:w="1843" w:type="dxa"/>
            <w:tcBorders>
              <w:top w:val="nil"/>
              <w:left w:val="single" w:sz="4" w:space="0" w:color="auto"/>
              <w:bottom w:val="nil"/>
            </w:tcBorders>
          </w:tcPr>
          <w:p w:rsidR="00C91295" w:rsidRPr="00526311" w:rsidRDefault="00C91295" w:rsidP="006F545B">
            <w:pPr>
              <w:keepNext/>
              <w:keepLines/>
              <w:autoSpaceDE w:val="0"/>
              <w:autoSpaceDN w:val="0"/>
              <w:adjustRightInd w:val="0"/>
              <w:spacing w:before="60" w:after="60"/>
              <w:rPr>
                <w:sz w:val="16"/>
                <w:szCs w:val="16"/>
              </w:rPr>
            </w:pPr>
            <w:r w:rsidRPr="00526311">
              <w:rPr>
                <w:sz w:val="16"/>
                <w:szCs w:val="16"/>
              </w:rPr>
              <w:t>Becas para el Programa MIP de la Academia de la OMPI – Universidad Nacional de Seúl (OMPI-SNU)</w:t>
            </w:r>
          </w:p>
        </w:tc>
        <w:tc>
          <w:tcPr>
            <w:tcW w:w="1134" w:type="dxa"/>
            <w:tcBorders>
              <w:top w:val="nil"/>
              <w:bottom w:val="nil"/>
            </w:tcBorders>
          </w:tcPr>
          <w:p w:rsidR="00C91295" w:rsidRPr="00526311" w:rsidRDefault="00C91295" w:rsidP="006F545B">
            <w:pPr>
              <w:keepNext/>
              <w:keepLines/>
              <w:autoSpaceDE w:val="0"/>
              <w:autoSpaceDN w:val="0"/>
              <w:adjustRightInd w:val="0"/>
              <w:spacing w:before="60" w:after="60"/>
              <w:rPr>
                <w:sz w:val="16"/>
                <w:szCs w:val="16"/>
              </w:rPr>
            </w:pPr>
            <w:r w:rsidRPr="00526311">
              <w:rPr>
                <w:sz w:val="16"/>
                <w:szCs w:val="16"/>
              </w:rPr>
              <w:t>Septiembre de 2012 a junio de 2014</w:t>
            </w:r>
          </w:p>
        </w:tc>
        <w:tc>
          <w:tcPr>
            <w:tcW w:w="2268" w:type="dxa"/>
            <w:tcBorders>
              <w:top w:val="nil"/>
              <w:bottom w:val="nil"/>
            </w:tcBorders>
          </w:tcPr>
          <w:p w:rsidR="00C91295" w:rsidRPr="00526311" w:rsidRDefault="00C91295" w:rsidP="006F545B">
            <w:pPr>
              <w:keepNext/>
              <w:keepLines/>
              <w:autoSpaceDE w:val="0"/>
              <w:autoSpaceDN w:val="0"/>
              <w:adjustRightInd w:val="0"/>
              <w:spacing w:before="60" w:after="60"/>
              <w:rPr>
                <w:sz w:val="16"/>
                <w:szCs w:val="16"/>
              </w:rPr>
            </w:pPr>
            <w:r w:rsidRPr="00526311">
              <w:rPr>
                <w:sz w:val="16"/>
                <w:szCs w:val="16"/>
              </w:rPr>
              <w:t>República de Corea / 6 estudiantes de China (2), Filipinas, Malasia y Uzbekistán (2)</w:t>
            </w:r>
          </w:p>
        </w:tc>
        <w:tc>
          <w:tcPr>
            <w:tcW w:w="4111" w:type="dxa"/>
            <w:tcBorders>
              <w:top w:val="nil"/>
              <w:bottom w:val="nil"/>
              <w:right w:val="single" w:sz="4" w:space="0" w:color="auto"/>
            </w:tcBorders>
          </w:tcPr>
          <w:p w:rsidR="00C91295" w:rsidRPr="00526311" w:rsidRDefault="00C91295" w:rsidP="006F545B">
            <w:pPr>
              <w:keepNext/>
              <w:keepLines/>
              <w:autoSpaceDE w:val="0"/>
              <w:autoSpaceDN w:val="0"/>
              <w:adjustRightInd w:val="0"/>
              <w:spacing w:before="60" w:after="60"/>
              <w:rPr>
                <w:sz w:val="16"/>
                <w:szCs w:val="16"/>
              </w:rPr>
            </w:pPr>
            <w:r w:rsidRPr="00526311">
              <w:rPr>
                <w:sz w:val="16"/>
                <w:szCs w:val="16"/>
              </w:rPr>
              <w:t>Impartir educación superior a los funcionarios gubernamentales y otros expertos en P.I. para mejorar su capacidad de utilizar la P.I. y administrar derechos de P.I.</w:t>
            </w:r>
          </w:p>
        </w:tc>
      </w:tr>
      <w:tr w:rsidR="00C91295" w:rsidRPr="00526311" w:rsidTr="00F1387F">
        <w:trPr>
          <w:trHeight w:val="495"/>
        </w:trPr>
        <w:tc>
          <w:tcPr>
            <w:tcW w:w="1843"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60" w:after="60"/>
              <w:rPr>
                <w:sz w:val="16"/>
                <w:szCs w:val="16"/>
              </w:rPr>
            </w:pPr>
            <w:r w:rsidRPr="00526311">
              <w:rPr>
                <w:sz w:val="16"/>
                <w:szCs w:val="16"/>
              </w:rPr>
              <w:t>Becas para el Curso de verano OMPI-República de Corea</w:t>
            </w:r>
          </w:p>
        </w:tc>
        <w:tc>
          <w:tcPr>
            <w:tcW w:w="1134" w:type="dxa"/>
            <w:tcBorders>
              <w:top w:val="nil"/>
              <w:bottom w:val="single" w:sz="4" w:space="0" w:color="auto"/>
            </w:tcBorders>
          </w:tcPr>
          <w:p w:rsidR="00C91295" w:rsidRPr="00526311" w:rsidRDefault="00C91295" w:rsidP="00F1387F">
            <w:pPr>
              <w:autoSpaceDE w:val="0"/>
              <w:autoSpaceDN w:val="0"/>
              <w:adjustRightInd w:val="0"/>
              <w:spacing w:before="60" w:after="60"/>
              <w:rPr>
                <w:sz w:val="16"/>
                <w:szCs w:val="16"/>
              </w:rPr>
            </w:pPr>
            <w:r w:rsidRPr="00526311">
              <w:rPr>
                <w:sz w:val="16"/>
                <w:szCs w:val="16"/>
              </w:rPr>
              <w:t>14 a 25 de julio de 2014</w:t>
            </w:r>
          </w:p>
        </w:tc>
        <w:tc>
          <w:tcPr>
            <w:tcW w:w="2268" w:type="dxa"/>
            <w:tcBorders>
              <w:top w:val="nil"/>
              <w:bottom w:val="single" w:sz="4" w:space="0" w:color="auto"/>
            </w:tcBorders>
          </w:tcPr>
          <w:p w:rsidR="00C91295" w:rsidRPr="00526311" w:rsidRDefault="00C91295" w:rsidP="00F1387F">
            <w:pPr>
              <w:autoSpaceDE w:val="0"/>
              <w:autoSpaceDN w:val="0"/>
              <w:adjustRightInd w:val="0"/>
              <w:spacing w:before="60" w:after="60"/>
              <w:ind w:right="-108"/>
              <w:rPr>
                <w:sz w:val="16"/>
                <w:szCs w:val="16"/>
              </w:rPr>
            </w:pPr>
            <w:r w:rsidRPr="00526311">
              <w:rPr>
                <w:sz w:val="16"/>
                <w:szCs w:val="16"/>
              </w:rPr>
              <w:t>República de Corea / 11 participantes de Bangladesh, Camerún, Egipto, Lesotho, Malasia, Mongolia, Vietnam (2), Zambia (2) y Zimbabwe</w:t>
            </w:r>
          </w:p>
        </w:tc>
        <w:tc>
          <w:tcPr>
            <w:tcW w:w="4111"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60" w:after="60"/>
              <w:rPr>
                <w:sz w:val="16"/>
                <w:szCs w:val="16"/>
              </w:rPr>
            </w:pPr>
            <w:r w:rsidRPr="00526311">
              <w:rPr>
                <w:sz w:val="16"/>
                <w:szCs w:val="16"/>
              </w:rPr>
              <w:t>i) Fortalecer las capacidades de los estudiantes universitarios y jóvenes profesionales mediante un conocimiento más profundo de los campos relacionados con los derechos de P.I.;  y ii) mejorar su comprensión del papel y la función del sistema de P.I.</w:t>
            </w:r>
          </w:p>
        </w:tc>
      </w:tr>
    </w:tbl>
    <w:p w:rsidR="00C91295" w:rsidRPr="00526311" w:rsidRDefault="00C91295" w:rsidP="00F1387F"/>
    <w:p w:rsidR="00C91295" w:rsidRPr="00526311" w:rsidRDefault="00C91295" w:rsidP="00F1387F">
      <w:pPr>
        <w:keepNext/>
        <w:keepLines/>
        <w:rPr>
          <w:b/>
          <w:sz w:val="18"/>
          <w:szCs w:val="18"/>
        </w:rPr>
      </w:pPr>
    </w:p>
    <w:p w:rsidR="00C91295" w:rsidRPr="00526311" w:rsidRDefault="00C91295" w:rsidP="00F1387F">
      <w:pPr>
        <w:keepNext/>
        <w:keepLines/>
        <w:rPr>
          <w:b/>
          <w:bCs/>
          <w:sz w:val="18"/>
          <w:szCs w:val="18"/>
        </w:rPr>
      </w:pPr>
      <w:r w:rsidRPr="00526311">
        <w:rPr>
          <w:b/>
          <w:bCs/>
          <w:sz w:val="18"/>
          <w:szCs w:val="18"/>
        </w:rPr>
        <w:t>REPÚBLICA DE COREA (EDUCACIÓN) – Becas en P.I. (Academia) – Contribuciones de donantes y gastos en 2014</w:t>
      </w:r>
    </w:p>
    <w:p w:rsidR="00C91295" w:rsidRPr="00526311" w:rsidRDefault="00C91295" w:rsidP="00F1387F">
      <w:pPr>
        <w:keepNext/>
        <w:keepLines/>
        <w:rPr>
          <w:b/>
          <w:bCs/>
          <w:sz w:val="18"/>
          <w:szCs w:val="18"/>
        </w:rPr>
      </w:pPr>
    </w:p>
    <w:tbl>
      <w:tblPr>
        <w:tblW w:w="9087" w:type="dxa"/>
        <w:tblInd w:w="93" w:type="dxa"/>
        <w:tblLook w:val="04A0" w:firstRow="1" w:lastRow="0" w:firstColumn="1" w:lastColumn="0" w:noHBand="0" w:noVBand="1"/>
      </w:tblPr>
      <w:tblGrid>
        <w:gridCol w:w="1858"/>
        <w:gridCol w:w="1559"/>
        <w:gridCol w:w="1701"/>
        <w:gridCol w:w="1985"/>
        <w:gridCol w:w="1984"/>
      </w:tblGrid>
      <w:tr w:rsidR="00C91295" w:rsidRPr="00526311" w:rsidTr="00F1387F">
        <w:trPr>
          <w:trHeight w:val="446"/>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keepNext/>
              <w:jc w:val="center"/>
              <w:rPr>
                <w:b/>
                <w:bCs/>
                <w:sz w:val="16"/>
                <w:szCs w:val="16"/>
              </w:rPr>
            </w:pPr>
            <w:r w:rsidRPr="00526311">
              <w:rPr>
                <w:b/>
                <w:bCs/>
                <w:sz w:val="16"/>
                <w:szCs w:val="16"/>
              </w:rPr>
              <w:t>Balance a 31 de diciembre de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keepNext/>
              <w:jc w:val="center"/>
              <w:rPr>
                <w:b/>
                <w:bCs/>
                <w:sz w:val="16"/>
                <w:szCs w:val="16"/>
              </w:rPr>
            </w:pPr>
            <w:r w:rsidRPr="00526311">
              <w:rPr>
                <w:b/>
                <w:bCs/>
                <w:sz w:val="16"/>
                <w:szCs w:val="16"/>
              </w:rPr>
              <w:t>Ingresos en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keepNext/>
              <w:jc w:val="center"/>
              <w:rPr>
                <w:b/>
                <w:bCs/>
                <w:sz w:val="16"/>
                <w:szCs w:val="16"/>
              </w:rPr>
            </w:pPr>
            <w:r w:rsidRPr="00526311">
              <w:rPr>
                <w:b/>
                <w:bCs/>
                <w:sz w:val="16"/>
                <w:szCs w:val="16"/>
              </w:rPr>
              <w:t>Gastos en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keepNext/>
              <w:jc w:val="center"/>
              <w:rPr>
                <w:b/>
                <w:bCs/>
                <w:sz w:val="16"/>
                <w:szCs w:val="16"/>
              </w:rPr>
            </w:pPr>
            <w:r w:rsidRPr="00526311">
              <w:rPr>
                <w:b/>
                <w:bCs/>
                <w:sz w:val="16"/>
                <w:szCs w:val="16"/>
              </w:rPr>
              <w:t>Reembolsos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keepNext/>
              <w:jc w:val="center"/>
              <w:rPr>
                <w:b/>
                <w:bCs/>
                <w:sz w:val="16"/>
                <w:szCs w:val="16"/>
              </w:rPr>
            </w:pPr>
            <w:r w:rsidRPr="00526311">
              <w:rPr>
                <w:b/>
                <w:bCs/>
                <w:sz w:val="16"/>
                <w:szCs w:val="16"/>
              </w:rPr>
              <w:t>Balance a 31 de diciembre de 2014</w:t>
            </w:r>
          </w:p>
        </w:tc>
      </w:tr>
      <w:tr w:rsidR="00C91295" w:rsidRPr="00526311" w:rsidTr="00F1387F">
        <w:trPr>
          <w:trHeight w:val="478"/>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247.488</w:t>
            </w:r>
          </w:p>
        </w:tc>
        <w:tc>
          <w:tcPr>
            <w:tcW w:w="1559"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174.193</w:t>
            </w:r>
          </w:p>
        </w:tc>
        <w:tc>
          <w:tcPr>
            <w:tcW w:w="1701"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144.955</w:t>
            </w:r>
          </w:p>
        </w:tc>
        <w:tc>
          <w:tcPr>
            <w:tcW w:w="1985"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276.726</w:t>
            </w:r>
          </w:p>
        </w:tc>
      </w:tr>
    </w:tbl>
    <w:p w:rsidR="00C91295" w:rsidRPr="00526311" w:rsidRDefault="00C91295" w:rsidP="00F1387F">
      <w:pPr>
        <w:rPr>
          <w:b/>
          <w:sz w:val="20"/>
        </w:rPr>
      </w:pPr>
    </w:p>
    <w:p w:rsidR="00C91295" w:rsidRPr="00526311" w:rsidRDefault="00C91295" w:rsidP="00F1387F">
      <w:pPr>
        <w:rPr>
          <w:b/>
          <w:sz w:val="20"/>
        </w:rPr>
      </w:pPr>
    </w:p>
    <w:p w:rsidR="00C91295" w:rsidRPr="00526311" w:rsidRDefault="00C91295" w:rsidP="00F1387F">
      <w:pPr>
        <w:keepNext/>
        <w:keepLines/>
        <w:rPr>
          <w:b/>
          <w:sz w:val="20"/>
        </w:rPr>
      </w:pPr>
      <w:r w:rsidRPr="00526311">
        <w:rPr>
          <w:b/>
          <w:sz w:val="20"/>
        </w:rPr>
        <w:t>REPÚBLICA DE COREA – PROPIEDAD INTELECTUAL</w:t>
      </w:r>
    </w:p>
    <w:p w:rsidR="00C91295" w:rsidRPr="00526311" w:rsidRDefault="00C91295" w:rsidP="00F1387F">
      <w:pPr>
        <w:keepNext/>
        <w:keepLines/>
        <w:rPr>
          <w:b/>
          <w:sz w:val="20"/>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C91295" w:rsidRPr="00526311" w:rsidTr="00F1387F">
        <w:tc>
          <w:tcPr>
            <w:tcW w:w="9386" w:type="dxa"/>
            <w:gridSpan w:val="4"/>
            <w:tcBorders>
              <w:top w:val="single" w:sz="4" w:space="0" w:color="000000"/>
              <w:bottom w:val="single" w:sz="4" w:space="0" w:color="000000"/>
            </w:tcBorders>
            <w:shd w:val="clear" w:color="auto" w:fill="CCFFFF"/>
            <w:vAlign w:val="center"/>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I.2 Marcos de P.I. adaptados y equilibrados en el ámbito legislativo, reglamentario y de política</w:t>
            </w:r>
          </w:p>
        </w:tc>
      </w:tr>
      <w:tr w:rsidR="00C91295" w:rsidRPr="00526311" w:rsidTr="00F1387F">
        <w:tc>
          <w:tcPr>
            <w:tcW w:w="1873" w:type="dxa"/>
            <w:tcBorders>
              <w:top w:val="single" w:sz="4" w:space="0" w:color="000000"/>
            </w:tcBorders>
            <w:vAlign w:val="center"/>
          </w:tcPr>
          <w:p w:rsidR="00C91295" w:rsidRPr="00526311" w:rsidRDefault="00C91295" w:rsidP="00F1387F">
            <w:pPr>
              <w:keepNext/>
              <w:keepLines/>
              <w:rPr>
                <w:b/>
                <w:bCs/>
                <w:sz w:val="16"/>
                <w:szCs w:val="16"/>
              </w:rPr>
            </w:pPr>
            <w:r w:rsidRPr="00526311">
              <w:rPr>
                <w:b/>
                <w:bCs/>
                <w:sz w:val="16"/>
                <w:szCs w:val="16"/>
              </w:rPr>
              <w:t>Actividad</w:t>
            </w:r>
          </w:p>
        </w:tc>
        <w:tc>
          <w:tcPr>
            <w:tcW w:w="1134" w:type="dxa"/>
            <w:tcBorders>
              <w:top w:val="single" w:sz="4" w:space="0" w:color="000000"/>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Fecha</w:t>
            </w:r>
          </w:p>
        </w:tc>
        <w:tc>
          <w:tcPr>
            <w:tcW w:w="1843" w:type="dxa"/>
            <w:tcBorders>
              <w:top w:val="single" w:sz="4" w:space="0" w:color="000000"/>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País anfitrión / Beneficiarios</w:t>
            </w:r>
          </w:p>
        </w:tc>
        <w:tc>
          <w:tcPr>
            <w:tcW w:w="4536" w:type="dxa"/>
            <w:tcBorders>
              <w:top w:val="single" w:sz="4" w:space="0" w:color="000000"/>
            </w:tcBorders>
            <w:shd w:val="clear" w:color="auto" w:fill="FFFFFF"/>
            <w:tcMar>
              <w:top w:w="110" w:type="dxa"/>
            </w:tcMar>
            <w:vAlign w:val="center"/>
          </w:tcPr>
          <w:p w:rsidR="00C91295" w:rsidRPr="00526311" w:rsidRDefault="00C91295" w:rsidP="00F1387F">
            <w:pPr>
              <w:keepNext/>
              <w:keepLines/>
              <w:rPr>
                <w:sz w:val="16"/>
                <w:szCs w:val="16"/>
              </w:rPr>
            </w:pPr>
            <w:r w:rsidRPr="00526311">
              <w:rPr>
                <w:b/>
                <w:sz w:val="16"/>
                <w:szCs w:val="16"/>
              </w:rPr>
              <w:t>Propósito(s) / Descripción</w:t>
            </w:r>
          </w:p>
        </w:tc>
      </w:tr>
      <w:tr w:rsidR="00C91295" w:rsidRPr="00526311" w:rsidTr="00F1387F">
        <w:tc>
          <w:tcPr>
            <w:tcW w:w="1873" w:type="dxa"/>
          </w:tcPr>
          <w:p w:rsidR="00C91295" w:rsidRPr="00526311" w:rsidRDefault="00C91295" w:rsidP="00F1387F">
            <w:pPr>
              <w:autoSpaceDE w:val="0"/>
              <w:autoSpaceDN w:val="0"/>
              <w:adjustRightInd w:val="0"/>
              <w:spacing w:before="120" w:after="120"/>
              <w:rPr>
                <w:sz w:val="16"/>
                <w:szCs w:val="16"/>
              </w:rPr>
            </w:pPr>
            <w:r w:rsidRPr="00526311">
              <w:rPr>
                <w:sz w:val="16"/>
                <w:szCs w:val="16"/>
              </w:rPr>
              <w:t>Producción de una Guía sobre procedimientos extrajudiciales de solución de controversias</w:t>
            </w:r>
          </w:p>
        </w:tc>
        <w:tc>
          <w:tcPr>
            <w:tcW w:w="1134" w:type="dxa"/>
          </w:tcPr>
          <w:p w:rsidR="00C91295" w:rsidRPr="00526311" w:rsidRDefault="00C91295" w:rsidP="00F1387F">
            <w:pPr>
              <w:autoSpaceDE w:val="0"/>
              <w:autoSpaceDN w:val="0"/>
              <w:adjustRightInd w:val="0"/>
              <w:spacing w:before="120" w:after="120"/>
              <w:rPr>
                <w:sz w:val="16"/>
                <w:szCs w:val="16"/>
                <w:lang w:eastAsia="ko-KR"/>
              </w:rPr>
            </w:pPr>
            <w:r w:rsidRPr="00526311">
              <w:rPr>
                <w:rFonts w:eastAsia="Malgun Gothic"/>
                <w:sz w:val="16"/>
                <w:szCs w:val="16"/>
                <w:lang w:eastAsia="ko-KR"/>
              </w:rPr>
              <w:t>Octubre de</w:t>
            </w:r>
            <w:r w:rsidRPr="00526311">
              <w:rPr>
                <w:sz w:val="16"/>
                <w:szCs w:val="16"/>
                <w:lang w:eastAsia="ko-KR"/>
              </w:rPr>
              <w:t xml:space="preserve"> 201</w:t>
            </w:r>
            <w:r w:rsidRPr="00526311">
              <w:rPr>
                <w:rFonts w:eastAsia="Malgun Gothic"/>
                <w:sz w:val="16"/>
                <w:szCs w:val="16"/>
                <w:lang w:eastAsia="ko-KR"/>
              </w:rPr>
              <w:t>4</w:t>
            </w:r>
            <w:r w:rsidRPr="00526311">
              <w:rPr>
                <w:sz w:val="16"/>
                <w:szCs w:val="16"/>
                <w:lang w:eastAsia="ko-KR"/>
              </w:rPr>
              <w:t xml:space="preserve"> (Iniciado)</w:t>
            </w:r>
          </w:p>
        </w:tc>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Todos los Estados miembros de la OMPI</w:t>
            </w:r>
          </w:p>
        </w:tc>
        <w:tc>
          <w:tcPr>
            <w:tcW w:w="4536" w:type="dxa"/>
          </w:tcPr>
          <w:p w:rsidR="00C91295" w:rsidRPr="00526311" w:rsidRDefault="00C91295" w:rsidP="00F1387F">
            <w:pPr>
              <w:autoSpaceDE w:val="0"/>
              <w:autoSpaceDN w:val="0"/>
              <w:adjustRightInd w:val="0"/>
              <w:spacing w:before="120" w:after="120"/>
              <w:rPr>
                <w:sz w:val="16"/>
                <w:szCs w:val="16"/>
                <w:lang w:eastAsia="ko-KR"/>
              </w:rPr>
            </w:pPr>
            <w:r w:rsidRPr="00526311">
              <w:rPr>
                <w:sz w:val="16"/>
                <w:szCs w:val="16"/>
                <w:lang w:eastAsia="ko-KR"/>
              </w:rPr>
              <w:t>i) Mejorar la comprensión de los procedimientos de solución extrajudicial de controversias en los litigios sobre P.I.</w:t>
            </w:r>
            <w:r w:rsidRPr="00526311">
              <w:rPr>
                <w:rFonts w:eastAsia="Malgun Gothic"/>
                <w:sz w:val="16"/>
                <w:szCs w:val="16"/>
                <w:lang w:eastAsia="ko-KR"/>
              </w:rPr>
              <w:t>;  ii)</w:t>
            </w:r>
            <w:r w:rsidRPr="00526311">
              <w:rPr>
                <w:sz w:val="16"/>
                <w:szCs w:val="16"/>
                <w:lang w:eastAsia="ko-KR"/>
              </w:rPr>
              <w:t xml:space="preserve"> compartir con las autoridades nacionales en la materia la experiencia del Centro de Arbitraje y Mediación de la OMPI en solución extrajudicial de controversias</w:t>
            </w:r>
            <w:r w:rsidRPr="00526311">
              <w:rPr>
                <w:rFonts w:eastAsia="Malgun Gothic"/>
                <w:sz w:val="16"/>
                <w:szCs w:val="16"/>
                <w:lang w:eastAsia="ko-KR"/>
              </w:rPr>
              <w:t>;  y iii)</w:t>
            </w:r>
            <w:r w:rsidRPr="00526311">
              <w:rPr>
                <w:sz w:val="16"/>
                <w:szCs w:val="16"/>
                <w:lang w:eastAsia="ko-KR"/>
              </w:rPr>
              <w:t xml:space="preserve"> alentar a los países en desarrollo a elaborar y aplicar procedimientos adecuados de solución extrajudicial de controversias.</w:t>
            </w:r>
          </w:p>
        </w:tc>
      </w:tr>
      <w:tr w:rsidR="00C91295" w:rsidRPr="00526311" w:rsidTr="00F1387F">
        <w:tc>
          <w:tcPr>
            <w:tcW w:w="9386" w:type="dxa"/>
            <w:gridSpan w:val="4"/>
            <w:tcBorders>
              <w:top w:val="single" w:sz="4" w:space="0" w:color="000000"/>
              <w:bottom w:val="single" w:sz="4" w:space="0" w:color="000000"/>
            </w:tcBorders>
            <w:shd w:val="clear" w:color="auto" w:fill="CCFFFF"/>
            <w:vAlign w:val="center"/>
          </w:tcPr>
          <w:p w:rsidR="00C91295" w:rsidRPr="00526311" w:rsidRDefault="00C91295" w:rsidP="00F1387F">
            <w:pPr>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III.1 Estrategias y planes nacionales de innovación y de P.I. que estén en sintonía con los objetivos nacionales de desarrollo</w:t>
            </w:r>
          </w:p>
        </w:tc>
      </w:tr>
      <w:tr w:rsidR="00C91295" w:rsidRPr="00526311" w:rsidTr="00F1387F">
        <w:tc>
          <w:tcPr>
            <w:tcW w:w="1873" w:type="dxa"/>
            <w:tcBorders>
              <w:top w:val="single" w:sz="4" w:space="0" w:color="000000"/>
            </w:tcBorders>
            <w:vAlign w:val="center"/>
          </w:tcPr>
          <w:p w:rsidR="00C91295" w:rsidRPr="00526311" w:rsidRDefault="00C91295" w:rsidP="00F1387F">
            <w:pPr>
              <w:rPr>
                <w:b/>
                <w:bCs/>
                <w:sz w:val="16"/>
                <w:szCs w:val="16"/>
              </w:rPr>
            </w:pPr>
            <w:r w:rsidRPr="00526311">
              <w:rPr>
                <w:b/>
                <w:bCs/>
                <w:sz w:val="16"/>
                <w:szCs w:val="16"/>
              </w:rPr>
              <w:t>Actividad</w:t>
            </w:r>
          </w:p>
        </w:tc>
        <w:tc>
          <w:tcPr>
            <w:tcW w:w="1134" w:type="dxa"/>
            <w:tcBorders>
              <w:top w:val="single" w:sz="4" w:space="0" w:color="000000"/>
            </w:tcBorders>
            <w:shd w:val="clear" w:color="auto" w:fill="auto"/>
            <w:tcMar>
              <w:top w:w="110" w:type="dxa"/>
            </w:tcMar>
            <w:vAlign w:val="center"/>
          </w:tcPr>
          <w:p w:rsidR="00C91295" w:rsidRPr="00526311" w:rsidRDefault="00C91295" w:rsidP="00F1387F">
            <w:pPr>
              <w:rPr>
                <w:sz w:val="16"/>
                <w:szCs w:val="16"/>
              </w:rPr>
            </w:pPr>
            <w:r w:rsidRPr="00526311">
              <w:rPr>
                <w:b/>
                <w:sz w:val="16"/>
                <w:szCs w:val="16"/>
              </w:rPr>
              <w:t>Fecha</w:t>
            </w:r>
          </w:p>
        </w:tc>
        <w:tc>
          <w:tcPr>
            <w:tcW w:w="1843" w:type="dxa"/>
            <w:tcBorders>
              <w:top w:val="single" w:sz="4" w:space="0" w:color="000000"/>
            </w:tcBorders>
            <w:shd w:val="clear" w:color="auto" w:fill="auto"/>
            <w:tcMar>
              <w:top w:w="110" w:type="dxa"/>
            </w:tcMar>
            <w:vAlign w:val="center"/>
          </w:tcPr>
          <w:p w:rsidR="00C91295" w:rsidRPr="00526311" w:rsidRDefault="00C91295" w:rsidP="00F1387F">
            <w:pPr>
              <w:rPr>
                <w:sz w:val="16"/>
                <w:szCs w:val="16"/>
              </w:rPr>
            </w:pPr>
            <w:r w:rsidRPr="00526311">
              <w:rPr>
                <w:b/>
                <w:sz w:val="16"/>
                <w:szCs w:val="16"/>
              </w:rPr>
              <w:t>País anfitrión / Beneficiarios</w:t>
            </w:r>
          </w:p>
        </w:tc>
        <w:tc>
          <w:tcPr>
            <w:tcW w:w="4536" w:type="dxa"/>
            <w:tcBorders>
              <w:top w:val="single" w:sz="4" w:space="0" w:color="000000"/>
            </w:tcBorders>
            <w:shd w:val="clear" w:color="auto" w:fill="FFFFFF"/>
            <w:tcMar>
              <w:top w:w="110" w:type="dxa"/>
            </w:tcMar>
            <w:vAlign w:val="center"/>
          </w:tcPr>
          <w:p w:rsidR="00C91295" w:rsidRPr="00526311" w:rsidRDefault="00C91295" w:rsidP="00F1387F">
            <w:pPr>
              <w:rPr>
                <w:sz w:val="16"/>
                <w:szCs w:val="16"/>
              </w:rPr>
            </w:pPr>
            <w:r w:rsidRPr="00526311">
              <w:rPr>
                <w:b/>
                <w:sz w:val="16"/>
                <w:szCs w:val="16"/>
              </w:rPr>
              <w:t>Propósito(s) / Descripción</w:t>
            </w:r>
          </w:p>
        </w:tc>
      </w:tr>
      <w:tr w:rsidR="00C91295" w:rsidRPr="00526311" w:rsidTr="00F1387F">
        <w:tc>
          <w:tcPr>
            <w:tcW w:w="1873" w:type="dxa"/>
          </w:tcPr>
          <w:p w:rsidR="00C91295" w:rsidRPr="00526311" w:rsidRDefault="00C91295" w:rsidP="00F1387F">
            <w:pPr>
              <w:spacing w:before="60" w:after="60"/>
              <w:rPr>
                <w:sz w:val="16"/>
                <w:szCs w:val="16"/>
                <w:lang w:eastAsia="ko-KR"/>
              </w:rPr>
            </w:pPr>
            <w:r w:rsidRPr="00526311">
              <w:rPr>
                <w:sz w:val="16"/>
                <w:szCs w:val="16"/>
                <w:lang w:eastAsia="ko-KR"/>
              </w:rPr>
              <w:t>Visita de estudio</w:t>
            </w:r>
          </w:p>
        </w:tc>
        <w:tc>
          <w:tcPr>
            <w:tcW w:w="1134" w:type="dxa"/>
            <w:shd w:val="clear" w:color="auto" w:fill="auto"/>
            <w:tcMar>
              <w:top w:w="110" w:type="dxa"/>
            </w:tcMar>
          </w:tcPr>
          <w:p w:rsidR="00C91295" w:rsidRPr="00526311" w:rsidRDefault="00C91295" w:rsidP="00F1387F">
            <w:pPr>
              <w:spacing w:before="60" w:after="60"/>
              <w:rPr>
                <w:sz w:val="16"/>
                <w:szCs w:val="16"/>
              </w:rPr>
            </w:pPr>
            <w:r w:rsidRPr="00526311">
              <w:rPr>
                <w:sz w:val="16"/>
                <w:szCs w:val="16"/>
              </w:rPr>
              <w:t>15 a 18 de diciembre de 2014</w:t>
            </w:r>
          </w:p>
        </w:tc>
        <w:tc>
          <w:tcPr>
            <w:tcW w:w="1843" w:type="dxa"/>
            <w:shd w:val="clear" w:color="auto" w:fill="auto"/>
            <w:tcMar>
              <w:top w:w="110" w:type="dxa"/>
            </w:tcMar>
          </w:tcPr>
          <w:p w:rsidR="00C91295" w:rsidRPr="00526311" w:rsidRDefault="00C91295" w:rsidP="00F1387F">
            <w:pPr>
              <w:autoSpaceDE w:val="0"/>
              <w:autoSpaceDN w:val="0"/>
              <w:adjustRightInd w:val="0"/>
              <w:spacing w:before="60" w:after="60"/>
              <w:rPr>
                <w:rFonts w:eastAsia="Malgun Gothic"/>
                <w:bCs/>
                <w:sz w:val="16"/>
                <w:szCs w:val="16"/>
                <w:lang w:eastAsia="ko-KR"/>
              </w:rPr>
            </w:pPr>
            <w:r w:rsidRPr="00526311">
              <w:rPr>
                <w:rFonts w:eastAsia="Malgun Gothic"/>
                <w:bCs/>
                <w:sz w:val="16"/>
                <w:szCs w:val="16"/>
                <w:lang w:eastAsia="ko-KR"/>
              </w:rPr>
              <w:t xml:space="preserve">República de Corea / 8 participantes del Pakistán </w:t>
            </w:r>
          </w:p>
        </w:tc>
        <w:tc>
          <w:tcPr>
            <w:tcW w:w="4536" w:type="dxa"/>
            <w:shd w:val="clear" w:color="auto" w:fill="FFFFFF"/>
            <w:tcMar>
              <w:top w:w="110" w:type="dxa"/>
            </w:tcMar>
          </w:tcPr>
          <w:p w:rsidR="00C91295" w:rsidRPr="00526311" w:rsidRDefault="00C91295" w:rsidP="00F1387F">
            <w:pPr>
              <w:spacing w:before="60" w:after="60"/>
              <w:rPr>
                <w:sz w:val="16"/>
                <w:szCs w:val="16"/>
              </w:rPr>
            </w:pPr>
            <w:r w:rsidRPr="00526311">
              <w:rPr>
                <w:rFonts w:eastAsia="Malgun Gothic"/>
                <w:sz w:val="16"/>
                <w:szCs w:val="16"/>
                <w:lang w:eastAsia="ko-KR"/>
              </w:rPr>
              <w:t>i)</w:t>
            </w:r>
            <w:r w:rsidRPr="00526311">
              <w:rPr>
                <w:sz w:val="16"/>
                <w:szCs w:val="16"/>
              </w:rPr>
              <w:t xml:space="preserve"> Mejorar la comprensión de los mecanismos de P.I. para promover vínculos entre las instituciones de investigación y el sector industrial; </w:t>
            </w:r>
            <w:r w:rsidRPr="00526311">
              <w:rPr>
                <w:rFonts w:eastAsia="Malgun Gothic"/>
                <w:sz w:val="16"/>
                <w:szCs w:val="16"/>
                <w:lang w:eastAsia="ko-KR"/>
              </w:rPr>
              <w:t>y</w:t>
            </w:r>
            <w:r w:rsidRPr="00526311">
              <w:rPr>
                <w:sz w:val="16"/>
                <w:szCs w:val="16"/>
              </w:rPr>
              <w:t xml:space="preserve"> ii) fortalecer la capacidad de fomentar la colaboración entre la universidad y el sector industrial, en particular, mejorando la concordancia entre la oferta y la demanda.</w:t>
            </w:r>
          </w:p>
          <w:p w:rsidR="00C91295" w:rsidRPr="00526311" w:rsidRDefault="00C91295" w:rsidP="00F1387F">
            <w:pPr>
              <w:spacing w:before="60" w:after="60"/>
              <w:rPr>
                <w:rFonts w:eastAsia="Malgun Gothic"/>
                <w:sz w:val="16"/>
                <w:szCs w:val="16"/>
                <w:lang w:eastAsia="ko-KR"/>
              </w:rPr>
            </w:pPr>
            <w:r w:rsidRPr="00526311">
              <w:rPr>
                <w:rFonts w:eastAsia="Malgun Gothic"/>
                <w:sz w:val="16"/>
                <w:szCs w:val="16"/>
                <w:lang w:eastAsia="ko-KR"/>
              </w:rPr>
              <w:t>Visitó Daejeon y Seúl (República de Corea) una delegación del Pakistán, compuesta por dos funcionarios gubernamentales, cuatro funcionarios de la Oficina de Investigación, Innovación y Comercialización en las Universidades y dos funcionarios del sector industrial.</w:t>
            </w:r>
          </w:p>
        </w:tc>
      </w:tr>
      <w:tr w:rsidR="00C91295" w:rsidRPr="00526311" w:rsidTr="00F1387F">
        <w:tc>
          <w:tcPr>
            <w:tcW w:w="1873" w:type="dxa"/>
          </w:tcPr>
          <w:p w:rsidR="00C91295" w:rsidRPr="00526311" w:rsidRDefault="00C91295" w:rsidP="00F1387F">
            <w:pPr>
              <w:spacing w:before="60" w:after="60"/>
              <w:rPr>
                <w:sz w:val="16"/>
                <w:szCs w:val="16"/>
                <w:lang w:eastAsia="ko-KR"/>
              </w:rPr>
            </w:pPr>
            <w:r w:rsidRPr="00526311">
              <w:rPr>
                <w:sz w:val="16"/>
                <w:szCs w:val="16"/>
                <w:lang w:eastAsia="ko-KR"/>
              </w:rPr>
              <w:t>Misión de expertos</w:t>
            </w:r>
          </w:p>
        </w:tc>
        <w:tc>
          <w:tcPr>
            <w:tcW w:w="1134" w:type="dxa"/>
            <w:shd w:val="clear" w:color="auto" w:fill="auto"/>
            <w:tcMar>
              <w:top w:w="110" w:type="dxa"/>
            </w:tcMar>
          </w:tcPr>
          <w:p w:rsidR="00C91295" w:rsidRPr="00526311" w:rsidRDefault="00C91295" w:rsidP="00F1387F">
            <w:pPr>
              <w:spacing w:before="60" w:after="60"/>
              <w:rPr>
                <w:sz w:val="16"/>
                <w:szCs w:val="16"/>
              </w:rPr>
            </w:pPr>
            <w:r w:rsidRPr="00526311">
              <w:rPr>
                <w:sz w:val="16"/>
                <w:szCs w:val="16"/>
              </w:rPr>
              <w:t>3 a 6 de marzo de 2014</w:t>
            </w:r>
          </w:p>
        </w:tc>
        <w:tc>
          <w:tcPr>
            <w:tcW w:w="1843" w:type="dxa"/>
            <w:shd w:val="clear" w:color="auto" w:fill="auto"/>
            <w:tcMar>
              <w:top w:w="110" w:type="dxa"/>
            </w:tcMar>
          </w:tcPr>
          <w:p w:rsidR="00C91295" w:rsidRPr="00526311" w:rsidRDefault="00C91295" w:rsidP="00F1387F">
            <w:pPr>
              <w:autoSpaceDE w:val="0"/>
              <w:autoSpaceDN w:val="0"/>
              <w:adjustRightInd w:val="0"/>
              <w:spacing w:before="60" w:after="60"/>
              <w:rPr>
                <w:rFonts w:eastAsia="Malgun Gothic"/>
                <w:bCs/>
                <w:sz w:val="16"/>
                <w:szCs w:val="16"/>
                <w:lang w:eastAsia="ko-KR"/>
              </w:rPr>
            </w:pPr>
            <w:r w:rsidRPr="00526311">
              <w:rPr>
                <w:rFonts w:eastAsia="Malgun Gothic"/>
                <w:bCs/>
                <w:sz w:val="16"/>
                <w:szCs w:val="16"/>
                <w:lang w:eastAsia="ko-KR"/>
              </w:rPr>
              <w:t>Brunei Darussalam</w:t>
            </w:r>
          </w:p>
        </w:tc>
        <w:tc>
          <w:tcPr>
            <w:tcW w:w="4536" w:type="dxa"/>
            <w:shd w:val="clear" w:color="auto" w:fill="FFFFFF"/>
            <w:tcMar>
              <w:top w:w="110" w:type="dxa"/>
            </w:tcMar>
          </w:tcPr>
          <w:p w:rsidR="00C91295" w:rsidRPr="00526311" w:rsidRDefault="00C91295" w:rsidP="00F1387F">
            <w:pPr>
              <w:spacing w:before="60" w:after="60"/>
              <w:rPr>
                <w:rFonts w:eastAsia="Malgun Gothic"/>
                <w:sz w:val="16"/>
                <w:szCs w:val="16"/>
              </w:rPr>
            </w:pPr>
            <w:r w:rsidRPr="00526311">
              <w:rPr>
                <w:sz w:val="16"/>
                <w:szCs w:val="16"/>
                <w:lang w:eastAsia="ko-KR"/>
              </w:rPr>
              <w:t>Mejorar el funcionamiento del Registro de Marcas e impartir formación a los examinadores de marcas recientemente contratados.</w:t>
            </w:r>
          </w:p>
        </w:tc>
      </w:tr>
      <w:tr w:rsidR="00C91295" w:rsidRPr="00526311" w:rsidTr="00F1387F">
        <w:tc>
          <w:tcPr>
            <w:tcW w:w="9386" w:type="dxa"/>
            <w:gridSpan w:val="4"/>
            <w:tcBorders>
              <w:top w:val="single" w:sz="4" w:space="0" w:color="000000"/>
              <w:bottom w:val="single" w:sz="4" w:space="0" w:color="000000"/>
            </w:tcBorders>
            <w:shd w:val="clear" w:color="auto" w:fill="CCFFFF"/>
            <w:vAlign w:val="center"/>
          </w:tcPr>
          <w:p w:rsidR="00C91295" w:rsidRPr="00526311" w:rsidRDefault="00C91295" w:rsidP="00F1387F">
            <w:pPr>
              <w:keepNext/>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c>
          <w:tcPr>
            <w:tcW w:w="1873" w:type="dxa"/>
            <w:tcBorders>
              <w:top w:val="single" w:sz="4" w:space="0" w:color="000000"/>
            </w:tcBorders>
            <w:vAlign w:val="center"/>
          </w:tcPr>
          <w:p w:rsidR="00C91295" w:rsidRPr="00526311" w:rsidRDefault="00C91295" w:rsidP="00F1387F">
            <w:pPr>
              <w:rPr>
                <w:b/>
                <w:bCs/>
                <w:sz w:val="16"/>
                <w:szCs w:val="16"/>
              </w:rPr>
            </w:pPr>
            <w:r w:rsidRPr="00526311">
              <w:rPr>
                <w:b/>
                <w:bCs/>
                <w:sz w:val="16"/>
                <w:szCs w:val="16"/>
              </w:rPr>
              <w:t>Actividad</w:t>
            </w:r>
          </w:p>
        </w:tc>
        <w:tc>
          <w:tcPr>
            <w:tcW w:w="1134" w:type="dxa"/>
            <w:tcBorders>
              <w:top w:val="single" w:sz="4" w:space="0" w:color="000000"/>
            </w:tcBorders>
            <w:shd w:val="clear" w:color="auto" w:fill="auto"/>
            <w:tcMar>
              <w:top w:w="110" w:type="dxa"/>
            </w:tcMar>
            <w:vAlign w:val="center"/>
          </w:tcPr>
          <w:p w:rsidR="00C91295" w:rsidRPr="00526311" w:rsidRDefault="00C91295" w:rsidP="00F1387F">
            <w:pPr>
              <w:keepNext/>
              <w:rPr>
                <w:sz w:val="16"/>
                <w:szCs w:val="16"/>
              </w:rPr>
            </w:pPr>
            <w:r w:rsidRPr="00526311">
              <w:rPr>
                <w:b/>
                <w:sz w:val="16"/>
                <w:szCs w:val="16"/>
              </w:rPr>
              <w:t>Fecha</w:t>
            </w:r>
          </w:p>
        </w:tc>
        <w:tc>
          <w:tcPr>
            <w:tcW w:w="1843" w:type="dxa"/>
            <w:tcBorders>
              <w:top w:val="single" w:sz="4" w:space="0" w:color="000000"/>
            </w:tcBorders>
            <w:shd w:val="clear" w:color="auto" w:fill="auto"/>
            <w:tcMar>
              <w:top w:w="110" w:type="dxa"/>
            </w:tcMar>
            <w:vAlign w:val="center"/>
          </w:tcPr>
          <w:p w:rsidR="00C91295" w:rsidRPr="00526311" w:rsidRDefault="00C91295" w:rsidP="00F1387F">
            <w:pPr>
              <w:keepNext/>
              <w:rPr>
                <w:sz w:val="16"/>
                <w:szCs w:val="16"/>
              </w:rPr>
            </w:pPr>
            <w:r w:rsidRPr="00526311">
              <w:rPr>
                <w:b/>
                <w:sz w:val="16"/>
                <w:szCs w:val="16"/>
              </w:rPr>
              <w:t>País anfitrión / Beneficiarios</w:t>
            </w:r>
          </w:p>
        </w:tc>
        <w:tc>
          <w:tcPr>
            <w:tcW w:w="4536" w:type="dxa"/>
            <w:tcBorders>
              <w:top w:val="single" w:sz="4" w:space="0" w:color="000000"/>
            </w:tcBorders>
            <w:shd w:val="clear" w:color="auto" w:fill="FFFFFF"/>
            <w:tcMar>
              <w:top w:w="110" w:type="dxa"/>
            </w:tcMar>
            <w:vAlign w:val="center"/>
          </w:tcPr>
          <w:p w:rsidR="00C91295" w:rsidRPr="00526311" w:rsidRDefault="00C91295" w:rsidP="00F1387F">
            <w:pPr>
              <w:keepNext/>
              <w:rPr>
                <w:sz w:val="16"/>
                <w:szCs w:val="16"/>
              </w:rPr>
            </w:pPr>
            <w:r w:rsidRPr="00526311">
              <w:rPr>
                <w:b/>
                <w:sz w:val="16"/>
                <w:szCs w:val="16"/>
              </w:rPr>
              <w:t>Propósito(s) / Descripción</w:t>
            </w:r>
          </w:p>
        </w:tc>
      </w:tr>
      <w:tr w:rsidR="00C91295" w:rsidRPr="00526311" w:rsidTr="00F1387F">
        <w:tc>
          <w:tcPr>
            <w:tcW w:w="1873" w:type="dxa"/>
            <w:tcBorders>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Taller sobre derecho de patentes y examen de patentes</w:t>
            </w:r>
          </w:p>
        </w:tc>
        <w:tc>
          <w:tcPr>
            <w:tcW w:w="1134" w:type="dxa"/>
            <w:tcBorders>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4 a 13 de marzo de</w:t>
            </w:r>
          </w:p>
        </w:tc>
        <w:tc>
          <w:tcPr>
            <w:tcW w:w="1843" w:type="dxa"/>
            <w:tcBorders>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República de Corea / 16 examinadores de patentes de 16 países</w:t>
            </w:r>
          </w:p>
        </w:tc>
        <w:tc>
          <w:tcPr>
            <w:tcW w:w="4536" w:type="dxa"/>
            <w:tcBorders>
              <w:bottom w:val="nil"/>
            </w:tcBorders>
          </w:tcPr>
          <w:p w:rsidR="00C91295" w:rsidRPr="00526311" w:rsidRDefault="00C91295" w:rsidP="00F1387F">
            <w:pPr>
              <w:keepNext/>
              <w:keepLines/>
              <w:autoSpaceDE w:val="0"/>
              <w:autoSpaceDN w:val="0"/>
              <w:adjustRightInd w:val="0"/>
              <w:spacing w:before="120" w:after="120"/>
              <w:rPr>
                <w:sz w:val="16"/>
                <w:szCs w:val="16"/>
                <w:lang w:eastAsia="ko-KR"/>
              </w:rPr>
            </w:pPr>
            <w:r w:rsidRPr="00526311">
              <w:rPr>
                <w:sz w:val="16"/>
                <w:szCs w:val="16"/>
              </w:rPr>
              <w:t>Ofrecer una visión general y una explicación del sistema mundial de patentes, los principios del derecho de patentes y los procedimientos de examen.</w:t>
            </w:r>
          </w:p>
        </w:tc>
      </w:tr>
      <w:tr w:rsidR="00C91295" w:rsidRPr="00526311" w:rsidTr="00F1387F">
        <w:tc>
          <w:tcPr>
            <w:tcW w:w="1873" w:type="dxa"/>
            <w:tcBorders>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Taller sobre derecho de marcas y examen de marcas</w:t>
            </w:r>
          </w:p>
        </w:tc>
        <w:tc>
          <w:tcPr>
            <w:tcW w:w="1134" w:type="dxa"/>
            <w:tcBorders>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23 a 30 de abril de 2014</w:t>
            </w:r>
          </w:p>
        </w:tc>
        <w:tc>
          <w:tcPr>
            <w:tcW w:w="1843" w:type="dxa"/>
            <w:tcBorders>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sz w:val="16"/>
                <w:szCs w:val="16"/>
              </w:rPr>
              <w:t>República de Corea</w:t>
            </w:r>
            <w:r w:rsidRPr="00526311">
              <w:rPr>
                <w:sz w:val="16"/>
                <w:szCs w:val="16"/>
                <w:lang w:eastAsia="ko-KR"/>
              </w:rPr>
              <w:t xml:space="preserve"> / 1</w:t>
            </w:r>
            <w:r w:rsidRPr="00526311">
              <w:rPr>
                <w:rFonts w:eastAsia="Malgun Gothic"/>
                <w:sz w:val="16"/>
                <w:szCs w:val="16"/>
                <w:lang w:eastAsia="ko-KR"/>
              </w:rPr>
              <w:t>9</w:t>
            </w:r>
            <w:r w:rsidRPr="00526311">
              <w:rPr>
                <w:sz w:val="16"/>
                <w:szCs w:val="16"/>
              </w:rPr>
              <w:t xml:space="preserve"> examinadores de </w:t>
            </w:r>
            <w:r w:rsidRPr="00526311">
              <w:rPr>
                <w:sz w:val="16"/>
                <w:szCs w:val="16"/>
                <w:lang w:eastAsia="ko-KR"/>
              </w:rPr>
              <w:t>marcas</w:t>
            </w:r>
            <w:r w:rsidRPr="00526311">
              <w:rPr>
                <w:sz w:val="16"/>
                <w:szCs w:val="16"/>
              </w:rPr>
              <w:t xml:space="preserve"> de </w:t>
            </w:r>
            <w:r w:rsidRPr="00526311">
              <w:rPr>
                <w:sz w:val="16"/>
                <w:szCs w:val="16"/>
                <w:lang w:eastAsia="ko-KR"/>
              </w:rPr>
              <w:t>1</w:t>
            </w:r>
            <w:r w:rsidRPr="00526311">
              <w:rPr>
                <w:rFonts w:eastAsia="Malgun Gothic"/>
                <w:sz w:val="16"/>
                <w:szCs w:val="16"/>
                <w:lang w:eastAsia="ko-KR"/>
              </w:rPr>
              <w:t>9</w:t>
            </w:r>
            <w:r w:rsidRPr="00526311">
              <w:rPr>
                <w:sz w:val="16"/>
                <w:szCs w:val="16"/>
              </w:rPr>
              <w:t xml:space="preserve"> países</w:t>
            </w:r>
          </w:p>
        </w:tc>
        <w:tc>
          <w:tcPr>
            <w:tcW w:w="4536" w:type="dxa"/>
            <w:tcBorders>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 xml:space="preserve">Ofrecer una visión general y una explicación de los principios del derecho marcario y los procedimientos de examen, así como del </w:t>
            </w:r>
            <w:r w:rsidR="00DF7826" w:rsidRPr="00526311">
              <w:rPr>
                <w:rFonts w:eastAsia="Malgun Gothic"/>
                <w:sz w:val="16"/>
                <w:szCs w:val="16"/>
                <w:lang w:eastAsia="ko-KR"/>
              </w:rPr>
              <w:t>Sistema de Madrid</w:t>
            </w:r>
            <w:r w:rsidRPr="00526311">
              <w:rPr>
                <w:rFonts w:eastAsia="Malgun Gothic"/>
                <w:sz w:val="16"/>
                <w:szCs w:val="16"/>
                <w:lang w:eastAsia="ko-KR"/>
              </w:rPr>
              <w:t>.</w:t>
            </w:r>
          </w:p>
        </w:tc>
      </w:tr>
      <w:tr w:rsidR="00C91295" w:rsidRPr="00526311" w:rsidTr="00F1387F">
        <w:tc>
          <w:tcPr>
            <w:tcW w:w="1873" w:type="dxa"/>
            <w:tcBorders>
              <w:bottom w:val="nil"/>
            </w:tcBorders>
          </w:tcPr>
          <w:p w:rsidR="00C91295" w:rsidRPr="00526311" w:rsidRDefault="00C91295" w:rsidP="00F1387F">
            <w:pPr>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Taller sobre las Clasificaciones de Niza y de Viena</w:t>
            </w:r>
          </w:p>
        </w:tc>
        <w:tc>
          <w:tcPr>
            <w:tcW w:w="1134" w:type="dxa"/>
            <w:tcBorders>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25 a 29 de agosto de 2014</w:t>
            </w:r>
          </w:p>
        </w:tc>
        <w:tc>
          <w:tcPr>
            <w:tcW w:w="1843" w:type="dxa"/>
            <w:tcBorders>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 xml:space="preserve">Indonesia / 26 participantes </w:t>
            </w:r>
          </w:p>
        </w:tc>
        <w:tc>
          <w:tcPr>
            <w:tcW w:w="4536" w:type="dxa"/>
            <w:tcBorders>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Mejorar las capacidades de uso de los sistemas de clasificación de Niza y de Viena, así como su comprensión, por la Dirección General de Derechos de P.I. de Indonesia.</w:t>
            </w:r>
          </w:p>
        </w:tc>
      </w:tr>
      <w:tr w:rsidR="00C91295" w:rsidRPr="00526311" w:rsidTr="00F9237A">
        <w:tc>
          <w:tcPr>
            <w:tcW w:w="1873" w:type="dxa"/>
            <w:tcBorders>
              <w:top w:val="nil"/>
              <w:bottom w:val="nil"/>
            </w:tcBorders>
          </w:tcPr>
          <w:p w:rsidR="00C91295" w:rsidRPr="00526311" w:rsidRDefault="00C91295" w:rsidP="00F1387F">
            <w:pPr>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Taller sobre marcas no tradicionales</w:t>
            </w:r>
          </w:p>
        </w:tc>
        <w:tc>
          <w:tcPr>
            <w:tcW w:w="1134" w:type="dxa"/>
            <w:tcBorders>
              <w:top w:val="nil"/>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28 a 30 de abril de 2014</w:t>
            </w:r>
          </w:p>
        </w:tc>
        <w:tc>
          <w:tcPr>
            <w:tcW w:w="1843" w:type="dxa"/>
            <w:tcBorders>
              <w:top w:val="nil"/>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Filipinas / 40 participantes</w:t>
            </w:r>
          </w:p>
        </w:tc>
        <w:tc>
          <w:tcPr>
            <w:tcW w:w="4536" w:type="dxa"/>
            <w:tcBorders>
              <w:top w:val="nil"/>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Impartir formación a los examinadores de marcas no tradicionales y explorar la posibilidad de fomentar la introducción de esas marcas en la legislación sobre marcas de Filipinas.</w:t>
            </w:r>
          </w:p>
        </w:tc>
      </w:tr>
      <w:tr w:rsidR="00C91295" w:rsidRPr="00526311" w:rsidTr="003F08BC">
        <w:tc>
          <w:tcPr>
            <w:tcW w:w="1873" w:type="dxa"/>
            <w:tcBorders>
              <w:top w:val="nil"/>
              <w:bottom w:val="nil"/>
            </w:tcBorders>
          </w:tcPr>
          <w:p w:rsidR="00C91295" w:rsidRPr="00526311" w:rsidRDefault="00C91295" w:rsidP="00F1387F">
            <w:pPr>
              <w:keepNext/>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Taller sobre búsqueda y examen de patentes</w:t>
            </w:r>
          </w:p>
        </w:tc>
        <w:tc>
          <w:tcPr>
            <w:tcW w:w="1134" w:type="dxa"/>
            <w:tcBorders>
              <w:top w:val="nil"/>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19 a 23 de mayo de 2014</w:t>
            </w:r>
          </w:p>
        </w:tc>
        <w:tc>
          <w:tcPr>
            <w:tcW w:w="1843" w:type="dxa"/>
            <w:tcBorders>
              <w:top w:val="nil"/>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Tailandia / 35 participantes</w:t>
            </w:r>
          </w:p>
        </w:tc>
        <w:tc>
          <w:tcPr>
            <w:tcW w:w="4536" w:type="dxa"/>
            <w:tcBorders>
              <w:top w:val="nil"/>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i) Mejorar las aptitudes de búsqueda del estado de la técnica y las familias de patentes;  y ii) mejorar los conocimientos y las aptitudes en materia de examen de patentes.</w:t>
            </w:r>
          </w:p>
        </w:tc>
      </w:tr>
      <w:tr w:rsidR="00C91295" w:rsidRPr="00526311" w:rsidTr="003F08BC">
        <w:tc>
          <w:tcPr>
            <w:tcW w:w="1873"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Elaboración de material educativo sobre propiedad intelectual.</w:t>
            </w:r>
          </w:p>
        </w:tc>
        <w:tc>
          <w:tcPr>
            <w:tcW w:w="1134" w:type="dxa"/>
            <w:tcBorders>
              <w:top w:val="nil"/>
              <w:bottom w:val="single" w:sz="4" w:space="0" w:color="auto"/>
            </w:tcBorders>
          </w:tcPr>
          <w:p w:rsidR="00C91295" w:rsidRPr="00526311" w:rsidRDefault="00C91295" w:rsidP="00F1387F">
            <w:pPr>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Diciembre de 2014</w:t>
            </w:r>
          </w:p>
        </w:tc>
        <w:tc>
          <w:tcPr>
            <w:tcW w:w="1843"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Todos los Estados miembros de la OMPI</w:t>
            </w:r>
          </w:p>
        </w:tc>
        <w:tc>
          <w:tcPr>
            <w:tcW w:w="4536"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lang w:eastAsia="ko-KR"/>
              </w:rPr>
            </w:pPr>
            <w:r w:rsidRPr="00526311">
              <w:rPr>
                <w:sz w:val="16"/>
                <w:szCs w:val="16"/>
                <w:lang w:eastAsia="ko-KR"/>
              </w:rPr>
              <w:t>El material incluye actividades y ejercicios que los alumnos de centros de enseñanza secundaria podrían realizar para comprender mejor los conceptos básicos relacionados con la creatividad, la capacidad inventiva y la P.I.</w:t>
            </w:r>
          </w:p>
        </w:tc>
      </w:tr>
    </w:tbl>
    <w:p w:rsidR="003F08BC" w:rsidRPr="00526311" w:rsidRDefault="003F08BC">
      <w:r w:rsidRPr="00526311">
        <w:br w:type="page"/>
      </w: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3F08BC" w:rsidRPr="00526311" w:rsidTr="001A4F69">
        <w:tc>
          <w:tcPr>
            <w:tcW w:w="1873" w:type="dxa"/>
            <w:tcBorders>
              <w:top w:val="single" w:sz="4" w:space="0" w:color="000000"/>
            </w:tcBorders>
            <w:vAlign w:val="center"/>
          </w:tcPr>
          <w:p w:rsidR="003F08BC" w:rsidRPr="00526311" w:rsidRDefault="003F08BC" w:rsidP="001A4F69">
            <w:pPr>
              <w:rPr>
                <w:b/>
                <w:bCs/>
                <w:sz w:val="16"/>
                <w:szCs w:val="16"/>
              </w:rPr>
            </w:pPr>
            <w:r w:rsidRPr="00526311">
              <w:rPr>
                <w:b/>
                <w:bCs/>
                <w:sz w:val="16"/>
                <w:szCs w:val="16"/>
              </w:rPr>
              <w:lastRenderedPageBreak/>
              <w:t>Actividad</w:t>
            </w:r>
          </w:p>
        </w:tc>
        <w:tc>
          <w:tcPr>
            <w:tcW w:w="1134" w:type="dxa"/>
            <w:tcBorders>
              <w:top w:val="single" w:sz="4" w:space="0" w:color="000000"/>
            </w:tcBorders>
            <w:shd w:val="clear" w:color="auto" w:fill="auto"/>
            <w:tcMar>
              <w:top w:w="110" w:type="dxa"/>
            </w:tcMar>
            <w:vAlign w:val="center"/>
          </w:tcPr>
          <w:p w:rsidR="003F08BC" w:rsidRPr="00526311" w:rsidRDefault="003F08BC" w:rsidP="001A4F69">
            <w:pPr>
              <w:keepNext/>
              <w:rPr>
                <w:sz w:val="16"/>
                <w:szCs w:val="16"/>
              </w:rPr>
            </w:pPr>
            <w:r w:rsidRPr="00526311">
              <w:rPr>
                <w:b/>
                <w:sz w:val="16"/>
                <w:szCs w:val="16"/>
              </w:rPr>
              <w:t>Fecha</w:t>
            </w:r>
          </w:p>
        </w:tc>
        <w:tc>
          <w:tcPr>
            <w:tcW w:w="1843" w:type="dxa"/>
            <w:tcBorders>
              <w:top w:val="single" w:sz="4" w:space="0" w:color="000000"/>
            </w:tcBorders>
            <w:shd w:val="clear" w:color="auto" w:fill="auto"/>
            <w:tcMar>
              <w:top w:w="110" w:type="dxa"/>
            </w:tcMar>
            <w:vAlign w:val="center"/>
          </w:tcPr>
          <w:p w:rsidR="003F08BC" w:rsidRPr="00526311" w:rsidRDefault="003F08BC" w:rsidP="001A4F69">
            <w:pPr>
              <w:keepNext/>
              <w:rPr>
                <w:sz w:val="16"/>
                <w:szCs w:val="16"/>
              </w:rPr>
            </w:pPr>
            <w:r w:rsidRPr="00526311">
              <w:rPr>
                <w:b/>
                <w:sz w:val="16"/>
                <w:szCs w:val="16"/>
              </w:rPr>
              <w:t>País anfitrión / Beneficiarios</w:t>
            </w:r>
          </w:p>
        </w:tc>
        <w:tc>
          <w:tcPr>
            <w:tcW w:w="4536" w:type="dxa"/>
            <w:tcBorders>
              <w:top w:val="single" w:sz="4" w:space="0" w:color="000000"/>
            </w:tcBorders>
            <w:shd w:val="clear" w:color="auto" w:fill="FFFFFF"/>
            <w:tcMar>
              <w:top w:w="110" w:type="dxa"/>
            </w:tcMar>
            <w:vAlign w:val="center"/>
          </w:tcPr>
          <w:p w:rsidR="003F08BC" w:rsidRPr="00526311" w:rsidRDefault="003F08BC" w:rsidP="001A4F69">
            <w:pPr>
              <w:keepNext/>
              <w:rPr>
                <w:sz w:val="16"/>
                <w:szCs w:val="16"/>
              </w:rPr>
            </w:pPr>
            <w:r w:rsidRPr="00526311">
              <w:rPr>
                <w:b/>
                <w:sz w:val="16"/>
                <w:szCs w:val="16"/>
              </w:rPr>
              <w:t>Propósito(s) / Descripción</w:t>
            </w:r>
          </w:p>
        </w:tc>
      </w:tr>
      <w:tr w:rsidR="00C91295" w:rsidRPr="00526311" w:rsidTr="00F9237A">
        <w:tc>
          <w:tcPr>
            <w:tcW w:w="187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lang w:eastAsia="ko-KR"/>
              </w:rPr>
            </w:pPr>
            <w:r w:rsidRPr="00526311">
              <w:rPr>
                <w:sz w:val="16"/>
                <w:szCs w:val="16"/>
                <w:lang w:eastAsia="ko-KR"/>
              </w:rPr>
              <w:t>Producción de versiones dobladas del dibujo animado Póroro</w:t>
            </w:r>
          </w:p>
        </w:tc>
        <w:tc>
          <w:tcPr>
            <w:tcW w:w="1134" w:type="dxa"/>
            <w:tcBorders>
              <w:top w:val="nil"/>
              <w:bottom w:val="nil"/>
            </w:tcBorders>
          </w:tcPr>
          <w:p w:rsidR="00C91295" w:rsidRPr="00526311" w:rsidRDefault="00C91295" w:rsidP="00F1387F">
            <w:pPr>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Agosto de 2014</w:t>
            </w:r>
          </w:p>
        </w:tc>
        <w:tc>
          <w:tcPr>
            <w:tcW w:w="1843" w:type="dxa"/>
            <w:tcBorders>
              <w:top w:val="nil"/>
              <w:bottom w:val="nil"/>
            </w:tcBorders>
          </w:tcPr>
          <w:p w:rsidR="00C91295" w:rsidRPr="00526311" w:rsidRDefault="00C91295" w:rsidP="00F1387F">
            <w:pPr>
              <w:autoSpaceDE w:val="0"/>
              <w:autoSpaceDN w:val="0"/>
              <w:adjustRightInd w:val="0"/>
              <w:spacing w:before="120" w:after="120"/>
              <w:rPr>
                <w:bCs/>
                <w:sz w:val="16"/>
                <w:szCs w:val="16"/>
                <w:lang w:eastAsia="ko-KR"/>
              </w:rPr>
            </w:pPr>
            <w:r w:rsidRPr="00526311">
              <w:rPr>
                <w:bCs/>
                <w:sz w:val="16"/>
                <w:szCs w:val="16"/>
                <w:lang w:eastAsia="ko-KR"/>
              </w:rPr>
              <w:t>Todos los Estados miembros de la OMPI</w:t>
            </w:r>
          </w:p>
        </w:tc>
        <w:tc>
          <w:tcPr>
            <w:tcW w:w="4536"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lang w:eastAsia="ko-KR"/>
              </w:rPr>
            </w:pPr>
            <w:r w:rsidRPr="00526311">
              <w:rPr>
                <w:rFonts w:eastAsia="Malgun Gothic"/>
                <w:sz w:val="16"/>
                <w:szCs w:val="16"/>
                <w:lang w:eastAsia="ko-KR"/>
              </w:rPr>
              <w:t>i)</w:t>
            </w:r>
            <w:r w:rsidRPr="00526311">
              <w:rPr>
                <w:sz w:val="16"/>
                <w:szCs w:val="16"/>
                <w:lang w:eastAsia="ko-KR"/>
              </w:rPr>
              <w:t xml:space="preserve"> Ayudar a los niños a entender los conceptos de creatividad y P.I. con el dibujo animado Póroro</w:t>
            </w:r>
            <w:r w:rsidRPr="00526311">
              <w:rPr>
                <w:rFonts w:eastAsia="Malgun Gothic"/>
                <w:sz w:val="16"/>
                <w:szCs w:val="16"/>
                <w:lang w:eastAsia="ko-KR"/>
              </w:rPr>
              <w:t>;</w:t>
            </w:r>
            <w:r w:rsidRPr="00526311">
              <w:rPr>
                <w:sz w:val="16"/>
                <w:szCs w:val="16"/>
                <w:lang w:eastAsia="ko-KR"/>
              </w:rPr>
              <w:t xml:space="preserve">  y ii) intensificar el uso del dibujo animado Póroro producido por la OMPI.</w:t>
            </w:r>
          </w:p>
          <w:p w:rsidR="00C91295" w:rsidRPr="00526311" w:rsidRDefault="00C91295" w:rsidP="00F1387F">
            <w:pPr>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A partir de la versión original en inglés, se produjeron versiones dobladas de Póroro en dos idiomas adicionales, español y francés.</w:t>
            </w:r>
          </w:p>
        </w:tc>
      </w:tr>
      <w:tr w:rsidR="00C91295" w:rsidRPr="00526311" w:rsidTr="00F9237A">
        <w:tc>
          <w:tcPr>
            <w:tcW w:w="1873"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sz w:val="16"/>
                <w:szCs w:val="16"/>
                <w:lang w:eastAsia="ko-KR"/>
              </w:rPr>
            </w:pPr>
            <w:r w:rsidRPr="00526311">
              <w:rPr>
                <w:sz w:val="16"/>
                <w:szCs w:val="16"/>
                <w:lang w:eastAsia="ko-KR"/>
              </w:rPr>
              <w:t>Elaboración de una Guía Educativa sobre Propiedad Intelectual</w:t>
            </w:r>
          </w:p>
        </w:tc>
        <w:tc>
          <w:tcPr>
            <w:tcW w:w="1134" w:type="dxa"/>
            <w:tcBorders>
              <w:top w:val="nil"/>
              <w:bottom w:val="single" w:sz="4" w:space="0" w:color="auto"/>
            </w:tcBorders>
          </w:tcPr>
          <w:p w:rsidR="00C91295" w:rsidRPr="00526311" w:rsidRDefault="00C91295" w:rsidP="00F1387F">
            <w:pPr>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Agosto de 2014</w:t>
            </w:r>
          </w:p>
        </w:tc>
        <w:tc>
          <w:tcPr>
            <w:tcW w:w="1843"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Todos los Estados miembros de la OMPI</w:t>
            </w:r>
          </w:p>
        </w:tc>
        <w:tc>
          <w:tcPr>
            <w:tcW w:w="4536"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rPr>
                <w:rFonts w:eastAsia="Malgun Gothic"/>
                <w:sz w:val="16"/>
                <w:szCs w:val="16"/>
                <w:lang w:eastAsia="ko-KR"/>
              </w:rPr>
            </w:pPr>
            <w:r w:rsidRPr="00526311">
              <w:rPr>
                <w:sz w:val="16"/>
                <w:szCs w:val="16"/>
                <w:lang w:eastAsia="ko-KR"/>
              </w:rPr>
              <w:t>i) Respaldar a los docentes en su tarea de enseñar a los niños los conceptos básicos de la P.I., la relación entre la P.I. y la creatividad, y los beneficios que derivan de la utilización de la P.I.</w:t>
            </w:r>
          </w:p>
          <w:p w:rsidR="00C91295" w:rsidRPr="00526311" w:rsidRDefault="00C91295" w:rsidP="00F1387F">
            <w:pPr>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Se produjeron tres cuadernos de ejercicios y una guía destinados a ayudar a los estudiantes, los docentes y los padres a entender mejor los conceptos básicos de P.I.</w:t>
            </w:r>
          </w:p>
        </w:tc>
      </w:tr>
      <w:tr w:rsidR="00C91295" w:rsidRPr="00526311" w:rsidTr="00F9237A">
        <w:tc>
          <w:tcPr>
            <w:tcW w:w="9386" w:type="dxa"/>
            <w:gridSpan w:val="4"/>
            <w:tcBorders>
              <w:top w:val="single" w:sz="4" w:space="0" w:color="auto"/>
              <w:bottom w:val="single" w:sz="4" w:space="0" w:color="000000"/>
            </w:tcBorders>
            <w:shd w:val="clear" w:color="auto" w:fill="CCFFFF"/>
            <w:vAlign w:val="center"/>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IV.2 Mejora del acceso y uso de información de P.I. por parte de instituciones de P.I. y el público para fomentar la innovación y la creatividad</w:t>
            </w:r>
          </w:p>
        </w:tc>
      </w:tr>
      <w:tr w:rsidR="00C91295" w:rsidRPr="00526311" w:rsidTr="00F1387F">
        <w:tc>
          <w:tcPr>
            <w:tcW w:w="1873" w:type="dxa"/>
            <w:tcBorders>
              <w:top w:val="single" w:sz="4" w:space="0" w:color="000000"/>
            </w:tcBorders>
            <w:vAlign w:val="center"/>
          </w:tcPr>
          <w:p w:rsidR="00C91295" w:rsidRPr="00526311" w:rsidRDefault="00C91295" w:rsidP="00F1387F">
            <w:pPr>
              <w:autoSpaceDE w:val="0"/>
              <w:autoSpaceDN w:val="0"/>
              <w:adjustRightInd w:val="0"/>
              <w:spacing w:before="60" w:after="60"/>
              <w:rPr>
                <w:b/>
                <w:sz w:val="16"/>
                <w:szCs w:val="16"/>
              </w:rPr>
            </w:pPr>
            <w:r w:rsidRPr="00526311">
              <w:rPr>
                <w:b/>
                <w:sz w:val="16"/>
                <w:szCs w:val="16"/>
              </w:rPr>
              <w:t>Actividad</w:t>
            </w:r>
          </w:p>
        </w:tc>
        <w:tc>
          <w:tcPr>
            <w:tcW w:w="1134" w:type="dxa"/>
            <w:tcBorders>
              <w:top w:val="single" w:sz="4" w:space="0" w:color="000000"/>
            </w:tcBorders>
            <w:shd w:val="clear" w:color="auto" w:fill="auto"/>
            <w:tcMar>
              <w:top w:w="110" w:type="dxa"/>
            </w:tcMar>
            <w:vAlign w:val="center"/>
          </w:tcPr>
          <w:p w:rsidR="00C91295" w:rsidRPr="00526311" w:rsidRDefault="00C91295" w:rsidP="00F1387F">
            <w:pPr>
              <w:keepNext/>
              <w:keepLines/>
              <w:rPr>
                <w:b/>
                <w:sz w:val="16"/>
                <w:szCs w:val="16"/>
              </w:rPr>
            </w:pPr>
            <w:r w:rsidRPr="00526311">
              <w:rPr>
                <w:b/>
                <w:sz w:val="16"/>
                <w:szCs w:val="16"/>
              </w:rPr>
              <w:t>Fecha</w:t>
            </w:r>
          </w:p>
        </w:tc>
        <w:tc>
          <w:tcPr>
            <w:tcW w:w="1843" w:type="dxa"/>
            <w:tcBorders>
              <w:top w:val="single" w:sz="4" w:space="0" w:color="000000"/>
            </w:tcBorders>
            <w:shd w:val="clear" w:color="auto" w:fill="auto"/>
            <w:tcMar>
              <w:top w:w="110" w:type="dxa"/>
            </w:tcMar>
            <w:vAlign w:val="center"/>
          </w:tcPr>
          <w:p w:rsidR="00C91295" w:rsidRPr="00526311" w:rsidRDefault="00C91295" w:rsidP="00F1387F">
            <w:pPr>
              <w:keepNext/>
              <w:keepLines/>
              <w:rPr>
                <w:b/>
                <w:sz w:val="16"/>
                <w:szCs w:val="16"/>
              </w:rPr>
            </w:pPr>
            <w:r w:rsidRPr="00526311">
              <w:rPr>
                <w:b/>
                <w:sz w:val="16"/>
                <w:szCs w:val="16"/>
              </w:rPr>
              <w:t>País anfitrión / Beneficiarios</w:t>
            </w:r>
          </w:p>
        </w:tc>
        <w:tc>
          <w:tcPr>
            <w:tcW w:w="4536" w:type="dxa"/>
            <w:tcBorders>
              <w:top w:val="single" w:sz="4" w:space="0" w:color="000000"/>
            </w:tcBorders>
            <w:shd w:val="clear" w:color="auto" w:fill="FFFFFF"/>
            <w:tcMar>
              <w:top w:w="110" w:type="dxa"/>
            </w:tcMar>
            <w:vAlign w:val="center"/>
          </w:tcPr>
          <w:p w:rsidR="00C91295" w:rsidRPr="00526311" w:rsidRDefault="00C91295" w:rsidP="00F1387F">
            <w:pPr>
              <w:keepNext/>
              <w:keepLines/>
              <w:rPr>
                <w:b/>
                <w:sz w:val="16"/>
                <w:szCs w:val="16"/>
              </w:rPr>
            </w:pPr>
            <w:r w:rsidRPr="00526311">
              <w:rPr>
                <w:b/>
                <w:sz w:val="16"/>
                <w:szCs w:val="16"/>
              </w:rPr>
              <w:t>Propósito(s) / Descripción</w:t>
            </w:r>
          </w:p>
        </w:tc>
      </w:tr>
      <w:tr w:rsidR="00C91295" w:rsidRPr="00526311" w:rsidTr="00F1387F">
        <w:tc>
          <w:tcPr>
            <w:tcW w:w="1873" w:type="dxa"/>
          </w:tcPr>
          <w:p w:rsidR="00C91295" w:rsidRPr="00526311" w:rsidRDefault="00C91295" w:rsidP="00F1387F">
            <w:pPr>
              <w:autoSpaceDE w:val="0"/>
              <w:autoSpaceDN w:val="0"/>
              <w:adjustRightInd w:val="0"/>
              <w:spacing w:before="120" w:after="120"/>
              <w:rPr>
                <w:sz w:val="16"/>
                <w:szCs w:val="16"/>
              </w:rPr>
            </w:pPr>
            <w:r w:rsidRPr="00526311">
              <w:rPr>
                <w:sz w:val="16"/>
                <w:szCs w:val="16"/>
              </w:rPr>
              <w:t>Concurso sobre tecnologías apropiadas</w:t>
            </w:r>
          </w:p>
        </w:tc>
        <w:tc>
          <w:tcPr>
            <w:tcW w:w="1134" w:type="dxa"/>
          </w:tcPr>
          <w:p w:rsidR="00C91295" w:rsidRPr="00526311" w:rsidRDefault="00C91295" w:rsidP="00F1387F">
            <w:pPr>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15</w:t>
            </w:r>
            <w:r w:rsidRPr="00526311">
              <w:rPr>
                <w:sz w:val="16"/>
                <w:szCs w:val="16"/>
              </w:rPr>
              <w:t xml:space="preserve"> de julio a </w:t>
            </w:r>
            <w:r w:rsidRPr="00526311">
              <w:rPr>
                <w:rFonts w:eastAsia="Malgun Gothic"/>
                <w:sz w:val="16"/>
                <w:szCs w:val="16"/>
                <w:lang w:eastAsia="ko-KR"/>
              </w:rPr>
              <w:t>22 de noviembre de </w:t>
            </w:r>
            <w:r w:rsidRPr="00526311">
              <w:rPr>
                <w:sz w:val="16"/>
                <w:szCs w:val="16"/>
              </w:rPr>
              <w:t>201</w:t>
            </w:r>
            <w:r w:rsidRPr="00526311">
              <w:rPr>
                <w:rFonts w:eastAsia="Malgun Gothic"/>
                <w:sz w:val="16"/>
                <w:szCs w:val="16"/>
                <w:lang w:eastAsia="ko-KR"/>
              </w:rPr>
              <w:t>4</w:t>
            </w:r>
          </w:p>
        </w:tc>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Viet Nam / 400 participantes</w:t>
            </w:r>
          </w:p>
        </w:tc>
        <w:tc>
          <w:tcPr>
            <w:tcW w:w="4536" w:type="dxa"/>
          </w:tcPr>
          <w:p w:rsidR="00C91295" w:rsidRPr="00526311" w:rsidRDefault="00C91295" w:rsidP="00F1387F">
            <w:pPr>
              <w:autoSpaceDE w:val="0"/>
              <w:autoSpaceDN w:val="0"/>
              <w:adjustRightInd w:val="0"/>
              <w:spacing w:after="120"/>
              <w:rPr>
                <w:sz w:val="16"/>
                <w:szCs w:val="16"/>
              </w:rPr>
            </w:pPr>
            <w:r w:rsidRPr="00526311">
              <w:rPr>
                <w:sz w:val="16"/>
                <w:szCs w:val="16"/>
              </w:rPr>
              <w:t>Fomentar y recompensar la excelencia de las soluciones innovadoras a problemas frecuentes, en especial aquellas que emplean tecnologías apropiadas para las condiciones locales.  La utilización de la información contenida en las patentes para diseñar las soluciones constituyó un elemento fundamental del concurso.</w:t>
            </w:r>
          </w:p>
          <w:p w:rsidR="00C91295" w:rsidRPr="00526311" w:rsidRDefault="00C91295" w:rsidP="00F1387F">
            <w:pPr>
              <w:autoSpaceDE w:val="0"/>
              <w:autoSpaceDN w:val="0"/>
              <w:adjustRightInd w:val="0"/>
              <w:spacing w:after="120"/>
              <w:rPr>
                <w:sz w:val="16"/>
                <w:szCs w:val="16"/>
              </w:rPr>
            </w:pPr>
            <w:r w:rsidRPr="00526311">
              <w:rPr>
                <w:sz w:val="16"/>
                <w:szCs w:val="16"/>
              </w:rPr>
              <w:t>Formaron parte del concurso un taller de orientación (</w:t>
            </w:r>
            <w:r w:rsidRPr="00526311">
              <w:rPr>
                <w:rFonts w:eastAsia="Malgun Gothic"/>
                <w:sz w:val="16"/>
                <w:szCs w:val="16"/>
                <w:lang w:eastAsia="ko-KR"/>
              </w:rPr>
              <w:t>25, 27</w:t>
            </w:r>
            <w:r w:rsidRPr="00526311">
              <w:rPr>
                <w:sz w:val="16"/>
                <w:szCs w:val="16"/>
                <w:lang w:eastAsia="ko-KR"/>
              </w:rPr>
              <w:t xml:space="preserve"> y </w:t>
            </w:r>
            <w:r w:rsidRPr="00526311">
              <w:rPr>
                <w:rFonts w:eastAsia="Malgun Gothic"/>
                <w:sz w:val="16"/>
                <w:szCs w:val="16"/>
                <w:lang w:eastAsia="ko-KR"/>
              </w:rPr>
              <w:t>29 de agosto</w:t>
            </w:r>
            <w:r w:rsidRPr="00526311">
              <w:rPr>
                <w:sz w:val="16"/>
                <w:szCs w:val="16"/>
              </w:rPr>
              <w:t>), la evaluación y selección previa de las propuestas (</w:t>
            </w:r>
            <w:r w:rsidRPr="00526311">
              <w:rPr>
                <w:sz w:val="16"/>
                <w:szCs w:val="16"/>
                <w:lang w:eastAsia="ko-KR"/>
              </w:rPr>
              <w:t>1</w:t>
            </w:r>
            <w:r w:rsidRPr="00526311">
              <w:rPr>
                <w:rFonts w:eastAsia="Malgun Gothic"/>
                <w:sz w:val="16"/>
                <w:szCs w:val="16"/>
                <w:lang w:eastAsia="ko-KR"/>
              </w:rPr>
              <w:t>7</w:t>
            </w:r>
            <w:r w:rsidRPr="00526311">
              <w:rPr>
                <w:sz w:val="16"/>
                <w:szCs w:val="16"/>
                <w:lang w:eastAsia="ko-KR"/>
              </w:rPr>
              <w:t>6 propuestas</w:t>
            </w:r>
            <w:r w:rsidRPr="00526311">
              <w:rPr>
                <w:sz w:val="16"/>
                <w:szCs w:val="16"/>
              </w:rPr>
              <w:t>), las ponencias de los candidatos preseleccionados y la ceremonia de premiación (noviembre).</w:t>
            </w:r>
          </w:p>
        </w:tc>
      </w:tr>
      <w:tr w:rsidR="00C91295" w:rsidRPr="00526311" w:rsidTr="00F1387F">
        <w:tc>
          <w:tcPr>
            <w:tcW w:w="1873" w:type="dxa"/>
          </w:tcPr>
          <w:p w:rsidR="00C91295" w:rsidRPr="00526311" w:rsidRDefault="00C91295" w:rsidP="00F1387F">
            <w:pPr>
              <w:autoSpaceDE w:val="0"/>
              <w:autoSpaceDN w:val="0"/>
              <w:adjustRightInd w:val="0"/>
              <w:spacing w:before="120" w:after="120"/>
              <w:rPr>
                <w:sz w:val="16"/>
                <w:szCs w:val="16"/>
              </w:rPr>
            </w:pPr>
            <w:r w:rsidRPr="00526311">
              <w:rPr>
                <w:sz w:val="16"/>
                <w:szCs w:val="16"/>
              </w:rPr>
              <w:t>Concurso sobre tecnologías apropiadas</w:t>
            </w:r>
          </w:p>
        </w:tc>
        <w:tc>
          <w:tcPr>
            <w:tcW w:w="1134" w:type="dxa"/>
          </w:tcPr>
          <w:p w:rsidR="00C91295" w:rsidRPr="00526311" w:rsidRDefault="00C91295" w:rsidP="00F1387F">
            <w:pPr>
              <w:autoSpaceDE w:val="0"/>
              <w:autoSpaceDN w:val="0"/>
              <w:adjustRightInd w:val="0"/>
              <w:spacing w:before="120" w:after="120"/>
              <w:rPr>
                <w:sz w:val="16"/>
                <w:szCs w:val="16"/>
                <w:lang w:eastAsia="ko-KR"/>
              </w:rPr>
            </w:pPr>
            <w:r w:rsidRPr="00526311">
              <w:rPr>
                <w:rFonts w:eastAsia="Malgun Gothic"/>
                <w:sz w:val="16"/>
                <w:szCs w:val="16"/>
                <w:lang w:eastAsia="ko-KR"/>
              </w:rPr>
              <w:t>1</w:t>
            </w:r>
            <w:r w:rsidRPr="00526311">
              <w:rPr>
                <w:sz w:val="16"/>
                <w:szCs w:val="16"/>
              </w:rPr>
              <w:t xml:space="preserve"> de abril a</w:t>
            </w:r>
            <w:r w:rsidRPr="00526311">
              <w:rPr>
                <w:rFonts w:eastAsia="Malgun Gothic"/>
                <w:sz w:val="16"/>
                <w:szCs w:val="16"/>
                <w:lang w:eastAsia="ko-KR"/>
              </w:rPr>
              <w:t xml:space="preserve"> 7 de noviembre de </w:t>
            </w:r>
            <w:r w:rsidRPr="00526311">
              <w:rPr>
                <w:sz w:val="16"/>
                <w:szCs w:val="16"/>
              </w:rPr>
              <w:t>201</w:t>
            </w:r>
            <w:r w:rsidRPr="00526311">
              <w:rPr>
                <w:sz w:val="16"/>
                <w:szCs w:val="16"/>
                <w:lang w:eastAsia="ko-KR"/>
              </w:rPr>
              <w:t>4</w:t>
            </w:r>
          </w:p>
        </w:tc>
        <w:tc>
          <w:tcPr>
            <w:tcW w:w="1843" w:type="dxa"/>
          </w:tcPr>
          <w:p w:rsidR="00C91295" w:rsidRPr="00526311" w:rsidRDefault="00C91295" w:rsidP="00F1387F">
            <w:pPr>
              <w:autoSpaceDE w:val="0"/>
              <w:autoSpaceDN w:val="0"/>
              <w:adjustRightInd w:val="0"/>
              <w:spacing w:before="120" w:after="120"/>
              <w:rPr>
                <w:sz w:val="16"/>
                <w:szCs w:val="16"/>
              </w:rPr>
            </w:pPr>
            <w:r w:rsidRPr="00526311">
              <w:rPr>
                <w:rFonts w:eastAsia="Malgun Gothic"/>
                <w:sz w:val="16"/>
                <w:szCs w:val="16"/>
                <w:lang w:eastAsia="ko-KR"/>
              </w:rPr>
              <w:t>Mongolia / 200</w:t>
            </w:r>
            <w:r w:rsidRPr="00526311">
              <w:rPr>
                <w:sz w:val="16"/>
                <w:szCs w:val="16"/>
              </w:rPr>
              <w:t xml:space="preserve"> participantes</w:t>
            </w:r>
          </w:p>
        </w:tc>
        <w:tc>
          <w:tcPr>
            <w:tcW w:w="4536" w:type="dxa"/>
            <w:vAlign w:val="center"/>
          </w:tcPr>
          <w:p w:rsidR="00C91295" w:rsidRPr="00526311" w:rsidRDefault="00C91295" w:rsidP="00F1387F">
            <w:pPr>
              <w:autoSpaceDE w:val="0"/>
              <w:autoSpaceDN w:val="0"/>
              <w:adjustRightInd w:val="0"/>
              <w:spacing w:after="120"/>
              <w:rPr>
                <w:sz w:val="16"/>
                <w:szCs w:val="16"/>
                <w:lang w:eastAsia="ko-KR"/>
              </w:rPr>
            </w:pPr>
            <w:r w:rsidRPr="00526311">
              <w:rPr>
                <w:sz w:val="16"/>
                <w:szCs w:val="16"/>
              </w:rPr>
              <w:t xml:space="preserve">Formaron parte del concurso un taller de orientación (15 de </w:t>
            </w:r>
            <w:r w:rsidRPr="00526311">
              <w:rPr>
                <w:sz w:val="16"/>
                <w:szCs w:val="16"/>
                <w:lang w:eastAsia="ko-KR"/>
              </w:rPr>
              <w:t>mayo</w:t>
            </w:r>
            <w:r w:rsidRPr="00526311">
              <w:rPr>
                <w:sz w:val="16"/>
                <w:szCs w:val="16"/>
              </w:rPr>
              <w:t>), la evaluación y selección previa de las propuestas (</w:t>
            </w:r>
            <w:r w:rsidRPr="00526311">
              <w:rPr>
                <w:sz w:val="16"/>
                <w:szCs w:val="16"/>
                <w:lang w:eastAsia="ko-KR"/>
              </w:rPr>
              <w:t>2</w:t>
            </w:r>
            <w:r w:rsidRPr="00526311">
              <w:rPr>
                <w:rFonts w:eastAsia="Malgun Gothic"/>
                <w:sz w:val="16"/>
                <w:szCs w:val="16"/>
                <w:lang w:eastAsia="ko-KR"/>
              </w:rPr>
              <w:t>7 propuestas</w:t>
            </w:r>
            <w:r w:rsidRPr="00526311">
              <w:rPr>
                <w:sz w:val="16"/>
                <w:szCs w:val="16"/>
              </w:rPr>
              <w:t>), las ponencias de los candidatos preseleccionados y la ceremonia de premiación, así como un taller sobre comercialización (</w:t>
            </w:r>
            <w:r w:rsidRPr="00526311">
              <w:rPr>
                <w:rFonts w:eastAsia="Malgun Gothic"/>
                <w:sz w:val="16"/>
                <w:szCs w:val="16"/>
                <w:lang w:eastAsia="ko-KR"/>
              </w:rPr>
              <w:t>5</w:t>
            </w:r>
            <w:r w:rsidRPr="00526311">
              <w:rPr>
                <w:sz w:val="16"/>
                <w:szCs w:val="16"/>
              </w:rPr>
              <w:t xml:space="preserve"> a </w:t>
            </w:r>
            <w:r w:rsidRPr="00526311">
              <w:rPr>
                <w:rFonts w:eastAsia="Malgun Gothic"/>
                <w:sz w:val="16"/>
                <w:szCs w:val="16"/>
                <w:lang w:eastAsia="ko-KR"/>
              </w:rPr>
              <w:t>7 de noviembre</w:t>
            </w:r>
            <w:r w:rsidRPr="00526311">
              <w:rPr>
                <w:sz w:val="16"/>
                <w:szCs w:val="16"/>
              </w:rPr>
              <w:t>).</w:t>
            </w:r>
          </w:p>
        </w:tc>
      </w:tr>
      <w:tr w:rsidR="00C91295" w:rsidRPr="00526311" w:rsidTr="00F1387F">
        <w:tc>
          <w:tcPr>
            <w:tcW w:w="1873" w:type="dxa"/>
          </w:tcPr>
          <w:p w:rsidR="00C91295" w:rsidRPr="00526311" w:rsidRDefault="00C91295" w:rsidP="00F1387F">
            <w:pPr>
              <w:widowControl w:val="0"/>
              <w:rPr>
                <w:sz w:val="16"/>
                <w:szCs w:val="16"/>
                <w:lang w:eastAsia="ko-KR"/>
              </w:rPr>
            </w:pPr>
            <w:r w:rsidRPr="00526311">
              <w:rPr>
                <w:sz w:val="16"/>
                <w:szCs w:val="16"/>
              </w:rPr>
              <w:t>Seminario regional sobre utilización de la P.I. para desarrollar y difundir tecnología apropiada</w:t>
            </w:r>
          </w:p>
        </w:tc>
        <w:tc>
          <w:tcPr>
            <w:tcW w:w="1134" w:type="dxa"/>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2 a 4 de julio de 2014</w:t>
            </w:r>
          </w:p>
        </w:tc>
        <w:tc>
          <w:tcPr>
            <w:tcW w:w="1843" w:type="dxa"/>
          </w:tcPr>
          <w:p w:rsidR="00C91295" w:rsidRPr="00526311" w:rsidRDefault="00C91295" w:rsidP="00F1387F">
            <w:pPr>
              <w:keepNext/>
              <w:keepLines/>
              <w:autoSpaceDE w:val="0"/>
              <w:autoSpaceDN w:val="0"/>
              <w:adjustRightInd w:val="0"/>
              <w:spacing w:before="120" w:after="120"/>
              <w:rPr>
                <w:sz w:val="16"/>
                <w:szCs w:val="16"/>
                <w:lang w:eastAsia="ko-KR"/>
              </w:rPr>
            </w:pPr>
            <w:r w:rsidRPr="00526311">
              <w:rPr>
                <w:sz w:val="16"/>
                <w:szCs w:val="16"/>
              </w:rPr>
              <w:t>República de Corea / 1</w:t>
            </w:r>
            <w:r w:rsidRPr="00526311">
              <w:rPr>
                <w:rFonts w:eastAsia="Malgun Gothic"/>
                <w:sz w:val="16"/>
                <w:szCs w:val="16"/>
                <w:lang w:eastAsia="ko-KR"/>
              </w:rPr>
              <w:t>5</w:t>
            </w:r>
            <w:r w:rsidRPr="00526311">
              <w:rPr>
                <w:sz w:val="16"/>
                <w:szCs w:val="16"/>
              </w:rPr>
              <w:t xml:space="preserve"> funcionarios gubernamentales de </w:t>
            </w:r>
            <w:r w:rsidRPr="00526311">
              <w:rPr>
                <w:sz w:val="16"/>
                <w:szCs w:val="16"/>
                <w:lang w:eastAsia="ko-KR"/>
              </w:rPr>
              <w:t>1</w:t>
            </w:r>
            <w:r w:rsidRPr="00526311">
              <w:rPr>
                <w:rFonts w:eastAsia="Malgun Gothic"/>
                <w:sz w:val="16"/>
                <w:szCs w:val="16"/>
                <w:lang w:eastAsia="ko-KR"/>
              </w:rPr>
              <w:t>3</w:t>
            </w:r>
            <w:r w:rsidRPr="00526311">
              <w:rPr>
                <w:sz w:val="16"/>
                <w:szCs w:val="16"/>
              </w:rPr>
              <w:t xml:space="preserve"> países</w:t>
            </w:r>
          </w:p>
        </w:tc>
        <w:tc>
          <w:tcPr>
            <w:tcW w:w="4536" w:type="dxa"/>
            <w:vAlign w:val="center"/>
          </w:tcPr>
          <w:p w:rsidR="00C91295" w:rsidRPr="00526311" w:rsidRDefault="00C91295" w:rsidP="00F1387F">
            <w:pPr>
              <w:keepNext/>
              <w:keepLines/>
              <w:autoSpaceDE w:val="0"/>
              <w:autoSpaceDN w:val="0"/>
              <w:adjustRightInd w:val="0"/>
              <w:spacing w:after="120"/>
              <w:rPr>
                <w:sz w:val="16"/>
                <w:szCs w:val="16"/>
                <w:lang w:eastAsia="ko-KR"/>
              </w:rPr>
            </w:pPr>
            <w:r w:rsidRPr="00526311">
              <w:rPr>
                <w:sz w:val="16"/>
                <w:szCs w:val="16"/>
                <w:lang w:eastAsia="ko-KR"/>
              </w:rPr>
              <w:t>i) Intercambiar opiniones sobre cuestiones de P.I. relacionadas con el desarrollo de tecnología apropiada;  ii) compartir experiencias nacionales sobre la utilización de tecnologías apropiadas para el desarrollo de las comunidades;  iii) definir el papel de las oficinas de P.I. en la promoción de las tecnologías apropiadas;  y iv) reconocer las formas de superar los desafíos que se plantean en la difusión y comercialización de las tecnologías apropiadas.</w:t>
            </w:r>
          </w:p>
        </w:tc>
      </w:tr>
    </w:tbl>
    <w:p w:rsidR="00C91295" w:rsidRPr="00526311" w:rsidRDefault="00C91295" w:rsidP="00F1387F">
      <w:pPr>
        <w:widowControl w:val="0"/>
        <w:rPr>
          <w:b/>
          <w:sz w:val="20"/>
        </w:rPr>
      </w:pPr>
    </w:p>
    <w:p w:rsidR="00C91295" w:rsidRPr="00526311" w:rsidRDefault="00C91295" w:rsidP="00F1387F">
      <w:pPr>
        <w:widowControl w:val="0"/>
        <w:rPr>
          <w:b/>
          <w:sz w:val="18"/>
          <w:szCs w:val="18"/>
        </w:rPr>
      </w:pPr>
    </w:p>
    <w:p w:rsidR="00C91295" w:rsidRPr="007D4926" w:rsidRDefault="00C91295" w:rsidP="00F1387F">
      <w:pPr>
        <w:widowControl w:val="0"/>
        <w:rPr>
          <w:b/>
          <w:bCs/>
          <w:sz w:val="20"/>
        </w:rPr>
      </w:pPr>
      <w:r w:rsidRPr="007D4926">
        <w:rPr>
          <w:b/>
          <w:bCs/>
          <w:sz w:val="20"/>
        </w:rPr>
        <w:t xml:space="preserve">REPÚBLICA DE COREA – PROPIEDAD INTELECTUAL – </w:t>
      </w:r>
      <w:r w:rsidRPr="007D4926">
        <w:rPr>
          <w:b/>
          <w:bCs/>
          <w:sz w:val="18"/>
          <w:szCs w:val="18"/>
        </w:rPr>
        <w:t>Contribuciones de donantes y gastos en 2014</w:t>
      </w:r>
    </w:p>
    <w:p w:rsidR="00C91295" w:rsidRPr="00526311" w:rsidRDefault="00C91295" w:rsidP="00F1387F">
      <w:pPr>
        <w:widowControl w:val="0"/>
        <w:rPr>
          <w:b/>
          <w:bCs/>
          <w:sz w:val="18"/>
          <w:szCs w:val="18"/>
        </w:rPr>
      </w:pPr>
    </w:p>
    <w:tbl>
      <w:tblPr>
        <w:tblW w:w="9087" w:type="dxa"/>
        <w:tblInd w:w="93" w:type="dxa"/>
        <w:tblLook w:val="04A0" w:firstRow="1" w:lastRow="0" w:firstColumn="1" w:lastColumn="0" w:noHBand="0" w:noVBand="1"/>
      </w:tblPr>
      <w:tblGrid>
        <w:gridCol w:w="1858"/>
        <w:gridCol w:w="1559"/>
        <w:gridCol w:w="1843"/>
        <w:gridCol w:w="1843"/>
        <w:gridCol w:w="1984"/>
      </w:tblGrid>
      <w:tr w:rsidR="00C91295" w:rsidRPr="00526311" w:rsidTr="00F1387F">
        <w:trPr>
          <w:trHeight w:val="396"/>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Balance a 31 de diciembre de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Ingresos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Gastos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Reembolsos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Balance a 31 de diciembre de 2014</w:t>
            </w:r>
          </w:p>
        </w:tc>
      </w:tr>
      <w:tr w:rsidR="00C91295" w:rsidRPr="00526311" w:rsidTr="00F1387F">
        <w:trPr>
          <w:trHeight w:val="416"/>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1.272.754</w:t>
            </w:r>
          </w:p>
        </w:tc>
        <w:tc>
          <w:tcPr>
            <w:tcW w:w="1559"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696.899</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788.879</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 </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1.180.774</w:t>
            </w:r>
          </w:p>
        </w:tc>
      </w:tr>
    </w:tbl>
    <w:p w:rsidR="00C91295" w:rsidRPr="00526311" w:rsidRDefault="00C91295" w:rsidP="00F1387F">
      <w:pPr>
        <w:widowControl w:val="0"/>
        <w:rPr>
          <w:b/>
          <w:bCs/>
          <w:sz w:val="18"/>
          <w:szCs w:val="18"/>
        </w:rPr>
      </w:pPr>
    </w:p>
    <w:p w:rsidR="00C91295" w:rsidRPr="00526311" w:rsidRDefault="00C91295" w:rsidP="00F1387F">
      <w:pPr>
        <w:rPr>
          <w:b/>
          <w:sz w:val="18"/>
          <w:szCs w:val="18"/>
        </w:rPr>
      </w:pPr>
    </w:p>
    <w:p w:rsidR="00C91295" w:rsidRPr="00526311" w:rsidRDefault="00C91295" w:rsidP="003F08BC">
      <w:pPr>
        <w:keepNext/>
        <w:widowControl w:val="0"/>
        <w:rPr>
          <w:b/>
          <w:sz w:val="20"/>
        </w:rPr>
      </w:pPr>
      <w:r w:rsidRPr="00526311">
        <w:rPr>
          <w:b/>
          <w:sz w:val="20"/>
        </w:rPr>
        <w:lastRenderedPageBreak/>
        <w:t>ESPAÑA</w:t>
      </w:r>
    </w:p>
    <w:p w:rsidR="00C91295" w:rsidRPr="00526311" w:rsidRDefault="00C91295" w:rsidP="003F08BC">
      <w:pPr>
        <w:keepNext/>
        <w:widowControl w:val="0"/>
        <w:rPr>
          <w:b/>
          <w:sz w:val="2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253"/>
      </w:tblGrid>
      <w:tr w:rsidR="00C91295" w:rsidRPr="00526311" w:rsidTr="00F1387F">
        <w:trPr>
          <w:cantSplit/>
        </w:trPr>
        <w:tc>
          <w:tcPr>
            <w:tcW w:w="9356" w:type="dxa"/>
            <w:gridSpan w:val="4"/>
            <w:tcBorders>
              <w:top w:val="single" w:sz="4" w:space="0" w:color="auto"/>
              <w:bottom w:val="single" w:sz="4" w:space="0" w:color="auto"/>
            </w:tcBorders>
            <w:shd w:val="clear" w:color="auto" w:fill="CCFFFF"/>
            <w:vAlign w:val="center"/>
          </w:tcPr>
          <w:p w:rsidR="00C91295" w:rsidRPr="00526311" w:rsidRDefault="00C91295" w:rsidP="003F08BC">
            <w:pPr>
              <w:keepNext/>
              <w:spacing w:before="120" w:after="120"/>
              <w:ind w:left="1452" w:hanging="1452"/>
              <w:rPr>
                <w:b/>
                <w:bCs/>
                <w:sz w:val="16"/>
                <w:szCs w:val="16"/>
              </w:rPr>
            </w:pPr>
            <w:r w:rsidRPr="00526311">
              <w:rPr>
                <w:b/>
                <w:bCs/>
                <w:sz w:val="16"/>
                <w:szCs w:val="16"/>
              </w:rPr>
              <w:t>RESULTADO:</w:t>
            </w:r>
            <w:r w:rsidRPr="00526311">
              <w:rPr>
                <w:b/>
                <w:bCs/>
                <w:sz w:val="16"/>
                <w:szCs w:val="16"/>
              </w:rPr>
              <w:tab/>
            </w:r>
            <w:r w:rsidRPr="00526311">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rPr>
          <w:cantSplit/>
          <w:trHeight w:val="196"/>
        </w:trPr>
        <w:tc>
          <w:tcPr>
            <w:tcW w:w="1981" w:type="dxa"/>
            <w:tcBorders>
              <w:top w:val="single" w:sz="4" w:space="0" w:color="auto"/>
            </w:tcBorders>
          </w:tcPr>
          <w:p w:rsidR="00C91295" w:rsidRPr="00526311" w:rsidRDefault="00C91295" w:rsidP="003F08BC">
            <w:pPr>
              <w:keepNext/>
              <w:autoSpaceDE w:val="0"/>
              <w:autoSpaceDN w:val="0"/>
              <w:adjustRightInd w:val="0"/>
              <w:spacing w:before="60" w:after="60"/>
              <w:rPr>
                <w:b/>
                <w:sz w:val="16"/>
                <w:szCs w:val="16"/>
              </w:rPr>
            </w:pPr>
            <w:r w:rsidRPr="00526311">
              <w:rPr>
                <w:b/>
                <w:sz w:val="16"/>
                <w:szCs w:val="16"/>
              </w:rPr>
              <w:t>Actividad</w:t>
            </w:r>
          </w:p>
        </w:tc>
        <w:tc>
          <w:tcPr>
            <w:tcW w:w="1260" w:type="dxa"/>
            <w:tcBorders>
              <w:top w:val="single" w:sz="4" w:space="0" w:color="auto"/>
            </w:tcBorders>
            <w:shd w:val="clear" w:color="auto" w:fill="auto"/>
            <w:tcMar>
              <w:top w:w="110" w:type="dxa"/>
            </w:tcMar>
          </w:tcPr>
          <w:p w:rsidR="00C91295" w:rsidRPr="00526311" w:rsidRDefault="00C91295" w:rsidP="003F08BC">
            <w:pPr>
              <w:keepNext/>
              <w:autoSpaceDE w:val="0"/>
              <w:autoSpaceDN w:val="0"/>
              <w:adjustRightInd w:val="0"/>
              <w:spacing w:before="60" w:after="60"/>
              <w:rPr>
                <w:b/>
                <w:sz w:val="16"/>
                <w:szCs w:val="16"/>
              </w:rPr>
            </w:pPr>
            <w:r w:rsidRPr="00526311">
              <w:rPr>
                <w:b/>
                <w:sz w:val="16"/>
                <w:szCs w:val="16"/>
              </w:rPr>
              <w:t>Fecha</w:t>
            </w:r>
          </w:p>
        </w:tc>
        <w:tc>
          <w:tcPr>
            <w:tcW w:w="1862" w:type="dxa"/>
            <w:tcBorders>
              <w:top w:val="single" w:sz="4" w:space="0" w:color="auto"/>
            </w:tcBorders>
            <w:shd w:val="clear" w:color="auto" w:fill="auto"/>
            <w:tcMar>
              <w:top w:w="110" w:type="dxa"/>
            </w:tcMar>
            <w:vAlign w:val="center"/>
          </w:tcPr>
          <w:p w:rsidR="00C91295" w:rsidRPr="00526311" w:rsidRDefault="00C91295" w:rsidP="003F08BC">
            <w:pPr>
              <w:keepNext/>
              <w:keepLines/>
              <w:rPr>
                <w:b/>
                <w:sz w:val="16"/>
                <w:szCs w:val="16"/>
              </w:rPr>
            </w:pPr>
            <w:r w:rsidRPr="00526311">
              <w:rPr>
                <w:b/>
                <w:sz w:val="16"/>
                <w:szCs w:val="16"/>
              </w:rPr>
              <w:t>País anfitrión / Beneficiarios</w:t>
            </w:r>
          </w:p>
        </w:tc>
        <w:tc>
          <w:tcPr>
            <w:tcW w:w="4253" w:type="dxa"/>
            <w:tcBorders>
              <w:top w:val="single" w:sz="4" w:space="0" w:color="auto"/>
            </w:tcBorders>
            <w:shd w:val="clear" w:color="auto" w:fill="FFFFFF"/>
            <w:tcMar>
              <w:top w:w="110" w:type="dxa"/>
            </w:tcMar>
          </w:tcPr>
          <w:p w:rsidR="00C91295" w:rsidRPr="00526311" w:rsidRDefault="00C91295" w:rsidP="003F08BC">
            <w:pPr>
              <w:keepNext/>
              <w:autoSpaceDE w:val="0"/>
              <w:autoSpaceDN w:val="0"/>
              <w:adjustRightInd w:val="0"/>
              <w:spacing w:before="60" w:after="60"/>
              <w:rPr>
                <w:b/>
                <w:sz w:val="16"/>
                <w:szCs w:val="16"/>
              </w:rPr>
            </w:pPr>
            <w:r w:rsidRPr="00526311">
              <w:rPr>
                <w:b/>
                <w:sz w:val="16"/>
                <w:szCs w:val="16"/>
              </w:rPr>
              <w:t>Propósito(s) / Descripción</w:t>
            </w:r>
          </w:p>
        </w:tc>
      </w:tr>
      <w:tr w:rsidR="00C91295" w:rsidRPr="00526311" w:rsidTr="00F1387F">
        <w:trPr>
          <w:cantSplit/>
        </w:trPr>
        <w:tc>
          <w:tcPr>
            <w:tcW w:w="1981" w:type="dxa"/>
          </w:tcPr>
          <w:p w:rsidR="00C91295" w:rsidRPr="00526311" w:rsidRDefault="00C91295" w:rsidP="003F08BC">
            <w:pPr>
              <w:keepNext/>
              <w:autoSpaceDE w:val="0"/>
              <w:autoSpaceDN w:val="0"/>
              <w:adjustRightInd w:val="0"/>
              <w:spacing w:after="120"/>
              <w:rPr>
                <w:sz w:val="16"/>
                <w:szCs w:val="16"/>
              </w:rPr>
            </w:pPr>
            <w:r w:rsidRPr="00526311">
              <w:rPr>
                <w:sz w:val="16"/>
                <w:szCs w:val="16"/>
              </w:rPr>
              <w:t>Participación de expertos españoles en el Simposio Internacional de Diseño Industrial</w:t>
            </w:r>
          </w:p>
        </w:tc>
        <w:tc>
          <w:tcPr>
            <w:tcW w:w="1260" w:type="dxa"/>
            <w:shd w:val="clear" w:color="auto" w:fill="auto"/>
            <w:tcMar>
              <w:top w:w="110" w:type="dxa"/>
            </w:tcMar>
          </w:tcPr>
          <w:p w:rsidR="00C91295" w:rsidRPr="00526311" w:rsidRDefault="00C91295" w:rsidP="003F08BC">
            <w:pPr>
              <w:keepNext/>
              <w:autoSpaceDE w:val="0"/>
              <w:autoSpaceDN w:val="0"/>
              <w:adjustRightInd w:val="0"/>
              <w:spacing w:after="120"/>
              <w:rPr>
                <w:sz w:val="16"/>
                <w:szCs w:val="16"/>
              </w:rPr>
            </w:pPr>
            <w:r w:rsidRPr="00526311">
              <w:rPr>
                <w:sz w:val="16"/>
                <w:szCs w:val="16"/>
              </w:rPr>
              <w:t>3 y 4 de septiembre de 2014</w:t>
            </w:r>
          </w:p>
        </w:tc>
        <w:tc>
          <w:tcPr>
            <w:tcW w:w="1862" w:type="dxa"/>
            <w:shd w:val="clear" w:color="auto" w:fill="auto"/>
            <w:tcMar>
              <w:top w:w="110" w:type="dxa"/>
            </w:tcMar>
          </w:tcPr>
          <w:p w:rsidR="00C91295" w:rsidRPr="00526311" w:rsidRDefault="00C91295" w:rsidP="003F08BC">
            <w:pPr>
              <w:keepNext/>
              <w:autoSpaceDE w:val="0"/>
              <w:autoSpaceDN w:val="0"/>
              <w:adjustRightInd w:val="0"/>
              <w:spacing w:after="120"/>
              <w:rPr>
                <w:sz w:val="16"/>
                <w:szCs w:val="16"/>
              </w:rPr>
            </w:pPr>
            <w:r w:rsidRPr="00526311">
              <w:rPr>
                <w:sz w:val="16"/>
                <w:szCs w:val="16"/>
              </w:rPr>
              <w:t>Argentina / Internacional</w:t>
            </w:r>
          </w:p>
        </w:tc>
        <w:tc>
          <w:tcPr>
            <w:tcW w:w="4253" w:type="dxa"/>
            <w:shd w:val="clear" w:color="auto" w:fill="FFFFFF"/>
            <w:tcMar>
              <w:top w:w="110" w:type="dxa"/>
            </w:tcMar>
          </w:tcPr>
          <w:p w:rsidR="00C91295" w:rsidRPr="00526311" w:rsidRDefault="00C91295" w:rsidP="003F08BC">
            <w:pPr>
              <w:keepNext/>
              <w:autoSpaceDE w:val="0"/>
              <w:autoSpaceDN w:val="0"/>
              <w:adjustRightInd w:val="0"/>
              <w:spacing w:after="120"/>
              <w:rPr>
                <w:sz w:val="16"/>
                <w:szCs w:val="16"/>
              </w:rPr>
            </w:pPr>
            <w:r w:rsidRPr="00526311">
              <w:rPr>
                <w:sz w:val="16"/>
                <w:szCs w:val="16"/>
              </w:rPr>
              <w:t>Compartir experiencias y conocimientos entre especialistas y funcionarios en los sectores comercial y académico, así como autoridades competentes del ámbito de los diseños industriales, centrando la atención en el análisis de los desafíos actuales y en la utilización eficaz de los diseños industriales de cara a las oportunidades que puedan presentarse en el futuro en esa esfera.</w:t>
            </w:r>
          </w:p>
        </w:tc>
      </w:tr>
      <w:tr w:rsidR="00C91295" w:rsidRPr="00526311" w:rsidTr="00F1387F">
        <w:trPr>
          <w:cantSplit/>
        </w:trPr>
        <w:tc>
          <w:tcPr>
            <w:tcW w:w="1981" w:type="dxa"/>
          </w:tcPr>
          <w:p w:rsidR="00C91295" w:rsidRPr="00526311" w:rsidRDefault="00C91295" w:rsidP="00F1387F">
            <w:pPr>
              <w:keepNext/>
              <w:keepLines/>
              <w:autoSpaceDE w:val="0"/>
              <w:autoSpaceDN w:val="0"/>
              <w:adjustRightInd w:val="0"/>
              <w:spacing w:after="120"/>
              <w:rPr>
                <w:sz w:val="16"/>
                <w:szCs w:val="16"/>
              </w:rPr>
            </w:pPr>
            <w:r w:rsidRPr="00526311">
              <w:rPr>
                <w:sz w:val="16"/>
                <w:szCs w:val="16"/>
              </w:rPr>
              <w:t>II Seminario regional OMPI / OEPM / AECID sobre las marcas y los diseños industriales como factores de innovación:  Innovar a través de la artesanía</w:t>
            </w:r>
          </w:p>
        </w:tc>
        <w:tc>
          <w:tcPr>
            <w:tcW w:w="1260" w:type="dxa"/>
            <w:shd w:val="clear" w:color="auto" w:fill="auto"/>
            <w:tcMar>
              <w:top w:w="110" w:type="dxa"/>
            </w:tcMar>
          </w:tcPr>
          <w:p w:rsidR="00C91295" w:rsidRPr="00526311" w:rsidRDefault="00C91295" w:rsidP="00F1387F">
            <w:pPr>
              <w:keepNext/>
              <w:keepLines/>
              <w:autoSpaceDE w:val="0"/>
              <w:autoSpaceDN w:val="0"/>
              <w:adjustRightInd w:val="0"/>
              <w:spacing w:after="120"/>
              <w:rPr>
                <w:sz w:val="16"/>
                <w:szCs w:val="16"/>
              </w:rPr>
            </w:pPr>
            <w:r w:rsidRPr="00526311">
              <w:rPr>
                <w:sz w:val="16"/>
                <w:szCs w:val="16"/>
              </w:rPr>
              <w:t>27 a 31 de octubre de 2014</w:t>
            </w:r>
          </w:p>
        </w:tc>
        <w:tc>
          <w:tcPr>
            <w:tcW w:w="1862" w:type="dxa"/>
            <w:shd w:val="clear" w:color="auto" w:fill="auto"/>
            <w:tcMar>
              <w:top w:w="110" w:type="dxa"/>
            </w:tcMar>
          </w:tcPr>
          <w:p w:rsidR="00C91295" w:rsidRPr="00526311" w:rsidRDefault="00C91295" w:rsidP="00F1387F">
            <w:pPr>
              <w:keepNext/>
              <w:keepLines/>
              <w:autoSpaceDE w:val="0"/>
              <w:autoSpaceDN w:val="0"/>
              <w:adjustRightInd w:val="0"/>
              <w:spacing w:after="120"/>
              <w:rPr>
                <w:sz w:val="16"/>
                <w:szCs w:val="16"/>
              </w:rPr>
            </w:pPr>
            <w:r w:rsidRPr="00526311">
              <w:rPr>
                <w:sz w:val="16"/>
                <w:szCs w:val="16"/>
              </w:rPr>
              <w:t>Colombia / Todos los países de América Latina</w:t>
            </w:r>
          </w:p>
        </w:tc>
        <w:tc>
          <w:tcPr>
            <w:tcW w:w="4253" w:type="dxa"/>
            <w:shd w:val="clear" w:color="auto" w:fill="FFFFFF"/>
            <w:tcMar>
              <w:top w:w="110" w:type="dxa"/>
            </w:tcMar>
          </w:tcPr>
          <w:p w:rsidR="00C91295" w:rsidRPr="00526311" w:rsidRDefault="00C91295" w:rsidP="00F1387F">
            <w:pPr>
              <w:keepNext/>
              <w:keepLines/>
              <w:autoSpaceDE w:val="0"/>
              <w:autoSpaceDN w:val="0"/>
              <w:adjustRightInd w:val="0"/>
              <w:spacing w:after="120"/>
              <w:rPr>
                <w:sz w:val="16"/>
                <w:szCs w:val="16"/>
              </w:rPr>
            </w:pPr>
            <w:r w:rsidRPr="00526311">
              <w:rPr>
                <w:sz w:val="16"/>
                <w:szCs w:val="16"/>
              </w:rPr>
              <w:t>i) Proporcionar a los participantes información actualizada, formación práctica e instrumentos útiles en el campo del uso estratégico de las marcas y los diseños industriales con fines empresariales;  ii) promover e intercambiar entre ellos las experiencias adquiridas;  y iii) presentar las mejores prácticas con el fin de identificar mecanismos adecuados para que los derechos de P.I. sean más accesibles y útiles para el sector empresarial de América Latina.</w:t>
            </w:r>
          </w:p>
        </w:tc>
      </w:tr>
      <w:tr w:rsidR="00C91295" w:rsidRPr="00526311" w:rsidTr="00F1387F">
        <w:trPr>
          <w:cantSplit/>
        </w:trPr>
        <w:tc>
          <w:tcPr>
            <w:tcW w:w="9356" w:type="dxa"/>
            <w:gridSpan w:val="4"/>
            <w:tcBorders>
              <w:top w:val="single" w:sz="4" w:space="0" w:color="auto"/>
              <w:bottom w:val="single" w:sz="4" w:space="0" w:color="auto"/>
            </w:tcBorders>
            <w:shd w:val="clear" w:color="auto" w:fill="CCFFFF"/>
            <w:vAlign w:val="center"/>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III.4 Fortalecimiento de los mecanismos y de los programas de cooperación conforme a las necesidades de los países en desarrollo y los PMA</w:t>
            </w:r>
          </w:p>
        </w:tc>
      </w:tr>
      <w:tr w:rsidR="00C91295" w:rsidRPr="00526311" w:rsidTr="00F1387F">
        <w:trPr>
          <w:cantSplit/>
        </w:trPr>
        <w:tc>
          <w:tcPr>
            <w:tcW w:w="1981" w:type="dxa"/>
            <w:tcBorders>
              <w:top w:val="single" w:sz="4" w:space="0" w:color="auto"/>
              <w:left w:val="single" w:sz="4" w:space="0" w:color="auto"/>
              <w:bottom w:val="nil"/>
            </w:tcBorders>
            <w:vAlign w:val="center"/>
          </w:tcPr>
          <w:p w:rsidR="00C91295" w:rsidRPr="00526311" w:rsidRDefault="00C91295" w:rsidP="00F1387F">
            <w:pPr>
              <w:keepNext/>
              <w:keepLines/>
              <w:rPr>
                <w:b/>
                <w:bCs/>
                <w:sz w:val="16"/>
                <w:szCs w:val="16"/>
              </w:rPr>
            </w:pPr>
            <w:r w:rsidRPr="00526311">
              <w:rPr>
                <w:b/>
                <w:bCs/>
                <w:sz w:val="16"/>
                <w:szCs w:val="16"/>
              </w:rPr>
              <w:t>Actividad</w:t>
            </w:r>
          </w:p>
        </w:tc>
        <w:tc>
          <w:tcPr>
            <w:tcW w:w="1260" w:type="dxa"/>
            <w:tcBorders>
              <w:top w:val="single" w:sz="4" w:space="0" w:color="auto"/>
              <w:bottom w:val="nil"/>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Fecha</w:t>
            </w:r>
          </w:p>
        </w:tc>
        <w:tc>
          <w:tcPr>
            <w:tcW w:w="1862" w:type="dxa"/>
            <w:tcBorders>
              <w:top w:val="single" w:sz="4" w:space="0" w:color="auto"/>
              <w:bottom w:val="nil"/>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País anfitrión / Beneficiarios</w:t>
            </w:r>
          </w:p>
        </w:tc>
        <w:tc>
          <w:tcPr>
            <w:tcW w:w="4253" w:type="dxa"/>
            <w:tcBorders>
              <w:top w:val="single" w:sz="4" w:space="0" w:color="auto"/>
              <w:bottom w:val="nil"/>
              <w:right w:val="single" w:sz="4" w:space="0" w:color="auto"/>
            </w:tcBorders>
            <w:shd w:val="clear" w:color="auto" w:fill="FFFFFF"/>
            <w:tcMar>
              <w:top w:w="110" w:type="dxa"/>
            </w:tcMar>
            <w:vAlign w:val="center"/>
          </w:tcPr>
          <w:p w:rsidR="00C91295" w:rsidRPr="00526311" w:rsidRDefault="00C91295" w:rsidP="00F1387F">
            <w:pPr>
              <w:keepNext/>
              <w:keepLines/>
              <w:rPr>
                <w:sz w:val="16"/>
                <w:szCs w:val="16"/>
              </w:rPr>
            </w:pPr>
            <w:r w:rsidRPr="00526311">
              <w:rPr>
                <w:b/>
                <w:sz w:val="16"/>
                <w:szCs w:val="16"/>
              </w:rPr>
              <w:t>Propósito(s) / Descripción</w:t>
            </w:r>
          </w:p>
        </w:tc>
      </w:tr>
      <w:tr w:rsidR="00C91295" w:rsidRPr="00526311" w:rsidTr="00F1387F">
        <w:trPr>
          <w:cantSplit/>
        </w:trPr>
        <w:tc>
          <w:tcPr>
            <w:tcW w:w="1981" w:type="dxa"/>
            <w:tcBorders>
              <w:top w:val="nil"/>
              <w:left w:val="single" w:sz="4" w:space="0" w:color="auto"/>
              <w:bottom w:val="nil"/>
            </w:tcBorders>
          </w:tcPr>
          <w:p w:rsidR="00C91295" w:rsidRPr="00526311" w:rsidRDefault="00C91295" w:rsidP="00F1387F">
            <w:pPr>
              <w:keepNext/>
              <w:keepLines/>
              <w:autoSpaceDE w:val="0"/>
              <w:autoSpaceDN w:val="0"/>
              <w:adjustRightInd w:val="0"/>
              <w:spacing w:before="120" w:after="120"/>
              <w:rPr>
                <w:sz w:val="16"/>
                <w:szCs w:val="16"/>
              </w:rPr>
            </w:pPr>
            <w:r w:rsidRPr="00526311">
              <w:rPr>
                <w:sz w:val="16"/>
                <w:szCs w:val="16"/>
              </w:rPr>
              <w:t>XIII Seminario regional OMPI / OEPM / AECID sobre propiedad intelectual para jueces y fiscales de América Latina</w:t>
            </w:r>
          </w:p>
        </w:tc>
        <w:tc>
          <w:tcPr>
            <w:tcW w:w="1260" w:type="dxa"/>
            <w:tcBorders>
              <w:top w:val="nil"/>
              <w:bottom w:val="nil"/>
            </w:tcBorders>
          </w:tcPr>
          <w:p w:rsidR="00C91295" w:rsidRPr="00526311" w:rsidRDefault="00C91295" w:rsidP="00F1387F">
            <w:pPr>
              <w:keepNext/>
              <w:keepLines/>
              <w:autoSpaceDE w:val="0"/>
              <w:autoSpaceDN w:val="0"/>
              <w:adjustRightInd w:val="0"/>
              <w:spacing w:before="120" w:after="120"/>
              <w:rPr>
                <w:sz w:val="16"/>
                <w:szCs w:val="16"/>
              </w:rPr>
            </w:pPr>
            <w:r w:rsidRPr="00526311">
              <w:rPr>
                <w:sz w:val="16"/>
                <w:szCs w:val="16"/>
              </w:rPr>
              <w:t>17 a 20 de marzo de 2014</w:t>
            </w:r>
          </w:p>
          <w:p w:rsidR="00C91295" w:rsidRPr="00526311" w:rsidRDefault="00C91295" w:rsidP="00F1387F">
            <w:pPr>
              <w:autoSpaceDE w:val="0"/>
              <w:autoSpaceDN w:val="0"/>
              <w:adjustRightInd w:val="0"/>
              <w:spacing w:before="120" w:after="120"/>
              <w:rPr>
                <w:sz w:val="16"/>
                <w:szCs w:val="16"/>
              </w:rPr>
            </w:pPr>
          </w:p>
        </w:tc>
        <w:tc>
          <w:tcPr>
            <w:tcW w:w="1862" w:type="dxa"/>
            <w:tcBorders>
              <w:top w:val="nil"/>
              <w:bottom w:val="nil"/>
            </w:tcBorders>
          </w:tcPr>
          <w:p w:rsidR="00C91295" w:rsidRPr="00526311" w:rsidRDefault="00C91295" w:rsidP="00F1387F">
            <w:pPr>
              <w:keepNext/>
              <w:keepLines/>
              <w:autoSpaceDE w:val="0"/>
              <w:autoSpaceDN w:val="0"/>
              <w:adjustRightInd w:val="0"/>
              <w:spacing w:before="120" w:after="120"/>
              <w:rPr>
                <w:sz w:val="16"/>
                <w:szCs w:val="16"/>
              </w:rPr>
            </w:pPr>
            <w:r w:rsidRPr="00526311">
              <w:rPr>
                <w:sz w:val="16"/>
                <w:szCs w:val="16"/>
              </w:rPr>
              <w:t>Guatemala / Todos los países de América Latina y el Tribunal de la Comunidad Andina</w:t>
            </w:r>
          </w:p>
          <w:p w:rsidR="00C91295" w:rsidRPr="00526311" w:rsidRDefault="00C91295" w:rsidP="00F1387F">
            <w:pPr>
              <w:autoSpaceDE w:val="0"/>
              <w:autoSpaceDN w:val="0"/>
              <w:adjustRightInd w:val="0"/>
              <w:spacing w:before="120" w:after="120"/>
              <w:rPr>
                <w:sz w:val="16"/>
                <w:szCs w:val="16"/>
              </w:rPr>
            </w:pPr>
          </w:p>
        </w:tc>
        <w:tc>
          <w:tcPr>
            <w:tcW w:w="4253" w:type="dxa"/>
            <w:tcBorders>
              <w:top w:val="nil"/>
              <w:bottom w:val="nil"/>
              <w:right w:val="single" w:sz="4" w:space="0" w:color="auto"/>
            </w:tcBorders>
          </w:tcPr>
          <w:p w:rsidR="00C91295" w:rsidRPr="00526311" w:rsidRDefault="00C91295" w:rsidP="00F1387F">
            <w:pPr>
              <w:keepNext/>
              <w:keepLines/>
              <w:autoSpaceDE w:val="0"/>
              <w:autoSpaceDN w:val="0"/>
              <w:adjustRightInd w:val="0"/>
              <w:spacing w:before="120" w:after="120"/>
              <w:rPr>
                <w:sz w:val="16"/>
                <w:szCs w:val="16"/>
              </w:rPr>
            </w:pPr>
            <w:r w:rsidRPr="00526311">
              <w:rPr>
                <w:sz w:val="16"/>
                <w:szCs w:val="16"/>
              </w:rPr>
              <w:t>i) Impartir formación sobre cuestiones de P.I. a los jueces y fiscales de P.I. en países de América Latina, con el fin de mejorar el proceso de toma de decisiones en la solución de litigios;  y ii) dar a los participantes información actualizada e impartirles formación práctica en el ámbito de las patentes, las marcas y el derecho de autor, así como en contenciosos relacionados con la observancia.</w:t>
            </w:r>
          </w:p>
        </w:tc>
      </w:tr>
      <w:tr w:rsidR="00C91295" w:rsidRPr="00526311" w:rsidTr="00F1387F">
        <w:trPr>
          <w:cantSplit/>
        </w:trPr>
        <w:tc>
          <w:tcPr>
            <w:tcW w:w="1981"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Plataforma en español sobre servicios y contenidos de propiedad industrial adaptada a las necesidades del sector empresarial de América Latina, centrándose en las pymes (CIBEPYME)</w:t>
            </w:r>
          </w:p>
        </w:tc>
        <w:tc>
          <w:tcPr>
            <w:tcW w:w="1260"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Enero a diciembre de 2014</w:t>
            </w:r>
          </w:p>
          <w:p w:rsidR="00C91295" w:rsidRPr="00526311" w:rsidRDefault="00C91295" w:rsidP="00F1387F">
            <w:pPr>
              <w:autoSpaceDE w:val="0"/>
              <w:autoSpaceDN w:val="0"/>
              <w:adjustRightInd w:val="0"/>
              <w:spacing w:before="120" w:after="120"/>
              <w:rPr>
                <w:sz w:val="16"/>
                <w:szCs w:val="16"/>
              </w:rPr>
            </w:pPr>
            <w:r w:rsidRPr="00526311">
              <w:rPr>
                <w:sz w:val="16"/>
                <w:szCs w:val="16"/>
              </w:rPr>
              <w:t>(Proyecto en curso desde 2010)</w:t>
            </w:r>
          </w:p>
        </w:tc>
        <w:tc>
          <w:tcPr>
            <w:tcW w:w="1862"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Todos los países de América Latina</w:t>
            </w:r>
          </w:p>
        </w:tc>
        <w:tc>
          <w:tcPr>
            <w:tcW w:w="4253"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Seguir diseñando y creando una plataforma dirigida al sector privado para i) proporcionarle asistencia y servicios relacionados con su uso de la P.I.;  ii) aumentar el valor de sus negocios;  y iii) ofrecer un foro para que el sector privado intercambie ideas y experiencias.</w:t>
            </w:r>
          </w:p>
        </w:tc>
      </w:tr>
      <w:tr w:rsidR="00C91295" w:rsidRPr="00526311" w:rsidTr="003F08BC">
        <w:trPr>
          <w:cantSplit/>
        </w:trPr>
        <w:tc>
          <w:tcPr>
            <w:tcW w:w="1981"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Proyecto regional de automatización para la traducción al español del nivel avanzado de la Clasificación Internacional de Patentes (CIP)</w:t>
            </w:r>
          </w:p>
        </w:tc>
        <w:tc>
          <w:tcPr>
            <w:tcW w:w="1260"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Enero a diciembre de 2015</w:t>
            </w:r>
          </w:p>
          <w:p w:rsidR="00C91295" w:rsidRPr="00526311" w:rsidRDefault="00C91295" w:rsidP="00F1387F">
            <w:pPr>
              <w:autoSpaceDE w:val="0"/>
              <w:autoSpaceDN w:val="0"/>
              <w:adjustRightInd w:val="0"/>
              <w:spacing w:before="120" w:after="120"/>
              <w:rPr>
                <w:sz w:val="16"/>
                <w:szCs w:val="16"/>
              </w:rPr>
            </w:pPr>
            <w:r w:rsidRPr="00526311">
              <w:rPr>
                <w:sz w:val="16"/>
                <w:szCs w:val="16"/>
              </w:rPr>
              <w:t>(Proyecto en curso desde 2010)</w:t>
            </w:r>
          </w:p>
        </w:tc>
        <w:tc>
          <w:tcPr>
            <w:tcW w:w="1862"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Todos los países de América Latina</w:t>
            </w:r>
          </w:p>
        </w:tc>
        <w:tc>
          <w:tcPr>
            <w:tcW w:w="4253"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Instrumentar la automatización de la traducción al español del nivel avanzado de la CIP, puesto que se encargó inicialmente solo al francés e inglés;  y ii) ponerla a disposición de las oficinas de propiedad industrial de los países de América Latina.</w:t>
            </w:r>
          </w:p>
        </w:tc>
      </w:tr>
      <w:tr w:rsidR="00C91295" w:rsidRPr="00526311" w:rsidTr="003F08BC">
        <w:trPr>
          <w:cantSplit/>
        </w:trPr>
        <w:tc>
          <w:tcPr>
            <w:tcW w:w="1981"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Reunión subregional sobre patentes para países de América Central, Panamá y la República Dominicana para el examen y la aprobación de un manual sobre el examen de solicitudes de patente y el fortalecimiento de los mecanismos de cooperación</w:t>
            </w:r>
          </w:p>
        </w:tc>
        <w:tc>
          <w:tcPr>
            <w:tcW w:w="1260"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22 a 24 de enero de 2014</w:t>
            </w:r>
          </w:p>
          <w:p w:rsidR="00C91295" w:rsidRPr="00526311" w:rsidRDefault="00C91295" w:rsidP="00F1387F">
            <w:pPr>
              <w:autoSpaceDE w:val="0"/>
              <w:autoSpaceDN w:val="0"/>
              <w:adjustRightInd w:val="0"/>
              <w:spacing w:before="120" w:after="120"/>
              <w:rPr>
                <w:sz w:val="16"/>
                <w:szCs w:val="16"/>
              </w:rPr>
            </w:pPr>
          </w:p>
        </w:tc>
        <w:tc>
          <w:tcPr>
            <w:tcW w:w="1862"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República Dominicana / República Dominicana y países de América Central</w:t>
            </w:r>
          </w:p>
        </w:tc>
        <w:tc>
          <w:tcPr>
            <w:tcW w:w="4253"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Brindar la oportunidad de actualizar el Manual sobre el examen de patentes para países de América Central, Panamá y la República Dominicana;  ii) proponer medidas conducentes a la utilización futura del Manual en los procedimientos de examen de esos países:  y iii) establecer medidas para fortalecer los mecanismos de cooperación con miras a lograr el consenso para que el Manual siga siendo de utilidad.</w:t>
            </w:r>
          </w:p>
        </w:tc>
      </w:tr>
      <w:tr w:rsidR="003F08BC" w:rsidRPr="00526311" w:rsidTr="003F08BC">
        <w:trPr>
          <w:cantSplit/>
        </w:trPr>
        <w:tc>
          <w:tcPr>
            <w:tcW w:w="1981" w:type="dxa"/>
            <w:tcBorders>
              <w:top w:val="single" w:sz="4" w:space="0" w:color="auto"/>
              <w:left w:val="single" w:sz="4" w:space="0" w:color="auto"/>
              <w:bottom w:val="nil"/>
            </w:tcBorders>
            <w:vAlign w:val="center"/>
          </w:tcPr>
          <w:p w:rsidR="003F08BC" w:rsidRPr="00526311" w:rsidRDefault="003F08BC" w:rsidP="001A4F69">
            <w:pPr>
              <w:keepNext/>
              <w:keepLines/>
              <w:rPr>
                <w:b/>
                <w:bCs/>
                <w:sz w:val="16"/>
                <w:szCs w:val="16"/>
              </w:rPr>
            </w:pPr>
            <w:r w:rsidRPr="00526311">
              <w:rPr>
                <w:b/>
                <w:bCs/>
                <w:sz w:val="16"/>
                <w:szCs w:val="16"/>
              </w:rPr>
              <w:lastRenderedPageBreak/>
              <w:t>Actividad</w:t>
            </w:r>
          </w:p>
        </w:tc>
        <w:tc>
          <w:tcPr>
            <w:tcW w:w="1260" w:type="dxa"/>
            <w:tcBorders>
              <w:top w:val="single" w:sz="4" w:space="0" w:color="auto"/>
              <w:bottom w:val="nil"/>
            </w:tcBorders>
            <w:shd w:val="clear" w:color="auto" w:fill="auto"/>
            <w:tcMar>
              <w:top w:w="110" w:type="dxa"/>
            </w:tcMar>
            <w:vAlign w:val="center"/>
          </w:tcPr>
          <w:p w:rsidR="003F08BC" w:rsidRPr="00526311" w:rsidRDefault="003F08BC" w:rsidP="001A4F69">
            <w:pPr>
              <w:keepNext/>
              <w:keepLines/>
              <w:rPr>
                <w:sz w:val="16"/>
                <w:szCs w:val="16"/>
              </w:rPr>
            </w:pPr>
            <w:r w:rsidRPr="00526311">
              <w:rPr>
                <w:b/>
                <w:sz w:val="16"/>
                <w:szCs w:val="16"/>
              </w:rPr>
              <w:t>Fecha</w:t>
            </w:r>
          </w:p>
        </w:tc>
        <w:tc>
          <w:tcPr>
            <w:tcW w:w="1862" w:type="dxa"/>
            <w:tcBorders>
              <w:top w:val="single" w:sz="4" w:space="0" w:color="auto"/>
              <w:bottom w:val="nil"/>
            </w:tcBorders>
            <w:shd w:val="clear" w:color="auto" w:fill="auto"/>
            <w:tcMar>
              <w:top w:w="110" w:type="dxa"/>
            </w:tcMar>
            <w:vAlign w:val="center"/>
          </w:tcPr>
          <w:p w:rsidR="003F08BC" w:rsidRPr="00526311" w:rsidRDefault="003F08BC" w:rsidP="001A4F69">
            <w:pPr>
              <w:keepNext/>
              <w:keepLines/>
              <w:rPr>
                <w:sz w:val="16"/>
                <w:szCs w:val="16"/>
              </w:rPr>
            </w:pPr>
            <w:r w:rsidRPr="00526311">
              <w:rPr>
                <w:b/>
                <w:sz w:val="16"/>
                <w:szCs w:val="16"/>
              </w:rPr>
              <w:t>País anfitrión / Beneficiarios</w:t>
            </w:r>
          </w:p>
        </w:tc>
        <w:tc>
          <w:tcPr>
            <w:tcW w:w="4253" w:type="dxa"/>
            <w:tcBorders>
              <w:top w:val="single" w:sz="4" w:space="0" w:color="auto"/>
              <w:bottom w:val="nil"/>
              <w:right w:val="single" w:sz="4" w:space="0" w:color="auto"/>
            </w:tcBorders>
            <w:shd w:val="clear" w:color="auto" w:fill="FFFFFF"/>
            <w:tcMar>
              <w:top w:w="110" w:type="dxa"/>
            </w:tcMar>
            <w:vAlign w:val="center"/>
          </w:tcPr>
          <w:p w:rsidR="003F08BC" w:rsidRPr="00526311" w:rsidRDefault="003F08BC" w:rsidP="001A4F69">
            <w:pPr>
              <w:keepNext/>
              <w:keepLines/>
              <w:rPr>
                <w:sz w:val="16"/>
                <w:szCs w:val="16"/>
              </w:rPr>
            </w:pPr>
            <w:r w:rsidRPr="00526311">
              <w:rPr>
                <w:b/>
                <w:sz w:val="16"/>
                <w:szCs w:val="16"/>
              </w:rPr>
              <w:t>Propósito(s) / Descripción</w:t>
            </w:r>
          </w:p>
        </w:tc>
      </w:tr>
      <w:tr w:rsidR="00C91295" w:rsidRPr="00526311" w:rsidTr="003F08BC">
        <w:trPr>
          <w:cantSplit/>
        </w:trPr>
        <w:tc>
          <w:tcPr>
            <w:tcW w:w="1981"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Reunión de consulta del Grupo de Trabajo sobre la Base de Datos de Jurisprudencia</w:t>
            </w:r>
          </w:p>
        </w:tc>
        <w:tc>
          <w:tcPr>
            <w:tcW w:w="1260"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27 y 28 de noviembre de 2014</w:t>
            </w:r>
          </w:p>
        </w:tc>
        <w:tc>
          <w:tcPr>
            <w:tcW w:w="1862"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Ciudad de México / Todos los países de América Latina</w:t>
            </w:r>
          </w:p>
        </w:tc>
        <w:tc>
          <w:tcPr>
            <w:tcW w:w="4253"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Examinar los aspectos jurídicos que cabe tomar en consideración en la concepción de una nueva base de datos, y ello incluye los criterios de selección de las decisiones de autoridades administrativas y del Poder Judicial, con el fin de velar por la calidad, accesibilidad y utilidad de esa base de datos, entre otras cuestiones;  ii) la preparación de un análisis de situación y una propuesta respecto del diseño funcional del nuevo sistema, sentando las bases del mandato de un consultor externo.</w:t>
            </w:r>
          </w:p>
        </w:tc>
      </w:tr>
      <w:tr w:rsidR="00C91295" w:rsidRPr="00526311" w:rsidTr="003F08BC">
        <w:trPr>
          <w:cantSplit/>
        </w:trPr>
        <w:tc>
          <w:tcPr>
            <w:tcW w:w="1981"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Programa Iberoamericano de P.I. (IBEPI)</w:t>
            </w:r>
          </w:p>
        </w:tc>
        <w:tc>
          <w:tcPr>
            <w:tcW w:w="1260"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(En curso)</w:t>
            </w:r>
          </w:p>
        </w:tc>
        <w:tc>
          <w:tcPr>
            <w:tcW w:w="1862"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Todos los países de América Latina</w:t>
            </w:r>
          </w:p>
        </w:tc>
        <w:tc>
          <w:tcPr>
            <w:tcW w:w="4253"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Fomentar el desarrollo social y económico en la región, en el marco de la Cumbre Iberoamericana de Jefes de Estado y de Gobierno.</w:t>
            </w:r>
          </w:p>
        </w:tc>
      </w:tr>
      <w:tr w:rsidR="00C91295" w:rsidRPr="00526311" w:rsidTr="003F08BC">
        <w:trPr>
          <w:cantSplit/>
        </w:trPr>
        <w:tc>
          <w:tcPr>
            <w:tcW w:w="1981" w:type="dxa"/>
            <w:tcBorders>
              <w:top w:val="nil"/>
              <w:left w:val="single" w:sz="4" w:space="0" w:color="auto"/>
              <w:bottom w:val="nil"/>
            </w:tcBorders>
          </w:tcPr>
          <w:p w:rsidR="00C91295" w:rsidRPr="00526311" w:rsidRDefault="00C91295" w:rsidP="009379F4">
            <w:pPr>
              <w:keepNext/>
              <w:keepLines/>
              <w:autoSpaceDE w:val="0"/>
              <w:autoSpaceDN w:val="0"/>
              <w:adjustRightInd w:val="0"/>
              <w:spacing w:before="120" w:after="120"/>
              <w:rPr>
                <w:sz w:val="16"/>
                <w:szCs w:val="16"/>
              </w:rPr>
            </w:pPr>
            <w:r w:rsidRPr="00526311">
              <w:rPr>
                <w:sz w:val="16"/>
                <w:szCs w:val="16"/>
              </w:rPr>
              <w:t>Reuniones regionales del Programa IBEPI</w:t>
            </w:r>
          </w:p>
          <w:p w:rsidR="00C91295" w:rsidRPr="00526311" w:rsidRDefault="00C91295" w:rsidP="009379F4">
            <w:pPr>
              <w:keepNext/>
              <w:keepLines/>
              <w:autoSpaceDE w:val="0"/>
              <w:autoSpaceDN w:val="0"/>
              <w:adjustRightInd w:val="0"/>
              <w:spacing w:before="120" w:after="120"/>
              <w:rPr>
                <w:b/>
                <w:sz w:val="16"/>
                <w:szCs w:val="16"/>
              </w:rPr>
            </w:pPr>
          </w:p>
        </w:tc>
        <w:tc>
          <w:tcPr>
            <w:tcW w:w="1260" w:type="dxa"/>
            <w:tcBorders>
              <w:top w:val="nil"/>
              <w:bottom w:val="nil"/>
            </w:tcBorders>
          </w:tcPr>
          <w:p w:rsidR="00C91295" w:rsidRPr="00526311" w:rsidRDefault="00C91295" w:rsidP="009379F4">
            <w:pPr>
              <w:keepNext/>
              <w:keepLines/>
              <w:autoSpaceDE w:val="0"/>
              <w:autoSpaceDN w:val="0"/>
              <w:adjustRightInd w:val="0"/>
              <w:spacing w:before="120" w:after="120"/>
              <w:rPr>
                <w:sz w:val="16"/>
                <w:szCs w:val="16"/>
              </w:rPr>
            </w:pPr>
            <w:r w:rsidRPr="00526311">
              <w:rPr>
                <w:sz w:val="16"/>
                <w:szCs w:val="16"/>
              </w:rPr>
              <w:t>Julio de 2014</w:t>
            </w:r>
          </w:p>
          <w:p w:rsidR="00C91295" w:rsidRPr="00526311" w:rsidRDefault="00C91295" w:rsidP="009379F4">
            <w:pPr>
              <w:keepNext/>
              <w:keepLines/>
              <w:autoSpaceDE w:val="0"/>
              <w:autoSpaceDN w:val="0"/>
              <w:adjustRightInd w:val="0"/>
              <w:spacing w:before="120" w:after="120"/>
              <w:rPr>
                <w:sz w:val="16"/>
                <w:szCs w:val="16"/>
              </w:rPr>
            </w:pPr>
          </w:p>
        </w:tc>
        <w:tc>
          <w:tcPr>
            <w:tcW w:w="1862" w:type="dxa"/>
            <w:tcBorders>
              <w:top w:val="nil"/>
              <w:bottom w:val="nil"/>
            </w:tcBorders>
          </w:tcPr>
          <w:p w:rsidR="00C91295" w:rsidRPr="00526311" w:rsidRDefault="00C91295" w:rsidP="009379F4">
            <w:pPr>
              <w:keepNext/>
              <w:keepLines/>
              <w:autoSpaceDE w:val="0"/>
              <w:autoSpaceDN w:val="0"/>
              <w:adjustRightInd w:val="0"/>
              <w:spacing w:before="120" w:after="120"/>
              <w:rPr>
                <w:sz w:val="16"/>
                <w:szCs w:val="16"/>
              </w:rPr>
            </w:pPr>
            <w:r w:rsidRPr="00526311">
              <w:rPr>
                <w:sz w:val="16"/>
                <w:szCs w:val="16"/>
              </w:rPr>
              <w:t>Ecuador / Todos los países de América Latina</w:t>
            </w:r>
          </w:p>
          <w:p w:rsidR="00C91295" w:rsidRPr="00526311" w:rsidRDefault="00C91295" w:rsidP="009379F4">
            <w:pPr>
              <w:keepNext/>
              <w:keepLines/>
              <w:autoSpaceDE w:val="0"/>
              <w:autoSpaceDN w:val="0"/>
              <w:adjustRightInd w:val="0"/>
              <w:spacing w:before="120" w:after="120"/>
              <w:rPr>
                <w:sz w:val="16"/>
                <w:szCs w:val="16"/>
              </w:rPr>
            </w:pPr>
          </w:p>
        </w:tc>
        <w:tc>
          <w:tcPr>
            <w:tcW w:w="4253" w:type="dxa"/>
            <w:tcBorders>
              <w:top w:val="nil"/>
              <w:bottom w:val="nil"/>
              <w:right w:val="single" w:sz="4" w:space="0" w:color="auto"/>
            </w:tcBorders>
          </w:tcPr>
          <w:p w:rsidR="00C91295" w:rsidRPr="00526311" w:rsidRDefault="00C91295" w:rsidP="009379F4">
            <w:pPr>
              <w:keepNext/>
              <w:keepLines/>
              <w:autoSpaceDE w:val="0"/>
              <w:autoSpaceDN w:val="0"/>
              <w:adjustRightInd w:val="0"/>
              <w:spacing w:before="120" w:after="120"/>
              <w:rPr>
                <w:sz w:val="16"/>
                <w:szCs w:val="16"/>
              </w:rPr>
            </w:pPr>
            <w:r w:rsidRPr="00526311">
              <w:rPr>
                <w:sz w:val="16"/>
                <w:szCs w:val="16"/>
              </w:rPr>
              <w:t>i) Llevar a cabo una reunión del Comité de Información Tecnológica con el fin de avanzar en el proceso de consulta sobre el programa IBEPI, Componente Nº 2, es decir, el diseño de un sistema de cooperación tecnológica;  y ii) analizar la situación de las Oficinas de P.I. para proponer medidas destinadas a reducir las asimetrías entre ellas relacionadas con la gestión de la calidad de las tecnologías de la información.</w:t>
            </w:r>
          </w:p>
        </w:tc>
      </w:tr>
      <w:tr w:rsidR="00C91295" w:rsidRPr="00526311" w:rsidTr="00F1387F">
        <w:trPr>
          <w:cantSplit/>
        </w:trPr>
        <w:tc>
          <w:tcPr>
            <w:tcW w:w="1981"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Reunión de países de América Latina durante las Asambleas de la OMPI de 2014 para examinar la labor del Programa IBEPI</w:t>
            </w:r>
          </w:p>
        </w:tc>
        <w:tc>
          <w:tcPr>
            <w:tcW w:w="1260"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Septiembre de 2014</w:t>
            </w:r>
          </w:p>
        </w:tc>
        <w:tc>
          <w:tcPr>
            <w:tcW w:w="1862"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Suiza / Todos los países de América Latina</w:t>
            </w:r>
          </w:p>
        </w:tc>
        <w:tc>
          <w:tcPr>
            <w:tcW w:w="4253"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Realizar un seguimiento del Programa IBEPI con miras a velar por que su aplicación sea eficaz y eficiente.</w:t>
            </w:r>
          </w:p>
        </w:tc>
      </w:tr>
      <w:tr w:rsidR="00C91295" w:rsidRPr="00526311" w:rsidTr="00F1387F">
        <w:trPr>
          <w:cantSplit/>
        </w:trPr>
        <w:tc>
          <w:tcPr>
            <w:tcW w:w="9356" w:type="dxa"/>
            <w:gridSpan w:val="4"/>
            <w:tcBorders>
              <w:top w:val="single" w:sz="4" w:space="0" w:color="auto"/>
              <w:bottom w:val="single" w:sz="4" w:space="0" w:color="auto"/>
            </w:tcBorders>
            <w:shd w:val="clear" w:color="auto" w:fill="CCFFFF"/>
            <w:vAlign w:val="center"/>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IV.4 Mejora en la infraestructura técnica y de conocimientos de las Oficinas y demás instituciones de P.I. que les permita prestar mejores servicios (más económicos, más rápidos y de mejor calidad) a sus partes interesadas</w:t>
            </w:r>
          </w:p>
        </w:tc>
      </w:tr>
      <w:tr w:rsidR="00C91295" w:rsidRPr="00526311" w:rsidTr="00F1387F">
        <w:trPr>
          <w:cantSplit/>
        </w:trPr>
        <w:tc>
          <w:tcPr>
            <w:tcW w:w="1981" w:type="dxa"/>
            <w:tcBorders>
              <w:top w:val="single" w:sz="4" w:space="0" w:color="auto"/>
            </w:tcBorders>
            <w:vAlign w:val="center"/>
          </w:tcPr>
          <w:p w:rsidR="00C91295" w:rsidRPr="00526311" w:rsidRDefault="00C91295" w:rsidP="00F1387F">
            <w:pPr>
              <w:keepNext/>
              <w:keepLines/>
              <w:rPr>
                <w:b/>
                <w:bCs/>
                <w:sz w:val="16"/>
                <w:szCs w:val="16"/>
              </w:rPr>
            </w:pPr>
            <w:r w:rsidRPr="00526311">
              <w:rPr>
                <w:b/>
                <w:bCs/>
                <w:sz w:val="16"/>
                <w:szCs w:val="16"/>
              </w:rPr>
              <w:t>Actividad</w:t>
            </w:r>
          </w:p>
        </w:tc>
        <w:tc>
          <w:tcPr>
            <w:tcW w:w="1260" w:type="dxa"/>
            <w:tcBorders>
              <w:top w:val="single" w:sz="4" w:space="0" w:color="auto"/>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Fecha</w:t>
            </w:r>
          </w:p>
        </w:tc>
        <w:tc>
          <w:tcPr>
            <w:tcW w:w="1862" w:type="dxa"/>
            <w:tcBorders>
              <w:top w:val="single" w:sz="4" w:space="0" w:color="auto"/>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País anfitrión / Beneficiarios</w:t>
            </w:r>
          </w:p>
        </w:tc>
        <w:tc>
          <w:tcPr>
            <w:tcW w:w="4253" w:type="dxa"/>
            <w:tcBorders>
              <w:top w:val="single" w:sz="4" w:space="0" w:color="auto"/>
            </w:tcBorders>
            <w:shd w:val="clear" w:color="auto" w:fill="FFFFFF"/>
            <w:tcMar>
              <w:top w:w="110" w:type="dxa"/>
            </w:tcMar>
            <w:vAlign w:val="center"/>
          </w:tcPr>
          <w:p w:rsidR="00C91295" w:rsidRPr="00526311" w:rsidRDefault="00C91295" w:rsidP="00F1387F">
            <w:pPr>
              <w:keepNext/>
              <w:keepLines/>
              <w:rPr>
                <w:sz w:val="16"/>
                <w:szCs w:val="16"/>
              </w:rPr>
            </w:pPr>
            <w:r w:rsidRPr="00526311">
              <w:rPr>
                <w:b/>
                <w:sz w:val="16"/>
                <w:szCs w:val="16"/>
              </w:rPr>
              <w:t>Propósito(s) / Descripción</w:t>
            </w:r>
          </w:p>
        </w:tc>
      </w:tr>
      <w:tr w:rsidR="00C91295" w:rsidRPr="00526311" w:rsidTr="00F1387F">
        <w:trPr>
          <w:cantSplit/>
        </w:trPr>
        <w:tc>
          <w:tcPr>
            <w:tcW w:w="1981" w:type="dxa"/>
          </w:tcPr>
          <w:p w:rsidR="00C91295" w:rsidRPr="00526311" w:rsidRDefault="00C91295" w:rsidP="00F1387F">
            <w:pPr>
              <w:autoSpaceDE w:val="0"/>
              <w:autoSpaceDN w:val="0"/>
              <w:adjustRightInd w:val="0"/>
              <w:spacing w:before="120" w:after="120"/>
              <w:rPr>
                <w:sz w:val="16"/>
                <w:szCs w:val="16"/>
              </w:rPr>
            </w:pPr>
            <w:r w:rsidRPr="00526311">
              <w:rPr>
                <w:sz w:val="16"/>
                <w:szCs w:val="16"/>
              </w:rPr>
              <w:t>V Seminario regional sobre planificación estratégica y gestión para oficinas de la propiedad industrial de países de América Latina</w:t>
            </w:r>
          </w:p>
        </w:tc>
        <w:tc>
          <w:tcPr>
            <w:tcW w:w="1260" w:type="dxa"/>
          </w:tcPr>
          <w:p w:rsidR="00C91295" w:rsidRPr="00526311" w:rsidRDefault="00C91295" w:rsidP="00F1387F">
            <w:pPr>
              <w:autoSpaceDE w:val="0"/>
              <w:autoSpaceDN w:val="0"/>
              <w:adjustRightInd w:val="0"/>
              <w:spacing w:before="120" w:after="120"/>
              <w:rPr>
                <w:sz w:val="16"/>
                <w:szCs w:val="16"/>
              </w:rPr>
            </w:pPr>
            <w:r w:rsidRPr="00526311">
              <w:rPr>
                <w:sz w:val="16"/>
                <w:szCs w:val="16"/>
              </w:rPr>
              <w:t>24 a 27 de febrero de 2014</w:t>
            </w:r>
          </w:p>
          <w:p w:rsidR="00C91295" w:rsidRPr="00526311" w:rsidRDefault="00C91295" w:rsidP="00F1387F">
            <w:pPr>
              <w:autoSpaceDE w:val="0"/>
              <w:autoSpaceDN w:val="0"/>
              <w:adjustRightInd w:val="0"/>
              <w:spacing w:before="120" w:after="120"/>
              <w:rPr>
                <w:sz w:val="16"/>
                <w:szCs w:val="16"/>
              </w:rPr>
            </w:pPr>
          </w:p>
        </w:tc>
        <w:tc>
          <w:tcPr>
            <w:tcW w:w="1862" w:type="dxa"/>
          </w:tcPr>
          <w:p w:rsidR="00C91295" w:rsidRPr="00526311" w:rsidRDefault="00C91295" w:rsidP="00F1387F">
            <w:pPr>
              <w:autoSpaceDE w:val="0"/>
              <w:autoSpaceDN w:val="0"/>
              <w:adjustRightInd w:val="0"/>
              <w:spacing w:before="120" w:after="120"/>
              <w:rPr>
                <w:sz w:val="16"/>
                <w:szCs w:val="16"/>
              </w:rPr>
            </w:pPr>
            <w:r w:rsidRPr="00526311">
              <w:rPr>
                <w:sz w:val="16"/>
                <w:szCs w:val="16"/>
              </w:rPr>
              <w:t>Colombia / Todos los países de América Latina</w:t>
            </w:r>
          </w:p>
          <w:p w:rsidR="00C91295" w:rsidRPr="00526311" w:rsidDel="00E54910" w:rsidRDefault="00C91295" w:rsidP="00F1387F">
            <w:pPr>
              <w:autoSpaceDE w:val="0"/>
              <w:autoSpaceDN w:val="0"/>
              <w:adjustRightInd w:val="0"/>
              <w:spacing w:before="120" w:after="120"/>
              <w:rPr>
                <w:sz w:val="16"/>
                <w:szCs w:val="16"/>
              </w:rPr>
            </w:pPr>
          </w:p>
        </w:tc>
        <w:tc>
          <w:tcPr>
            <w:tcW w:w="4253" w:type="dxa"/>
          </w:tcPr>
          <w:p w:rsidR="00C91295" w:rsidRPr="00526311" w:rsidRDefault="00C91295" w:rsidP="00F1387F">
            <w:pPr>
              <w:autoSpaceDE w:val="0"/>
              <w:autoSpaceDN w:val="0"/>
              <w:adjustRightInd w:val="0"/>
              <w:spacing w:before="120" w:after="120"/>
              <w:rPr>
                <w:sz w:val="16"/>
                <w:szCs w:val="16"/>
              </w:rPr>
            </w:pPr>
            <w:r w:rsidRPr="00526311">
              <w:rPr>
                <w:sz w:val="16"/>
                <w:szCs w:val="16"/>
              </w:rPr>
              <w:t>i) Ofrecer a los participantes información actualizada, formación práctica e instrumentos útiles en el campo de la planificación estratégica, las políticas sobre recursos humanos y la gestión de calidad; (ii) brindar una buena oportunidad para modernizar las administraciones de P.I.;  y iii) reforzar entre los administradores de las oficinas de P.I. de los países de América Latina el concepto de gestión orientada a la prestación de servicios.</w:t>
            </w:r>
          </w:p>
        </w:tc>
      </w:tr>
      <w:tr w:rsidR="00C91295" w:rsidRPr="00526311" w:rsidTr="00F1387F">
        <w:trPr>
          <w:cantSplit/>
        </w:trPr>
        <w:tc>
          <w:tcPr>
            <w:tcW w:w="1981" w:type="dxa"/>
          </w:tcPr>
          <w:p w:rsidR="00C91295" w:rsidRPr="00526311" w:rsidRDefault="00C91295" w:rsidP="00F1387F">
            <w:pPr>
              <w:keepNext/>
              <w:keepLines/>
              <w:autoSpaceDE w:val="0"/>
              <w:autoSpaceDN w:val="0"/>
              <w:adjustRightInd w:val="0"/>
              <w:spacing w:before="120" w:after="120"/>
              <w:rPr>
                <w:sz w:val="16"/>
                <w:szCs w:val="16"/>
              </w:rPr>
            </w:pPr>
            <w:r w:rsidRPr="00526311">
              <w:rPr>
                <w:sz w:val="16"/>
                <w:szCs w:val="16"/>
              </w:rPr>
              <w:t>PROYECTO LATIPAT</w:t>
            </w:r>
            <w:r w:rsidRPr="00526311">
              <w:rPr>
                <w:sz w:val="16"/>
                <w:szCs w:val="16"/>
              </w:rPr>
              <w:br/>
              <w:t>X Reunión regional OMPI / OEPM / OEP de especialistas en TI y gestión de la información contenida en patentes de las oficinas de propiedad industrial de América Latina</w:t>
            </w:r>
          </w:p>
        </w:tc>
        <w:tc>
          <w:tcPr>
            <w:tcW w:w="1260" w:type="dxa"/>
          </w:tcPr>
          <w:p w:rsidR="00C91295" w:rsidRPr="00526311" w:rsidRDefault="00C91295" w:rsidP="00F1387F">
            <w:pPr>
              <w:keepNext/>
              <w:keepLines/>
              <w:autoSpaceDE w:val="0"/>
              <w:autoSpaceDN w:val="0"/>
              <w:adjustRightInd w:val="0"/>
              <w:spacing w:before="120" w:after="120"/>
              <w:rPr>
                <w:sz w:val="16"/>
                <w:szCs w:val="16"/>
                <w:lang w:eastAsia="ja-JP"/>
              </w:rPr>
            </w:pPr>
            <w:r w:rsidRPr="00526311">
              <w:rPr>
                <w:sz w:val="16"/>
                <w:szCs w:val="16"/>
                <w:lang w:eastAsia="ja-JP"/>
              </w:rPr>
              <w:t>24 a 26 de noviembre de 2014</w:t>
            </w:r>
          </w:p>
          <w:p w:rsidR="00C91295" w:rsidRPr="00526311" w:rsidRDefault="00C91295" w:rsidP="00F1387F">
            <w:pPr>
              <w:autoSpaceDE w:val="0"/>
              <w:autoSpaceDN w:val="0"/>
              <w:adjustRightInd w:val="0"/>
              <w:spacing w:before="120" w:after="120"/>
              <w:rPr>
                <w:sz w:val="16"/>
                <w:szCs w:val="16"/>
              </w:rPr>
            </w:pPr>
          </w:p>
        </w:tc>
        <w:tc>
          <w:tcPr>
            <w:tcW w:w="1862" w:type="dxa"/>
          </w:tcPr>
          <w:p w:rsidR="00C91295" w:rsidRPr="00526311" w:rsidRDefault="00C91295" w:rsidP="00F1387F">
            <w:pPr>
              <w:keepNext/>
              <w:keepLines/>
              <w:autoSpaceDE w:val="0"/>
              <w:autoSpaceDN w:val="0"/>
              <w:adjustRightInd w:val="0"/>
              <w:spacing w:before="120" w:after="120"/>
              <w:rPr>
                <w:sz w:val="16"/>
                <w:szCs w:val="16"/>
                <w:lang w:eastAsia="ja-JP"/>
              </w:rPr>
            </w:pPr>
            <w:r w:rsidRPr="00526311">
              <w:rPr>
                <w:sz w:val="16"/>
                <w:szCs w:val="16"/>
                <w:lang w:eastAsia="ja-JP"/>
              </w:rPr>
              <w:t>Perú / Todos los países de América Latina</w:t>
            </w:r>
          </w:p>
          <w:p w:rsidR="00C91295" w:rsidRPr="00526311" w:rsidRDefault="00C91295" w:rsidP="00F1387F">
            <w:pPr>
              <w:autoSpaceDE w:val="0"/>
              <w:autoSpaceDN w:val="0"/>
              <w:adjustRightInd w:val="0"/>
              <w:spacing w:before="120" w:after="120"/>
              <w:rPr>
                <w:sz w:val="16"/>
                <w:szCs w:val="16"/>
              </w:rPr>
            </w:pPr>
          </w:p>
        </w:tc>
        <w:tc>
          <w:tcPr>
            <w:tcW w:w="4253" w:type="dxa"/>
          </w:tcPr>
          <w:p w:rsidR="00C91295" w:rsidRPr="00526311" w:rsidRDefault="00C91295" w:rsidP="00F1387F">
            <w:pPr>
              <w:autoSpaceDE w:val="0"/>
              <w:autoSpaceDN w:val="0"/>
              <w:adjustRightInd w:val="0"/>
              <w:spacing w:before="120" w:after="120"/>
              <w:rPr>
                <w:sz w:val="16"/>
                <w:szCs w:val="16"/>
              </w:rPr>
            </w:pPr>
            <w:r w:rsidRPr="00526311">
              <w:rPr>
                <w:sz w:val="16"/>
                <w:szCs w:val="16"/>
                <w:lang w:eastAsia="ja-JP"/>
              </w:rPr>
              <w:t>El proyecto LATIPAT se concibió para crear y ofrecer una base de datos con información de patentes de todos los países de América Latina.  En la actualidad, tanto en los países de América Latina como en distintos foros internacionales relacionados con la información contenida en las patentes, el proyecto LATIPAT constituye un ejemplo de dedicación, perseverancia y trabajo en equipo.  Gracias a una labor de 14 años, la base de datos contiene más de 2 millones de documentos y recibe una media de 14.000 visitas al mes</w:t>
            </w:r>
          </w:p>
        </w:tc>
      </w:tr>
    </w:tbl>
    <w:p w:rsidR="00C91295" w:rsidRPr="00526311" w:rsidRDefault="00C91295" w:rsidP="00F1387F">
      <w:pPr>
        <w:widowControl w:val="0"/>
        <w:rPr>
          <w:b/>
          <w:sz w:val="20"/>
        </w:rPr>
      </w:pPr>
    </w:p>
    <w:p w:rsidR="00C91295" w:rsidRPr="00526311" w:rsidRDefault="00C91295" w:rsidP="00F1387F">
      <w:pPr>
        <w:widowControl w:val="0"/>
        <w:rPr>
          <w:b/>
          <w:sz w:val="20"/>
        </w:rPr>
      </w:pPr>
    </w:p>
    <w:p w:rsidR="00C91295" w:rsidRPr="007D4926" w:rsidRDefault="00C91295" w:rsidP="00F1387F">
      <w:pPr>
        <w:widowControl w:val="0"/>
        <w:rPr>
          <w:b/>
          <w:bCs/>
          <w:sz w:val="20"/>
        </w:rPr>
      </w:pPr>
      <w:r w:rsidRPr="007D4926">
        <w:rPr>
          <w:b/>
          <w:bCs/>
          <w:sz w:val="20"/>
        </w:rPr>
        <w:t>ESPAÑA – Contribuciones de donantes y gastos en 2014</w:t>
      </w:r>
    </w:p>
    <w:p w:rsidR="00C91295" w:rsidRPr="00526311" w:rsidRDefault="00C91295" w:rsidP="00F1387F">
      <w:pPr>
        <w:widowControl w:val="0"/>
        <w:rPr>
          <w:b/>
          <w:sz w:val="20"/>
        </w:rPr>
      </w:pPr>
    </w:p>
    <w:tbl>
      <w:tblPr>
        <w:tblW w:w="9087" w:type="dxa"/>
        <w:tblInd w:w="93" w:type="dxa"/>
        <w:tblLook w:val="04A0" w:firstRow="1" w:lastRow="0" w:firstColumn="1" w:lastColumn="0" w:noHBand="0" w:noVBand="1"/>
      </w:tblPr>
      <w:tblGrid>
        <w:gridCol w:w="1858"/>
        <w:gridCol w:w="1559"/>
        <w:gridCol w:w="1843"/>
        <w:gridCol w:w="1843"/>
        <w:gridCol w:w="1984"/>
      </w:tblGrid>
      <w:tr w:rsidR="00C91295" w:rsidRPr="00526311" w:rsidTr="00F1387F">
        <w:trPr>
          <w:trHeight w:val="478"/>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Balance a 31 de diciembre de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Ingresos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Gastos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Reembolsos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Balance a 31 de diciembre de 2014</w:t>
            </w:r>
          </w:p>
        </w:tc>
      </w:tr>
      <w:tr w:rsidR="00C91295" w:rsidRPr="00526311" w:rsidTr="00F1387F">
        <w:trPr>
          <w:trHeight w:val="491"/>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165.592</w:t>
            </w:r>
          </w:p>
        </w:tc>
        <w:tc>
          <w:tcPr>
            <w:tcW w:w="1559"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158.519</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203.958</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120.153</w:t>
            </w:r>
          </w:p>
        </w:tc>
      </w:tr>
    </w:tbl>
    <w:p w:rsidR="00C91295" w:rsidRPr="00526311" w:rsidRDefault="00C91295" w:rsidP="00F1387F">
      <w:pPr>
        <w:widowControl w:val="0"/>
        <w:rPr>
          <w:b/>
          <w:sz w:val="20"/>
        </w:rPr>
      </w:pPr>
    </w:p>
    <w:p w:rsidR="00C91295" w:rsidRPr="00526311" w:rsidRDefault="00C91295" w:rsidP="00F1387F">
      <w:pPr>
        <w:widowControl w:val="0"/>
        <w:rPr>
          <w:b/>
          <w:sz w:val="20"/>
        </w:rPr>
      </w:pPr>
    </w:p>
    <w:p w:rsidR="00C91295" w:rsidRPr="00526311" w:rsidRDefault="00C91295" w:rsidP="009379F4">
      <w:pPr>
        <w:keepNext/>
        <w:keepLines/>
        <w:rPr>
          <w:b/>
          <w:sz w:val="20"/>
        </w:rPr>
      </w:pPr>
      <w:r w:rsidRPr="00526311">
        <w:rPr>
          <w:b/>
          <w:sz w:val="20"/>
        </w:rPr>
        <w:lastRenderedPageBreak/>
        <w:t>URUGUAY</w:t>
      </w:r>
    </w:p>
    <w:p w:rsidR="00C91295" w:rsidRPr="00526311" w:rsidRDefault="00C91295" w:rsidP="009379F4">
      <w:pPr>
        <w:keepNext/>
        <w:keepLines/>
        <w:rPr>
          <w:b/>
          <w:sz w:val="2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253"/>
      </w:tblGrid>
      <w:tr w:rsidR="00C91295" w:rsidRPr="00526311" w:rsidTr="00F1387F">
        <w:trPr>
          <w:cantSplit/>
        </w:trPr>
        <w:tc>
          <w:tcPr>
            <w:tcW w:w="9356" w:type="dxa"/>
            <w:gridSpan w:val="4"/>
            <w:tcBorders>
              <w:top w:val="single" w:sz="4" w:space="0" w:color="auto"/>
              <w:bottom w:val="single" w:sz="4" w:space="0" w:color="auto"/>
            </w:tcBorders>
            <w:shd w:val="clear" w:color="auto" w:fill="CCFFFF"/>
            <w:vAlign w:val="center"/>
          </w:tcPr>
          <w:p w:rsidR="00C91295" w:rsidRPr="00526311" w:rsidRDefault="00C91295" w:rsidP="009379F4">
            <w:pPr>
              <w:keepNext/>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rPr>
          <w:cantSplit/>
        </w:trPr>
        <w:tc>
          <w:tcPr>
            <w:tcW w:w="1981" w:type="dxa"/>
            <w:tcBorders>
              <w:top w:val="single" w:sz="4" w:space="0" w:color="auto"/>
            </w:tcBorders>
          </w:tcPr>
          <w:p w:rsidR="00C91295" w:rsidRPr="00526311" w:rsidRDefault="00C91295" w:rsidP="009379F4">
            <w:pPr>
              <w:keepNext/>
              <w:autoSpaceDE w:val="0"/>
              <w:autoSpaceDN w:val="0"/>
              <w:adjustRightInd w:val="0"/>
              <w:spacing w:before="120"/>
              <w:rPr>
                <w:b/>
                <w:sz w:val="16"/>
                <w:szCs w:val="16"/>
              </w:rPr>
            </w:pPr>
            <w:r w:rsidRPr="00526311">
              <w:rPr>
                <w:b/>
                <w:sz w:val="16"/>
                <w:szCs w:val="16"/>
              </w:rPr>
              <w:t>Actividad</w:t>
            </w:r>
          </w:p>
        </w:tc>
        <w:tc>
          <w:tcPr>
            <w:tcW w:w="1260" w:type="dxa"/>
            <w:tcBorders>
              <w:top w:val="single" w:sz="4" w:space="0" w:color="auto"/>
            </w:tcBorders>
            <w:shd w:val="clear" w:color="auto" w:fill="auto"/>
            <w:tcMar>
              <w:top w:w="110" w:type="dxa"/>
            </w:tcMar>
          </w:tcPr>
          <w:p w:rsidR="00C91295" w:rsidRPr="00526311" w:rsidRDefault="00C91295" w:rsidP="009379F4">
            <w:pPr>
              <w:keepNext/>
              <w:autoSpaceDE w:val="0"/>
              <w:autoSpaceDN w:val="0"/>
              <w:adjustRightInd w:val="0"/>
              <w:spacing w:before="120"/>
              <w:rPr>
                <w:b/>
                <w:sz w:val="16"/>
                <w:szCs w:val="16"/>
              </w:rPr>
            </w:pPr>
            <w:r w:rsidRPr="00526311">
              <w:rPr>
                <w:b/>
                <w:sz w:val="16"/>
                <w:szCs w:val="16"/>
              </w:rPr>
              <w:t>Fecha</w:t>
            </w:r>
          </w:p>
        </w:tc>
        <w:tc>
          <w:tcPr>
            <w:tcW w:w="1862" w:type="dxa"/>
            <w:tcBorders>
              <w:top w:val="single" w:sz="4" w:space="0" w:color="auto"/>
            </w:tcBorders>
            <w:shd w:val="clear" w:color="auto" w:fill="auto"/>
            <w:tcMar>
              <w:top w:w="110" w:type="dxa"/>
            </w:tcMar>
          </w:tcPr>
          <w:p w:rsidR="00C91295" w:rsidRPr="00526311" w:rsidRDefault="00C91295" w:rsidP="009379F4">
            <w:pPr>
              <w:keepNext/>
              <w:autoSpaceDE w:val="0"/>
              <w:autoSpaceDN w:val="0"/>
              <w:adjustRightInd w:val="0"/>
              <w:spacing w:before="120"/>
              <w:rPr>
                <w:b/>
                <w:sz w:val="16"/>
                <w:szCs w:val="16"/>
              </w:rPr>
            </w:pPr>
            <w:r w:rsidRPr="00526311">
              <w:rPr>
                <w:b/>
                <w:sz w:val="16"/>
                <w:szCs w:val="16"/>
              </w:rPr>
              <w:t>País anfitrión / Beneficiarios</w:t>
            </w:r>
          </w:p>
        </w:tc>
        <w:tc>
          <w:tcPr>
            <w:tcW w:w="4253" w:type="dxa"/>
            <w:tcBorders>
              <w:top w:val="single" w:sz="4" w:space="0" w:color="auto"/>
            </w:tcBorders>
            <w:shd w:val="clear" w:color="auto" w:fill="FFFFFF"/>
            <w:tcMar>
              <w:top w:w="110" w:type="dxa"/>
            </w:tcMar>
          </w:tcPr>
          <w:p w:rsidR="00C91295" w:rsidRPr="00526311" w:rsidRDefault="00C91295" w:rsidP="009379F4">
            <w:pPr>
              <w:keepNext/>
              <w:autoSpaceDE w:val="0"/>
              <w:autoSpaceDN w:val="0"/>
              <w:adjustRightInd w:val="0"/>
              <w:spacing w:before="120"/>
              <w:rPr>
                <w:b/>
                <w:sz w:val="16"/>
                <w:szCs w:val="16"/>
              </w:rPr>
            </w:pPr>
            <w:r w:rsidRPr="00526311">
              <w:rPr>
                <w:b/>
                <w:sz w:val="16"/>
                <w:szCs w:val="16"/>
              </w:rPr>
              <w:t>Propósito(s) / Descripción</w:t>
            </w:r>
          </w:p>
        </w:tc>
      </w:tr>
      <w:tr w:rsidR="00C91295" w:rsidRPr="00526311" w:rsidTr="00F1387F">
        <w:trPr>
          <w:cantSplit/>
        </w:trPr>
        <w:tc>
          <w:tcPr>
            <w:tcW w:w="1981" w:type="dxa"/>
          </w:tcPr>
          <w:p w:rsidR="00C91295" w:rsidRPr="00526311" w:rsidRDefault="00C91295" w:rsidP="009379F4">
            <w:pPr>
              <w:keepNext/>
              <w:autoSpaceDE w:val="0"/>
              <w:autoSpaceDN w:val="0"/>
              <w:adjustRightInd w:val="0"/>
              <w:spacing w:after="120"/>
              <w:rPr>
                <w:sz w:val="16"/>
                <w:szCs w:val="16"/>
              </w:rPr>
            </w:pPr>
            <w:r w:rsidRPr="00526311">
              <w:rPr>
                <w:sz w:val="16"/>
                <w:szCs w:val="16"/>
              </w:rPr>
              <w:t>Suministro de financiación a un profesional de la P.I. para un Programa de Maestría en Dirección Estratégica en Tecnologías de la Información, en el marco de la Fundación Universitaria Latinoamericana (FUNIBER)</w:t>
            </w:r>
          </w:p>
        </w:tc>
        <w:tc>
          <w:tcPr>
            <w:tcW w:w="1260" w:type="dxa"/>
            <w:shd w:val="clear" w:color="auto" w:fill="auto"/>
            <w:tcMar>
              <w:top w:w="110" w:type="dxa"/>
            </w:tcMar>
          </w:tcPr>
          <w:p w:rsidR="00C91295" w:rsidRPr="00526311" w:rsidRDefault="00C91295" w:rsidP="009379F4">
            <w:pPr>
              <w:keepNext/>
              <w:autoSpaceDE w:val="0"/>
              <w:autoSpaceDN w:val="0"/>
              <w:adjustRightInd w:val="0"/>
              <w:spacing w:after="120"/>
              <w:rPr>
                <w:sz w:val="16"/>
                <w:szCs w:val="16"/>
              </w:rPr>
            </w:pPr>
            <w:r w:rsidRPr="00526311">
              <w:rPr>
                <w:sz w:val="16"/>
                <w:szCs w:val="16"/>
              </w:rPr>
              <w:t>Mayo a diciembre de 2014</w:t>
            </w:r>
          </w:p>
          <w:p w:rsidR="00C91295" w:rsidRPr="00526311" w:rsidRDefault="00C91295" w:rsidP="009379F4">
            <w:pPr>
              <w:keepNext/>
              <w:autoSpaceDE w:val="0"/>
              <w:autoSpaceDN w:val="0"/>
              <w:adjustRightInd w:val="0"/>
              <w:spacing w:after="120"/>
              <w:rPr>
                <w:sz w:val="16"/>
                <w:szCs w:val="16"/>
              </w:rPr>
            </w:pPr>
            <w:r w:rsidRPr="00526311">
              <w:rPr>
                <w:sz w:val="16"/>
                <w:szCs w:val="16"/>
              </w:rPr>
              <w:t>(En curso)</w:t>
            </w:r>
            <w:r w:rsidRPr="00526311">
              <w:rPr>
                <w:rStyle w:val="FootnoteReference"/>
                <w:sz w:val="16"/>
                <w:szCs w:val="16"/>
              </w:rPr>
              <w:footnoteReference w:id="71"/>
            </w:r>
          </w:p>
          <w:p w:rsidR="00C91295" w:rsidRPr="00526311" w:rsidRDefault="00C91295" w:rsidP="009379F4">
            <w:pPr>
              <w:keepNext/>
              <w:autoSpaceDE w:val="0"/>
              <w:autoSpaceDN w:val="0"/>
              <w:adjustRightInd w:val="0"/>
              <w:spacing w:after="120"/>
              <w:rPr>
                <w:sz w:val="16"/>
                <w:szCs w:val="16"/>
              </w:rPr>
            </w:pPr>
          </w:p>
        </w:tc>
        <w:tc>
          <w:tcPr>
            <w:tcW w:w="1862" w:type="dxa"/>
            <w:shd w:val="clear" w:color="auto" w:fill="auto"/>
            <w:tcMar>
              <w:top w:w="110" w:type="dxa"/>
            </w:tcMar>
          </w:tcPr>
          <w:p w:rsidR="00C91295" w:rsidRPr="00526311" w:rsidRDefault="00C91295" w:rsidP="009379F4">
            <w:pPr>
              <w:keepNext/>
              <w:autoSpaceDE w:val="0"/>
              <w:autoSpaceDN w:val="0"/>
              <w:adjustRightInd w:val="0"/>
              <w:spacing w:after="120"/>
              <w:rPr>
                <w:sz w:val="16"/>
                <w:szCs w:val="16"/>
              </w:rPr>
            </w:pPr>
            <w:r w:rsidRPr="00526311">
              <w:rPr>
                <w:sz w:val="16"/>
                <w:szCs w:val="16"/>
              </w:rPr>
              <w:t>Uruguay</w:t>
            </w:r>
          </w:p>
          <w:p w:rsidR="00C91295" w:rsidRPr="00526311" w:rsidRDefault="00C91295" w:rsidP="009379F4">
            <w:pPr>
              <w:keepNext/>
              <w:autoSpaceDE w:val="0"/>
              <w:autoSpaceDN w:val="0"/>
              <w:adjustRightInd w:val="0"/>
              <w:spacing w:after="120"/>
              <w:rPr>
                <w:sz w:val="16"/>
                <w:szCs w:val="16"/>
              </w:rPr>
            </w:pPr>
          </w:p>
        </w:tc>
        <w:tc>
          <w:tcPr>
            <w:tcW w:w="4253" w:type="dxa"/>
            <w:shd w:val="clear" w:color="auto" w:fill="FFFFFF"/>
            <w:tcMar>
              <w:top w:w="110" w:type="dxa"/>
            </w:tcMar>
          </w:tcPr>
          <w:p w:rsidR="00C91295" w:rsidRPr="00526311" w:rsidRDefault="00C91295" w:rsidP="009379F4">
            <w:pPr>
              <w:keepNext/>
              <w:autoSpaceDE w:val="0"/>
              <w:autoSpaceDN w:val="0"/>
              <w:adjustRightInd w:val="0"/>
              <w:spacing w:after="120"/>
              <w:rPr>
                <w:sz w:val="16"/>
                <w:szCs w:val="16"/>
              </w:rPr>
            </w:pPr>
            <w:r w:rsidRPr="00526311">
              <w:rPr>
                <w:sz w:val="16"/>
                <w:szCs w:val="16"/>
              </w:rPr>
              <w:t>Mejorar la capacidad de un profesional de la P.I., haciendo hincapié en el papel de las tecnologías de la información y la gestión estratégica de los procesos de trabajo.</w:t>
            </w:r>
          </w:p>
          <w:p w:rsidR="00C91295" w:rsidRPr="00526311" w:rsidRDefault="00C91295" w:rsidP="009379F4">
            <w:pPr>
              <w:keepNext/>
              <w:autoSpaceDE w:val="0"/>
              <w:autoSpaceDN w:val="0"/>
              <w:adjustRightInd w:val="0"/>
              <w:spacing w:after="120"/>
              <w:rPr>
                <w:sz w:val="16"/>
                <w:szCs w:val="16"/>
              </w:rPr>
            </w:pPr>
          </w:p>
        </w:tc>
      </w:tr>
      <w:tr w:rsidR="00C91295" w:rsidRPr="00526311" w:rsidTr="00F1387F">
        <w:trPr>
          <w:cantSplit/>
        </w:trPr>
        <w:tc>
          <w:tcPr>
            <w:tcW w:w="9356" w:type="dxa"/>
            <w:gridSpan w:val="4"/>
            <w:tcBorders>
              <w:top w:val="single" w:sz="4" w:space="0" w:color="auto"/>
              <w:bottom w:val="single" w:sz="4" w:space="0" w:color="auto"/>
            </w:tcBorders>
            <w:shd w:val="clear" w:color="auto" w:fill="CCFFFF"/>
            <w:vAlign w:val="center"/>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III.4 Fortalecimiento de los mecanismos y de los programas de cooperación conforme a las necesidades de los países en desarrollo y los PMA</w:t>
            </w:r>
          </w:p>
        </w:tc>
      </w:tr>
      <w:tr w:rsidR="00C91295" w:rsidRPr="00526311" w:rsidTr="00F1387F">
        <w:trPr>
          <w:cantSplit/>
        </w:trPr>
        <w:tc>
          <w:tcPr>
            <w:tcW w:w="1981" w:type="dxa"/>
            <w:tcBorders>
              <w:top w:val="single" w:sz="4" w:space="0" w:color="auto"/>
            </w:tcBorders>
            <w:vAlign w:val="center"/>
          </w:tcPr>
          <w:p w:rsidR="00C91295" w:rsidRPr="00526311" w:rsidRDefault="00C91295" w:rsidP="00F1387F">
            <w:pPr>
              <w:keepNext/>
              <w:keepLines/>
              <w:rPr>
                <w:b/>
                <w:bCs/>
                <w:sz w:val="16"/>
                <w:szCs w:val="16"/>
              </w:rPr>
            </w:pPr>
            <w:r w:rsidRPr="00526311">
              <w:rPr>
                <w:b/>
                <w:bCs/>
                <w:sz w:val="16"/>
                <w:szCs w:val="16"/>
              </w:rPr>
              <w:t>Actividad</w:t>
            </w:r>
          </w:p>
        </w:tc>
        <w:tc>
          <w:tcPr>
            <w:tcW w:w="1260" w:type="dxa"/>
            <w:tcBorders>
              <w:top w:val="single" w:sz="4" w:space="0" w:color="auto"/>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Fecha</w:t>
            </w:r>
          </w:p>
        </w:tc>
        <w:tc>
          <w:tcPr>
            <w:tcW w:w="1862" w:type="dxa"/>
            <w:tcBorders>
              <w:top w:val="single" w:sz="4" w:space="0" w:color="auto"/>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País anfitrión / Beneficiarios</w:t>
            </w:r>
          </w:p>
        </w:tc>
        <w:tc>
          <w:tcPr>
            <w:tcW w:w="4253" w:type="dxa"/>
            <w:tcBorders>
              <w:top w:val="single" w:sz="4" w:space="0" w:color="auto"/>
            </w:tcBorders>
            <w:shd w:val="clear" w:color="auto" w:fill="FFFFFF"/>
            <w:tcMar>
              <w:top w:w="110" w:type="dxa"/>
            </w:tcMar>
            <w:vAlign w:val="center"/>
          </w:tcPr>
          <w:p w:rsidR="00C91295" w:rsidRPr="00526311" w:rsidRDefault="00C91295" w:rsidP="00F1387F">
            <w:pPr>
              <w:keepNext/>
              <w:keepLines/>
              <w:rPr>
                <w:sz w:val="16"/>
                <w:szCs w:val="16"/>
              </w:rPr>
            </w:pPr>
            <w:r w:rsidRPr="00526311">
              <w:rPr>
                <w:b/>
                <w:sz w:val="16"/>
                <w:szCs w:val="16"/>
              </w:rPr>
              <w:t>Propósito(s) / Descripción</w:t>
            </w:r>
          </w:p>
        </w:tc>
      </w:tr>
      <w:tr w:rsidR="00C91295" w:rsidRPr="00526311" w:rsidTr="00F1387F">
        <w:trPr>
          <w:cantSplit/>
        </w:trPr>
        <w:tc>
          <w:tcPr>
            <w:tcW w:w="1981" w:type="dxa"/>
          </w:tcPr>
          <w:p w:rsidR="00C91295" w:rsidRPr="00526311" w:rsidRDefault="00C91295" w:rsidP="00F1387F">
            <w:pPr>
              <w:autoSpaceDE w:val="0"/>
              <w:autoSpaceDN w:val="0"/>
              <w:adjustRightInd w:val="0"/>
              <w:spacing w:before="120" w:after="120"/>
              <w:rPr>
                <w:sz w:val="16"/>
                <w:szCs w:val="16"/>
              </w:rPr>
            </w:pPr>
            <w:r w:rsidRPr="00526311">
              <w:rPr>
                <w:sz w:val="16"/>
                <w:szCs w:val="16"/>
              </w:rPr>
              <w:t>Participación de funcionarios gubernamentales en las Asambleas de la OMPI</w:t>
            </w:r>
          </w:p>
        </w:tc>
        <w:tc>
          <w:tcPr>
            <w:tcW w:w="1260" w:type="dxa"/>
          </w:tcPr>
          <w:p w:rsidR="00C91295" w:rsidRPr="00526311" w:rsidRDefault="00C91295" w:rsidP="00F1387F">
            <w:pPr>
              <w:autoSpaceDE w:val="0"/>
              <w:autoSpaceDN w:val="0"/>
              <w:adjustRightInd w:val="0"/>
              <w:spacing w:before="120" w:after="120"/>
              <w:rPr>
                <w:sz w:val="16"/>
                <w:szCs w:val="16"/>
              </w:rPr>
            </w:pPr>
            <w:r w:rsidRPr="00526311">
              <w:rPr>
                <w:sz w:val="16"/>
                <w:szCs w:val="16"/>
              </w:rPr>
              <w:t>Enero a diciembre de 2014</w:t>
            </w:r>
          </w:p>
        </w:tc>
        <w:tc>
          <w:tcPr>
            <w:tcW w:w="1862" w:type="dxa"/>
          </w:tcPr>
          <w:p w:rsidR="00C91295" w:rsidRPr="00526311" w:rsidRDefault="00C91295" w:rsidP="00F1387F">
            <w:pPr>
              <w:autoSpaceDE w:val="0"/>
              <w:autoSpaceDN w:val="0"/>
              <w:adjustRightInd w:val="0"/>
              <w:spacing w:before="120" w:after="120"/>
              <w:rPr>
                <w:sz w:val="16"/>
                <w:szCs w:val="16"/>
              </w:rPr>
            </w:pPr>
            <w:r w:rsidRPr="00526311">
              <w:rPr>
                <w:sz w:val="16"/>
                <w:szCs w:val="16"/>
              </w:rPr>
              <w:t>Suiza / Uruguay</w:t>
            </w:r>
          </w:p>
        </w:tc>
        <w:tc>
          <w:tcPr>
            <w:tcW w:w="4253" w:type="dxa"/>
          </w:tcPr>
          <w:p w:rsidR="00C91295" w:rsidRPr="00526311" w:rsidRDefault="00C91295" w:rsidP="00F1387F">
            <w:pPr>
              <w:autoSpaceDE w:val="0"/>
              <w:autoSpaceDN w:val="0"/>
              <w:adjustRightInd w:val="0"/>
              <w:spacing w:before="120" w:after="120"/>
              <w:rPr>
                <w:sz w:val="16"/>
                <w:szCs w:val="16"/>
              </w:rPr>
            </w:pPr>
            <w:r w:rsidRPr="00526311">
              <w:rPr>
                <w:sz w:val="16"/>
                <w:szCs w:val="16"/>
              </w:rPr>
              <w:t>Representar al Gobierno en distintos foros en los que se analizan diferentes cuestiones y programas sobre P.I.</w:t>
            </w:r>
          </w:p>
        </w:tc>
      </w:tr>
      <w:tr w:rsidR="00C91295" w:rsidRPr="00526311" w:rsidTr="00F1387F">
        <w:trPr>
          <w:cantSplit/>
        </w:trPr>
        <w:tc>
          <w:tcPr>
            <w:tcW w:w="9356" w:type="dxa"/>
            <w:gridSpan w:val="4"/>
            <w:tcBorders>
              <w:top w:val="single" w:sz="4" w:space="0" w:color="auto"/>
              <w:bottom w:val="single" w:sz="4" w:space="0" w:color="auto"/>
            </w:tcBorders>
            <w:shd w:val="clear" w:color="auto" w:fill="CCFFFF"/>
            <w:vAlign w:val="center"/>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IV.4 Mejora en la infraestructura técnica y de conocimientos de las Oficinas y demás instituciones de P.I. que les permita prestar mejores servicios (más económicos, más rápidos y de mejor calidad) a sus partes interesadas</w:t>
            </w:r>
          </w:p>
        </w:tc>
      </w:tr>
      <w:tr w:rsidR="00C91295" w:rsidRPr="00526311" w:rsidTr="00F1387F">
        <w:trPr>
          <w:cantSplit/>
        </w:trPr>
        <w:tc>
          <w:tcPr>
            <w:tcW w:w="1981" w:type="dxa"/>
            <w:tcBorders>
              <w:top w:val="single" w:sz="4" w:space="0" w:color="auto"/>
            </w:tcBorders>
            <w:vAlign w:val="center"/>
          </w:tcPr>
          <w:p w:rsidR="00C91295" w:rsidRPr="00526311" w:rsidRDefault="00C91295" w:rsidP="00F1387F">
            <w:pPr>
              <w:keepNext/>
              <w:keepLines/>
              <w:rPr>
                <w:b/>
                <w:bCs/>
                <w:sz w:val="16"/>
                <w:szCs w:val="16"/>
              </w:rPr>
            </w:pPr>
            <w:r w:rsidRPr="00526311">
              <w:rPr>
                <w:b/>
                <w:bCs/>
                <w:sz w:val="16"/>
                <w:szCs w:val="16"/>
              </w:rPr>
              <w:t>Actividad</w:t>
            </w:r>
          </w:p>
        </w:tc>
        <w:tc>
          <w:tcPr>
            <w:tcW w:w="1260" w:type="dxa"/>
            <w:tcBorders>
              <w:top w:val="single" w:sz="4" w:space="0" w:color="auto"/>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Fecha</w:t>
            </w:r>
          </w:p>
        </w:tc>
        <w:tc>
          <w:tcPr>
            <w:tcW w:w="1862" w:type="dxa"/>
            <w:tcBorders>
              <w:top w:val="single" w:sz="4" w:space="0" w:color="auto"/>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País anfitrión / Beneficiarios</w:t>
            </w:r>
          </w:p>
        </w:tc>
        <w:tc>
          <w:tcPr>
            <w:tcW w:w="4253" w:type="dxa"/>
            <w:tcBorders>
              <w:top w:val="single" w:sz="4" w:space="0" w:color="auto"/>
            </w:tcBorders>
            <w:shd w:val="clear" w:color="auto" w:fill="FFFFFF"/>
            <w:tcMar>
              <w:top w:w="110" w:type="dxa"/>
            </w:tcMar>
            <w:vAlign w:val="center"/>
          </w:tcPr>
          <w:p w:rsidR="00C91295" w:rsidRPr="00526311" w:rsidRDefault="00C91295" w:rsidP="00F1387F">
            <w:pPr>
              <w:keepNext/>
              <w:keepLines/>
              <w:rPr>
                <w:sz w:val="16"/>
                <w:szCs w:val="16"/>
              </w:rPr>
            </w:pPr>
            <w:r w:rsidRPr="00526311">
              <w:rPr>
                <w:b/>
                <w:sz w:val="16"/>
                <w:szCs w:val="16"/>
              </w:rPr>
              <w:t>Propósito(s) / Descripción</w:t>
            </w:r>
          </w:p>
        </w:tc>
      </w:tr>
      <w:tr w:rsidR="00C91295" w:rsidRPr="00526311" w:rsidTr="00F1387F">
        <w:trPr>
          <w:cantSplit/>
        </w:trPr>
        <w:tc>
          <w:tcPr>
            <w:tcW w:w="1981" w:type="dxa"/>
          </w:tcPr>
          <w:p w:rsidR="00C91295" w:rsidRPr="00526311" w:rsidRDefault="00C91295" w:rsidP="00F1387F">
            <w:pPr>
              <w:autoSpaceDE w:val="0"/>
              <w:autoSpaceDN w:val="0"/>
              <w:adjustRightInd w:val="0"/>
              <w:spacing w:before="120" w:after="120"/>
              <w:rPr>
                <w:sz w:val="16"/>
                <w:szCs w:val="16"/>
              </w:rPr>
            </w:pPr>
            <w:r w:rsidRPr="00526311">
              <w:rPr>
                <w:sz w:val="16"/>
                <w:szCs w:val="16"/>
              </w:rPr>
              <w:t>Taller de formación sobre el Sistema de Automatización de la Propiedad Intelectual (IPAS)</w:t>
            </w:r>
          </w:p>
        </w:tc>
        <w:tc>
          <w:tcPr>
            <w:tcW w:w="1260" w:type="dxa"/>
          </w:tcPr>
          <w:p w:rsidR="00C91295" w:rsidRPr="00526311" w:rsidRDefault="00C91295" w:rsidP="00F1387F">
            <w:pPr>
              <w:autoSpaceDE w:val="0"/>
              <w:autoSpaceDN w:val="0"/>
              <w:adjustRightInd w:val="0"/>
              <w:spacing w:before="120" w:after="120"/>
              <w:rPr>
                <w:sz w:val="16"/>
                <w:szCs w:val="16"/>
              </w:rPr>
            </w:pPr>
            <w:r w:rsidRPr="00526311">
              <w:rPr>
                <w:sz w:val="16"/>
                <w:szCs w:val="16"/>
              </w:rPr>
              <w:t>8 a 12 de septiembre de 2014</w:t>
            </w:r>
          </w:p>
        </w:tc>
        <w:tc>
          <w:tcPr>
            <w:tcW w:w="1862" w:type="dxa"/>
          </w:tcPr>
          <w:p w:rsidR="00C91295" w:rsidRPr="00526311" w:rsidRDefault="00C91295" w:rsidP="00F1387F">
            <w:pPr>
              <w:autoSpaceDE w:val="0"/>
              <w:autoSpaceDN w:val="0"/>
              <w:adjustRightInd w:val="0"/>
              <w:spacing w:before="120" w:after="120"/>
              <w:rPr>
                <w:sz w:val="16"/>
                <w:szCs w:val="16"/>
              </w:rPr>
            </w:pPr>
            <w:r w:rsidRPr="00526311">
              <w:rPr>
                <w:sz w:val="16"/>
                <w:szCs w:val="16"/>
              </w:rPr>
              <w:t>Costa Rica / 1 participante de Uruguay</w:t>
            </w:r>
          </w:p>
        </w:tc>
        <w:tc>
          <w:tcPr>
            <w:tcW w:w="4253" w:type="dxa"/>
          </w:tcPr>
          <w:p w:rsidR="00C91295" w:rsidRPr="00526311" w:rsidRDefault="00C91295" w:rsidP="00F1387F">
            <w:pPr>
              <w:autoSpaceDE w:val="0"/>
              <w:autoSpaceDN w:val="0"/>
              <w:adjustRightInd w:val="0"/>
              <w:spacing w:before="120" w:after="120"/>
              <w:rPr>
                <w:sz w:val="16"/>
                <w:szCs w:val="16"/>
              </w:rPr>
            </w:pPr>
            <w:r w:rsidRPr="00526311">
              <w:rPr>
                <w:sz w:val="16"/>
                <w:szCs w:val="16"/>
              </w:rPr>
              <w:t>Mejorar la eficiencia de los procesos internos de la Dirección Nacional de la Propiedad industrial (DNPI).</w:t>
            </w:r>
          </w:p>
        </w:tc>
      </w:tr>
      <w:tr w:rsidR="00C91295" w:rsidRPr="00526311" w:rsidTr="00F1387F">
        <w:trPr>
          <w:cantSplit/>
        </w:trPr>
        <w:tc>
          <w:tcPr>
            <w:tcW w:w="1981" w:type="dxa"/>
          </w:tcPr>
          <w:p w:rsidR="00C91295" w:rsidRPr="00526311" w:rsidRDefault="00C91295" w:rsidP="00F1387F">
            <w:pPr>
              <w:autoSpaceDE w:val="0"/>
              <w:autoSpaceDN w:val="0"/>
              <w:adjustRightInd w:val="0"/>
              <w:spacing w:before="120" w:after="120"/>
              <w:rPr>
                <w:sz w:val="16"/>
                <w:szCs w:val="16"/>
              </w:rPr>
            </w:pPr>
            <w:r w:rsidRPr="00526311">
              <w:rPr>
                <w:sz w:val="16"/>
                <w:szCs w:val="16"/>
              </w:rPr>
              <w:t>Implantación de la base de datos mundial de la OEP de información sobre patentes</w:t>
            </w:r>
          </w:p>
        </w:tc>
        <w:tc>
          <w:tcPr>
            <w:tcW w:w="1260" w:type="dxa"/>
          </w:tcPr>
          <w:p w:rsidR="00C91295" w:rsidRPr="00526311" w:rsidRDefault="00C91295" w:rsidP="00F1387F">
            <w:pPr>
              <w:autoSpaceDE w:val="0"/>
              <w:autoSpaceDN w:val="0"/>
              <w:adjustRightInd w:val="0"/>
              <w:spacing w:before="120" w:after="120"/>
              <w:rPr>
                <w:sz w:val="16"/>
                <w:szCs w:val="16"/>
              </w:rPr>
            </w:pPr>
            <w:r w:rsidRPr="00526311">
              <w:rPr>
                <w:sz w:val="16"/>
                <w:szCs w:val="16"/>
              </w:rPr>
              <w:t>Enero a diciembre de 2014</w:t>
            </w:r>
          </w:p>
          <w:p w:rsidR="00C91295" w:rsidRPr="00526311" w:rsidRDefault="00C91295" w:rsidP="00F1387F">
            <w:pPr>
              <w:autoSpaceDE w:val="0"/>
              <w:autoSpaceDN w:val="0"/>
              <w:adjustRightInd w:val="0"/>
              <w:spacing w:before="120" w:after="120"/>
              <w:rPr>
                <w:sz w:val="16"/>
                <w:szCs w:val="16"/>
              </w:rPr>
            </w:pPr>
            <w:r w:rsidRPr="00526311">
              <w:rPr>
                <w:sz w:val="16"/>
                <w:szCs w:val="16"/>
              </w:rPr>
              <w:t>(En curso)</w:t>
            </w:r>
          </w:p>
        </w:tc>
        <w:tc>
          <w:tcPr>
            <w:tcW w:w="1862" w:type="dxa"/>
          </w:tcPr>
          <w:p w:rsidR="00C91295" w:rsidRPr="00526311" w:rsidRDefault="00C91295" w:rsidP="00F1387F">
            <w:pPr>
              <w:autoSpaceDE w:val="0"/>
              <w:autoSpaceDN w:val="0"/>
              <w:adjustRightInd w:val="0"/>
              <w:spacing w:before="120" w:after="120"/>
              <w:rPr>
                <w:sz w:val="16"/>
                <w:szCs w:val="16"/>
              </w:rPr>
            </w:pPr>
            <w:r w:rsidRPr="00526311">
              <w:rPr>
                <w:sz w:val="16"/>
                <w:szCs w:val="16"/>
              </w:rPr>
              <w:t>Todos los países de América Latina</w:t>
            </w:r>
          </w:p>
        </w:tc>
        <w:tc>
          <w:tcPr>
            <w:tcW w:w="4253" w:type="dxa"/>
          </w:tcPr>
          <w:p w:rsidR="00C91295" w:rsidRPr="00526311" w:rsidRDefault="00C91295" w:rsidP="00F1387F">
            <w:pPr>
              <w:autoSpaceDE w:val="0"/>
              <w:autoSpaceDN w:val="0"/>
              <w:adjustRightInd w:val="0"/>
              <w:spacing w:before="120" w:after="120"/>
              <w:rPr>
                <w:sz w:val="16"/>
                <w:szCs w:val="16"/>
              </w:rPr>
            </w:pPr>
            <w:r w:rsidRPr="00526311">
              <w:rPr>
                <w:sz w:val="16"/>
                <w:szCs w:val="16"/>
              </w:rPr>
              <w:t>Ampliar la cobertura y la calidad de la información contenida en la base de datos de la DNPI.</w:t>
            </w:r>
          </w:p>
          <w:p w:rsidR="00C91295" w:rsidRPr="00526311" w:rsidRDefault="00C91295" w:rsidP="00F1387F">
            <w:pPr>
              <w:autoSpaceDE w:val="0"/>
              <w:autoSpaceDN w:val="0"/>
              <w:adjustRightInd w:val="0"/>
              <w:spacing w:before="120" w:after="120"/>
              <w:rPr>
                <w:sz w:val="16"/>
                <w:szCs w:val="16"/>
              </w:rPr>
            </w:pPr>
          </w:p>
        </w:tc>
      </w:tr>
      <w:tr w:rsidR="00C91295" w:rsidRPr="00526311" w:rsidTr="00F1387F">
        <w:trPr>
          <w:cantSplit/>
        </w:trPr>
        <w:tc>
          <w:tcPr>
            <w:tcW w:w="1981" w:type="dxa"/>
          </w:tcPr>
          <w:p w:rsidR="00C91295" w:rsidRPr="00526311" w:rsidRDefault="00C91295" w:rsidP="00F1387F">
            <w:pPr>
              <w:autoSpaceDE w:val="0"/>
              <w:autoSpaceDN w:val="0"/>
              <w:adjustRightInd w:val="0"/>
              <w:spacing w:before="120" w:after="120"/>
              <w:rPr>
                <w:sz w:val="16"/>
                <w:szCs w:val="16"/>
              </w:rPr>
            </w:pPr>
            <w:r w:rsidRPr="00526311">
              <w:rPr>
                <w:sz w:val="16"/>
                <w:szCs w:val="16"/>
              </w:rPr>
              <w:t>Renovación de la suscripción a la base de datos Thomson-Reuters sobre P.I.</w:t>
            </w:r>
          </w:p>
        </w:tc>
        <w:tc>
          <w:tcPr>
            <w:tcW w:w="1260" w:type="dxa"/>
          </w:tcPr>
          <w:p w:rsidR="00C91295" w:rsidRPr="00526311" w:rsidRDefault="00C91295" w:rsidP="00F1387F">
            <w:pPr>
              <w:autoSpaceDE w:val="0"/>
              <w:autoSpaceDN w:val="0"/>
              <w:adjustRightInd w:val="0"/>
              <w:spacing w:before="120" w:after="120"/>
              <w:rPr>
                <w:sz w:val="16"/>
                <w:szCs w:val="16"/>
              </w:rPr>
            </w:pPr>
            <w:r w:rsidRPr="00526311">
              <w:rPr>
                <w:sz w:val="16"/>
                <w:szCs w:val="16"/>
              </w:rPr>
              <w:t>1 de enero a 31 de octubre de 2014</w:t>
            </w:r>
          </w:p>
          <w:p w:rsidR="00C91295" w:rsidRPr="00526311" w:rsidRDefault="00C91295" w:rsidP="00F1387F">
            <w:pPr>
              <w:autoSpaceDE w:val="0"/>
              <w:autoSpaceDN w:val="0"/>
              <w:adjustRightInd w:val="0"/>
              <w:spacing w:before="120" w:after="120"/>
              <w:rPr>
                <w:sz w:val="16"/>
                <w:szCs w:val="16"/>
              </w:rPr>
            </w:pPr>
            <w:r w:rsidRPr="00526311">
              <w:rPr>
                <w:sz w:val="16"/>
                <w:szCs w:val="16"/>
              </w:rPr>
              <w:t>(En curso desde 2013)</w:t>
            </w:r>
          </w:p>
        </w:tc>
        <w:tc>
          <w:tcPr>
            <w:tcW w:w="1862" w:type="dxa"/>
          </w:tcPr>
          <w:p w:rsidR="00C91295" w:rsidRPr="00526311" w:rsidRDefault="00C91295" w:rsidP="00F1387F">
            <w:pPr>
              <w:autoSpaceDE w:val="0"/>
              <w:autoSpaceDN w:val="0"/>
              <w:adjustRightInd w:val="0"/>
              <w:spacing w:before="120" w:after="120"/>
              <w:rPr>
                <w:sz w:val="16"/>
                <w:szCs w:val="16"/>
              </w:rPr>
            </w:pPr>
            <w:r w:rsidRPr="00526311">
              <w:rPr>
                <w:sz w:val="16"/>
                <w:szCs w:val="16"/>
              </w:rPr>
              <w:t>Todos los países de América Latina</w:t>
            </w:r>
          </w:p>
        </w:tc>
        <w:tc>
          <w:tcPr>
            <w:tcW w:w="4253" w:type="dxa"/>
          </w:tcPr>
          <w:p w:rsidR="00C91295" w:rsidRPr="00526311" w:rsidRDefault="00C91295" w:rsidP="00F1387F">
            <w:pPr>
              <w:autoSpaceDE w:val="0"/>
              <w:autoSpaceDN w:val="0"/>
              <w:adjustRightInd w:val="0"/>
              <w:spacing w:before="120" w:after="120"/>
              <w:rPr>
                <w:sz w:val="16"/>
                <w:szCs w:val="16"/>
              </w:rPr>
            </w:pPr>
            <w:r w:rsidRPr="00526311">
              <w:rPr>
                <w:sz w:val="16"/>
                <w:szCs w:val="16"/>
              </w:rPr>
              <w:t>Ampliar la cobertura y la calidad de la información contenida en la base de datos de la DNPI.</w:t>
            </w:r>
          </w:p>
        </w:tc>
      </w:tr>
    </w:tbl>
    <w:p w:rsidR="00C91295" w:rsidRPr="00526311" w:rsidRDefault="00C91295" w:rsidP="00F1387F">
      <w:pPr>
        <w:widowControl w:val="0"/>
        <w:rPr>
          <w:b/>
          <w:sz w:val="20"/>
        </w:rPr>
      </w:pPr>
    </w:p>
    <w:p w:rsidR="00C91295" w:rsidRPr="00526311" w:rsidRDefault="00C91295" w:rsidP="00F1387F">
      <w:pPr>
        <w:widowControl w:val="0"/>
        <w:rPr>
          <w:b/>
          <w:sz w:val="20"/>
        </w:rPr>
      </w:pPr>
    </w:p>
    <w:p w:rsidR="00C91295" w:rsidRPr="007D4926" w:rsidRDefault="00C91295" w:rsidP="00F1387F">
      <w:pPr>
        <w:widowControl w:val="0"/>
        <w:rPr>
          <w:b/>
          <w:bCs/>
          <w:sz w:val="20"/>
        </w:rPr>
      </w:pPr>
      <w:r w:rsidRPr="007D4926">
        <w:rPr>
          <w:b/>
          <w:sz w:val="20"/>
        </w:rPr>
        <w:t>URUGUAY</w:t>
      </w:r>
      <w:r w:rsidR="007D4926" w:rsidRPr="007D4926">
        <w:rPr>
          <w:b/>
          <w:bCs/>
          <w:sz w:val="20"/>
        </w:rPr>
        <w:t xml:space="preserve"> – </w:t>
      </w:r>
      <w:r w:rsidRPr="007D4926">
        <w:rPr>
          <w:b/>
          <w:bCs/>
          <w:sz w:val="20"/>
        </w:rPr>
        <w:t>Contribuciones de donantes y gastos en 2014</w:t>
      </w:r>
    </w:p>
    <w:p w:rsidR="00C91295" w:rsidRPr="00526311" w:rsidRDefault="00C91295" w:rsidP="00F1387F">
      <w:pPr>
        <w:widowControl w:val="0"/>
        <w:rPr>
          <w:b/>
          <w:sz w:val="18"/>
          <w:szCs w:val="18"/>
        </w:rPr>
      </w:pPr>
    </w:p>
    <w:tbl>
      <w:tblPr>
        <w:tblW w:w="9087" w:type="dxa"/>
        <w:jc w:val="center"/>
        <w:tblInd w:w="93" w:type="dxa"/>
        <w:tblLook w:val="04A0" w:firstRow="1" w:lastRow="0" w:firstColumn="1" w:lastColumn="0" w:noHBand="0" w:noVBand="1"/>
      </w:tblPr>
      <w:tblGrid>
        <w:gridCol w:w="1760"/>
        <w:gridCol w:w="1480"/>
        <w:gridCol w:w="1840"/>
        <w:gridCol w:w="2080"/>
        <w:gridCol w:w="1927"/>
      </w:tblGrid>
      <w:tr w:rsidR="00C91295" w:rsidRPr="00526311" w:rsidTr="00F1387F">
        <w:trPr>
          <w:trHeight w:val="414"/>
          <w:jc w:val="center"/>
        </w:trPr>
        <w:tc>
          <w:tcPr>
            <w:tcW w:w="17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Balance a 31 de diciembre de 2013</w:t>
            </w:r>
          </w:p>
        </w:tc>
        <w:tc>
          <w:tcPr>
            <w:tcW w:w="1480"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Ingresos en 2014</w:t>
            </w:r>
          </w:p>
        </w:tc>
        <w:tc>
          <w:tcPr>
            <w:tcW w:w="1840"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Gastos en 2014</w:t>
            </w:r>
          </w:p>
        </w:tc>
        <w:tc>
          <w:tcPr>
            <w:tcW w:w="2080"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Reembolsos</w:t>
            </w:r>
          </w:p>
        </w:tc>
        <w:tc>
          <w:tcPr>
            <w:tcW w:w="1927"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Balance a 31 de diciembre de 2014</w:t>
            </w:r>
          </w:p>
        </w:tc>
      </w:tr>
      <w:tr w:rsidR="00C91295" w:rsidRPr="00526311" w:rsidTr="00F1387F">
        <w:trPr>
          <w:trHeight w:val="548"/>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102.336</w:t>
            </w:r>
          </w:p>
        </w:tc>
        <w:tc>
          <w:tcPr>
            <w:tcW w:w="1480"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68.683</w:t>
            </w:r>
          </w:p>
        </w:tc>
        <w:tc>
          <w:tcPr>
            <w:tcW w:w="1840"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13.087</w:t>
            </w:r>
          </w:p>
        </w:tc>
        <w:tc>
          <w:tcPr>
            <w:tcW w:w="2080"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w:t>
            </w:r>
          </w:p>
        </w:tc>
        <w:tc>
          <w:tcPr>
            <w:tcW w:w="1927"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157.932</w:t>
            </w:r>
          </w:p>
        </w:tc>
      </w:tr>
    </w:tbl>
    <w:p w:rsidR="00C91295" w:rsidRPr="00526311" w:rsidRDefault="00C91295" w:rsidP="00F1387F">
      <w:pPr>
        <w:rPr>
          <w:b/>
          <w:sz w:val="20"/>
        </w:rPr>
      </w:pPr>
    </w:p>
    <w:p w:rsidR="00C91295" w:rsidRPr="00526311" w:rsidRDefault="00C91295" w:rsidP="00F1387F">
      <w:pPr>
        <w:keepNext/>
        <w:rPr>
          <w:b/>
          <w:sz w:val="20"/>
        </w:rPr>
      </w:pPr>
    </w:p>
    <w:p w:rsidR="00C91295" w:rsidRPr="00526311" w:rsidRDefault="00C91295" w:rsidP="00F1387F">
      <w:pPr>
        <w:keepNext/>
        <w:widowControl w:val="0"/>
        <w:rPr>
          <w:b/>
          <w:sz w:val="20"/>
        </w:rPr>
      </w:pPr>
      <w:r w:rsidRPr="00526311">
        <w:rPr>
          <w:b/>
          <w:sz w:val="20"/>
        </w:rPr>
        <w:t>ESTADOS UNIDOS DE AMÉRICA – DERECHO DE AUTOR</w:t>
      </w:r>
    </w:p>
    <w:p w:rsidR="00C91295" w:rsidRPr="00526311" w:rsidRDefault="00C91295" w:rsidP="00F1387F">
      <w:pPr>
        <w:widowControl w:val="0"/>
        <w:rPr>
          <w:b/>
          <w:sz w:val="20"/>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395"/>
      </w:tblGrid>
      <w:tr w:rsidR="00C91295" w:rsidRPr="00526311" w:rsidTr="00F1387F">
        <w:trPr>
          <w:cantSplit/>
        </w:trPr>
        <w:tc>
          <w:tcPr>
            <w:tcW w:w="9498" w:type="dxa"/>
            <w:gridSpan w:val="4"/>
            <w:tcBorders>
              <w:top w:val="single" w:sz="4" w:space="0" w:color="auto"/>
              <w:bottom w:val="single" w:sz="4" w:space="0" w:color="auto"/>
            </w:tcBorders>
            <w:shd w:val="clear" w:color="auto" w:fill="CCFFFF"/>
            <w:vAlign w:val="center"/>
          </w:tcPr>
          <w:p w:rsidR="00C91295" w:rsidRPr="00526311" w:rsidRDefault="00C91295" w:rsidP="00F1387F">
            <w:pPr>
              <w:widowControl w:val="0"/>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V.2 Ampliación y mejora del uso de los análisis económicos de la OMPI en la formulación de políticas</w:t>
            </w:r>
          </w:p>
        </w:tc>
      </w:tr>
      <w:tr w:rsidR="00C91295" w:rsidRPr="00526311" w:rsidTr="00F1387F">
        <w:trPr>
          <w:cantSplit/>
        </w:trPr>
        <w:tc>
          <w:tcPr>
            <w:tcW w:w="1981" w:type="dxa"/>
            <w:tcBorders>
              <w:top w:val="single" w:sz="4" w:space="0" w:color="auto"/>
            </w:tcBorders>
            <w:vAlign w:val="center"/>
          </w:tcPr>
          <w:p w:rsidR="00C91295" w:rsidRPr="00526311" w:rsidRDefault="00C91295" w:rsidP="00F1387F">
            <w:pPr>
              <w:widowControl w:val="0"/>
              <w:rPr>
                <w:b/>
                <w:bCs/>
                <w:sz w:val="16"/>
                <w:szCs w:val="16"/>
              </w:rPr>
            </w:pPr>
            <w:r w:rsidRPr="00526311">
              <w:rPr>
                <w:b/>
                <w:bCs/>
                <w:sz w:val="16"/>
                <w:szCs w:val="16"/>
              </w:rPr>
              <w:t>Actividad</w:t>
            </w:r>
          </w:p>
        </w:tc>
        <w:tc>
          <w:tcPr>
            <w:tcW w:w="1260" w:type="dxa"/>
            <w:tcBorders>
              <w:top w:val="single" w:sz="4" w:space="0" w:color="auto"/>
            </w:tcBorders>
            <w:shd w:val="clear" w:color="auto" w:fill="auto"/>
            <w:tcMar>
              <w:top w:w="110" w:type="dxa"/>
            </w:tcMar>
            <w:vAlign w:val="center"/>
          </w:tcPr>
          <w:p w:rsidR="00C91295" w:rsidRPr="00526311" w:rsidRDefault="00C91295" w:rsidP="00F1387F">
            <w:pPr>
              <w:widowControl w:val="0"/>
              <w:rPr>
                <w:sz w:val="16"/>
                <w:szCs w:val="16"/>
              </w:rPr>
            </w:pPr>
            <w:r w:rsidRPr="00526311">
              <w:rPr>
                <w:b/>
                <w:sz w:val="16"/>
                <w:szCs w:val="16"/>
              </w:rPr>
              <w:t>Fecha</w:t>
            </w:r>
          </w:p>
        </w:tc>
        <w:tc>
          <w:tcPr>
            <w:tcW w:w="1862" w:type="dxa"/>
            <w:tcBorders>
              <w:top w:val="single" w:sz="4" w:space="0" w:color="auto"/>
            </w:tcBorders>
            <w:shd w:val="clear" w:color="auto" w:fill="auto"/>
            <w:tcMar>
              <w:top w:w="110" w:type="dxa"/>
            </w:tcMar>
            <w:vAlign w:val="center"/>
          </w:tcPr>
          <w:p w:rsidR="00C91295" w:rsidRPr="00526311" w:rsidRDefault="00C91295" w:rsidP="00F1387F">
            <w:pPr>
              <w:widowControl w:val="0"/>
              <w:rPr>
                <w:sz w:val="16"/>
                <w:szCs w:val="16"/>
              </w:rPr>
            </w:pPr>
            <w:r w:rsidRPr="00526311">
              <w:rPr>
                <w:b/>
                <w:sz w:val="16"/>
                <w:szCs w:val="16"/>
              </w:rPr>
              <w:t>País anfitrión / Beneficiarios</w:t>
            </w:r>
          </w:p>
        </w:tc>
        <w:tc>
          <w:tcPr>
            <w:tcW w:w="4395" w:type="dxa"/>
            <w:tcBorders>
              <w:top w:val="single" w:sz="4" w:space="0" w:color="auto"/>
            </w:tcBorders>
            <w:shd w:val="clear" w:color="auto" w:fill="FFFFFF"/>
            <w:tcMar>
              <w:top w:w="110" w:type="dxa"/>
            </w:tcMar>
            <w:vAlign w:val="center"/>
          </w:tcPr>
          <w:p w:rsidR="00C91295" w:rsidRPr="00526311" w:rsidRDefault="00C91295" w:rsidP="00F1387F">
            <w:pPr>
              <w:widowControl w:val="0"/>
              <w:rPr>
                <w:sz w:val="16"/>
                <w:szCs w:val="16"/>
              </w:rPr>
            </w:pPr>
            <w:r w:rsidRPr="00526311">
              <w:rPr>
                <w:b/>
                <w:sz w:val="16"/>
                <w:szCs w:val="16"/>
              </w:rPr>
              <w:t>Propósito(s) / Descripción</w:t>
            </w:r>
          </w:p>
        </w:tc>
      </w:tr>
      <w:tr w:rsidR="00C91295" w:rsidRPr="00526311" w:rsidTr="00F1387F">
        <w:trPr>
          <w:cantSplit/>
        </w:trPr>
        <w:tc>
          <w:tcPr>
            <w:tcW w:w="1981"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Publicación de estudios nacionales sobre la contribución económica de las industrias basadas en el derecho de autor</w:t>
            </w:r>
          </w:p>
        </w:tc>
        <w:tc>
          <w:tcPr>
            <w:tcW w:w="1260"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Noviembre de 2014</w:t>
            </w:r>
          </w:p>
        </w:tc>
        <w:tc>
          <w:tcPr>
            <w:tcW w:w="1862"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Argentina, Indonesia, Organización de los Estados del Caribe Oriental (OECO), Serbia, Turquía</w:t>
            </w:r>
          </w:p>
        </w:tc>
        <w:tc>
          <w:tcPr>
            <w:tcW w:w="4395"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Velar por una difusión más amplia de los resultados de los estudios de la OMPI sobre la contribución económica del derecho de autor</w:t>
            </w:r>
          </w:p>
        </w:tc>
      </w:tr>
    </w:tbl>
    <w:p w:rsidR="00C91295" w:rsidRPr="00526311" w:rsidRDefault="00C91295" w:rsidP="00F1387F">
      <w:pPr>
        <w:widowControl w:val="0"/>
        <w:rPr>
          <w:b/>
          <w:sz w:val="20"/>
        </w:rPr>
      </w:pPr>
    </w:p>
    <w:p w:rsidR="00C91295" w:rsidRPr="00526311" w:rsidRDefault="00C91295" w:rsidP="00F1387F">
      <w:pPr>
        <w:widowControl w:val="0"/>
        <w:rPr>
          <w:b/>
          <w:sz w:val="20"/>
        </w:rPr>
      </w:pPr>
    </w:p>
    <w:p w:rsidR="00C91295" w:rsidRPr="00526311" w:rsidRDefault="00C91295" w:rsidP="00F1387F">
      <w:pPr>
        <w:widowControl w:val="0"/>
        <w:rPr>
          <w:b/>
          <w:sz w:val="18"/>
          <w:szCs w:val="18"/>
        </w:rPr>
      </w:pPr>
      <w:r w:rsidRPr="00526311">
        <w:rPr>
          <w:b/>
          <w:sz w:val="18"/>
          <w:szCs w:val="18"/>
        </w:rPr>
        <w:t>ESTADOS UNIDOS DE AMÉRICA / DERECHO DE AUTOR – Contribuciones de donantes y gastos en 2014</w:t>
      </w:r>
    </w:p>
    <w:p w:rsidR="00C91295" w:rsidRPr="00526311" w:rsidRDefault="00C91295" w:rsidP="00F1387F">
      <w:pPr>
        <w:widowControl w:val="0"/>
        <w:rPr>
          <w:b/>
          <w:sz w:val="20"/>
        </w:rPr>
      </w:pPr>
    </w:p>
    <w:tbl>
      <w:tblPr>
        <w:tblW w:w="9087" w:type="dxa"/>
        <w:jc w:val="center"/>
        <w:tblInd w:w="93" w:type="dxa"/>
        <w:tblLook w:val="04A0" w:firstRow="1" w:lastRow="0" w:firstColumn="1" w:lastColumn="0" w:noHBand="0" w:noVBand="1"/>
      </w:tblPr>
      <w:tblGrid>
        <w:gridCol w:w="1880"/>
        <w:gridCol w:w="1700"/>
        <w:gridCol w:w="1840"/>
        <w:gridCol w:w="1700"/>
        <w:gridCol w:w="1967"/>
      </w:tblGrid>
      <w:tr w:rsidR="00C91295" w:rsidRPr="00526311" w:rsidTr="00F1387F">
        <w:trPr>
          <w:trHeight w:val="522"/>
          <w:jc w:val="center"/>
        </w:trPr>
        <w:tc>
          <w:tcPr>
            <w:tcW w:w="18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Balance a 31 de diciembre de 2013</w:t>
            </w:r>
          </w:p>
        </w:tc>
        <w:tc>
          <w:tcPr>
            <w:tcW w:w="1700"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Ingresos en 2014</w:t>
            </w:r>
          </w:p>
        </w:tc>
        <w:tc>
          <w:tcPr>
            <w:tcW w:w="1840"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Gastos en 2014</w:t>
            </w:r>
          </w:p>
        </w:tc>
        <w:tc>
          <w:tcPr>
            <w:tcW w:w="1700"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Reembolsos</w:t>
            </w:r>
          </w:p>
        </w:tc>
        <w:tc>
          <w:tcPr>
            <w:tcW w:w="1967"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Balance a 31 de diciembre de 2014</w:t>
            </w:r>
          </w:p>
        </w:tc>
      </w:tr>
      <w:tr w:rsidR="00C91295" w:rsidRPr="00526311" w:rsidTr="00F1387F">
        <w:trPr>
          <w:trHeight w:val="402"/>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C91295" w:rsidRPr="00526311" w:rsidRDefault="00C91295" w:rsidP="00F1387F">
            <w:pPr>
              <w:widowControl w:val="0"/>
              <w:jc w:val="center"/>
              <w:rPr>
                <w:sz w:val="16"/>
                <w:szCs w:val="16"/>
              </w:rPr>
            </w:pPr>
            <w:r w:rsidRPr="00526311">
              <w:rPr>
                <w:sz w:val="16"/>
                <w:szCs w:val="16"/>
              </w:rPr>
              <w:t>2.708</w:t>
            </w:r>
          </w:p>
        </w:tc>
        <w:tc>
          <w:tcPr>
            <w:tcW w:w="170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widowControl w:val="0"/>
              <w:jc w:val="center"/>
              <w:rPr>
                <w:sz w:val="16"/>
                <w:szCs w:val="16"/>
              </w:rPr>
            </w:pPr>
            <w:r w:rsidRPr="00526311">
              <w:rPr>
                <w:sz w:val="16"/>
                <w:szCs w:val="16"/>
              </w:rPr>
              <w:t>5.041</w:t>
            </w:r>
          </w:p>
        </w:tc>
        <w:tc>
          <w:tcPr>
            <w:tcW w:w="184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widowControl w:val="0"/>
              <w:jc w:val="center"/>
              <w:rPr>
                <w:sz w:val="16"/>
                <w:szCs w:val="16"/>
              </w:rPr>
            </w:pPr>
            <w:r w:rsidRPr="00526311">
              <w:rPr>
                <w:sz w:val="16"/>
                <w:szCs w:val="16"/>
              </w:rPr>
              <w:t>27.101</w:t>
            </w:r>
          </w:p>
        </w:tc>
        <w:tc>
          <w:tcPr>
            <w:tcW w:w="170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widowControl w:val="0"/>
              <w:jc w:val="center"/>
              <w:rPr>
                <w:sz w:val="16"/>
                <w:szCs w:val="16"/>
              </w:rPr>
            </w:pPr>
            <w:r w:rsidRPr="00526311">
              <w:rPr>
                <w:sz w:val="16"/>
                <w:szCs w:val="16"/>
              </w:rPr>
              <w:t>1.583</w:t>
            </w:r>
          </w:p>
        </w:tc>
        <w:tc>
          <w:tcPr>
            <w:tcW w:w="1967"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widowControl w:val="0"/>
              <w:jc w:val="center"/>
              <w:rPr>
                <w:sz w:val="16"/>
                <w:szCs w:val="16"/>
              </w:rPr>
            </w:pPr>
            <w:r w:rsidRPr="00526311">
              <w:rPr>
                <w:sz w:val="16"/>
                <w:szCs w:val="16"/>
              </w:rPr>
              <w:t>0</w:t>
            </w:r>
            <w:r w:rsidRPr="00526311">
              <w:rPr>
                <w:rStyle w:val="FootnoteReference"/>
                <w:sz w:val="16"/>
                <w:szCs w:val="16"/>
              </w:rPr>
              <w:footnoteReference w:id="72"/>
            </w:r>
          </w:p>
        </w:tc>
      </w:tr>
    </w:tbl>
    <w:p w:rsidR="00C91295" w:rsidRPr="00526311" w:rsidRDefault="00C91295" w:rsidP="00F1387F">
      <w:pPr>
        <w:widowControl w:val="0"/>
        <w:rPr>
          <w:b/>
          <w:sz w:val="20"/>
        </w:rPr>
      </w:pPr>
    </w:p>
    <w:p w:rsidR="00C91295" w:rsidRPr="00526311" w:rsidRDefault="00C91295" w:rsidP="00F1387F">
      <w:pPr>
        <w:widowControl w:val="0"/>
        <w:rPr>
          <w:b/>
          <w:sz w:val="20"/>
        </w:rPr>
      </w:pPr>
    </w:p>
    <w:p w:rsidR="00C91295" w:rsidRPr="00526311" w:rsidRDefault="00C91295" w:rsidP="00F1387F">
      <w:pPr>
        <w:widowControl w:val="0"/>
        <w:rPr>
          <w:b/>
          <w:sz w:val="20"/>
        </w:rPr>
      </w:pPr>
      <w:r w:rsidRPr="00526311">
        <w:rPr>
          <w:b/>
          <w:sz w:val="20"/>
        </w:rPr>
        <w:t>ESTADOS UNIDOS DE AMÉRICA / PEQUEÑAS Y MEDIANAS EMPRESAS</w:t>
      </w:r>
    </w:p>
    <w:p w:rsidR="00C91295" w:rsidRPr="00526311" w:rsidRDefault="00C91295" w:rsidP="00F1387F">
      <w:pPr>
        <w:widowControl w:val="0"/>
        <w:rPr>
          <w:b/>
          <w:sz w:val="20"/>
        </w:rPr>
      </w:pPr>
    </w:p>
    <w:tbl>
      <w:tblPr>
        <w:tblW w:w="9503"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1844"/>
        <w:gridCol w:w="4678"/>
      </w:tblGrid>
      <w:tr w:rsidR="00C91295" w:rsidRPr="00526311" w:rsidTr="00F1387F">
        <w:tc>
          <w:tcPr>
            <w:tcW w:w="9503" w:type="dxa"/>
            <w:gridSpan w:val="4"/>
            <w:tcBorders>
              <w:top w:val="single" w:sz="4" w:space="0" w:color="000000"/>
              <w:bottom w:val="single" w:sz="4" w:space="0" w:color="000000"/>
            </w:tcBorders>
            <w:shd w:val="clear" w:color="auto" w:fill="CCFFFF"/>
            <w:vAlign w:val="center"/>
          </w:tcPr>
          <w:p w:rsidR="00C91295" w:rsidRPr="00526311" w:rsidRDefault="00C91295" w:rsidP="00F1387F">
            <w:pPr>
              <w:widowControl w:val="0"/>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rFonts w:eastAsia="MS Mincho"/>
                <w:bCs/>
                <w:sz w:val="16"/>
                <w:szCs w:val="16"/>
                <w:lang w:eastAsia="ja-JP" w:bidi="th-TH"/>
              </w:rPr>
              <w:t>III.6 Mayor capacidad de las pymes para utilizar con éxito la P.I. con el fin de apoyar la innovación</w:t>
            </w:r>
          </w:p>
        </w:tc>
      </w:tr>
      <w:tr w:rsidR="00C91295" w:rsidRPr="00526311" w:rsidTr="00F1387F">
        <w:tc>
          <w:tcPr>
            <w:tcW w:w="1844" w:type="dxa"/>
            <w:tcBorders>
              <w:top w:val="single" w:sz="4" w:space="0" w:color="000000"/>
            </w:tcBorders>
            <w:vAlign w:val="center"/>
          </w:tcPr>
          <w:p w:rsidR="00C91295" w:rsidRPr="00526311" w:rsidRDefault="00C91295" w:rsidP="00F1387F">
            <w:pPr>
              <w:widowControl w:val="0"/>
              <w:rPr>
                <w:b/>
                <w:bCs/>
                <w:sz w:val="16"/>
                <w:szCs w:val="16"/>
              </w:rPr>
            </w:pPr>
            <w:r w:rsidRPr="00526311">
              <w:rPr>
                <w:b/>
                <w:bCs/>
                <w:sz w:val="16"/>
                <w:szCs w:val="16"/>
              </w:rPr>
              <w:t>Actividad</w:t>
            </w:r>
          </w:p>
        </w:tc>
        <w:tc>
          <w:tcPr>
            <w:tcW w:w="1137" w:type="dxa"/>
            <w:tcBorders>
              <w:top w:val="single" w:sz="4" w:space="0" w:color="000000"/>
            </w:tcBorders>
            <w:shd w:val="clear" w:color="auto" w:fill="auto"/>
            <w:tcMar>
              <w:top w:w="110" w:type="dxa"/>
            </w:tcMar>
            <w:vAlign w:val="center"/>
          </w:tcPr>
          <w:p w:rsidR="00C91295" w:rsidRPr="00526311" w:rsidRDefault="00C91295" w:rsidP="00F1387F">
            <w:pPr>
              <w:widowControl w:val="0"/>
              <w:rPr>
                <w:sz w:val="16"/>
                <w:szCs w:val="16"/>
              </w:rPr>
            </w:pPr>
            <w:r w:rsidRPr="00526311">
              <w:rPr>
                <w:b/>
                <w:sz w:val="16"/>
                <w:szCs w:val="16"/>
              </w:rPr>
              <w:t>Fecha</w:t>
            </w:r>
          </w:p>
        </w:tc>
        <w:tc>
          <w:tcPr>
            <w:tcW w:w="1844" w:type="dxa"/>
            <w:tcBorders>
              <w:top w:val="single" w:sz="4" w:space="0" w:color="000000"/>
            </w:tcBorders>
            <w:shd w:val="clear" w:color="auto" w:fill="auto"/>
            <w:tcMar>
              <w:top w:w="110" w:type="dxa"/>
            </w:tcMar>
            <w:vAlign w:val="center"/>
          </w:tcPr>
          <w:p w:rsidR="00C91295" w:rsidRPr="00526311" w:rsidRDefault="00C91295" w:rsidP="00F1387F">
            <w:pPr>
              <w:widowControl w:val="0"/>
              <w:rPr>
                <w:sz w:val="16"/>
                <w:szCs w:val="16"/>
              </w:rPr>
            </w:pPr>
            <w:r w:rsidRPr="00526311">
              <w:rPr>
                <w:b/>
                <w:sz w:val="16"/>
                <w:szCs w:val="16"/>
              </w:rPr>
              <w:t>País anfitrión / Beneficiarios</w:t>
            </w:r>
          </w:p>
        </w:tc>
        <w:tc>
          <w:tcPr>
            <w:tcW w:w="4678" w:type="dxa"/>
            <w:tcBorders>
              <w:top w:val="single" w:sz="4" w:space="0" w:color="000000"/>
            </w:tcBorders>
            <w:shd w:val="clear" w:color="auto" w:fill="FFFFFF"/>
            <w:tcMar>
              <w:top w:w="110" w:type="dxa"/>
            </w:tcMar>
            <w:vAlign w:val="center"/>
          </w:tcPr>
          <w:p w:rsidR="00C91295" w:rsidRPr="00526311" w:rsidRDefault="00C91295" w:rsidP="00F1387F">
            <w:pPr>
              <w:widowControl w:val="0"/>
              <w:rPr>
                <w:sz w:val="16"/>
                <w:szCs w:val="16"/>
              </w:rPr>
            </w:pPr>
            <w:r w:rsidRPr="00526311">
              <w:rPr>
                <w:b/>
                <w:sz w:val="16"/>
                <w:szCs w:val="16"/>
              </w:rPr>
              <w:t>Propósito(s) / Descripción</w:t>
            </w:r>
          </w:p>
        </w:tc>
      </w:tr>
      <w:tr w:rsidR="00C91295" w:rsidRPr="00526311" w:rsidTr="00F1387F">
        <w:tc>
          <w:tcPr>
            <w:tcW w:w="1844" w:type="dxa"/>
          </w:tcPr>
          <w:p w:rsidR="00C91295" w:rsidRPr="00526311" w:rsidRDefault="00C91295" w:rsidP="00F1387F">
            <w:pPr>
              <w:widowControl w:val="0"/>
              <w:autoSpaceDE w:val="0"/>
              <w:autoSpaceDN w:val="0"/>
              <w:adjustRightInd w:val="0"/>
              <w:spacing w:before="120" w:after="120"/>
              <w:rPr>
                <w:rFonts w:eastAsia="MS Mincho"/>
                <w:sz w:val="16"/>
                <w:szCs w:val="16"/>
                <w:lang w:eastAsia="ja-JP" w:bidi="th-TH"/>
              </w:rPr>
            </w:pPr>
            <w:r w:rsidRPr="00526311">
              <w:rPr>
                <w:i/>
                <w:sz w:val="16"/>
                <w:szCs w:val="16"/>
              </w:rPr>
              <w:t>In Good Company - Managing intellectual Property Issues in Franchising</w:t>
            </w:r>
            <w:r w:rsidRPr="00526311">
              <w:rPr>
                <w:sz w:val="16"/>
                <w:szCs w:val="16"/>
              </w:rPr>
              <w:t xml:space="preserve"> (publicación de la OMPI Nº 1035):  traducciones y diseño gráfico.</w:t>
            </w:r>
          </w:p>
        </w:tc>
        <w:tc>
          <w:tcPr>
            <w:tcW w:w="1137" w:type="dxa"/>
          </w:tcPr>
          <w:p w:rsidR="00C91295" w:rsidRPr="00526311" w:rsidRDefault="00C91295" w:rsidP="00F1387F">
            <w:pPr>
              <w:widowControl w:val="0"/>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Marzo a diciembre de 2014</w:t>
            </w:r>
          </w:p>
        </w:tc>
        <w:tc>
          <w:tcPr>
            <w:tcW w:w="1844"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Todos</w:t>
            </w:r>
          </w:p>
        </w:tc>
        <w:tc>
          <w:tcPr>
            <w:tcW w:w="4678" w:type="dxa"/>
          </w:tcPr>
          <w:p w:rsidR="00C91295" w:rsidRPr="00526311" w:rsidRDefault="00C91295" w:rsidP="00F1387F">
            <w:pPr>
              <w:widowControl w:val="0"/>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Mejorar los conocimientos y la capacidad de las pymes para administrar su P.I. mediante acuerdos de franquicia.</w:t>
            </w:r>
          </w:p>
        </w:tc>
      </w:tr>
      <w:tr w:rsidR="00C91295" w:rsidRPr="00526311" w:rsidTr="00F1387F">
        <w:tc>
          <w:tcPr>
            <w:tcW w:w="1844" w:type="dxa"/>
          </w:tcPr>
          <w:p w:rsidR="00C91295" w:rsidRPr="00526311" w:rsidRDefault="00C91295" w:rsidP="00F1387F">
            <w:pPr>
              <w:widowControl w:val="0"/>
              <w:autoSpaceDE w:val="0"/>
              <w:autoSpaceDN w:val="0"/>
              <w:adjustRightInd w:val="0"/>
              <w:spacing w:before="120" w:after="120"/>
              <w:rPr>
                <w:rFonts w:eastAsia="MS Mincho"/>
                <w:sz w:val="16"/>
                <w:szCs w:val="16"/>
                <w:lang w:eastAsia="ja-JP" w:bidi="th-TH"/>
              </w:rPr>
            </w:pPr>
            <w:r w:rsidRPr="00526311">
              <w:rPr>
                <w:i/>
                <w:sz w:val="16"/>
                <w:szCs w:val="16"/>
              </w:rPr>
              <w:t>In Confidence - An Introduction to Trade Secrets for Small and Medium-sized Enterprises</w:t>
            </w:r>
            <w:r w:rsidRPr="00526311">
              <w:rPr>
                <w:sz w:val="16"/>
                <w:szCs w:val="16"/>
              </w:rPr>
              <w:t xml:space="preserve"> (publicación de la OMPI Nº 929):  edición, traducciones y diseño gráfico.</w:t>
            </w:r>
          </w:p>
        </w:tc>
        <w:tc>
          <w:tcPr>
            <w:tcW w:w="1137" w:type="dxa"/>
          </w:tcPr>
          <w:p w:rsidR="00C91295" w:rsidRPr="00526311" w:rsidRDefault="00C91295" w:rsidP="00F1387F">
            <w:pPr>
              <w:widowControl w:val="0"/>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Enero a junio de 2014</w:t>
            </w:r>
          </w:p>
        </w:tc>
        <w:tc>
          <w:tcPr>
            <w:tcW w:w="1844"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Todos</w:t>
            </w:r>
          </w:p>
        </w:tc>
        <w:tc>
          <w:tcPr>
            <w:tcW w:w="4678" w:type="dxa"/>
          </w:tcPr>
          <w:p w:rsidR="00C91295" w:rsidRPr="00526311" w:rsidRDefault="00C91295" w:rsidP="00F1387F">
            <w:pPr>
              <w:widowControl w:val="0"/>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Intensificar el uso de los secretos comerciales como herramienta empresarial de P.I. para las pymes.</w:t>
            </w:r>
          </w:p>
        </w:tc>
      </w:tr>
      <w:tr w:rsidR="00C91295" w:rsidRPr="00526311" w:rsidTr="00F1387F">
        <w:tc>
          <w:tcPr>
            <w:tcW w:w="1844" w:type="dxa"/>
          </w:tcPr>
          <w:p w:rsidR="00C91295" w:rsidRPr="00485CF4" w:rsidRDefault="00C91295" w:rsidP="00F1387F">
            <w:pPr>
              <w:widowControl w:val="0"/>
              <w:rPr>
                <w:rFonts w:eastAsia="Calibri"/>
                <w:sz w:val="16"/>
                <w:szCs w:val="16"/>
                <w:lang w:val="en-US"/>
              </w:rPr>
            </w:pPr>
            <w:r w:rsidRPr="00485CF4">
              <w:rPr>
                <w:rFonts w:eastAsia="Calibri"/>
                <w:i/>
                <w:sz w:val="16"/>
                <w:szCs w:val="16"/>
                <w:lang w:val="en-US"/>
              </w:rPr>
              <w:t>Intellectual Capital Readiness:  The Use of Intangibles to Access Capital Markets – An Introduction for Business and Investors</w:t>
            </w:r>
            <w:r w:rsidRPr="00485CF4">
              <w:rPr>
                <w:rFonts w:eastAsia="Calibri"/>
                <w:sz w:val="16"/>
                <w:szCs w:val="16"/>
                <w:lang w:val="en-US"/>
              </w:rPr>
              <w:t>:  revisiones, nuevos capítulos y proceso de prepublicación.</w:t>
            </w:r>
          </w:p>
          <w:p w:rsidR="00C91295" w:rsidRPr="00485CF4" w:rsidRDefault="00C91295" w:rsidP="00F1387F">
            <w:pPr>
              <w:widowControl w:val="0"/>
              <w:rPr>
                <w:rFonts w:eastAsia="MS Mincho"/>
                <w:sz w:val="16"/>
                <w:szCs w:val="16"/>
                <w:lang w:val="en-US" w:eastAsia="ja-JP" w:bidi="th-TH"/>
              </w:rPr>
            </w:pPr>
          </w:p>
        </w:tc>
        <w:tc>
          <w:tcPr>
            <w:tcW w:w="1137" w:type="dxa"/>
          </w:tcPr>
          <w:p w:rsidR="00C91295" w:rsidRPr="00526311" w:rsidRDefault="00C91295" w:rsidP="00F1387F">
            <w:pPr>
              <w:widowControl w:val="0"/>
              <w:autoSpaceDE w:val="0"/>
              <w:autoSpaceDN w:val="0"/>
              <w:adjustRightInd w:val="0"/>
              <w:spacing w:before="120" w:after="120"/>
              <w:rPr>
                <w:rFonts w:eastAsia="Calibri"/>
                <w:sz w:val="16"/>
                <w:szCs w:val="16"/>
              </w:rPr>
            </w:pPr>
            <w:r w:rsidRPr="00526311">
              <w:rPr>
                <w:rFonts w:eastAsia="Calibri"/>
                <w:sz w:val="16"/>
                <w:szCs w:val="16"/>
              </w:rPr>
              <w:t>De junio a diciembre de 2014</w:t>
            </w:r>
          </w:p>
          <w:p w:rsidR="00C91295" w:rsidRPr="00526311" w:rsidRDefault="00C91295" w:rsidP="00F1387F">
            <w:pPr>
              <w:widowControl w:val="0"/>
              <w:autoSpaceDE w:val="0"/>
              <w:autoSpaceDN w:val="0"/>
              <w:adjustRightInd w:val="0"/>
              <w:spacing w:before="120" w:after="120"/>
              <w:rPr>
                <w:rFonts w:eastAsia="Calibri"/>
                <w:sz w:val="16"/>
                <w:szCs w:val="16"/>
              </w:rPr>
            </w:pPr>
            <w:r w:rsidRPr="00526311">
              <w:rPr>
                <w:rFonts w:eastAsia="Calibri"/>
                <w:sz w:val="16"/>
                <w:szCs w:val="16"/>
              </w:rPr>
              <w:t>La fecha prevista de publicación es enero de 2015)</w:t>
            </w:r>
          </w:p>
        </w:tc>
        <w:tc>
          <w:tcPr>
            <w:tcW w:w="1844"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Todos</w:t>
            </w:r>
          </w:p>
        </w:tc>
        <w:tc>
          <w:tcPr>
            <w:tcW w:w="4678" w:type="dxa"/>
          </w:tcPr>
          <w:p w:rsidR="00C91295" w:rsidRPr="00526311" w:rsidRDefault="00C91295" w:rsidP="00F1387F">
            <w:pPr>
              <w:widowControl w:val="0"/>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Respaldar el uso por las pymes de la P.I. como garantía en la búsqueda de financiación e inversiones de capital de riesgo, incluyendo la valuación de la P.I. y las cuestiones impositivas conexas.</w:t>
            </w:r>
          </w:p>
        </w:tc>
      </w:tr>
      <w:tr w:rsidR="00C91295" w:rsidRPr="00526311" w:rsidTr="00F1387F">
        <w:trPr>
          <w:trHeight w:val="1043"/>
        </w:trPr>
        <w:tc>
          <w:tcPr>
            <w:tcW w:w="1844" w:type="dxa"/>
          </w:tcPr>
          <w:p w:rsidR="00C91295" w:rsidRPr="00526311" w:rsidRDefault="00C91295" w:rsidP="00F1387F">
            <w:pPr>
              <w:widowControl w:val="0"/>
              <w:rPr>
                <w:rFonts w:eastAsia="MS Mincho"/>
                <w:sz w:val="16"/>
                <w:szCs w:val="16"/>
                <w:lang w:eastAsia="ja-JP" w:bidi="th-TH"/>
              </w:rPr>
            </w:pPr>
            <w:r w:rsidRPr="00526311">
              <w:rPr>
                <w:rFonts w:eastAsia="Calibri"/>
                <w:sz w:val="16"/>
                <w:szCs w:val="16"/>
              </w:rPr>
              <w:t>Aprovechar la propiedad intelectual como activo comercial estratégico (gestión estratégica de la P.I.)</w:t>
            </w:r>
          </w:p>
        </w:tc>
        <w:tc>
          <w:tcPr>
            <w:tcW w:w="1137" w:type="dxa"/>
          </w:tcPr>
          <w:p w:rsidR="00C91295" w:rsidRPr="00526311" w:rsidRDefault="00C91295" w:rsidP="00F1387F">
            <w:pPr>
              <w:widowControl w:val="0"/>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(En curso)</w:t>
            </w:r>
          </w:p>
        </w:tc>
        <w:tc>
          <w:tcPr>
            <w:tcW w:w="1844"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Todos</w:t>
            </w:r>
          </w:p>
        </w:tc>
        <w:tc>
          <w:tcPr>
            <w:tcW w:w="4678" w:type="dxa"/>
          </w:tcPr>
          <w:p w:rsidR="00C91295" w:rsidRPr="00526311" w:rsidRDefault="00C91295" w:rsidP="00F1387F">
            <w:pPr>
              <w:widowControl w:val="0"/>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Dar a las pymes la posibilidad de aprovechar la P.I. mediante la gestión estratégica de los activos intangibles valiéndose de los derechos de P.I..</w:t>
            </w:r>
          </w:p>
        </w:tc>
      </w:tr>
    </w:tbl>
    <w:p w:rsidR="00C91295" w:rsidRPr="00526311" w:rsidRDefault="00C91295" w:rsidP="00F1387F">
      <w:pPr>
        <w:widowControl w:val="0"/>
        <w:rPr>
          <w:b/>
          <w:sz w:val="20"/>
        </w:rPr>
      </w:pPr>
    </w:p>
    <w:p w:rsidR="00C91295" w:rsidRPr="00526311" w:rsidRDefault="00C91295" w:rsidP="00F1387F">
      <w:pPr>
        <w:widowControl w:val="0"/>
        <w:rPr>
          <w:b/>
          <w:sz w:val="20"/>
        </w:rPr>
      </w:pPr>
    </w:p>
    <w:p w:rsidR="00C91295" w:rsidRPr="00526311" w:rsidRDefault="00C91295" w:rsidP="00F1387F">
      <w:pPr>
        <w:widowControl w:val="0"/>
        <w:rPr>
          <w:b/>
          <w:sz w:val="18"/>
          <w:szCs w:val="18"/>
        </w:rPr>
      </w:pPr>
      <w:r w:rsidRPr="00526311">
        <w:rPr>
          <w:b/>
          <w:sz w:val="20"/>
        </w:rPr>
        <w:t>ESTADOS UNIDOS DE AMÉRICA / PEQUEÑAS Y MEDIANAS EMPRESAS –</w:t>
      </w:r>
      <w:r w:rsidRPr="00526311">
        <w:rPr>
          <w:b/>
          <w:sz w:val="18"/>
          <w:szCs w:val="18"/>
        </w:rPr>
        <w:t xml:space="preserve"> </w:t>
      </w:r>
      <w:r w:rsidRPr="00526311">
        <w:rPr>
          <w:b/>
          <w:bCs/>
          <w:sz w:val="18"/>
          <w:szCs w:val="18"/>
        </w:rPr>
        <w:t>Contribuciones de donantes y gastos en 2014</w:t>
      </w:r>
    </w:p>
    <w:p w:rsidR="00C91295" w:rsidRPr="00526311" w:rsidRDefault="00C91295" w:rsidP="00F1387F">
      <w:pPr>
        <w:widowControl w:val="0"/>
        <w:rPr>
          <w:b/>
          <w:sz w:val="20"/>
        </w:rPr>
      </w:pPr>
    </w:p>
    <w:tbl>
      <w:tblPr>
        <w:tblW w:w="9087" w:type="dxa"/>
        <w:jc w:val="center"/>
        <w:tblInd w:w="93" w:type="dxa"/>
        <w:tblLook w:val="04A0" w:firstRow="1" w:lastRow="0" w:firstColumn="1" w:lastColumn="0" w:noHBand="0" w:noVBand="1"/>
      </w:tblPr>
      <w:tblGrid>
        <w:gridCol w:w="1780"/>
        <w:gridCol w:w="1779"/>
        <w:gridCol w:w="1701"/>
        <w:gridCol w:w="1843"/>
        <w:gridCol w:w="1984"/>
      </w:tblGrid>
      <w:tr w:rsidR="00C91295" w:rsidRPr="00526311" w:rsidTr="00F1387F">
        <w:trPr>
          <w:trHeight w:val="482"/>
          <w:jc w:val="center"/>
        </w:trPr>
        <w:tc>
          <w:tcPr>
            <w:tcW w:w="17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Balance a 31 de diciembre de 2013</w:t>
            </w:r>
          </w:p>
        </w:tc>
        <w:tc>
          <w:tcPr>
            <w:tcW w:w="1779"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Ingresos en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Gastos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Reembolsos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Balance a 31 de diciembre de 2014</w:t>
            </w:r>
          </w:p>
        </w:tc>
      </w:tr>
      <w:tr w:rsidR="00C91295" w:rsidRPr="00526311" w:rsidTr="00F1387F">
        <w:trPr>
          <w:trHeight w:val="56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92.731</w:t>
            </w:r>
          </w:p>
        </w:tc>
        <w:tc>
          <w:tcPr>
            <w:tcW w:w="1779"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8.588</w:t>
            </w:r>
          </w:p>
        </w:tc>
        <w:tc>
          <w:tcPr>
            <w:tcW w:w="1701"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3.515</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97.804</w:t>
            </w:r>
          </w:p>
        </w:tc>
      </w:tr>
    </w:tbl>
    <w:p w:rsidR="00C91295" w:rsidRPr="00526311" w:rsidRDefault="00C91295" w:rsidP="00F1387F">
      <w:pPr>
        <w:widowControl w:val="0"/>
        <w:rPr>
          <w:sz w:val="20"/>
        </w:rPr>
      </w:pPr>
    </w:p>
    <w:p w:rsidR="00C91295" w:rsidRPr="00526311" w:rsidRDefault="00C91295" w:rsidP="00F1387F">
      <w:pPr>
        <w:widowControl w:val="0"/>
        <w:ind w:left="2160" w:hanging="2160"/>
        <w:rPr>
          <w:sz w:val="20"/>
        </w:rPr>
      </w:pPr>
    </w:p>
    <w:p w:rsidR="009724D3" w:rsidRPr="00526311" w:rsidRDefault="009724D3" w:rsidP="00F1387F">
      <w:pPr>
        <w:widowControl w:val="0"/>
        <w:ind w:left="2160" w:hanging="2160"/>
        <w:rPr>
          <w:sz w:val="20"/>
        </w:rPr>
      </w:pPr>
    </w:p>
    <w:p w:rsidR="009724D3" w:rsidRPr="00526311" w:rsidRDefault="009724D3" w:rsidP="009724D3">
      <w:pPr>
        <w:pStyle w:val="Endofdocument-Annex"/>
        <w:rPr>
          <w:sz w:val="20"/>
          <w:lang w:val="es-ES"/>
        </w:rPr>
      </w:pPr>
      <w:r w:rsidRPr="00526311">
        <w:rPr>
          <w:sz w:val="20"/>
          <w:lang w:val="es-ES"/>
        </w:rPr>
        <w:t>[Sigue el Apéndice III]</w:t>
      </w:r>
    </w:p>
    <w:p w:rsidR="009379F4" w:rsidRPr="00526311" w:rsidRDefault="009379F4" w:rsidP="009724D3">
      <w:pPr>
        <w:pStyle w:val="Endofdocument-Annex"/>
        <w:rPr>
          <w:szCs w:val="28"/>
          <w:lang w:val="es-ES"/>
        </w:rPr>
      </w:pPr>
      <w:bookmarkStart w:id="98" w:name="_Toc422210522"/>
      <w:r w:rsidRPr="00526311">
        <w:rPr>
          <w:lang w:val="es-ES"/>
        </w:rPr>
        <w:br w:type="page"/>
      </w:r>
    </w:p>
    <w:p w:rsidR="00C91295" w:rsidRPr="00526311" w:rsidRDefault="00C91295" w:rsidP="009379F4">
      <w:pPr>
        <w:pStyle w:val="Heading2"/>
        <w:keepNext w:val="0"/>
        <w:tabs>
          <w:tab w:val="left" w:pos="2268"/>
        </w:tabs>
        <w:rPr>
          <w:b/>
          <w:bCs w:val="0"/>
          <w:szCs w:val="20"/>
        </w:rPr>
      </w:pPr>
      <w:bookmarkStart w:id="99" w:name="_Toc422927447"/>
      <w:r w:rsidRPr="00526311">
        <w:rPr>
          <w:b/>
        </w:rPr>
        <w:lastRenderedPageBreak/>
        <w:t>APÉNDICE III</w:t>
      </w:r>
      <w:r w:rsidR="009379F4" w:rsidRPr="00526311">
        <w:rPr>
          <w:b/>
        </w:rPr>
        <w:br/>
      </w:r>
      <w:r w:rsidR="009379F4" w:rsidRPr="00526311">
        <w:rPr>
          <w:b/>
        </w:rPr>
        <w:br/>
      </w:r>
      <w:r w:rsidRPr="00526311">
        <w:rPr>
          <w:b/>
        </w:rPr>
        <w:t>INFORME SOBRE LA MARCHA DEL Plan maestro de mejoras de infraestructura EN 2014</w:t>
      </w:r>
      <w:bookmarkEnd w:id="98"/>
      <w:bookmarkEnd w:id="99"/>
    </w:p>
    <w:p w:rsidR="00C91295" w:rsidRPr="00526311" w:rsidRDefault="00C91295" w:rsidP="00F1387F">
      <w:pPr>
        <w:autoSpaceDE w:val="0"/>
        <w:autoSpaceDN w:val="0"/>
        <w:jc w:val="both"/>
        <w:rPr>
          <w:bCs/>
          <w:sz w:val="20"/>
        </w:rPr>
      </w:pPr>
    </w:p>
    <w:p w:rsidR="00C91295" w:rsidRPr="00526311" w:rsidRDefault="00C91295" w:rsidP="00F1387F">
      <w:pPr>
        <w:autoSpaceDE w:val="0"/>
        <w:autoSpaceDN w:val="0"/>
        <w:jc w:val="both"/>
        <w:rPr>
          <w:bCs/>
          <w:sz w:val="20"/>
        </w:rPr>
      </w:pPr>
    </w:p>
    <w:p w:rsidR="00C91295" w:rsidRPr="00526311" w:rsidRDefault="00C91295" w:rsidP="00F1387F">
      <w:pPr>
        <w:rPr>
          <w:b/>
          <w:bCs/>
          <w:sz w:val="20"/>
        </w:rPr>
      </w:pPr>
      <w:r w:rsidRPr="00526311">
        <w:rPr>
          <w:b/>
          <w:bCs/>
          <w:sz w:val="20"/>
        </w:rPr>
        <w:t>I.</w:t>
      </w:r>
      <w:r w:rsidRPr="00526311">
        <w:rPr>
          <w:bCs/>
          <w:sz w:val="20"/>
        </w:rPr>
        <w:tab/>
      </w:r>
      <w:r w:rsidRPr="00526311">
        <w:rPr>
          <w:b/>
          <w:bCs/>
          <w:sz w:val="20"/>
        </w:rPr>
        <w:t>INTRODUCCIÓN</w:t>
      </w:r>
    </w:p>
    <w:p w:rsidR="00C91295" w:rsidRPr="00526311" w:rsidRDefault="00C91295" w:rsidP="00F1387F">
      <w:pPr>
        <w:pStyle w:val="ONUME"/>
        <w:numPr>
          <w:ilvl w:val="0"/>
          <w:numId w:val="0"/>
        </w:numPr>
        <w:spacing w:after="0"/>
        <w:rPr>
          <w:sz w:val="20"/>
        </w:rPr>
      </w:pPr>
    </w:p>
    <w:p w:rsidR="00C91295" w:rsidRPr="00526311" w:rsidRDefault="00C91295" w:rsidP="00C91295">
      <w:pPr>
        <w:pStyle w:val="ONUME"/>
        <w:numPr>
          <w:ilvl w:val="0"/>
          <w:numId w:val="110"/>
        </w:numPr>
        <w:ind w:left="0" w:hanging="11"/>
        <w:jc w:val="both"/>
        <w:rPr>
          <w:sz w:val="20"/>
        </w:rPr>
      </w:pPr>
      <w:r w:rsidRPr="00526311">
        <w:rPr>
          <w:sz w:val="20"/>
        </w:rPr>
        <w:t>En su 51ª serie de reuniones, celebrada en septiembre de 2013, las Asambleas de la OMPI suscribieron los principios que rigen la inclusión de proyectos en el Plan maestro de mejoras de infraestructura, y aprobaron la financiación de un importe total estimado de 11,2 millones de francos suizos, con cargo a las reservas disponibles, para siete proyectos (documento A/51/16</w:t>
      </w:r>
      <w:r w:rsidRPr="00526311">
        <w:rPr>
          <w:rStyle w:val="FootnoteReference"/>
          <w:sz w:val="20"/>
        </w:rPr>
        <w:footnoteReference w:id="73"/>
      </w:r>
      <w:r w:rsidRPr="00526311">
        <w:rPr>
          <w:sz w:val="20"/>
        </w:rPr>
        <w:t>).</w:t>
      </w:r>
    </w:p>
    <w:p w:rsidR="00C91295" w:rsidRPr="00526311" w:rsidRDefault="00C91295" w:rsidP="00C91295">
      <w:pPr>
        <w:pStyle w:val="ONUME"/>
        <w:numPr>
          <w:ilvl w:val="0"/>
          <w:numId w:val="110"/>
        </w:numPr>
        <w:ind w:left="0" w:firstLine="0"/>
        <w:jc w:val="both"/>
        <w:rPr>
          <w:sz w:val="20"/>
        </w:rPr>
      </w:pPr>
      <w:r w:rsidRPr="00526311">
        <w:rPr>
          <w:sz w:val="20"/>
        </w:rPr>
        <w:t>En al marco de las iniciativas encaminadas a agilizar la presentación de informes en la Organización, el Informe sobre la marcha del Plan maestro de mejoras de infraestructura en 2014 se anexa al documento PPR 2014.  Se trata del segundo informe sobre la marcha de dicho Plan presentado al PBC y ofrece a los Estados miembros un panorama de los progresos realizados, las etapas alcanzadas y la utilización de los recursos durante el período de enero a diciembre de 2014, en el marco de los proyectos siguientes:</w:t>
      </w:r>
    </w:p>
    <w:p w:rsidR="00C91295" w:rsidRPr="00526311" w:rsidRDefault="00C91295" w:rsidP="00C91295">
      <w:pPr>
        <w:pStyle w:val="ONUME"/>
        <w:numPr>
          <w:ilvl w:val="1"/>
          <w:numId w:val="97"/>
        </w:numPr>
        <w:rPr>
          <w:sz w:val="20"/>
          <w:u w:val="single"/>
        </w:rPr>
      </w:pPr>
      <w:r w:rsidRPr="00526311">
        <w:rPr>
          <w:sz w:val="20"/>
          <w:u w:val="single"/>
        </w:rPr>
        <w:t>Proyectos relacionados con las TIC</w:t>
      </w:r>
    </w:p>
    <w:p w:rsidR="00C91295" w:rsidRPr="00526311" w:rsidRDefault="00C91295" w:rsidP="00C91295">
      <w:pPr>
        <w:pStyle w:val="ONUME"/>
        <w:numPr>
          <w:ilvl w:val="2"/>
          <w:numId w:val="97"/>
        </w:numPr>
        <w:tabs>
          <w:tab w:val="clear" w:pos="1701"/>
        </w:tabs>
        <w:rPr>
          <w:sz w:val="20"/>
        </w:rPr>
      </w:pPr>
      <w:r w:rsidRPr="00526311">
        <w:rPr>
          <w:sz w:val="20"/>
        </w:rPr>
        <w:t>Mejora de la seguridad:  cifrado de datos y gestión de usuarios</w:t>
      </w:r>
      <w:r w:rsidR="005D293E" w:rsidRPr="00526311">
        <w:rPr>
          <w:sz w:val="20"/>
        </w:rPr>
        <w:t xml:space="preserve"> (PMM 1)</w:t>
      </w:r>
    </w:p>
    <w:p w:rsidR="00C91295" w:rsidRPr="00526311" w:rsidRDefault="00C91295" w:rsidP="00C91295">
      <w:pPr>
        <w:pStyle w:val="ONUME"/>
        <w:numPr>
          <w:ilvl w:val="2"/>
          <w:numId w:val="97"/>
        </w:numPr>
        <w:tabs>
          <w:tab w:val="clear" w:pos="1701"/>
        </w:tabs>
        <w:rPr>
          <w:sz w:val="20"/>
        </w:rPr>
      </w:pPr>
      <w:r w:rsidRPr="00526311">
        <w:rPr>
          <w:sz w:val="20"/>
        </w:rPr>
        <w:t>Aplicación de la gestión de contenidos institucionales</w:t>
      </w:r>
      <w:r w:rsidR="005D293E" w:rsidRPr="00526311">
        <w:rPr>
          <w:sz w:val="20"/>
        </w:rPr>
        <w:t xml:space="preserve"> (PMM 2)</w:t>
      </w:r>
    </w:p>
    <w:p w:rsidR="00C91295" w:rsidRPr="00526311" w:rsidRDefault="00C91295" w:rsidP="00C91295">
      <w:pPr>
        <w:pStyle w:val="ONUME"/>
        <w:numPr>
          <w:ilvl w:val="1"/>
          <w:numId w:val="97"/>
        </w:numPr>
        <w:rPr>
          <w:sz w:val="20"/>
          <w:u w:val="single"/>
        </w:rPr>
      </w:pPr>
      <w:r w:rsidRPr="00526311">
        <w:rPr>
          <w:sz w:val="20"/>
          <w:u w:val="single"/>
        </w:rPr>
        <w:t>Proyectos relacionados con los edificios</w:t>
      </w:r>
    </w:p>
    <w:p w:rsidR="00C91295" w:rsidRPr="00526311" w:rsidRDefault="00C91295" w:rsidP="00C91295">
      <w:pPr>
        <w:pStyle w:val="ONUME"/>
        <w:numPr>
          <w:ilvl w:val="2"/>
          <w:numId w:val="98"/>
        </w:numPr>
        <w:tabs>
          <w:tab w:val="clear" w:pos="1701"/>
        </w:tabs>
        <w:ind w:left="1710" w:hanging="576"/>
        <w:rPr>
          <w:sz w:val="20"/>
        </w:rPr>
      </w:pPr>
      <w:r w:rsidRPr="00526311">
        <w:rPr>
          <w:sz w:val="20"/>
        </w:rPr>
        <w:t>Renovación de las fachadas e instalación de refrigeración/calefacción en el edificio PCT</w:t>
      </w:r>
      <w:r w:rsidR="005D293E" w:rsidRPr="00526311">
        <w:rPr>
          <w:sz w:val="20"/>
        </w:rPr>
        <w:t xml:space="preserve"> (PMM 3)</w:t>
      </w:r>
    </w:p>
    <w:p w:rsidR="00C91295" w:rsidRPr="00526311" w:rsidRDefault="00C91295" w:rsidP="00C91295">
      <w:pPr>
        <w:pStyle w:val="ONUME"/>
        <w:numPr>
          <w:ilvl w:val="2"/>
          <w:numId w:val="97"/>
        </w:numPr>
        <w:tabs>
          <w:tab w:val="clear" w:pos="1701"/>
        </w:tabs>
        <w:ind w:left="1710" w:hanging="576"/>
        <w:rPr>
          <w:sz w:val="20"/>
        </w:rPr>
      </w:pPr>
      <w:r w:rsidRPr="00526311">
        <w:rPr>
          <w:sz w:val="20"/>
        </w:rPr>
        <w:t>Instalación en los edificios AB y PCT de un sistema de refrigeración que utiliza el agua del lago de Ginebra (“GLN”)</w:t>
      </w:r>
      <w:r w:rsidR="005D293E" w:rsidRPr="00526311">
        <w:rPr>
          <w:sz w:val="20"/>
        </w:rPr>
        <w:t xml:space="preserve"> (PMM 4)</w:t>
      </w:r>
    </w:p>
    <w:p w:rsidR="00C91295" w:rsidRPr="00526311" w:rsidRDefault="00C91295" w:rsidP="00C91295">
      <w:pPr>
        <w:pStyle w:val="ONUME"/>
        <w:numPr>
          <w:ilvl w:val="2"/>
          <w:numId w:val="97"/>
        </w:numPr>
        <w:tabs>
          <w:tab w:val="clear" w:pos="1701"/>
        </w:tabs>
        <w:ind w:left="1701" w:hanging="567"/>
        <w:rPr>
          <w:sz w:val="20"/>
        </w:rPr>
      </w:pPr>
      <w:r w:rsidRPr="00526311">
        <w:rPr>
          <w:sz w:val="20"/>
        </w:rPr>
        <w:t>Edificio Arpad Bogsch – fase 1 de la renovación del subsuelo (adaptación de las dimensiones del centro de datos y renovación de la imprenta)</w:t>
      </w:r>
      <w:r w:rsidR="005D293E" w:rsidRPr="00526311">
        <w:rPr>
          <w:sz w:val="20"/>
        </w:rPr>
        <w:t xml:space="preserve"> (PMM 5)</w:t>
      </w:r>
    </w:p>
    <w:p w:rsidR="00C91295" w:rsidRPr="00526311" w:rsidRDefault="00C91295" w:rsidP="00C91295">
      <w:pPr>
        <w:pStyle w:val="ONUME"/>
        <w:numPr>
          <w:ilvl w:val="2"/>
          <w:numId w:val="97"/>
        </w:numPr>
        <w:tabs>
          <w:tab w:val="clear" w:pos="1701"/>
        </w:tabs>
        <w:rPr>
          <w:sz w:val="20"/>
        </w:rPr>
      </w:pPr>
      <w:r w:rsidRPr="00526311">
        <w:rPr>
          <w:sz w:val="20"/>
        </w:rPr>
        <w:t>Edificio Arpad Bogsch – sustitución de</w:t>
      </w:r>
      <w:r w:rsidR="005D293E" w:rsidRPr="00526311">
        <w:rPr>
          <w:sz w:val="20"/>
        </w:rPr>
        <w:t xml:space="preserve"> determinadas</w:t>
      </w:r>
      <w:r w:rsidRPr="00526311">
        <w:rPr>
          <w:sz w:val="20"/>
        </w:rPr>
        <w:t xml:space="preserve"> ventanas</w:t>
      </w:r>
      <w:r w:rsidR="005D293E" w:rsidRPr="00526311">
        <w:rPr>
          <w:sz w:val="20"/>
        </w:rPr>
        <w:t xml:space="preserve"> (PMM 6)</w:t>
      </w:r>
    </w:p>
    <w:p w:rsidR="00C91295" w:rsidRPr="00526311" w:rsidRDefault="00C91295" w:rsidP="00C91295">
      <w:pPr>
        <w:pStyle w:val="ONUME"/>
        <w:numPr>
          <w:ilvl w:val="1"/>
          <w:numId w:val="97"/>
        </w:numPr>
        <w:rPr>
          <w:sz w:val="20"/>
          <w:u w:val="single"/>
        </w:rPr>
      </w:pPr>
      <w:r w:rsidRPr="00526311">
        <w:rPr>
          <w:sz w:val="20"/>
          <w:u w:val="single"/>
        </w:rPr>
        <w:t>Proyectos relacionados con la seguridad y la vigilancia</w:t>
      </w:r>
    </w:p>
    <w:p w:rsidR="00C91295" w:rsidRPr="00526311" w:rsidRDefault="00C91295" w:rsidP="00C91295">
      <w:pPr>
        <w:pStyle w:val="ONUME"/>
        <w:numPr>
          <w:ilvl w:val="2"/>
          <w:numId w:val="99"/>
        </w:numPr>
        <w:rPr>
          <w:sz w:val="20"/>
        </w:rPr>
      </w:pPr>
      <w:r w:rsidRPr="00526311">
        <w:rPr>
          <w:sz w:val="20"/>
        </w:rPr>
        <w:t>Medidas de seguridad y protección contra incendios</w:t>
      </w:r>
      <w:r w:rsidR="005D293E" w:rsidRPr="00526311">
        <w:rPr>
          <w:sz w:val="20"/>
        </w:rPr>
        <w:t xml:space="preserve"> (PMM 7)</w:t>
      </w:r>
    </w:p>
    <w:p w:rsidR="00C91295" w:rsidRPr="00526311" w:rsidRDefault="00C91295" w:rsidP="00F1387F">
      <w:pPr>
        <w:rPr>
          <w:b/>
          <w:bCs/>
          <w:sz w:val="20"/>
        </w:rPr>
      </w:pPr>
    </w:p>
    <w:p w:rsidR="00C91295" w:rsidRPr="00526311" w:rsidRDefault="00C91295" w:rsidP="00F1387F">
      <w:pPr>
        <w:rPr>
          <w:b/>
          <w:bCs/>
          <w:sz w:val="20"/>
        </w:rPr>
      </w:pPr>
      <w:r w:rsidRPr="00526311">
        <w:rPr>
          <w:b/>
          <w:bCs/>
          <w:sz w:val="20"/>
        </w:rPr>
        <w:t>II.</w:t>
      </w:r>
      <w:r w:rsidRPr="00526311">
        <w:rPr>
          <w:b/>
          <w:bCs/>
          <w:sz w:val="20"/>
        </w:rPr>
        <w:tab/>
        <w:t>ESTRUCTURA DE GOBERNANZA APROBADA</w:t>
      </w:r>
    </w:p>
    <w:p w:rsidR="00C91295" w:rsidRPr="00526311" w:rsidRDefault="00C91295" w:rsidP="00F1387F">
      <w:pPr>
        <w:rPr>
          <w:sz w:val="20"/>
        </w:rPr>
      </w:pPr>
    </w:p>
    <w:p w:rsidR="00C91295" w:rsidRPr="00526311" w:rsidRDefault="00C91295" w:rsidP="00C91295">
      <w:pPr>
        <w:pStyle w:val="ONUME"/>
        <w:numPr>
          <w:ilvl w:val="0"/>
          <w:numId w:val="110"/>
        </w:numPr>
        <w:ind w:left="0" w:firstLine="0"/>
        <w:jc w:val="both"/>
        <w:rPr>
          <w:sz w:val="20"/>
        </w:rPr>
      </w:pPr>
      <w:r w:rsidRPr="00526311">
        <w:rPr>
          <w:sz w:val="20"/>
        </w:rPr>
        <w:t>En sintonía con las mejores prácticas en materia de gestión de proyectos, se aplicó en 2014 un marco de gobernanza para el Plan maestro de mejoras de infraestructura con el fin de:  i) definir las estructuras y procesos de gestión y supervisión de las actividades de los proyectos encaminadas al logro de sus objetivos, y ii) velar por que se establezcan y se comuniquen claramente las responsabilidades y la rendición de cuenta.</w:t>
      </w:r>
    </w:p>
    <w:p w:rsidR="00C91295" w:rsidRPr="00526311" w:rsidRDefault="00C91295" w:rsidP="00C91295">
      <w:pPr>
        <w:pStyle w:val="ONUME"/>
        <w:numPr>
          <w:ilvl w:val="0"/>
          <w:numId w:val="110"/>
        </w:numPr>
        <w:ind w:left="0" w:firstLine="0"/>
        <w:jc w:val="both"/>
        <w:rPr>
          <w:sz w:val="20"/>
        </w:rPr>
      </w:pPr>
      <w:r w:rsidRPr="00526311">
        <w:rPr>
          <w:sz w:val="20"/>
        </w:rPr>
        <w:t>El PBC, en su vigesimosegunda sesión, celebrada en septiembre de 2014, tomó nota de la estructura de gobernanza establecida para gestionar, supervisar y presentar informes sobre la ejecución de la cartera de proyectos del Plan maestro de mejoras de infraestructura (documento WO/PBC/22/21</w:t>
      </w:r>
      <w:r w:rsidRPr="00526311">
        <w:rPr>
          <w:rStyle w:val="FootnoteReference"/>
          <w:sz w:val="20"/>
        </w:rPr>
        <w:footnoteReference w:id="74"/>
      </w:r>
      <w:r w:rsidRPr="00526311">
        <w:rPr>
          <w:sz w:val="20"/>
        </w:rPr>
        <w:t>).</w:t>
      </w:r>
    </w:p>
    <w:p w:rsidR="00C91295" w:rsidRPr="00526311" w:rsidRDefault="00C91295" w:rsidP="00F1387F">
      <w:pPr>
        <w:rPr>
          <w:sz w:val="20"/>
        </w:rPr>
      </w:pPr>
      <w:r w:rsidRPr="00526311">
        <w:rPr>
          <w:sz w:val="20"/>
        </w:rPr>
        <w:br w:type="page"/>
      </w:r>
    </w:p>
    <w:p w:rsidR="00C91295" w:rsidRPr="00526311" w:rsidRDefault="00C91295" w:rsidP="00F1387F">
      <w:pPr>
        <w:rPr>
          <w:b/>
        </w:rPr>
      </w:pPr>
      <w:r w:rsidRPr="00526311">
        <w:rPr>
          <w:b/>
        </w:rPr>
        <w:lastRenderedPageBreak/>
        <w:t>PROYECTOS RELACIONADOS CON LAS TIC</w:t>
      </w:r>
    </w:p>
    <w:p w:rsidR="00C91295" w:rsidRPr="00526311" w:rsidRDefault="00C91295" w:rsidP="00F1387F">
      <w:pPr>
        <w:pStyle w:val="StyleHeading3BoldNounderline"/>
        <w:rPr>
          <w:b/>
          <w:lang w:val="es-ES"/>
        </w:rPr>
      </w:pPr>
      <w:bookmarkStart w:id="100" w:name="_Toc422927448"/>
      <w:r w:rsidRPr="00526311">
        <w:rPr>
          <w:b/>
          <w:lang w:val="es-ES"/>
        </w:rPr>
        <w:t>PROYECTO:</w:t>
      </w:r>
      <w:r w:rsidRPr="00526311">
        <w:rPr>
          <w:i w:val="0"/>
          <w:lang w:val="es-ES"/>
        </w:rPr>
        <w:t xml:space="preserve">  </w:t>
      </w:r>
      <w:r w:rsidRPr="00526311">
        <w:rPr>
          <w:b/>
          <w:lang w:val="es-ES"/>
        </w:rPr>
        <w:t>MEJORA DE LA SEGURIDAD:  CIFRADO DE DATOS Y GESTIÓN DE USUARIOS</w:t>
      </w:r>
      <w:r w:rsidR="007D4926">
        <w:rPr>
          <w:b/>
          <w:lang w:val="es-ES"/>
        </w:rPr>
        <w:t xml:space="preserve"> (PMM 1)</w:t>
      </w:r>
      <w:bookmarkEnd w:id="100"/>
    </w:p>
    <w:p w:rsidR="00C91295" w:rsidRPr="00526311" w:rsidRDefault="00C91295" w:rsidP="00F1387F">
      <w:pPr>
        <w:rPr>
          <w:sz w:val="20"/>
        </w:rPr>
      </w:pPr>
    </w:p>
    <w:p w:rsidR="00C91295" w:rsidRPr="00526311" w:rsidRDefault="00C91295" w:rsidP="00F1387F">
      <w:pPr>
        <w:rPr>
          <w:b/>
          <w:sz w:val="20"/>
        </w:rPr>
      </w:pPr>
      <w:r w:rsidRPr="00526311">
        <w:rPr>
          <w:b/>
          <w:sz w:val="20"/>
        </w:rPr>
        <w:t>Director de proyecto:</w:t>
      </w:r>
      <w:r w:rsidRPr="00526311">
        <w:rPr>
          <w:b/>
          <w:sz w:val="20"/>
        </w:rPr>
        <w:tab/>
        <w:t xml:space="preserve">Sr. R. </w:t>
      </w:r>
      <w:r w:rsidR="00345563" w:rsidRPr="00526311">
        <w:rPr>
          <w:b/>
          <w:sz w:val="20"/>
        </w:rPr>
        <w:t>Lane</w:t>
      </w:r>
    </w:p>
    <w:p w:rsidR="00C91295" w:rsidRPr="00526311" w:rsidRDefault="00C91295" w:rsidP="00F1387F">
      <w:pPr>
        <w:rPr>
          <w:sz w:val="20"/>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t>RESULTADO PREVISTO</w:t>
      </w:r>
    </w:p>
    <w:p w:rsidR="00C91295" w:rsidRPr="00526311" w:rsidRDefault="00C91295" w:rsidP="00F1387F">
      <w:pPr>
        <w:rPr>
          <w:bCs/>
          <w:sz w:val="20"/>
        </w:rPr>
      </w:pPr>
    </w:p>
    <w:p w:rsidR="00C91295" w:rsidRPr="00526311" w:rsidRDefault="00C91295" w:rsidP="00F1387F">
      <w:pPr>
        <w:jc w:val="both"/>
        <w:rPr>
          <w:i/>
          <w:iCs/>
          <w:sz w:val="20"/>
        </w:rPr>
      </w:pPr>
      <w:r w:rsidRPr="00526311">
        <w:rPr>
          <w:i/>
          <w:iCs/>
          <w:sz w:val="20"/>
        </w:rPr>
        <w:t>IX.1  Servicios de apoyo eficaces, eficientes, de calidad y orientados al cliente, tanto a los clientes internos como a las partes interesadas externas</w:t>
      </w:r>
    </w:p>
    <w:p w:rsidR="00C91295" w:rsidRPr="00526311" w:rsidRDefault="00C91295" w:rsidP="00F1387F">
      <w:pPr>
        <w:jc w:val="both"/>
        <w:rPr>
          <w:i/>
          <w:iCs/>
          <w:sz w:val="20"/>
        </w:rPr>
      </w:pPr>
    </w:p>
    <w:p w:rsidR="00C91295" w:rsidRPr="00526311" w:rsidRDefault="00C91295" w:rsidP="00C91295">
      <w:pPr>
        <w:pStyle w:val="ONUME"/>
        <w:numPr>
          <w:ilvl w:val="0"/>
          <w:numId w:val="111"/>
        </w:numPr>
        <w:tabs>
          <w:tab w:val="left" w:pos="567"/>
        </w:tabs>
        <w:ind w:left="0" w:firstLine="0"/>
        <w:jc w:val="both"/>
        <w:rPr>
          <w:iCs/>
          <w:sz w:val="20"/>
        </w:rPr>
      </w:pPr>
      <w:r w:rsidRPr="00526311">
        <w:rPr>
          <w:iCs/>
          <w:sz w:val="20"/>
        </w:rPr>
        <w:t>Aplicar el cifrado de datos y la gestión de usuarios mejorará la capacidad de la OMPI de hacer frente al creciente número de amenazas en materia de seguridad de la información, permitiendo al mismo tiempo, por una parte, tomar en consideración más opciones costoeficaces de selección de proveedores y, por la otra, administrar de forma integrada un número cada vez mayor de derechos de acceso de los usuarios.</w:t>
      </w:r>
    </w:p>
    <w:p w:rsidR="00C91295" w:rsidRPr="00526311" w:rsidRDefault="00C91295" w:rsidP="00F1387F">
      <w:pPr>
        <w:rPr>
          <w:bCs/>
          <w:sz w:val="20"/>
        </w:rPr>
      </w:pPr>
    </w:p>
    <w:p w:rsidR="00C91295" w:rsidRPr="00526311" w:rsidRDefault="00C91295" w:rsidP="00F1387F">
      <w:pPr>
        <w:rPr>
          <w:bCs/>
          <w:sz w:val="20"/>
        </w:rPr>
      </w:pPr>
      <w:r w:rsidRPr="00526311">
        <w:rPr>
          <w:bCs/>
          <w:sz w:val="20"/>
        </w:rPr>
        <w:t>OBJETIVOS, ALCANCE Y ENFOQUE:  ANTECEDENTES</w:t>
      </w:r>
    </w:p>
    <w:p w:rsidR="00C91295" w:rsidRPr="00526311" w:rsidRDefault="00C91295" w:rsidP="00F1387F">
      <w:pPr>
        <w:rPr>
          <w:bCs/>
          <w:sz w:val="20"/>
        </w:rPr>
      </w:pPr>
    </w:p>
    <w:p w:rsidR="00C91295" w:rsidRPr="00526311" w:rsidRDefault="00C91295" w:rsidP="00C91295">
      <w:pPr>
        <w:pStyle w:val="ONUME"/>
        <w:numPr>
          <w:ilvl w:val="0"/>
          <w:numId w:val="111"/>
        </w:numPr>
        <w:tabs>
          <w:tab w:val="left" w:pos="567"/>
        </w:tabs>
        <w:ind w:left="0" w:firstLine="0"/>
        <w:jc w:val="both"/>
        <w:rPr>
          <w:sz w:val="20"/>
        </w:rPr>
      </w:pPr>
      <w:r w:rsidRPr="00526311">
        <w:rPr>
          <w:sz w:val="20"/>
        </w:rPr>
        <w:t>Este proyecto tiene tres objetivos principales:  proteger los datos fundamentales, presentar opciones más costoeficaces de selección de proveedores y administrar de forma global los derechos de acceso de los usuarios.</w:t>
      </w:r>
    </w:p>
    <w:p w:rsidR="00C91295" w:rsidRPr="00526311" w:rsidRDefault="00C91295" w:rsidP="00C91295">
      <w:pPr>
        <w:pStyle w:val="ONUME"/>
        <w:numPr>
          <w:ilvl w:val="0"/>
          <w:numId w:val="111"/>
        </w:numPr>
        <w:tabs>
          <w:tab w:val="left" w:pos="567"/>
        </w:tabs>
        <w:ind w:left="0" w:firstLine="0"/>
        <w:jc w:val="both"/>
        <w:rPr>
          <w:sz w:val="20"/>
        </w:rPr>
      </w:pPr>
      <w:r w:rsidRPr="00526311">
        <w:rPr>
          <w:bCs/>
          <w:sz w:val="20"/>
        </w:rPr>
        <w:t>La OMPI ya ha adoptado variados enfoques para proteger la información confidencial;  entre éstos cabe señalar mecanismos tradicionales de protección perimetral, un sistema de gestión de la información y los sucesos en materia de seguridad, la detección y prevención de intrusiones, etcétera.  Sin embargo, en respuesta a amenazas cada vez más complejas a la seguridad, las mejores prácticas en materia de seguridad de la información también hacen hincapié actualmente en la protección directa de las fuentes.</w:t>
      </w:r>
    </w:p>
    <w:p w:rsidR="00C91295" w:rsidRPr="00526311" w:rsidRDefault="00C91295" w:rsidP="00C91295">
      <w:pPr>
        <w:pStyle w:val="ONUME"/>
        <w:numPr>
          <w:ilvl w:val="0"/>
          <w:numId w:val="111"/>
        </w:numPr>
        <w:tabs>
          <w:tab w:val="left" w:pos="567"/>
        </w:tabs>
        <w:ind w:left="0" w:firstLine="0"/>
        <w:jc w:val="both"/>
        <w:rPr>
          <w:sz w:val="20"/>
        </w:rPr>
      </w:pPr>
      <w:r w:rsidRPr="00526311">
        <w:rPr>
          <w:bCs/>
          <w:sz w:val="20"/>
        </w:rPr>
        <w:t>Además, hoy en día, disponer de opciones costoeficaces de selección de proveedores es una necesidad en el ámbito de la gestión de las tecnologías de la información, en el que se espera poder, por una parte, contar con competencias diversificadas y ágiles y, por la otra, con la posibilidad de movilizar rápidamente al personal para responder a las cambiantes prioridades de trabajo. Sin embargo, el aumento de las opciones de selección de proveedores también expone a un mayor riesgo la seguridad de la información.</w:t>
      </w:r>
    </w:p>
    <w:p w:rsidR="00C91295" w:rsidRPr="00526311" w:rsidRDefault="00C91295" w:rsidP="00C91295">
      <w:pPr>
        <w:pStyle w:val="ONUME"/>
        <w:numPr>
          <w:ilvl w:val="0"/>
          <w:numId w:val="111"/>
        </w:numPr>
        <w:tabs>
          <w:tab w:val="left" w:pos="567"/>
        </w:tabs>
        <w:ind w:left="0" w:firstLine="0"/>
        <w:jc w:val="both"/>
        <w:rPr>
          <w:bCs/>
          <w:sz w:val="20"/>
        </w:rPr>
      </w:pPr>
      <w:r w:rsidRPr="00526311">
        <w:rPr>
          <w:bCs/>
          <w:sz w:val="20"/>
        </w:rPr>
        <w:t>Las tecnologías de cifrado de datos institucionales pueden brindar soluciones eficaces a esos dos desafíos. Esas soluciones complementan otras medidas de seguridad de la información mediante el cifrado de la fuente de los datos.  También permiten mayor flexibilidad para elegir prestadores de servicios costoeficaces, por mantener el cifrado bajo estricto control, permitiendo al mismo tiempo a los prestadores de servicios realizar sus funciones de apoyo.</w:t>
      </w:r>
    </w:p>
    <w:p w:rsidR="00C91295" w:rsidRPr="00526311" w:rsidRDefault="00C91295" w:rsidP="00C91295">
      <w:pPr>
        <w:pStyle w:val="ONUME"/>
        <w:numPr>
          <w:ilvl w:val="0"/>
          <w:numId w:val="111"/>
        </w:numPr>
        <w:tabs>
          <w:tab w:val="left" w:pos="567"/>
        </w:tabs>
        <w:ind w:left="0" w:firstLine="0"/>
        <w:jc w:val="both"/>
        <w:rPr>
          <w:bCs/>
          <w:sz w:val="20"/>
        </w:rPr>
      </w:pPr>
      <w:r w:rsidRPr="00526311">
        <w:rPr>
          <w:bCs/>
          <w:sz w:val="20"/>
        </w:rPr>
        <w:t xml:space="preserve">La eficacia en la gestión de los derechos de acceso es otro complemento de las inversiones en mecanismos de cifrado de datos institucionales.  Tradicionalmente, la gestión de los derechos de acceso ha girado en torno a los sistemas;  es decir que, en un determinado sistema, debe resultar claro quién tiene acceso a qué.  Ese mecanismo puede ser eficaz cuando el número de usuarios y de aplicaciones informáticas es relativamente pequeño. </w:t>
      </w:r>
    </w:p>
    <w:p w:rsidR="00C91295" w:rsidRPr="00526311" w:rsidRDefault="00C91295" w:rsidP="00C91295">
      <w:pPr>
        <w:pStyle w:val="ONUME"/>
        <w:numPr>
          <w:ilvl w:val="0"/>
          <w:numId w:val="111"/>
        </w:numPr>
        <w:tabs>
          <w:tab w:val="left" w:pos="567"/>
        </w:tabs>
        <w:ind w:left="0" w:firstLine="0"/>
        <w:jc w:val="both"/>
        <w:rPr>
          <w:iCs/>
          <w:sz w:val="20"/>
        </w:rPr>
      </w:pPr>
      <w:r w:rsidRPr="00526311">
        <w:rPr>
          <w:iCs/>
          <w:sz w:val="20"/>
        </w:rPr>
        <w:t>Sin embargo, en la medida en que la OMPI siga ampliando sus servicios en línea, se prevé que el número de usuarios aumentará constantemente en los próximos años.  Es necesario invertir en mecanismos que centren los derechos de acceso en los usuarios.  Es decir, debe ser claro qué derechos de acceso tiene un determinado usuario en todo el espectro de sistemas.</w:t>
      </w:r>
    </w:p>
    <w:p w:rsidR="00C91295" w:rsidRPr="00526311" w:rsidRDefault="00C91295" w:rsidP="00C91295">
      <w:pPr>
        <w:pStyle w:val="ONUME"/>
        <w:numPr>
          <w:ilvl w:val="0"/>
          <w:numId w:val="111"/>
        </w:numPr>
        <w:ind w:left="0" w:firstLine="0"/>
        <w:jc w:val="both"/>
        <w:rPr>
          <w:iCs/>
          <w:sz w:val="20"/>
        </w:rPr>
      </w:pPr>
      <w:r w:rsidRPr="00526311">
        <w:rPr>
          <w:iCs/>
          <w:sz w:val="20"/>
        </w:rPr>
        <w:t>En el futuro, es posible que las tecnologías estén en mejores condiciones de administrar los derechos de acceso según las funciones de los usuarios en sistemas complejos, por ejemplo, el de PRI, y entre esos sistemas.  Actualmente, es difícil pronosticar cómo y hacía dónde evolucionarán esas tecnologías.  Por lo tanto, ello no forma parte del alcance de este proyecto.</w:t>
      </w:r>
    </w:p>
    <w:p w:rsidR="00C91295" w:rsidRPr="00526311" w:rsidRDefault="00C91295" w:rsidP="00F1387F">
      <w:pPr>
        <w:rPr>
          <w:bCs/>
          <w:sz w:val="20"/>
        </w:rPr>
      </w:pPr>
    </w:p>
    <w:p w:rsidR="00C91295" w:rsidRPr="00526311" w:rsidRDefault="00C91295" w:rsidP="00F1387F">
      <w:pPr>
        <w:rPr>
          <w:bCs/>
          <w:sz w:val="20"/>
        </w:rPr>
      </w:pPr>
      <w:r w:rsidRPr="00526311">
        <w:rPr>
          <w:bCs/>
          <w:sz w:val="20"/>
        </w:rPr>
        <w:lastRenderedPageBreak/>
        <w:t>RESEÑA DE LOS AVANCES LOGRADOS EN 2014 (ETAPAS FUNDAMENTALES)</w:t>
      </w:r>
    </w:p>
    <w:p w:rsidR="00C91295" w:rsidRPr="00526311" w:rsidRDefault="00C91295" w:rsidP="00F1387F">
      <w:pPr>
        <w:rPr>
          <w:bCs/>
          <w:sz w:val="20"/>
        </w:rPr>
      </w:pPr>
    </w:p>
    <w:p w:rsidR="00C91295" w:rsidRPr="00526311" w:rsidRDefault="00C91295" w:rsidP="00C91295">
      <w:pPr>
        <w:pStyle w:val="ONUME"/>
        <w:numPr>
          <w:ilvl w:val="0"/>
          <w:numId w:val="111"/>
        </w:numPr>
        <w:tabs>
          <w:tab w:val="left" w:pos="567"/>
        </w:tabs>
        <w:ind w:left="0" w:firstLine="0"/>
        <w:jc w:val="both"/>
        <w:rPr>
          <w:bCs/>
          <w:sz w:val="20"/>
        </w:rPr>
      </w:pPr>
      <w:r w:rsidRPr="00526311">
        <w:rPr>
          <w:iCs/>
          <w:sz w:val="20"/>
        </w:rPr>
        <w:t>Este proyecto fue puesto en suspenso en </w:t>
      </w:r>
      <w:r w:rsidRPr="00526311">
        <w:rPr>
          <w:bCs/>
          <w:sz w:val="20"/>
        </w:rPr>
        <w:t>2014 debido al inicio de la ejecución del proyecto de TI de segregación de plataformas y capacidad de reacción y recuperación (ITSR, por sus siglas en inglés), que incide significativamente en los requisitos de funcionamiento en lo que atañe tanto al cifrado de datos institucionales como a la gestión de usuarios, al igual que en la selección/aplicación de las soluciones que esos mecanismos requieren.</w:t>
      </w:r>
    </w:p>
    <w:p w:rsidR="00C91295" w:rsidRPr="00526311" w:rsidRDefault="00C91295" w:rsidP="00F1387F">
      <w:pPr>
        <w:jc w:val="both"/>
        <w:rPr>
          <w:bCs/>
          <w:sz w:val="20"/>
        </w:rPr>
      </w:pPr>
    </w:p>
    <w:p w:rsidR="00C91295" w:rsidRPr="00526311" w:rsidRDefault="00C91295" w:rsidP="00F1387F">
      <w:pPr>
        <w:rPr>
          <w:sz w:val="20"/>
        </w:rPr>
      </w:pPr>
      <w:r w:rsidRPr="00526311">
        <w:rPr>
          <w:sz w:val="20"/>
        </w:rPr>
        <w:t>UTILIZACIÓN DE LOS RECURSOS</w:t>
      </w:r>
    </w:p>
    <w:p w:rsidR="00C91295" w:rsidRPr="00526311" w:rsidRDefault="00C91295" w:rsidP="00F1387F">
      <w:pPr>
        <w:rPr>
          <w:sz w:val="20"/>
        </w:rPr>
      </w:pPr>
    </w:p>
    <w:p w:rsidR="00C91295" w:rsidRPr="00526311" w:rsidRDefault="00C91295" w:rsidP="00F1387F">
      <w:pPr>
        <w:tabs>
          <w:tab w:val="left" w:pos="3261"/>
        </w:tabs>
        <w:autoSpaceDE w:val="0"/>
        <w:autoSpaceDN w:val="0"/>
        <w:adjustRightInd w:val="0"/>
        <w:jc w:val="center"/>
        <w:rPr>
          <w:b/>
          <w:sz w:val="20"/>
        </w:rPr>
      </w:pPr>
      <w:r w:rsidRPr="00526311">
        <w:rPr>
          <w:b/>
          <w:sz w:val="20"/>
        </w:rPr>
        <w:t>Utilización del presupuesto del proyecto</w:t>
      </w:r>
    </w:p>
    <w:p w:rsidR="00C91295" w:rsidRPr="00526311" w:rsidRDefault="00C91295" w:rsidP="00F1387F">
      <w:pPr>
        <w:tabs>
          <w:tab w:val="left" w:pos="3261"/>
        </w:tabs>
        <w:autoSpaceDE w:val="0"/>
        <w:autoSpaceDN w:val="0"/>
        <w:adjustRightInd w:val="0"/>
        <w:jc w:val="center"/>
        <w:rPr>
          <w:i/>
          <w:iCs/>
          <w:sz w:val="18"/>
          <w:szCs w:val="18"/>
        </w:rPr>
      </w:pPr>
      <w:r w:rsidRPr="00526311">
        <w:rPr>
          <w:i/>
          <w:iCs/>
          <w:sz w:val="18"/>
          <w:szCs w:val="18"/>
        </w:rPr>
        <w:t>(en francos suizos, al 31 de diciembre de 2014)</w:t>
      </w:r>
    </w:p>
    <w:p w:rsidR="00C91295" w:rsidRPr="00526311" w:rsidRDefault="00C91295" w:rsidP="00F1387F">
      <w:pPr>
        <w:rPr>
          <w:szCs w:val="22"/>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91295" w:rsidRPr="00526311" w:rsidTr="00F1387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74" w:right="-60"/>
              <w:jc w:val="center"/>
              <w:rPr>
                <w:b/>
                <w:bCs/>
                <w:sz w:val="16"/>
                <w:szCs w:val="16"/>
              </w:rPr>
            </w:pPr>
            <w:r w:rsidRPr="00526311">
              <w:rPr>
                <w:b/>
                <w:bCs/>
                <w:sz w:val="16"/>
                <w:szCs w:val="16"/>
              </w:rPr>
              <w:t>Nombre del proyecto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7" w:right="-108"/>
              <w:jc w:val="center"/>
              <w:rPr>
                <w:b/>
                <w:bCs/>
                <w:sz w:val="16"/>
                <w:szCs w:val="16"/>
              </w:rPr>
            </w:pPr>
            <w:r w:rsidRPr="00526311">
              <w:rPr>
                <w:b/>
                <w:bCs/>
                <w:sz w:val="16"/>
                <w:szCs w:val="16"/>
              </w:rPr>
              <w:t>Presupuesto del proyecto</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73" w:firstLine="1"/>
              <w:jc w:val="center"/>
              <w:rPr>
                <w:b/>
                <w:bCs/>
                <w:sz w:val="16"/>
                <w:szCs w:val="16"/>
              </w:rPr>
            </w:pPr>
            <w:r w:rsidRPr="00526311">
              <w:rPr>
                <w:b/>
                <w:bCs/>
                <w:sz w:val="16"/>
                <w:szCs w:val="16"/>
              </w:rPr>
              <w:t>Índice de avance en la ejecución del proyecto</w:t>
            </w:r>
          </w:p>
        </w:tc>
      </w:tr>
      <w:tr w:rsidR="00C91295" w:rsidRPr="00526311" w:rsidTr="00F1387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Mejora de la seguridad:  cifrado de datos y gestión de usuarios</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700.000</w:t>
            </w:r>
          </w:p>
        </w:tc>
        <w:tc>
          <w:tcPr>
            <w:tcW w:w="851"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w:t>
            </w:r>
          </w:p>
        </w:tc>
      </w:tr>
    </w:tbl>
    <w:p w:rsidR="00C91295" w:rsidRPr="00526311" w:rsidRDefault="00C91295" w:rsidP="00F1387F">
      <w:pPr>
        <w:tabs>
          <w:tab w:val="left" w:pos="3261"/>
        </w:tabs>
        <w:autoSpaceDE w:val="0"/>
        <w:autoSpaceDN w:val="0"/>
        <w:adjustRightInd w:val="0"/>
      </w:pPr>
    </w:p>
    <w:p w:rsidR="00C91295" w:rsidRPr="00526311" w:rsidRDefault="00C91295" w:rsidP="00F1387F">
      <w:pPr>
        <w:tabs>
          <w:tab w:val="left" w:pos="3261"/>
        </w:tabs>
        <w:autoSpaceDE w:val="0"/>
        <w:autoSpaceDN w:val="0"/>
        <w:adjustRightInd w:val="0"/>
      </w:pPr>
    </w:p>
    <w:p w:rsidR="00C91295" w:rsidRPr="00526311" w:rsidRDefault="00C91295" w:rsidP="00F1387F">
      <w:r w:rsidRPr="00526311">
        <w:br w:type="page"/>
      </w:r>
    </w:p>
    <w:p w:rsidR="00C91295" w:rsidRPr="00526311" w:rsidRDefault="00C91295" w:rsidP="00F1387F">
      <w:pPr>
        <w:rPr>
          <w:b/>
        </w:rPr>
      </w:pPr>
      <w:r w:rsidRPr="00526311">
        <w:rPr>
          <w:b/>
        </w:rPr>
        <w:lastRenderedPageBreak/>
        <w:t>PROYECTOS RELACIONADOS CON LAS TIC</w:t>
      </w:r>
    </w:p>
    <w:p w:rsidR="00C91295" w:rsidRPr="00526311" w:rsidRDefault="00C91295" w:rsidP="005D293E">
      <w:pPr>
        <w:pStyle w:val="StyleHeading3BoldNounderline"/>
        <w:ind w:right="-185"/>
        <w:rPr>
          <w:b/>
          <w:lang w:val="es-ES"/>
        </w:rPr>
      </w:pPr>
      <w:bookmarkStart w:id="101" w:name="_Toc422210524"/>
      <w:bookmarkStart w:id="102" w:name="_Toc422927449"/>
      <w:r w:rsidRPr="00526311">
        <w:rPr>
          <w:b/>
          <w:lang w:val="es-ES"/>
        </w:rPr>
        <w:t>PROYECTO:  APLICACIÓN DE LA GESTIÓN DE CONTENIDOS INSTITUCIONALES</w:t>
      </w:r>
      <w:bookmarkEnd w:id="101"/>
      <w:r w:rsidR="005D293E" w:rsidRPr="00526311">
        <w:rPr>
          <w:b/>
          <w:lang w:val="es-ES"/>
        </w:rPr>
        <w:t xml:space="preserve"> (PMM 2)</w:t>
      </w:r>
      <w:bookmarkEnd w:id="102"/>
    </w:p>
    <w:p w:rsidR="00C91295" w:rsidRPr="00526311" w:rsidRDefault="00C91295" w:rsidP="00F1387F">
      <w:pPr>
        <w:rPr>
          <w:b/>
          <w:sz w:val="20"/>
        </w:rPr>
      </w:pPr>
    </w:p>
    <w:p w:rsidR="00C91295" w:rsidRPr="00526311" w:rsidRDefault="00C91295" w:rsidP="00F1387F">
      <w:pPr>
        <w:rPr>
          <w:b/>
          <w:sz w:val="20"/>
        </w:rPr>
      </w:pPr>
      <w:r w:rsidRPr="00526311">
        <w:rPr>
          <w:b/>
          <w:sz w:val="20"/>
        </w:rPr>
        <w:t>Director de proyecto</w:t>
      </w:r>
      <w:r w:rsidRPr="00526311">
        <w:rPr>
          <w:b/>
          <w:sz w:val="20"/>
        </w:rPr>
        <w:tab/>
        <w:t>Por determinar</w:t>
      </w:r>
    </w:p>
    <w:p w:rsidR="00C91295" w:rsidRPr="00526311" w:rsidRDefault="00C91295" w:rsidP="00F1387F">
      <w:pPr>
        <w:rPr>
          <w:b/>
          <w:sz w:val="20"/>
        </w:rPr>
      </w:pPr>
    </w:p>
    <w:p w:rsidR="00C91295" w:rsidRPr="00526311" w:rsidRDefault="00C91295" w:rsidP="00F1387F">
      <w:pPr>
        <w:rPr>
          <w:bCs/>
          <w:sz w:val="20"/>
        </w:rPr>
      </w:pPr>
      <w:r w:rsidRPr="00526311">
        <w:rPr>
          <w:bCs/>
          <w:sz w:val="20"/>
        </w:rPr>
        <w:t>RESULTADO PREVISTO</w:t>
      </w:r>
    </w:p>
    <w:p w:rsidR="00C91295" w:rsidRPr="00526311" w:rsidRDefault="00C91295" w:rsidP="00F1387F">
      <w:pPr>
        <w:rPr>
          <w:bCs/>
          <w:sz w:val="20"/>
        </w:rPr>
      </w:pPr>
    </w:p>
    <w:p w:rsidR="00C91295" w:rsidRPr="00526311" w:rsidRDefault="00C91295" w:rsidP="00F1387F">
      <w:pPr>
        <w:rPr>
          <w:bCs/>
          <w:i/>
          <w:sz w:val="20"/>
        </w:rPr>
      </w:pPr>
      <w:r w:rsidRPr="00526311">
        <w:rPr>
          <w:bCs/>
          <w:i/>
          <w:sz w:val="20"/>
        </w:rPr>
        <w:t>IX.2 Funcionamiento sin contratiempos de la Secretaría, provista de un personal bien dirigido, dotado de las competencias adecuadas y capaz de conseguir resultados</w:t>
      </w:r>
    </w:p>
    <w:p w:rsidR="00C91295" w:rsidRPr="00526311" w:rsidRDefault="00C91295" w:rsidP="00F1387F">
      <w:pPr>
        <w:rPr>
          <w:bCs/>
          <w:sz w:val="20"/>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t>OBJETIVOS, ALCANCE Y ENFOQUE:  ANTECEDENTES</w:t>
      </w:r>
    </w:p>
    <w:p w:rsidR="00C91295" w:rsidRPr="00526311" w:rsidRDefault="00C91295" w:rsidP="00F1387F">
      <w:pPr>
        <w:rPr>
          <w:bCs/>
          <w:sz w:val="20"/>
        </w:rPr>
      </w:pPr>
    </w:p>
    <w:p w:rsidR="00C91295" w:rsidRPr="00526311" w:rsidRDefault="00C91295" w:rsidP="00C91295">
      <w:pPr>
        <w:pStyle w:val="ONUME"/>
        <w:numPr>
          <w:ilvl w:val="0"/>
          <w:numId w:val="112"/>
        </w:numPr>
        <w:tabs>
          <w:tab w:val="left" w:pos="567"/>
        </w:tabs>
        <w:ind w:left="0" w:firstLine="0"/>
        <w:jc w:val="both"/>
        <w:rPr>
          <w:iCs/>
          <w:sz w:val="20"/>
        </w:rPr>
      </w:pPr>
      <w:r w:rsidRPr="00526311">
        <w:rPr>
          <w:iCs/>
          <w:sz w:val="20"/>
        </w:rPr>
        <w:t>El proyecto consiste en establecer un depósito institucional central para almacenar documentos.  Ello permitirá a los usuarios trabajar juntos (colaborar) en la creación de documentos, buscar información y acceder a ella con mayor facilidad, y permitirá vincular los documentos a las distintas transacciones que se realizan en el sistema de PRI.</w:t>
      </w:r>
    </w:p>
    <w:p w:rsidR="00C91295" w:rsidRPr="00526311" w:rsidRDefault="00C91295" w:rsidP="00C91295">
      <w:pPr>
        <w:pStyle w:val="ONUME"/>
        <w:numPr>
          <w:ilvl w:val="0"/>
          <w:numId w:val="112"/>
        </w:numPr>
        <w:tabs>
          <w:tab w:val="left" w:pos="567"/>
        </w:tabs>
        <w:ind w:left="0" w:firstLine="0"/>
        <w:jc w:val="both"/>
        <w:rPr>
          <w:iCs/>
          <w:sz w:val="20"/>
        </w:rPr>
      </w:pPr>
      <w:r w:rsidRPr="00526311">
        <w:rPr>
          <w:iCs/>
          <w:sz w:val="20"/>
        </w:rPr>
        <w:t xml:space="preserve">Durante la fase de planificación de la ejecución del proyecto de gestión de contenidos institucionales (ECM, por sus siglas en inglés), se propuso introducir modificaciones en el enfoque y el alcance del proyecto, aunque manteniendo los objetivos originales.  Dichas modificaciones sirven para seguir incrementando la probabilidad de éxito en lo relativo tanto a los cambios que conciernen a la Organización, como a los elementos técnicos necesarios para implantar la ECM.  El enfoque revisado se basa en una aplicación gradual, con una serie de “logros iniciales” (detallados </w:t>
      </w:r>
      <w:r w:rsidRPr="00526311">
        <w:rPr>
          <w:i/>
          <w:iCs/>
          <w:sz w:val="20"/>
        </w:rPr>
        <w:t>infra</w:t>
      </w:r>
      <w:r w:rsidRPr="00526311">
        <w:rPr>
          <w:iCs/>
          <w:sz w:val="20"/>
        </w:rPr>
        <w:t>), en la que el trabajo de distintos sectores se verá beneficiado por la automatización de varios de los procesos centrados en documentos, aun antes de la puesta en funcionamiento de la ECM a escala institucional.</w:t>
      </w:r>
    </w:p>
    <w:p w:rsidR="00C91295" w:rsidRPr="00526311" w:rsidRDefault="00C91295" w:rsidP="00C91295">
      <w:pPr>
        <w:pStyle w:val="ONUME"/>
        <w:numPr>
          <w:ilvl w:val="0"/>
          <w:numId w:val="112"/>
        </w:numPr>
        <w:tabs>
          <w:tab w:val="left" w:pos="567"/>
        </w:tabs>
        <w:ind w:left="0" w:firstLine="0"/>
        <w:jc w:val="both"/>
        <w:rPr>
          <w:iCs/>
          <w:sz w:val="20"/>
        </w:rPr>
      </w:pPr>
      <w:r w:rsidRPr="00526311">
        <w:rPr>
          <w:iCs/>
          <w:sz w:val="20"/>
        </w:rPr>
        <w:t>Los objetivos del proyecto de ECM son los siguientes:</w:t>
      </w:r>
    </w:p>
    <w:p w:rsidR="00C91295" w:rsidRPr="00526311" w:rsidRDefault="00C91295" w:rsidP="00C91295">
      <w:pPr>
        <w:pStyle w:val="ListParagraph"/>
        <w:numPr>
          <w:ilvl w:val="0"/>
          <w:numId w:val="101"/>
        </w:numPr>
        <w:spacing w:after="120"/>
        <w:ind w:left="1134" w:hanging="567"/>
        <w:jc w:val="both"/>
        <w:rPr>
          <w:rFonts w:cs="Arial"/>
          <w:lang w:val="es-ES"/>
        </w:rPr>
      </w:pPr>
      <w:r w:rsidRPr="00526311">
        <w:rPr>
          <w:rFonts w:cs="Arial"/>
          <w:lang w:val="es-ES"/>
        </w:rPr>
        <w:t>la implantación en toda la Organización de un sistema de almacenamiento, recuperación y gestión de los documentos, expedientes y archivos de la OMPI (la aplicación ECM);</w:t>
      </w:r>
    </w:p>
    <w:p w:rsidR="00C91295" w:rsidRPr="00526311" w:rsidRDefault="00C91295" w:rsidP="00C91295">
      <w:pPr>
        <w:pStyle w:val="ListParagraph"/>
        <w:numPr>
          <w:ilvl w:val="0"/>
          <w:numId w:val="101"/>
        </w:numPr>
        <w:spacing w:after="120"/>
        <w:ind w:left="1134" w:hanging="567"/>
        <w:jc w:val="both"/>
        <w:rPr>
          <w:rFonts w:cs="Arial"/>
          <w:lang w:val="es-ES"/>
        </w:rPr>
      </w:pPr>
      <w:r w:rsidRPr="00526311">
        <w:rPr>
          <w:rFonts w:cs="Arial"/>
          <w:lang w:val="es-ES"/>
        </w:rPr>
        <w:t>la implantación en la aplicación ECM de las configuraciones, específicas para cada proceso, correspondientes a los procesos de la ECM, para respaldar los procesos de trabajo que son ricos en contenidos;  podrá tratarse de procesos específicos de determinados sectores o generales de la Organización;</w:t>
      </w:r>
    </w:p>
    <w:p w:rsidR="00C91295" w:rsidRPr="00526311" w:rsidRDefault="00C91295" w:rsidP="00C91295">
      <w:pPr>
        <w:pStyle w:val="ListParagraph"/>
        <w:numPr>
          <w:ilvl w:val="0"/>
          <w:numId w:val="101"/>
        </w:numPr>
        <w:spacing w:after="120"/>
        <w:ind w:left="1134" w:hanging="567"/>
        <w:jc w:val="both"/>
        <w:rPr>
          <w:rFonts w:cs="Arial"/>
          <w:lang w:val="es-ES"/>
        </w:rPr>
      </w:pPr>
      <w:r w:rsidRPr="00526311">
        <w:rPr>
          <w:rFonts w:cs="Arial"/>
          <w:lang w:val="es-ES"/>
        </w:rPr>
        <w:t>cuando sea necesario, la integración con los subcomponentes de la PRI, para permitir la creación de vínculos entre el contenido de que se trate (que esté incluido en la ECM) y los registros de transacciones (que estén incluidos en la PRI), cuando así lo exija el funcionamiento de la PRI;</w:t>
      </w:r>
    </w:p>
    <w:p w:rsidR="00C91295" w:rsidRPr="00526311" w:rsidRDefault="00C91295" w:rsidP="00C91295">
      <w:pPr>
        <w:pStyle w:val="ListParagraph"/>
        <w:numPr>
          <w:ilvl w:val="0"/>
          <w:numId w:val="101"/>
        </w:numPr>
        <w:spacing w:after="120"/>
        <w:ind w:left="1134" w:hanging="567"/>
        <w:jc w:val="both"/>
        <w:rPr>
          <w:rFonts w:cs="Arial"/>
          <w:lang w:val="es-ES"/>
        </w:rPr>
      </w:pPr>
      <w:r w:rsidRPr="00526311">
        <w:rPr>
          <w:rFonts w:cs="Arial"/>
          <w:lang w:val="es-ES"/>
        </w:rPr>
        <w:t>la aplicación ECM y la infraestructura de apoyo se alojarán y administrarán de manera que cumplan con los criterios de disponibilidad del servicio y los objetivos de seguridad de un sistema de esa índole, en función de su carácter vital para el trabajo;</w:t>
      </w:r>
    </w:p>
    <w:p w:rsidR="00C91295" w:rsidRPr="00526311" w:rsidRDefault="00C91295" w:rsidP="00C91295">
      <w:pPr>
        <w:pStyle w:val="ListParagraph"/>
        <w:numPr>
          <w:ilvl w:val="0"/>
          <w:numId w:val="101"/>
        </w:numPr>
        <w:spacing w:after="120"/>
        <w:ind w:left="1134" w:hanging="567"/>
        <w:jc w:val="both"/>
        <w:rPr>
          <w:rFonts w:cs="Arial"/>
          <w:lang w:val="es-ES"/>
        </w:rPr>
      </w:pPr>
      <w:r w:rsidRPr="00526311">
        <w:rPr>
          <w:rFonts w:cs="Arial"/>
          <w:lang w:val="es-ES"/>
        </w:rPr>
        <w:t>la implantación de los componentes de expedientes y archivos de la aplicación ECM y los procesos correspondientes cumplirán con la Política de la OMPI de gestión de los expedientes y archivos (Orden de servicio 15/2013);</w:t>
      </w:r>
    </w:p>
    <w:p w:rsidR="00C91295" w:rsidRPr="00526311" w:rsidRDefault="00C91295" w:rsidP="00C91295">
      <w:pPr>
        <w:pStyle w:val="ListParagraph"/>
        <w:numPr>
          <w:ilvl w:val="0"/>
          <w:numId w:val="101"/>
        </w:numPr>
        <w:spacing w:after="120"/>
        <w:ind w:left="1134" w:hanging="567"/>
        <w:jc w:val="both"/>
        <w:rPr>
          <w:rFonts w:cs="Arial"/>
          <w:lang w:val="es-ES"/>
        </w:rPr>
      </w:pPr>
      <w:r w:rsidRPr="00526311">
        <w:rPr>
          <w:rFonts w:cs="Arial"/>
          <w:lang w:val="es-ES"/>
        </w:rPr>
        <w:t>se impartirá formación a los usuarios finales sobre el uso del sistema, así como sobre los procesos y procedimientos, para velar por que no deje de cumplirse lo dispuesto en la Orden de servicio de la OMPI 15/2013 (procesos de la ECM);</w:t>
      </w:r>
    </w:p>
    <w:p w:rsidR="00C91295" w:rsidRPr="00526311" w:rsidRDefault="00C91295" w:rsidP="00C91295">
      <w:pPr>
        <w:pStyle w:val="ListParagraph"/>
        <w:numPr>
          <w:ilvl w:val="0"/>
          <w:numId w:val="101"/>
        </w:numPr>
        <w:spacing w:after="120"/>
        <w:ind w:left="1134" w:hanging="567"/>
        <w:jc w:val="both"/>
        <w:rPr>
          <w:rFonts w:cs="Arial"/>
          <w:lang w:val="es-ES"/>
        </w:rPr>
      </w:pPr>
      <w:r w:rsidRPr="00526311">
        <w:rPr>
          <w:rFonts w:cs="Arial"/>
          <w:lang w:val="es-ES"/>
        </w:rPr>
        <w:t>en el marco del sistema, se aplicarán controles de seguridad suficientes para mantener el cumplimiento con las políticas de seguridad de la OMPI;</w:t>
      </w:r>
    </w:p>
    <w:p w:rsidR="00C91295" w:rsidRPr="00526311" w:rsidRDefault="00C91295" w:rsidP="00C91295">
      <w:pPr>
        <w:pStyle w:val="ListParagraph"/>
        <w:numPr>
          <w:ilvl w:val="0"/>
          <w:numId w:val="101"/>
        </w:numPr>
        <w:ind w:left="1134" w:hanging="567"/>
        <w:contextualSpacing/>
        <w:jc w:val="both"/>
        <w:rPr>
          <w:rFonts w:cs="Arial"/>
          <w:lang w:val="es-ES"/>
        </w:rPr>
      </w:pPr>
      <w:r w:rsidRPr="00526311">
        <w:rPr>
          <w:rFonts w:cs="Arial"/>
          <w:lang w:val="es-ES"/>
        </w:rPr>
        <w:t>en relación con la aplicación ECM, el diseño, la adquisición de licencias, la implantación, la configuración de base, cada una de las configuraciones específicas del proyecto relativas a los “logros iniciales”, la capacidad básica de utilización de la ECM en toda la Organización, la formación que se imparta a los usuarios y la transición hacia el pleno funcionamiento se llevarán a cabo con arreglo al presupuesto asignado al proyecto en el marco del Plan maestro de mejoras de infraestructura (véase WO/PBC/21/18, 31 de julio de 2013).</w:t>
      </w:r>
    </w:p>
    <w:p w:rsidR="00C91295" w:rsidRPr="00526311" w:rsidRDefault="00C91295" w:rsidP="00F1387F">
      <w:pPr>
        <w:contextualSpacing/>
        <w:jc w:val="both"/>
        <w:rPr>
          <w:sz w:val="20"/>
        </w:rPr>
      </w:pPr>
    </w:p>
    <w:p w:rsidR="00C91295" w:rsidRPr="00526311" w:rsidRDefault="00C91295" w:rsidP="00C91295">
      <w:pPr>
        <w:pStyle w:val="ONUME"/>
        <w:numPr>
          <w:ilvl w:val="0"/>
          <w:numId w:val="112"/>
        </w:numPr>
        <w:tabs>
          <w:tab w:val="left" w:pos="567"/>
        </w:tabs>
        <w:ind w:left="0" w:firstLine="0"/>
        <w:jc w:val="both"/>
        <w:rPr>
          <w:sz w:val="20"/>
        </w:rPr>
      </w:pPr>
      <w:r w:rsidRPr="00526311">
        <w:rPr>
          <w:sz w:val="20"/>
        </w:rPr>
        <w:lastRenderedPageBreak/>
        <w:t>El proyecto se repartirá en varias fases/subproyectos, cada uno de los cuales redundará en una serie de beneficios para una o más esferas de trabajo.  Cada uno de los subproyectos incluirá lo siguiente:</w:t>
      </w:r>
    </w:p>
    <w:p w:rsidR="00C91295" w:rsidRPr="00526311" w:rsidRDefault="00C91295" w:rsidP="00C91295">
      <w:pPr>
        <w:pStyle w:val="ListParagraph"/>
        <w:numPr>
          <w:ilvl w:val="0"/>
          <w:numId w:val="101"/>
        </w:numPr>
        <w:ind w:left="1134" w:hanging="567"/>
        <w:contextualSpacing/>
        <w:jc w:val="both"/>
        <w:rPr>
          <w:rFonts w:cs="Arial"/>
          <w:lang w:val="es-ES"/>
        </w:rPr>
      </w:pPr>
      <w:r w:rsidRPr="00526311">
        <w:rPr>
          <w:rFonts w:cs="Arial"/>
          <w:lang w:val="es-ES"/>
        </w:rPr>
        <w:t>el análisis de las tareas necesario para especificar el proceso de trabajo que será respaldado por la solución de ECM;</w:t>
      </w:r>
    </w:p>
    <w:p w:rsidR="00C91295" w:rsidRPr="00526311" w:rsidRDefault="00C91295" w:rsidP="00C91295">
      <w:pPr>
        <w:pStyle w:val="ListParagraph"/>
        <w:numPr>
          <w:ilvl w:val="0"/>
          <w:numId w:val="101"/>
        </w:numPr>
        <w:ind w:left="1134" w:hanging="567"/>
        <w:contextualSpacing/>
        <w:jc w:val="both"/>
        <w:rPr>
          <w:rFonts w:cs="Arial"/>
          <w:lang w:val="es-ES"/>
        </w:rPr>
      </w:pPr>
      <w:r w:rsidRPr="00526311">
        <w:rPr>
          <w:rFonts w:cs="Arial"/>
          <w:lang w:val="es-ES"/>
        </w:rPr>
        <w:t>el reconocimiento y la catalogación de la interrelación con los sistemas existentes, entre otros, el sistema de PRI, cuando sea necesario;</w:t>
      </w:r>
    </w:p>
    <w:p w:rsidR="00C91295" w:rsidRPr="00526311" w:rsidRDefault="00C91295" w:rsidP="00C91295">
      <w:pPr>
        <w:pStyle w:val="ListParagraph"/>
        <w:numPr>
          <w:ilvl w:val="0"/>
          <w:numId w:val="101"/>
        </w:numPr>
        <w:ind w:left="1134" w:hanging="567"/>
        <w:contextualSpacing/>
        <w:jc w:val="both"/>
        <w:rPr>
          <w:rFonts w:cs="Arial"/>
          <w:lang w:val="es-ES"/>
        </w:rPr>
      </w:pPr>
      <w:r w:rsidRPr="00526311">
        <w:rPr>
          <w:rFonts w:cs="Arial"/>
          <w:lang w:val="es-ES"/>
        </w:rPr>
        <w:t>el diseño de la configuración de la ECM, sobre la base del proceso de trabajo;</w:t>
      </w:r>
    </w:p>
    <w:p w:rsidR="00C91295" w:rsidRPr="00526311" w:rsidRDefault="00C91295" w:rsidP="00C91295">
      <w:pPr>
        <w:pStyle w:val="ListParagraph"/>
        <w:numPr>
          <w:ilvl w:val="0"/>
          <w:numId w:val="101"/>
        </w:numPr>
        <w:ind w:left="1134" w:hanging="567"/>
        <w:contextualSpacing/>
        <w:jc w:val="both"/>
        <w:rPr>
          <w:rFonts w:cs="Arial"/>
          <w:lang w:val="es-ES"/>
        </w:rPr>
      </w:pPr>
      <w:r w:rsidRPr="00526311">
        <w:rPr>
          <w:rFonts w:cs="Arial"/>
          <w:lang w:val="es-ES"/>
        </w:rPr>
        <w:t>la implantación de la configuración del sistema de ECM para respaldar el proceso de trabajo;</w:t>
      </w:r>
    </w:p>
    <w:p w:rsidR="00C91295" w:rsidRPr="00526311" w:rsidRDefault="00C91295" w:rsidP="00C91295">
      <w:pPr>
        <w:pStyle w:val="ListParagraph"/>
        <w:numPr>
          <w:ilvl w:val="0"/>
          <w:numId w:val="101"/>
        </w:numPr>
        <w:ind w:left="1134" w:hanging="567"/>
        <w:contextualSpacing/>
        <w:jc w:val="both"/>
        <w:rPr>
          <w:rFonts w:cs="Arial"/>
          <w:lang w:val="es-ES"/>
        </w:rPr>
      </w:pPr>
      <w:r w:rsidRPr="00526311">
        <w:rPr>
          <w:rFonts w:cs="Arial"/>
          <w:lang w:val="es-ES"/>
        </w:rPr>
        <w:t>la prueba del sistema y de la aceptación de la configuración del sistema ECM por los usuarios para respaldar el proceso de trabajo;  y</w:t>
      </w:r>
    </w:p>
    <w:p w:rsidR="00C91295" w:rsidRPr="00526311" w:rsidRDefault="00C91295" w:rsidP="00C91295">
      <w:pPr>
        <w:pStyle w:val="ListParagraph"/>
        <w:numPr>
          <w:ilvl w:val="0"/>
          <w:numId w:val="102"/>
        </w:numPr>
        <w:ind w:left="1134" w:hanging="567"/>
        <w:contextualSpacing/>
        <w:jc w:val="both"/>
        <w:rPr>
          <w:rFonts w:cs="Arial"/>
          <w:lang w:val="es-ES"/>
        </w:rPr>
      </w:pPr>
      <w:r w:rsidRPr="00526311">
        <w:rPr>
          <w:rFonts w:cs="Arial"/>
          <w:lang w:val="es-ES"/>
        </w:rPr>
        <w:t>la formación de los usuarios finales en la configuración de la ECM específica para el proceso de trabajo.</w:t>
      </w:r>
    </w:p>
    <w:p w:rsidR="00C91295" w:rsidRPr="00526311" w:rsidRDefault="00C91295" w:rsidP="00F1387F">
      <w:pPr>
        <w:contextualSpacing/>
        <w:jc w:val="both"/>
        <w:rPr>
          <w:sz w:val="20"/>
        </w:rPr>
      </w:pPr>
    </w:p>
    <w:p w:rsidR="00C91295" w:rsidRPr="00526311" w:rsidRDefault="00C91295" w:rsidP="00C91295">
      <w:pPr>
        <w:pStyle w:val="ONUME"/>
        <w:numPr>
          <w:ilvl w:val="0"/>
          <w:numId w:val="112"/>
        </w:numPr>
        <w:tabs>
          <w:tab w:val="left" w:pos="567"/>
        </w:tabs>
        <w:ind w:left="0" w:firstLine="0"/>
        <w:jc w:val="both"/>
        <w:rPr>
          <w:sz w:val="20"/>
        </w:rPr>
      </w:pPr>
      <w:r w:rsidRPr="00526311">
        <w:rPr>
          <w:sz w:val="20"/>
        </w:rPr>
        <w:t>Los subproyectos que se han identificado de momento son los siguientes:</w:t>
      </w:r>
    </w:p>
    <w:p w:rsidR="00C91295" w:rsidRPr="00526311" w:rsidRDefault="00C91295" w:rsidP="00F1387F">
      <w:pPr>
        <w:contextualSpacing/>
        <w:jc w:val="both"/>
        <w:rPr>
          <w:sz w:val="20"/>
        </w:rPr>
      </w:pPr>
      <w:r w:rsidRPr="00526311">
        <w:rPr>
          <w:b/>
          <w:sz w:val="20"/>
        </w:rPr>
        <w:t>Expedientes y archivos institucionales</w:t>
      </w:r>
      <w:r w:rsidRPr="00526311">
        <w:rPr>
          <w:sz w:val="20"/>
        </w:rPr>
        <w:t xml:space="preserve"> – subproyecto destinado a incrementar la funcionalidad del servicio de expedientes y archivos, que incluye el mejoramiento o la sustitución de los procesos de escaneo de documentos, así como la implantación de un proceso de escaneo y seguimiento del correo entrante (escaneo y flujo de trabajo), y la implantación de un mecanismo de archivo en las distintas secciones, sobre la base de la política de la OMPI de gestión de expedientes (gestión de expedientes y archivos).</w:t>
      </w:r>
    </w:p>
    <w:p w:rsidR="00C91295" w:rsidRPr="00526311" w:rsidRDefault="00C91295" w:rsidP="00F1387F">
      <w:pPr>
        <w:contextualSpacing/>
        <w:jc w:val="both"/>
        <w:rPr>
          <w:sz w:val="20"/>
        </w:rPr>
      </w:pPr>
    </w:p>
    <w:p w:rsidR="00C91295" w:rsidRPr="00526311" w:rsidRDefault="00C91295" w:rsidP="00F1387F">
      <w:pPr>
        <w:contextualSpacing/>
        <w:jc w:val="both"/>
        <w:rPr>
          <w:sz w:val="20"/>
        </w:rPr>
      </w:pPr>
      <w:r w:rsidRPr="00526311">
        <w:rPr>
          <w:b/>
          <w:sz w:val="20"/>
        </w:rPr>
        <w:t xml:space="preserve">Sistema de gestión de proveedores y contratos </w:t>
      </w:r>
      <w:r w:rsidRPr="00526311">
        <w:rPr>
          <w:sz w:val="20"/>
        </w:rPr>
        <w:t>– subproyecto que dará “logros iniciales”, encaminado a implantar una solución o procesos para gestionar la información sobre contratos, permitiendo crear documentos contractuales (gestión de documentos), almacenar documentos relacionados con un contrato (gestión de carpetas), disponer de informes y alertas sobre los distintos acontecimientos que se producen durante el ciclo de un contrato (flujo de trabajo y gestión de carpetas), así como realizar búsquedas en relación con los contratos (búsqueda).</w:t>
      </w:r>
    </w:p>
    <w:p w:rsidR="00C91295" w:rsidRPr="00526311" w:rsidRDefault="00C91295" w:rsidP="00F1387F">
      <w:pPr>
        <w:contextualSpacing/>
        <w:jc w:val="both"/>
        <w:rPr>
          <w:sz w:val="20"/>
        </w:rPr>
      </w:pPr>
    </w:p>
    <w:p w:rsidR="00C91295" w:rsidRPr="00526311" w:rsidRDefault="00C91295" w:rsidP="00F1387F">
      <w:pPr>
        <w:contextualSpacing/>
        <w:jc w:val="both"/>
        <w:rPr>
          <w:sz w:val="20"/>
        </w:rPr>
      </w:pPr>
      <w:r w:rsidRPr="00526311">
        <w:rPr>
          <w:b/>
          <w:sz w:val="20"/>
        </w:rPr>
        <w:t>Correo entrante en la Oficina del Director General</w:t>
      </w:r>
      <w:r w:rsidRPr="00526311">
        <w:rPr>
          <w:sz w:val="20"/>
        </w:rPr>
        <w:t xml:space="preserve"> – escaneo y flujo de documentos del correo entrante en la Oficina del Director General, con enlaces a las correspondientes respuestas, seguimiento de la evolución para asegurarse de que la respuesta se redacta y envía dentro de los plazos adecuados.</w:t>
      </w:r>
    </w:p>
    <w:p w:rsidR="00C91295" w:rsidRPr="00526311" w:rsidRDefault="00C91295" w:rsidP="00F1387F">
      <w:pPr>
        <w:contextualSpacing/>
        <w:jc w:val="both"/>
        <w:rPr>
          <w:sz w:val="20"/>
        </w:rPr>
      </w:pPr>
    </w:p>
    <w:p w:rsidR="00C91295" w:rsidRPr="00526311" w:rsidRDefault="00C91295" w:rsidP="00F1387F">
      <w:pPr>
        <w:contextualSpacing/>
        <w:jc w:val="both"/>
        <w:rPr>
          <w:sz w:val="20"/>
        </w:rPr>
      </w:pPr>
      <w:r w:rsidRPr="00526311">
        <w:rPr>
          <w:b/>
          <w:sz w:val="20"/>
        </w:rPr>
        <w:t xml:space="preserve">Informes de misión </w:t>
      </w:r>
      <w:r w:rsidRPr="00526311">
        <w:rPr>
          <w:sz w:val="20"/>
        </w:rPr>
        <w:t>– gestión de la creación de informes de misión (gestión de documentos), procesos de revisión y publicación del informe de misión (flujo de trabajo), y búsqueda de informes de misión anteriores (búsqueda) sobre la base de la categorización (lugar, miembros del personal, tema y organizaciones visitadas).</w:t>
      </w:r>
    </w:p>
    <w:p w:rsidR="00C91295" w:rsidRPr="00526311" w:rsidRDefault="00C91295" w:rsidP="00F1387F">
      <w:pPr>
        <w:contextualSpacing/>
        <w:jc w:val="both"/>
        <w:rPr>
          <w:sz w:val="20"/>
        </w:rPr>
      </w:pPr>
    </w:p>
    <w:p w:rsidR="00C91295" w:rsidRPr="00526311" w:rsidRDefault="00C91295" w:rsidP="00F1387F">
      <w:pPr>
        <w:contextualSpacing/>
        <w:jc w:val="both"/>
        <w:rPr>
          <w:sz w:val="20"/>
        </w:rPr>
      </w:pPr>
      <w:r w:rsidRPr="00526311">
        <w:rPr>
          <w:b/>
          <w:sz w:val="20"/>
        </w:rPr>
        <w:t xml:space="preserve">Recursos humanos (archivo electrónico del personal) </w:t>
      </w:r>
      <w:r w:rsidRPr="00526311">
        <w:rPr>
          <w:sz w:val="20"/>
        </w:rPr>
        <w:t>- creación de ficheros seguros (carpetas) de RRHH para cada empleado, con los documentos electrónicos y los registros correspondientes al empleado, previéndose la digitalización de los registros existentes en papel (creación de imágenes y escaneo).  El personal del Departamento de Gestión de los Recursos Humanos estará en condiciones de realizar búsquedas entre los archivos electrónicos para localizar y recuperar cualquier archivo que se necesite (búsqueda).</w:t>
      </w:r>
    </w:p>
    <w:p w:rsidR="00C91295" w:rsidRPr="00526311" w:rsidRDefault="00C91295" w:rsidP="00F1387F">
      <w:pPr>
        <w:contextualSpacing/>
        <w:jc w:val="both"/>
        <w:rPr>
          <w:sz w:val="20"/>
        </w:rPr>
      </w:pPr>
    </w:p>
    <w:p w:rsidR="00C91295" w:rsidRPr="00526311" w:rsidRDefault="00C91295" w:rsidP="00F1387F">
      <w:pPr>
        <w:contextualSpacing/>
        <w:jc w:val="both"/>
        <w:rPr>
          <w:sz w:val="20"/>
        </w:rPr>
      </w:pPr>
      <w:r w:rsidRPr="00526311">
        <w:rPr>
          <w:b/>
          <w:sz w:val="20"/>
        </w:rPr>
        <w:t xml:space="preserve">Peticiones de traducción </w:t>
      </w:r>
      <w:r w:rsidRPr="00526311">
        <w:rPr>
          <w:sz w:val="20"/>
        </w:rPr>
        <w:t>- automatización del flujo de trabajo relativo a documentos, con rastreo y presentación de informes, para la asignación de los documentos que ha de traducir la División Lingüística.</w:t>
      </w:r>
    </w:p>
    <w:p w:rsidR="00C91295" w:rsidRPr="00526311" w:rsidRDefault="00C91295" w:rsidP="00F1387F">
      <w:pPr>
        <w:contextualSpacing/>
        <w:jc w:val="both"/>
        <w:rPr>
          <w:sz w:val="20"/>
        </w:rPr>
      </w:pPr>
    </w:p>
    <w:p w:rsidR="00C91295" w:rsidRPr="00526311" w:rsidRDefault="00C91295" w:rsidP="00F1387F">
      <w:pPr>
        <w:contextualSpacing/>
        <w:jc w:val="both"/>
        <w:rPr>
          <w:sz w:val="20"/>
        </w:rPr>
      </w:pPr>
      <w:r w:rsidRPr="00526311">
        <w:rPr>
          <w:b/>
          <w:sz w:val="20"/>
        </w:rPr>
        <w:t xml:space="preserve">Capacidad de ECM en toda la Organización </w:t>
      </w:r>
      <w:r w:rsidRPr="00526311">
        <w:rPr>
          <w:sz w:val="20"/>
        </w:rPr>
        <w:t>- la integración de la ECM en la interfaz estándar de escritorio de la OMPI, para que los usuarios de la OMPI puedan realizar tareas de gestión de documentos (almacenamiento, categorización, búsqueda y recuperación, y control de las versiones) respecto del contenido creado en distintos niveles:  usuarios, unidades y Organización.  Entre esos tipos de contenido figurará el que se cree en las computadoras de escritorio, como los archivos de tratamiento de texto (por ejemplo, documentos Microsoft Word y PDF), las hojas de cálculo (por ejemplo, Microsoft Excel), las presentaciones (por ejemplo, Microsoft PowerPoint), los diagramas (por ejemplo, Microsoft Visio), los mensajes de correo–e sobre planes de proyecto (por ejemplo Microsoft Project).</w:t>
      </w:r>
    </w:p>
    <w:p w:rsidR="00C91295" w:rsidRPr="00526311" w:rsidRDefault="00C91295" w:rsidP="00F1387F">
      <w:pPr>
        <w:rPr>
          <w:bCs/>
          <w:sz w:val="20"/>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lastRenderedPageBreak/>
        <w:t>RESEÑA DE LOS AVANCES LOGRADOS EN 2014 (ETAPAS FUNDAMENTALES)</w:t>
      </w:r>
    </w:p>
    <w:p w:rsidR="00C91295" w:rsidRPr="00526311" w:rsidRDefault="00C91295" w:rsidP="00F1387F">
      <w:pPr>
        <w:rPr>
          <w:bCs/>
          <w:sz w:val="20"/>
        </w:rPr>
      </w:pPr>
    </w:p>
    <w:p w:rsidR="00C91295" w:rsidRPr="00526311" w:rsidRDefault="00C91295" w:rsidP="00C91295">
      <w:pPr>
        <w:pStyle w:val="ONUME"/>
        <w:numPr>
          <w:ilvl w:val="0"/>
          <w:numId w:val="112"/>
        </w:numPr>
        <w:tabs>
          <w:tab w:val="left" w:pos="567"/>
        </w:tabs>
        <w:ind w:left="0" w:firstLine="0"/>
        <w:jc w:val="both"/>
        <w:rPr>
          <w:bCs/>
          <w:sz w:val="20"/>
        </w:rPr>
      </w:pPr>
      <w:r w:rsidRPr="00526311">
        <w:rPr>
          <w:bCs/>
          <w:sz w:val="20"/>
        </w:rPr>
        <w:t>En 2014, un consultor externo realizó un estudio para:  i) validar la armonización del enfoque del proyecto con las mejores prácticas;  ii) determinar en detalle las necesidades de funcionamiento mediante la participación de los sectores interesados de la Organización;  iii) priorizar los “logros iniciales” tras mantener conversaciones con los sectores interesados;  y iv) recomendar una solución tecnológica.  El estudio se completó a fines de 2014, y las conclusiones serán revisadas y examinadas en 2105, previéndose la fecha de inicio de la ejecución del proyecto para 2016.</w:t>
      </w:r>
    </w:p>
    <w:p w:rsidR="00C91295" w:rsidRPr="00526311" w:rsidRDefault="00C91295" w:rsidP="00F1387F">
      <w:pPr>
        <w:rPr>
          <w:bCs/>
          <w:sz w:val="20"/>
        </w:rPr>
      </w:pPr>
      <w:r w:rsidRPr="00526311">
        <w:rPr>
          <w:bCs/>
          <w:sz w:val="20"/>
        </w:rPr>
        <w:t>OBTENCIÓN DE BENEFICIOS</w:t>
      </w:r>
    </w:p>
    <w:p w:rsidR="00C91295" w:rsidRPr="00526311" w:rsidRDefault="00C91295" w:rsidP="00F1387F">
      <w:pPr>
        <w:rPr>
          <w:sz w:val="20"/>
        </w:rPr>
      </w:pPr>
    </w:p>
    <w:p w:rsidR="00C91295" w:rsidRPr="00526311" w:rsidRDefault="00C91295" w:rsidP="00C91295">
      <w:pPr>
        <w:pStyle w:val="ONUME"/>
        <w:numPr>
          <w:ilvl w:val="0"/>
          <w:numId w:val="112"/>
        </w:numPr>
        <w:tabs>
          <w:tab w:val="left" w:pos="567"/>
        </w:tabs>
        <w:ind w:left="0" w:firstLine="0"/>
        <w:jc w:val="both"/>
        <w:rPr>
          <w:sz w:val="20"/>
        </w:rPr>
      </w:pPr>
      <w:r w:rsidRPr="00526311">
        <w:rPr>
          <w:sz w:val="20"/>
        </w:rPr>
        <w:t>Los beneficios correspondientes a las fases iniciales del proyecto ECM se irán obteniendo sector por sector, gracias a la implantación de las configuraciones particulares de ECM que respaldarán los procesos de trabajo centrados en los conocimientos.</w:t>
      </w:r>
    </w:p>
    <w:tbl>
      <w:tblPr>
        <w:tblW w:w="4474" w:type="pct"/>
        <w:jc w:val="center"/>
        <w:tblInd w:w="-1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2"/>
        <w:gridCol w:w="4652"/>
      </w:tblGrid>
      <w:tr w:rsidR="00C91295" w:rsidRPr="00526311" w:rsidTr="009F2002">
        <w:trPr>
          <w:trHeight w:val="314"/>
          <w:tblHeader/>
          <w:jc w:val="center"/>
        </w:trPr>
        <w:tc>
          <w:tcPr>
            <w:tcW w:w="2284" w:type="pct"/>
            <w:shd w:val="clear" w:color="auto" w:fill="C6D9F1" w:themeFill="text2" w:themeFillTint="33"/>
            <w:vAlign w:val="center"/>
          </w:tcPr>
          <w:p w:rsidR="00C91295" w:rsidRPr="00526311" w:rsidRDefault="00C91295" w:rsidP="00F1387F">
            <w:pPr>
              <w:jc w:val="center"/>
              <w:rPr>
                <w:b/>
                <w:bCs/>
                <w:sz w:val="16"/>
                <w:szCs w:val="16"/>
              </w:rPr>
            </w:pPr>
            <w:r w:rsidRPr="00526311">
              <w:rPr>
                <w:b/>
                <w:bCs/>
                <w:sz w:val="16"/>
                <w:szCs w:val="16"/>
              </w:rPr>
              <w:t>Beneficios previstos para 2016</w:t>
            </w:r>
          </w:p>
        </w:tc>
        <w:tc>
          <w:tcPr>
            <w:tcW w:w="2716" w:type="pct"/>
            <w:shd w:val="clear" w:color="auto" w:fill="C6D9F1" w:themeFill="text2" w:themeFillTint="33"/>
            <w:vAlign w:val="center"/>
          </w:tcPr>
          <w:p w:rsidR="00C91295" w:rsidRPr="00526311" w:rsidRDefault="00C91295" w:rsidP="00F1387F">
            <w:pPr>
              <w:jc w:val="center"/>
              <w:rPr>
                <w:b/>
                <w:bCs/>
                <w:sz w:val="16"/>
                <w:szCs w:val="16"/>
              </w:rPr>
            </w:pPr>
            <w:r w:rsidRPr="00526311">
              <w:rPr>
                <w:b/>
                <w:bCs/>
                <w:sz w:val="16"/>
                <w:szCs w:val="16"/>
              </w:rPr>
              <w:t>Beneficios previstos para 2017</w:t>
            </w:r>
          </w:p>
        </w:tc>
      </w:tr>
      <w:tr w:rsidR="00C91295" w:rsidRPr="00526311" w:rsidTr="009F2002">
        <w:trPr>
          <w:trHeight w:val="564"/>
          <w:jc w:val="center"/>
        </w:trPr>
        <w:tc>
          <w:tcPr>
            <w:tcW w:w="2284" w:type="pct"/>
            <w:shd w:val="clear" w:color="auto" w:fill="auto"/>
          </w:tcPr>
          <w:p w:rsidR="00C91295" w:rsidRPr="00526311" w:rsidRDefault="00C91295" w:rsidP="00F1387F">
            <w:pPr>
              <w:rPr>
                <w:b/>
                <w:bCs/>
                <w:i/>
                <w:iCs/>
                <w:sz w:val="16"/>
                <w:szCs w:val="16"/>
              </w:rPr>
            </w:pPr>
            <w:r w:rsidRPr="00526311">
              <w:rPr>
                <w:b/>
                <w:bCs/>
                <w:i/>
                <w:iCs/>
                <w:sz w:val="16"/>
                <w:szCs w:val="16"/>
              </w:rPr>
              <w:t>Tras la puesta en funcionamiento de la configuración del sistema de ECM para la gestión de proveedores y contratos:</w:t>
            </w:r>
          </w:p>
          <w:p w:rsidR="00C91295" w:rsidRPr="00526311" w:rsidRDefault="00C91295" w:rsidP="00F1387F">
            <w:pPr>
              <w:contextualSpacing/>
              <w:jc w:val="both"/>
              <w:rPr>
                <w:sz w:val="16"/>
              </w:rPr>
            </w:pPr>
            <w:r w:rsidRPr="00526311">
              <w:rPr>
                <w:sz w:val="16"/>
              </w:rPr>
              <w:t>La Sección de Adquisiciones dispondrá de una única fuente para la búsqueda de información relativa a las licitaciones en curso y finalizadas;  en consecuencia:</w:t>
            </w:r>
          </w:p>
          <w:p w:rsidR="00C91295" w:rsidRPr="00526311" w:rsidRDefault="00C91295" w:rsidP="00C91295">
            <w:pPr>
              <w:pStyle w:val="ListParagraph"/>
              <w:numPr>
                <w:ilvl w:val="0"/>
                <w:numId w:val="100"/>
              </w:numPr>
              <w:ind w:left="318" w:hanging="283"/>
              <w:contextualSpacing/>
              <w:jc w:val="both"/>
              <w:rPr>
                <w:sz w:val="16"/>
                <w:lang w:val="es-ES"/>
              </w:rPr>
            </w:pPr>
            <w:r w:rsidRPr="00526311">
              <w:rPr>
                <w:sz w:val="16"/>
                <w:lang w:val="es-ES"/>
              </w:rPr>
              <w:t>disminuirá el tiempo necesario para encontrar y recuperar información de actualidad;</w:t>
            </w:r>
          </w:p>
          <w:p w:rsidR="00C91295" w:rsidRPr="00526311" w:rsidRDefault="00C91295" w:rsidP="00C91295">
            <w:pPr>
              <w:pStyle w:val="ListParagraph"/>
              <w:numPr>
                <w:ilvl w:val="0"/>
                <w:numId w:val="100"/>
              </w:numPr>
              <w:ind w:left="318" w:hanging="283"/>
              <w:contextualSpacing/>
              <w:jc w:val="both"/>
              <w:rPr>
                <w:sz w:val="16"/>
                <w:lang w:val="es-ES"/>
              </w:rPr>
            </w:pPr>
            <w:r w:rsidRPr="00526311">
              <w:rPr>
                <w:sz w:val="16"/>
                <w:lang w:val="es-ES"/>
              </w:rPr>
              <w:t>disminuirán tanto el número de errores como la necesidad de modificación, debido a que la última versión de cada documento podrá reconocerse claramente.</w:t>
            </w:r>
          </w:p>
          <w:p w:rsidR="00C91295" w:rsidRPr="00526311" w:rsidRDefault="00C91295" w:rsidP="00F1387F">
            <w:pPr>
              <w:contextualSpacing/>
              <w:jc w:val="both"/>
              <w:rPr>
                <w:sz w:val="16"/>
              </w:rPr>
            </w:pPr>
            <w:r w:rsidRPr="00526311">
              <w:rPr>
                <w:sz w:val="16"/>
              </w:rPr>
              <w:t>La Sección de Adquisiciones dispondrá de un tablero único en el que se indicará el avance de las licitaciones activas y la información acerca de los plazos para volver a licitar los contratos existentes;  en consecuencia:</w:t>
            </w:r>
          </w:p>
          <w:p w:rsidR="00C91295" w:rsidRPr="00526311" w:rsidRDefault="00C91295" w:rsidP="00C91295">
            <w:pPr>
              <w:pStyle w:val="ListParagraph"/>
              <w:numPr>
                <w:ilvl w:val="0"/>
                <w:numId w:val="100"/>
              </w:numPr>
              <w:ind w:left="318" w:hanging="318"/>
              <w:contextualSpacing/>
              <w:jc w:val="both"/>
              <w:rPr>
                <w:sz w:val="16"/>
                <w:szCs w:val="24"/>
                <w:lang w:val="es-ES"/>
              </w:rPr>
            </w:pPr>
            <w:r w:rsidRPr="00526311">
              <w:rPr>
                <w:sz w:val="16"/>
                <w:lang w:val="es-ES"/>
              </w:rPr>
              <w:t>el personal podrá realizar un número mayor de tareas productivas gracias a una mejor planificación de las actividades de adquisición.</w:t>
            </w:r>
          </w:p>
        </w:tc>
        <w:tc>
          <w:tcPr>
            <w:tcW w:w="2716" w:type="pct"/>
            <w:shd w:val="clear" w:color="auto" w:fill="auto"/>
          </w:tcPr>
          <w:p w:rsidR="00C91295" w:rsidRPr="00526311" w:rsidRDefault="00C91295" w:rsidP="00F1387F">
            <w:pPr>
              <w:rPr>
                <w:b/>
                <w:bCs/>
                <w:i/>
                <w:iCs/>
                <w:sz w:val="16"/>
                <w:szCs w:val="16"/>
              </w:rPr>
            </w:pPr>
            <w:r w:rsidRPr="00526311">
              <w:rPr>
                <w:b/>
                <w:bCs/>
                <w:i/>
                <w:iCs/>
                <w:sz w:val="16"/>
                <w:szCs w:val="16"/>
              </w:rPr>
              <w:t>Tras la puesta en funcionamiento de la configuración del sistema de ECM para los registros electrónicos de RRHH del personal:</w:t>
            </w:r>
          </w:p>
          <w:p w:rsidR="00C91295" w:rsidRPr="00526311" w:rsidRDefault="00C91295" w:rsidP="00F1387F">
            <w:pPr>
              <w:pStyle w:val="ListParagraph"/>
              <w:ind w:left="35"/>
              <w:contextualSpacing/>
              <w:jc w:val="both"/>
              <w:rPr>
                <w:sz w:val="16"/>
                <w:lang w:val="es-ES"/>
              </w:rPr>
            </w:pPr>
            <w:r w:rsidRPr="00526311">
              <w:rPr>
                <w:sz w:val="16"/>
                <w:lang w:val="es-ES"/>
              </w:rPr>
              <w:t>El Departamento de Gestión de los Recursos Humanos dispondrá de un depósito único para almacenar los documentos relativos al personal, tanto para los documentos antiguos, que serán escaneados, como para la captura de documentos recientemente creados;  en consecuencia:</w:t>
            </w:r>
          </w:p>
          <w:p w:rsidR="00C91295" w:rsidRPr="00526311" w:rsidRDefault="00C91295" w:rsidP="00C91295">
            <w:pPr>
              <w:pStyle w:val="ListParagraph"/>
              <w:numPr>
                <w:ilvl w:val="0"/>
                <w:numId w:val="100"/>
              </w:numPr>
              <w:ind w:left="318" w:hanging="283"/>
              <w:contextualSpacing/>
              <w:jc w:val="both"/>
              <w:rPr>
                <w:sz w:val="16"/>
                <w:lang w:val="es-ES"/>
              </w:rPr>
            </w:pPr>
            <w:r w:rsidRPr="00526311">
              <w:rPr>
                <w:sz w:val="16"/>
                <w:lang w:val="es-ES"/>
              </w:rPr>
              <w:t>habrá continuidad en la captura, gestión y preservación de archivos clave de RRHH y documentos conexos.  El depósito único de información permitirá reducir el tiempo y los esfuerzos necesarios para que el personal de RRHH reconozca y recupere los documentos pertinentes necesarios para procesos esenciales en la Organización;</w:t>
            </w:r>
          </w:p>
          <w:p w:rsidR="00C91295" w:rsidRPr="00526311" w:rsidRDefault="00C91295" w:rsidP="00C91295">
            <w:pPr>
              <w:pStyle w:val="ListParagraph"/>
              <w:numPr>
                <w:ilvl w:val="0"/>
                <w:numId w:val="100"/>
              </w:numPr>
              <w:ind w:left="335" w:hanging="283"/>
              <w:contextualSpacing/>
              <w:jc w:val="both"/>
              <w:rPr>
                <w:sz w:val="16"/>
                <w:lang w:val="es-ES"/>
              </w:rPr>
            </w:pPr>
            <w:r w:rsidRPr="00526311">
              <w:rPr>
                <w:sz w:val="16"/>
                <w:lang w:val="es-ES"/>
              </w:rPr>
              <w:t>será posible reconocer claramente la versión más reciente de cada documento de RRHH relacionado con el personal de la OMPI, lo que reducirá el tiempo y el esfuerzo necesarios para reconocer la versión más reciente de cada documento, al igual que la necesidad de introducir modificaciones.</w:t>
            </w:r>
          </w:p>
        </w:tc>
      </w:tr>
      <w:tr w:rsidR="00C91295" w:rsidRPr="00526311" w:rsidTr="009F2002">
        <w:trPr>
          <w:trHeight w:val="564"/>
          <w:jc w:val="center"/>
        </w:trPr>
        <w:tc>
          <w:tcPr>
            <w:tcW w:w="2284" w:type="pct"/>
            <w:shd w:val="clear" w:color="auto" w:fill="auto"/>
          </w:tcPr>
          <w:p w:rsidR="00C91295" w:rsidRPr="00526311" w:rsidRDefault="00C91295" w:rsidP="00F1387F">
            <w:pPr>
              <w:rPr>
                <w:b/>
                <w:bCs/>
                <w:i/>
                <w:iCs/>
                <w:sz w:val="16"/>
                <w:szCs w:val="16"/>
              </w:rPr>
            </w:pPr>
            <w:r w:rsidRPr="00526311">
              <w:rPr>
                <w:b/>
                <w:bCs/>
                <w:i/>
                <w:iCs/>
                <w:sz w:val="16"/>
                <w:szCs w:val="16"/>
              </w:rPr>
              <w:t>Tras la puesta en funcionamiento de la configuración del sistema de ECM para el correo entrante (eCourier):</w:t>
            </w:r>
          </w:p>
          <w:p w:rsidR="00C91295" w:rsidRPr="00526311" w:rsidRDefault="00C91295" w:rsidP="00F1387F">
            <w:pPr>
              <w:contextualSpacing/>
              <w:jc w:val="both"/>
              <w:rPr>
                <w:sz w:val="16"/>
              </w:rPr>
            </w:pPr>
            <w:r w:rsidRPr="00526311">
              <w:rPr>
                <w:sz w:val="16"/>
              </w:rPr>
              <w:t>La Oficina del Director General y el Equipo Directivo Superior dispondrán de un único sistema para la distribución y el seguimiento de la creación de respuestas a los mensajes externos de correo;  en consecuencia:</w:t>
            </w:r>
          </w:p>
          <w:p w:rsidR="00C91295" w:rsidRPr="00526311" w:rsidRDefault="00C91295" w:rsidP="00C91295">
            <w:pPr>
              <w:pStyle w:val="ListParagraph"/>
              <w:numPr>
                <w:ilvl w:val="0"/>
                <w:numId w:val="100"/>
              </w:numPr>
              <w:ind w:left="318" w:hanging="318"/>
              <w:contextualSpacing/>
              <w:jc w:val="both"/>
              <w:rPr>
                <w:sz w:val="16"/>
                <w:lang w:val="es-ES"/>
              </w:rPr>
            </w:pPr>
            <w:r w:rsidRPr="00526311">
              <w:rPr>
                <w:sz w:val="16"/>
                <w:lang w:val="es-ES"/>
              </w:rPr>
              <w:t>se reducirá el tiempo necesario para redactar las respuestas a los mensajes externos de correo, pues no será necesario distribuir materialmente los mensajes y las respuestas entre los edificios de la OMPI, lo que contribuirá al logro de los objetivos relativos a los tiempos de respuesta;</w:t>
            </w:r>
          </w:p>
          <w:p w:rsidR="00C91295" w:rsidRPr="00526311" w:rsidRDefault="00C91295" w:rsidP="00C91295">
            <w:pPr>
              <w:pStyle w:val="ListParagraph"/>
              <w:numPr>
                <w:ilvl w:val="0"/>
                <w:numId w:val="100"/>
              </w:numPr>
              <w:ind w:left="318" w:hanging="283"/>
              <w:contextualSpacing/>
              <w:jc w:val="both"/>
              <w:rPr>
                <w:sz w:val="16"/>
                <w:lang w:val="es-ES"/>
              </w:rPr>
            </w:pPr>
            <w:r w:rsidRPr="00526311">
              <w:rPr>
                <w:sz w:val="16"/>
                <w:lang w:val="es-ES"/>
              </w:rPr>
              <w:t>será posible utilizar un tablero único de gestión para conocer la situación y el progreso de cada respuesta a un mensaje externo, lo que reducirá el esfuerzo necesario para que el personal realice el seguimiento de las respuestas con miras al cumplimiento de los objetivos, permitiendo al personal administrativo centrarse en otras actividades.</w:t>
            </w:r>
          </w:p>
        </w:tc>
        <w:tc>
          <w:tcPr>
            <w:tcW w:w="2716" w:type="pct"/>
            <w:shd w:val="clear" w:color="auto" w:fill="auto"/>
          </w:tcPr>
          <w:p w:rsidR="00C91295" w:rsidRPr="00526311" w:rsidRDefault="00C91295" w:rsidP="00F1387F">
            <w:pPr>
              <w:rPr>
                <w:b/>
                <w:bCs/>
                <w:i/>
                <w:iCs/>
                <w:sz w:val="16"/>
                <w:szCs w:val="16"/>
              </w:rPr>
            </w:pPr>
            <w:r w:rsidRPr="00526311">
              <w:rPr>
                <w:b/>
                <w:bCs/>
                <w:i/>
                <w:iCs/>
                <w:sz w:val="16"/>
                <w:szCs w:val="16"/>
              </w:rPr>
              <w:t>Tras la puesta en funcionamiento de la configuración del sistema de ECM para el flujo de trabajo y la situación de las peticiones de traducción:</w:t>
            </w:r>
          </w:p>
          <w:p w:rsidR="00C91295" w:rsidRPr="00526311" w:rsidRDefault="00C91295" w:rsidP="00F1387F">
            <w:pPr>
              <w:contextualSpacing/>
              <w:jc w:val="both"/>
              <w:rPr>
                <w:sz w:val="16"/>
              </w:rPr>
            </w:pPr>
            <w:r w:rsidRPr="00526311">
              <w:rPr>
                <w:sz w:val="16"/>
              </w:rPr>
              <w:t>La creación del sistema de flujo de trabajo y seguimiento de la situación de los documentos por traducir, para la División Lingüística, tendrá como consecuencia:</w:t>
            </w:r>
          </w:p>
          <w:p w:rsidR="00C91295" w:rsidRPr="00526311" w:rsidRDefault="00C91295" w:rsidP="00C91295">
            <w:pPr>
              <w:pStyle w:val="ListParagraph"/>
              <w:numPr>
                <w:ilvl w:val="0"/>
                <w:numId w:val="100"/>
              </w:numPr>
              <w:ind w:left="335" w:hanging="283"/>
              <w:contextualSpacing/>
              <w:jc w:val="both"/>
              <w:rPr>
                <w:sz w:val="16"/>
                <w:lang w:val="es-ES"/>
              </w:rPr>
            </w:pPr>
            <w:r w:rsidRPr="00526311">
              <w:rPr>
                <w:sz w:val="16"/>
                <w:lang w:val="es-ES"/>
              </w:rPr>
              <w:t>la disminución de los esfuerzos necesarios para que el personal informe sobre la situación de las peticiones de traducción, puesto que el sistema producirá informes automatizados;</w:t>
            </w:r>
          </w:p>
          <w:p w:rsidR="00C91295" w:rsidRPr="00526311" w:rsidRDefault="00C91295" w:rsidP="00C91295">
            <w:pPr>
              <w:pStyle w:val="ListParagraph"/>
              <w:numPr>
                <w:ilvl w:val="0"/>
                <w:numId w:val="100"/>
              </w:numPr>
              <w:ind w:left="335" w:hanging="283"/>
              <w:contextualSpacing/>
              <w:jc w:val="both"/>
              <w:rPr>
                <w:b/>
                <w:bCs/>
                <w:i/>
                <w:iCs/>
                <w:sz w:val="16"/>
                <w:szCs w:val="16"/>
                <w:lang w:val="es-ES"/>
              </w:rPr>
            </w:pPr>
            <w:r w:rsidRPr="00526311">
              <w:rPr>
                <w:sz w:val="16"/>
                <w:lang w:val="es-ES"/>
              </w:rPr>
              <w:t>la capacidad de velar por que se alcancen los niveles de traducción previstos, gracias a la supervisión activa y la presentación de informes sobre la situación de cada petición de traducción.</w:t>
            </w:r>
          </w:p>
        </w:tc>
      </w:tr>
      <w:tr w:rsidR="00C91295" w:rsidRPr="00526311" w:rsidTr="009F2002">
        <w:trPr>
          <w:trHeight w:val="564"/>
          <w:jc w:val="center"/>
        </w:trPr>
        <w:tc>
          <w:tcPr>
            <w:tcW w:w="2284" w:type="pct"/>
            <w:shd w:val="clear" w:color="auto" w:fill="auto"/>
          </w:tcPr>
          <w:p w:rsidR="00C91295" w:rsidRPr="00526311" w:rsidRDefault="00C91295" w:rsidP="00F1387F">
            <w:pPr>
              <w:rPr>
                <w:b/>
                <w:bCs/>
                <w:i/>
                <w:iCs/>
                <w:sz w:val="16"/>
                <w:szCs w:val="16"/>
              </w:rPr>
            </w:pPr>
            <w:r w:rsidRPr="00526311">
              <w:rPr>
                <w:b/>
                <w:bCs/>
                <w:i/>
                <w:iCs/>
                <w:sz w:val="16"/>
                <w:szCs w:val="16"/>
              </w:rPr>
              <w:t>Tras la puesta en funcionamiento de la configuración del sistema de ECM para los informes de misión:</w:t>
            </w:r>
          </w:p>
          <w:p w:rsidR="00C91295" w:rsidRPr="00526311" w:rsidRDefault="00C91295" w:rsidP="00F1387F">
            <w:pPr>
              <w:contextualSpacing/>
              <w:jc w:val="both"/>
              <w:rPr>
                <w:sz w:val="16"/>
              </w:rPr>
            </w:pPr>
            <w:r w:rsidRPr="00526311">
              <w:rPr>
                <w:sz w:val="16"/>
              </w:rPr>
              <w:t>El contenido de los informes de misión, así como la información relativa a las misiones previstas, será susceptible de búsqueda en toda la Organización;  en consecuencia:</w:t>
            </w:r>
          </w:p>
          <w:p w:rsidR="00C91295" w:rsidRPr="00526311" w:rsidRDefault="00C91295" w:rsidP="00C91295">
            <w:pPr>
              <w:pStyle w:val="ListParagraph"/>
              <w:numPr>
                <w:ilvl w:val="0"/>
                <w:numId w:val="100"/>
              </w:numPr>
              <w:ind w:left="318" w:hanging="318"/>
              <w:contextualSpacing/>
              <w:jc w:val="both"/>
              <w:rPr>
                <w:sz w:val="16"/>
                <w:lang w:val="es-ES"/>
              </w:rPr>
            </w:pPr>
            <w:r w:rsidRPr="00526311">
              <w:rPr>
                <w:sz w:val="16"/>
                <w:lang w:val="es-ES"/>
              </w:rPr>
              <w:t>podría reducirse el número de misiones, en el caso de que se superpongan los viajes o los puntos a tratar que figuran en las agendas de misión, lo que permitiría reducir los costos;</w:t>
            </w:r>
          </w:p>
          <w:p w:rsidR="00C91295" w:rsidRPr="00526311" w:rsidRDefault="00C91295" w:rsidP="00C91295">
            <w:pPr>
              <w:pStyle w:val="ListParagraph"/>
              <w:numPr>
                <w:ilvl w:val="0"/>
                <w:numId w:val="100"/>
              </w:numPr>
              <w:ind w:left="318" w:hanging="283"/>
              <w:contextualSpacing/>
              <w:jc w:val="both"/>
              <w:rPr>
                <w:b/>
                <w:bCs/>
                <w:i/>
                <w:iCs/>
                <w:sz w:val="16"/>
                <w:szCs w:val="16"/>
                <w:lang w:val="es-ES"/>
              </w:rPr>
            </w:pPr>
            <w:r w:rsidRPr="00526311">
              <w:rPr>
                <w:sz w:val="16"/>
                <w:lang w:val="es-ES"/>
              </w:rPr>
              <w:t xml:space="preserve">las misiones resultarán más productivas porque el personal de la OMPI tendrá acceso a </w:t>
            </w:r>
            <w:r w:rsidRPr="00526311">
              <w:rPr>
                <w:sz w:val="16"/>
                <w:lang w:val="es-ES"/>
              </w:rPr>
              <w:lastRenderedPageBreak/>
              <w:t>mayor cantidad de información relativa a misiones anteriores a un país u organización determinados, y estará preparado para responder a las preguntas pendientes que puedan haber sido formuladas en una misión anterior.</w:t>
            </w:r>
          </w:p>
        </w:tc>
        <w:tc>
          <w:tcPr>
            <w:tcW w:w="2716" w:type="pct"/>
            <w:shd w:val="clear" w:color="auto" w:fill="auto"/>
          </w:tcPr>
          <w:p w:rsidR="00C91295" w:rsidRPr="00526311" w:rsidRDefault="00C91295" w:rsidP="00F1387F">
            <w:pPr>
              <w:rPr>
                <w:b/>
                <w:bCs/>
                <w:i/>
                <w:iCs/>
                <w:sz w:val="16"/>
                <w:szCs w:val="16"/>
              </w:rPr>
            </w:pPr>
            <w:r w:rsidRPr="00526311">
              <w:rPr>
                <w:b/>
                <w:bCs/>
                <w:i/>
                <w:iCs/>
                <w:sz w:val="16"/>
                <w:szCs w:val="16"/>
              </w:rPr>
              <w:lastRenderedPageBreak/>
              <w:t>Tras la puesta en funcionamiento de la configuración del sistema de ECM para toda la Organización:</w:t>
            </w:r>
          </w:p>
          <w:p w:rsidR="00C91295" w:rsidRPr="00526311" w:rsidRDefault="00C91295" w:rsidP="00F1387F">
            <w:pPr>
              <w:contextualSpacing/>
              <w:jc w:val="both"/>
              <w:rPr>
                <w:sz w:val="16"/>
                <w:szCs w:val="16"/>
              </w:rPr>
            </w:pPr>
            <w:r w:rsidRPr="00526311">
              <w:rPr>
                <w:sz w:val="16"/>
                <w:szCs w:val="16"/>
              </w:rPr>
              <w:t>La implantación de la gestión de contenidos institucionales en la OMPI en su conjunto, al respaldar los cambios culturales relativos al intercambio de conocimientos y la gestión de la información en la Organización, además del subproyecto que dará “logros iniciales”, tendrá como consecuencia:</w:t>
            </w:r>
          </w:p>
          <w:p w:rsidR="00C91295" w:rsidRPr="00526311" w:rsidRDefault="00C91295" w:rsidP="00C91295">
            <w:pPr>
              <w:pStyle w:val="ListParagraph"/>
              <w:numPr>
                <w:ilvl w:val="0"/>
                <w:numId w:val="100"/>
              </w:numPr>
              <w:ind w:left="335" w:hanging="283"/>
              <w:contextualSpacing/>
              <w:jc w:val="both"/>
              <w:rPr>
                <w:sz w:val="16"/>
                <w:szCs w:val="16"/>
                <w:lang w:val="es-ES"/>
              </w:rPr>
            </w:pPr>
            <w:r w:rsidRPr="00526311">
              <w:rPr>
                <w:sz w:val="16"/>
                <w:szCs w:val="16"/>
                <w:lang w:val="es-ES"/>
              </w:rPr>
              <w:t>la capacidad de realizar búsquedas en la totalidad de la base de conocimientos de la OMPI, reduciendo el volumen de creación y el registro por duplicado de conocimientos, gracias al intercambio de información;</w:t>
            </w:r>
          </w:p>
          <w:p w:rsidR="00C91295" w:rsidRPr="00526311" w:rsidRDefault="00C91295" w:rsidP="00C91295">
            <w:pPr>
              <w:pStyle w:val="ListParagraph"/>
              <w:numPr>
                <w:ilvl w:val="0"/>
                <w:numId w:val="100"/>
              </w:numPr>
              <w:ind w:left="335" w:hanging="283"/>
              <w:contextualSpacing/>
              <w:jc w:val="both"/>
              <w:rPr>
                <w:sz w:val="16"/>
                <w:szCs w:val="16"/>
                <w:lang w:val="es-ES"/>
              </w:rPr>
            </w:pPr>
            <w:r w:rsidRPr="00526311">
              <w:rPr>
                <w:sz w:val="16"/>
                <w:szCs w:val="16"/>
                <w:lang w:val="es-ES"/>
              </w:rPr>
              <w:t xml:space="preserve">la capacidad de extender la aplicación efectiva de la Política de gestión de los expedientes y archivos a un </w:t>
            </w:r>
            <w:r w:rsidRPr="00526311">
              <w:rPr>
                <w:sz w:val="16"/>
                <w:szCs w:val="16"/>
                <w:lang w:val="es-ES"/>
              </w:rPr>
              <w:lastRenderedPageBreak/>
              <w:t>número mayor de unidades operativas;</w:t>
            </w:r>
          </w:p>
          <w:p w:rsidR="00C91295" w:rsidRPr="00526311" w:rsidRDefault="00C91295" w:rsidP="00C91295">
            <w:pPr>
              <w:pStyle w:val="ListParagraph"/>
              <w:numPr>
                <w:ilvl w:val="0"/>
                <w:numId w:val="100"/>
              </w:numPr>
              <w:ind w:left="335" w:hanging="283"/>
              <w:contextualSpacing/>
              <w:jc w:val="both"/>
              <w:rPr>
                <w:sz w:val="16"/>
                <w:szCs w:val="16"/>
                <w:lang w:val="es-ES"/>
              </w:rPr>
            </w:pPr>
            <w:r w:rsidRPr="00526311">
              <w:rPr>
                <w:sz w:val="16"/>
                <w:szCs w:val="16"/>
                <w:lang w:val="es-ES"/>
              </w:rPr>
              <w:t>la capacidad de reducir los costos actuales de archivo físico de documentos, a medida que esos documentos pasan al formato electrónico;</w:t>
            </w:r>
          </w:p>
          <w:p w:rsidR="00C91295" w:rsidRPr="00526311" w:rsidRDefault="00C91295" w:rsidP="00C91295">
            <w:pPr>
              <w:pStyle w:val="ListParagraph"/>
              <w:numPr>
                <w:ilvl w:val="0"/>
                <w:numId w:val="100"/>
              </w:numPr>
              <w:ind w:left="335" w:hanging="283"/>
              <w:contextualSpacing/>
              <w:jc w:val="both"/>
              <w:rPr>
                <w:sz w:val="16"/>
                <w:szCs w:val="16"/>
                <w:lang w:val="es-ES"/>
              </w:rPr>
            </w:pPr>
            <w:r w:rsidRPr="00526311">
              <w:rPr>
                <w:sz w:val="16"/>
                <w:szCs w:val="16"/>
                <w:lang w:val="es-ES"/>
              </w:rPr>
              <w:t>la capacidad de reducir los costos de almacenamiento electrónico de documentos, pues la capacidad de realizar búsquedas en la totalidad del acervo de conocimientos de la Organización debería reducir el nivel de modificaciones introducidas y de registro por duplicado de conocimientos.</w:t>
            </w:r>
          </w:p>
          <w:p w:rsidR="00C91295" w:rsidRPr="00526311" w:rsidRDefault="00C91295" w:rsidP="00F1387F">
            <w:pPr>
              <w:rPr>
                <w:b/>
                <w:bCs/>
                <w:i/>
                <w:iCs/>
                <w:sz w:val="16"/>
                <w:szCs w:val="16"/>
              </w:rPr>
            </w:pPr>
          </w:p>
        </w:tc>
      </w:tr>
    </w:tbl>
    <w:p w:rsidR="00C91295" w:rsidRPr="00526311" w:rsidRDefault="00C91295" w:rsidP="00F1387F">
      <w:pPr>
        <w:jc w:val="both"/>
        <w:rPr>
          <w:sz w:val="20"/>
        </w:rPr>
      </w:pPr>
    </w:p>
    <w:p w:rsidR="00C91295" w:rsidRPr="00526311" w:rsidRDefault="00C91295">
      <w:pPr>
        <w:rPr>
          <w:sz w:val="20"/>
        </w:rPr>
      </w:pPr>
    </w:p>
    <w:p w:rsidR="00C91295" w:rsidRPr="00526311" w:rsidRDefault="00C91295" w:rsidP="00F1387F">
      <w:pPr>
        <w:rPr>
          <w:sz w:val="20"/>
        </w:rPr>
      </w:pPr>
      <w:r w:rsidRPr="00526311">
        <w:rPr>
          <w:sz w:val="20"/>
        </w:rPr>
        <w:t>UTILIZACIÓN DE LOS RECURSOS</w:t>
      </w:r>
    </w:p>
    <w:p w:rsidR="00C91295" w:rsidRPr="00526311" w:rsidRDefault="00C91295" w:rsidP="00F1387F">
      <w:pPr>
        <w:rPr>
          <w:sz w:val="20"/>
        </w:rPr>
      </w:pPr>
    </w:p>
    <w:p w:rsidR="00C91295" w:rsidRPr="00526311" w:rsidRDefault="00C91295" w:rsidP="00F1387F">
      <w:pPr>
        <w:tabs>
          <w:tab w:val="left" w:pos="3261"/>
        </w:tabs>
        <w:autoSpaceDE w:val="0"/>
        <w:autoSpaceDN w:val="0"/>
        <w:adjustRightInd w:val="0"/>
        <w:jc w:val="center"/>
        <w:rPr>
          <w:b/>
          <w:sz w:val="20"/>
        </w:rPr>
      </w:pPr>
      <w:r w:rsidRPr="00526311">
        <w:rPr>
          <w:b/>
          <w:sz w:val="20"/>
        </w:rPr>
        <w:t>Utilización del presupuesto del proyecto</w:t>
      </w:r>
    </w:p>
    <w:p w:rsidR="00C91295" w:rsidRPr="00526311" w:rsidRDefault="00C91295" w:rsidP="00F1387F">
      <w:pPr>
        <w:tabs>
          <w:tab w:val="left" w:pos="3261"/>
        </w:tabs>
        <w:autoSpaceDE w:val="0"/>
        <w:autoSpaceDN w:val="0"/>
        <w:adjustRightInd w:val="0"/>
        <w:jc w:val="center"/>
        <w:rPr>
          <w:i/>
          <w:iCs/>
          <w:sz w:val="18"/>
          <w:szCs w:val="18"/>
        </w:rPr>
      </w:pPr>
      <w:r w:rsidRPr="00526311">
        <w:rPr>
          <w:i/>
          <w:iCs/>
          <w:sz w:val="18"/>
          <w:szCs w:val="18"/>
        </w:rPr>
        <w:t>(en francos suizos, al 31 de diciembre de 2014)</w:t>
      </w:r>
    </w:p>
    <w:p w:rsidR="00C91295" w:rsidRPr="00526311" w:rsidRDefault="00C91295" w:rsidP="00F1387F">
      <w:pPr>
        <w:rPr>
          <w:szCs w:val="22"/>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91295" w:rsidRPr="00526311" w:rsidTr="00F1387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74" w:right="-60"/>
              <w:jc w:val="center"/>
              <w:rPr>
                <w:b/>
                <w:bCs/>
                <w:sz w:val="16"/>
                <w:szCs w:val="16"/>
              </w:rPr>
            </w:pPr>
            <w:r w:rsidRPr="00526311">
              <w:rPr>
                <w:b/>
                <w:bCs/>
                <w:sz w:val="16"/>
                <w:szCs w:val="16"/>
              </w:rPr>
              <w:t>Nombre del proyecto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7" w:right="-108"/>
              <w:jc w:val="center"/>
              <w:rPr>
                <w:b/>
                <w:bCs/>
                <w:sz w:val="16"/>
                <w:szCs w:val="16"/>
              </w:rPr>
            </w:pPr>
            <w:r w:rsidRPr="00526311">
              <w:rPr>
                <w:b/>
                <w:bCs/>
                <w:sz w:val="16"/>
                <w:szCs w:val="16"/>
              </w:rPr>
              <w:t>Presupuesto del proyecto</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73" w:firstLine="1"/>
              <w:jc w:val="center"/>
              <w:rPr>
                <w:b/>
                <w:bCs/>
                <w:sz w:val="16"/>
                <w:szCs w:val="16"/>
              </w:rPr>
            </w:pPr>
            <w:r w:rsidRPr="00526311">
              <w:rPr>
                <w:b/>
                <w:bCs/>
                <w:sz w:val="16"/>
                <w:szCs w:val="16"/>
              </w:rPr>
              <w:t>Índice de avance en la ejecución del proyecto</w:t>
            </w:r>
          </w:p>
        </w:tc>
      </w:tr>
      <w:tr w:rsidR="00C91295" w:rsidRPr="00526311" w:rsidTr="00F1387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Proyecto de aplicación de la ECM</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2.068.000</w:t>
            </w:r>
          </w:p>
        </w:tc>
        <w:tc>
          <w:tcPr>
            <w:tcW w:w="851"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35.170</w:t>
            </w:r>
          </w:p>
        </w:tc>
        <w:tc>
          <w:tcPr>
            <w:tcW w:w="851"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1,7%</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w:t>
            </w:r>
          </w:p>
        </w:tc>
      </w:tr>
    </w:tbl>
    <w:p w:rsidR="00C91295" w:rsidRPr="00526311" w:rsidRDefault="00C91295" w:rsidP="00F1387F">
      <w:pPr>
        <w:tabs>
          <w:tab w:val="left" w:pos="3261"/>
        </w:tabs>
        <w:autoSpaceDE w:val="0"/>
        <w:autoSpaceDN w:val="0"/>
        <w:adjustRightInd w:val="0"/>
        <w:rPr>
          <w:sz w:val="20"/>
        </w:rPr>
      </w:pPr>
    </w:p>
    <w:p w:rsidR="00C91295" w:rsidRPr="00526311" w:rsidRDefault="00C91295" w:rsidP="00F1387F">
      <w:pPr>
        <w:rPr>
          <w:sz w:val="20"/>
        </w:rPr>
      </w:pPr>
    </w:p>
    <w:p w:rsidR="00C91295" w:rsidRPr="00526311" w:rsidRDefault="00C91295" w:rsidP="009A436F">
      <w:pPr>
        <w:keepNext/>
        <w:keepLines/>
        <w:rPr>
          <w:sz w:val="20"/>
        </w:rPr>
      </w:pPr>
      <w:r w:rsidRPr="00526311">
        <w:rPr>
          <w:sz w:val="20"/>
        </w:rPr>
        <w:lastRenderedPageBreak/>
        <w:t>CALENDARIO DEL PROYECTO, POR ETAPA</w:t>
      </w:r>
    </w:p>
    <w:p w:rsidR="00C91295" w:rsidRPr="00526311" w:rsidRDefault="00C91295" w:rsidP="009A436F">
      <w:pPr>
        <w:keepNext/>
        <w:keepLines/>
        <w:autoSpaceDE w:val="0"/>
        <w:autoSpaceDN w:val="0"/>
        <w:jc w:val="both"/>
        <w:rPr>
          <w:sz w:val="20"/>
        </w:rPr>
      </w:pPr>
    </w:p>
    <w:tbl>
      <w:tblPr>
        <w:tblW w:w="9520" w:type="dxa"/>
        <w:jc w:val="center"/>
        <w:tblInd w:w="93" w:type="dxa"/>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C91295" w:rsidRPr="00526311" w:rsidTr="00F1387F">
        <w:trPr>
          <w:trHeight w:val="270"/>
          <w:jc w:val="center"/>
        </w:trPr>
        <w:tc>
          <w:tcPr>
            <w:tcW w:w="1840" w:type="dxa"/>
            <w:tcBorders>
              <w:top w:val="nil"/>
              <w:left w:val="nil"/>
              <w:bottom w:val="nil"/>
              <w:right w:val="nil"/>
            </w:tcBorders>
            <w:shd w:val="clear" w:color="auto" w:fill="auto"/>
            <w:noWrap/>
            <w:vAlign w:val="bottom"/>
            <w:hideMark/>
          </w:tcPr>
          <w:p w:rsidR="00C91295" w:rsidRPr="00526311" w:rsidRDefault="00C91295" w:rsidP="009A436F">
            <w:pPr>
              <w:keepNext/>
              <w:keepLines/>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91295" w:rsidRPr="00526311" w:rsidRDefault="00C91295" w:rsidP="009A436F">
            <w:pPr>
              <w:keepNext/>
              <w:keepLines/>
              <w:jc w:val="center"/>
              <w:rPr>
                <w:b/>
                <w:bCs/>
                <w:sz w:val="16"/>
                <w:szCs w:val="16"/>
              </w:rPr>
            </w:pPr>
            <w:r w:rsidRPr="00526311">
              <w:rPr>
                <w:b/>
                <w:bCs/>
                <w:sz w:val="16"/>
                <w:szCs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91295" w:rsidRPr="00526311" w:rsidRDefault="00C91295" w:rsidP="009A436F">
            <w:pPr>
              <w:keepNext/>
              <w:keepLines/>
              <w:jc w:val="center"/>
              <w:rPr>
                <w:b/>
                <w:bCs/>
                <w:sz w:val="16"/>
                <w:szCs w:val="16"/>
              </w:rPr>
            </w:pPr>
            <w:r w:rsidRPr="00526311">
              <w:rPr>
                <w:b/>
                <w:bCs/>
                <w:sz w:val="16"/>
                <w:szCs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91295" w:rsidRPr="00526311" w:rsidRDefault="00C91295" w:rsidP="009A436F">
            <w:pPr>
              <w:keepNext/>
              <w:keepLines/>
              <w:jc w:val="center"/>
              <w:rPr>
                <w:b/>
                <w:bCs/>
                <w:sz w:val="16"/>
                <w:szCs w:val="16"/>
              </w:rPr>
            </w:pPr>
            <w:r w:rsidRPr="00526311">
              <w:rPr>
                <w:b/>
                <w:bCs/>
                <w:sz w:val="16"/>
                <w:szCs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91295" w:rsidRPr="00526311" w:rsidRDefault="00C91295" w:rsidP="009A436F">
            <w:pPr>
              <w:keepNext/>
              <w:keepLines/>
              <w:jc w:val="center"/>
              <w:rPr>
                <w:b/>
                <w:bCs/>
                <w:sz w:val="16"/>
                <w:szCs w:val="16"/>
              </w:rPr>
            </w:pPr>
            <w:r w:rsidRPr="00526311">
              <w:rPr>
                <w:b/>
                <w:bCs/>
                <w:sz w:val="16"/>
                <w:szCs w:val="16"/>
              </w:rPr>
              <w:t>2017</w:t>
            </w:r>
          </w:p>
        </w:tc>
      </w:tr>
      <w:tr w:rsidR="00C91295" w:rsidRPr="00526311" w:rsidTr="00F1387F">
        <w:trPr>
          <w:trHeight w:val="375"/>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Etapa fundamental</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T4</w:t>
            </w:r>
          </w:p>
        </w:tc>
      </w:tr>
      <w:tr w:rsidR="00C91295" w:rsidRPr="00526311" w:rsidTr="00F1387F">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r w:rsidRPr="00526311">
              <w:rPr>
                <w:sz w:val="16"/>
                <w:szCs w:val="16"/>
              </w:rPr>
              <w:t>Estudio</w:t>
            </w: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r>
      <w:tr w:rsidR="00C91295" w:rsidRPr="00526311" w:rsidTr="00F1387F">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xml:space="preserve">Selección de la tecnología de ECM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r>
      <w:tr w:rsidR="00C91295" w:rsidRPr="00526311" w:rsidTr="00F1387F">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Licitación para designar el socio en la implantación</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X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r>
      <w:tr w:rsidR="00C91295" w:rsidRPr="00526311" w:rsidTr="00F1387F">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Aceptación de la configuración de base de la ECM</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r>
      <w:tr w:rsidR="00C91295" w:rsidRPr="00526311" w:rsidTr="00F1387F">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Aceptación de la configuración para expedientes y archivos</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r>
      <w:tr w:rsidR="00C91295" w:rsidRPr="00526311" w:rsidTr="00F1387F">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Puesta en funcionamiento de la configuración de ECM para gestión de proveedores y contratos</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X</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r>
      <w:tr w:rsidR="00C91295" w:rsidRPr="00526311" w:rsidTr="00F1387F">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r w:rsidRPr="00526311">
              <w:rPr>
                <w:sz w:val="16"/>
                <w:szCs w:val="16"/>
              </w:rPr>
              <w:t>Puesta en funcionamiento de la configuración de ECM para correo entrante en la Oficina del Director General</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r w:rsidRPr="00526311">
              <w:rPr>
                <w:sz w:val="16"/>
                <w:szCs w:val="16"/>
              </w:rPr>
              <w:t>X</w:t>
            </w: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r>
      <w:tr w:rsidR="00C91295" w:rsidRPr="00526311" w:rsidTr="00F1387F">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r w:rsidRPr="00526311">
              <w:rPr>
                <w:sz w:val="16"/>
                <w:szCs w:val="16"/>
              </w:rPr>
              <w:t>Puesta en funcionamiento de la configuración de ECM para informes de misión</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r w:rsidRPr="00526311">
              <w:rPr>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r>
      <w:tr w:rsidR="00C91295" w:rsidRPr="00526311" w:rsidTr="00F1387F">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C91295" w:rsidRPr="00526311" w:rsidRDefault="00C91295" w:rsidP="00345563">
            <w:pPr>
              <w:keepNext/>
              <w:keepLines/>
              <w:rPr>
                <w:sz w:val="16"/>
                <w:szCs w:val="16"/>
              </w:rPr>
            </w:pPr>
            <w:r w:rsidRPr="00526311">
              <w:rPr>
                <w:sz w:val="16"/>
                <w:szCs w:val="16"/>
              </w:rPr>
              <w:t>Puesta en funcionamiento de la configuración de ECM para para los registros electrónicos de RRHH del personal</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r w:rsidRPr="00526311">
              <w:rPr>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r>
      <w:tr w:rsidR="00C91295" w:rsidRPr="00526311" w:rsidTr="00F1387F">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r w:rsidRPr="00526311">
              <w:rPr>
                <w:sz w:val="16"/>
                <w:szCs w:val="16"/>
              </w:rPr>
              <w:t>Puesta en funcionamiento de la configuración de ECM para el flujo de trabajo y la situación de las peticiones de traducción</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r w:rsidRPr="00526311">
              <w:rPr>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p>
        </w:tc>
      </w:tr>
      <w:tr w:rsidR="00C91295" w:rsidRPr="00526311" w:rsidTr="00F1387F">
        <w:trPr>
          <w:trHeight w:val="615"/>
          <w:jc w:val="center"/>
        </w:trPr>
        <w:tc>
          <w:tcPr>
            <w:tcW w:w="1840" w:type="dxa"/>
            <w:tcBorders>
              <w:top w:val="single" w:sz="4" w:space="0" w:color="auto"/>
              <w:left w:val="single" w:sz="8" w:space="0" w:color="auto"/>
              <w:bottom w:val="single" w:sz="8" w:space="0" w:color="auto"/>
              <w:right w:val="single" w:sz="8" w:space="0" w:color="auto"/>
            </w:tcBorders>
            <w:shd w:val="clear" w:color="auto" w:fill="auto"/>
            <w:noWrap/>
            <w:vAlign w:val="bottom"/>
          </w:tcPr>
          <w:p w:rsidR="00C91295" w:rsidRPr="00526311" w:rsidRDefault="00C91295" w:rsidP="00F1387F">
            <w:pPr>
              <w:rPr>
                <w:sz w:val="16"/>
                <w:szCs w:val="16"/>
              </w:rPr>
            </w:pPr>
            <w:r w:rsidRPr="00526311">
              <w:rPr>
                <w:sz w:val="16"/>
                <w:szCs w:val="16"/>
              </w:rPr>
              <w:t>Puesta en funcionamiento de la configuración del sistema de ECM para toda la Organización</w:t>
            </w: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91295" w:rsidRPr="00526311" w:rsidRDefault="00C91295" w:rsidP="00F1387F">
            <w:pPr>
              <w:rPr>
                <w:sz w:val="16"/>
                <w:szCs w:val="16"/>
              </w:rPr>
            </w:pPr>
            <w:r w:rsidRPr="00526311">
              <w:rPr>
                <w:sz w:val="16"/>
                <w:szCs w:val="16"/>
              </w:rPr>
              <w:t>X</w:t>
            </w: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C91295" w:rsidRPr="00526311" w:rsidRDefault="00C91295" w:rsidP="00F1387F">
            <w:pPr>
              <w:rPr>
                <w:sz w:val="16"/>
                <w:szCs w:val="16"/>
              </w:rPr>
            </w:pPr>
          </w:p>
        </w:tc>
      </w:tr>
    </w:tbl>
    <w:p w:rsidR="00C91295" w:rsidRPr="00526311" w:rsidRDefault="00C91295" w:rsidP="00F1387F">
      <w:pPr>
        <w:rPr>
          <w:b/>
          <w:szCs w:val="22"/>
        </w:rPr>
      </w:pPr>
    </w:p>
    <w:p w:rsidR="00C91295" w:rsidRPr="00526311" w:rsidRDefault="00C91295" w:rsidP="00F1387F">
      <w:pPr>
        <w:rPr>
          <w:b/>
        </w:rPr>
      </w:pPr>
      <w:r w:rsidRPr="00526311">
        <w:br w:type="page"/>
      </w:r>
      <w:r w:rsidRPr="00526311">
        <w:rPr>
          <w:b/>
        </w:rPr>
        <w:lastRenderedPageBreak/>
        <w:t>PROYECTOS RELACIONADOS CON LOS EDIFICIOS</w:t>
      </w:r>
    </w:p>
    <w:p w:rsidR="00C91295" w:rsidRPr="00526311" w:rsidRDefault="00C91295" w:rsidP="00F1387F">
      <w:pPr>
        <w:pStyle w:val="StyleHeading3BoldNounderline"/>
        <w:rPr>
          <w:b/>
          <w:lang w:val="es-ES"/>
        </w:rPr>
      </w:pPr>
      <w:bookmarkStart w:id="103" w:name="_Toc422210525"/>
      <w:bookmarkStart w:id="104" w:name="_Toc422927450"/>
      <w:r w:rsidRPr="00526311">
        <w:rPr>
          <w:b/>
          <w:lang w:val="es-ES"/>
        </w:rPr>
        <w:t xml:space="preserve">PROYECTO:  </w:t>
      </w:r>
      <w:bookmarkEnd w:id="103"/>
      <w:r w:rsidRPr="00526311">
        <w:rPr>
          <w:b/>
          <w:lang w:val="es-ES"/>
        </w:rPr>
        <w:t>RENOVACIÓN DE LAS FACHADAS E INSTALACIÓN DE REFRIGERACIÓN/CALEFACCIÓN EN EL EDIFICIO PCT</w:t>
      </w:r>
      <w:r w:rsidR="005D293E" w:rsidRPr="00526311">
        <w:rPr>
          <w:b/>
          <w:lang w:val="es-ES"/>
        </w:rPr>
        <w:t xml:space="preserve"> (PMM 3)</w:t>
      </w:r>
      <w:bookmarkEnd w:id="104"/>
    </w:p>
    <w:p w:rsidR="00C91295" w:rsidRPr="00526311" w:rsidRDefault="00C91295" w:rsidP="00F1387F">
      <w:pPr>
        <w:rPr>
          <w:b/>
          <w:sz w:val="20"/>
        </w:rPr>
      </w:pPr>
    </w:p>
    <w:p w:rsidR="00C91295" w:rsidRPr="00526311" w:rsidRDefault="00C91295" w:rsidP="00F1387F">
      <w:pPr>
        <w:rPr>
          <w:b/>
          <w:sz w:val="20"/>
        </w:rPr>
      </w:pPr>
      <w:r w:rsidRPr="00526311">
        <w:rPr>
          <w:b/>
          <w:sz w:val="20"/>
        </w:rPr>
        <w:t xml:space="preserve">Director de proyecto </w:t>
      </w:r>
      <w:r w:rsidRPr="00526311">
        <w:rPr>
          <w:b/>
          <w:sz w:val="20"/>
        </w:rPr>
        <w:tab/>
        <w:t xml:space="preserve">Sr.  A. </w:t>
      </w:r>
      <w:r w:rsidR="00345563" w:rsidRPr="00526311">
        <w:rPr>
          <w:b/>
          <w:sz w:val="20"/>
        </w:rPr>
        <w:t>Favero</w:t>
      </w:r>
    </w:p>
    <w:p w:rsidR="00C91295" w:rsidRPr="00526311" w:rsidRDefault="00C91295" w:rsidP="00F1387F">
      <w:pPr>
        <w:rPr>
          <w:b/>
          <w:sz w:val="20"/>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t>RESULTADO PREVISTO</w:t>
      </w:r>
    </w:p>
    <w:p w:rsidR="00C91295" w:rsidRPr="00526311" w:rsidRDefault="00C91295" w:rsidP="00F1387F">
      <w:pPr>
        <w:rPr>
          <w:bCs/>
          <w:sz w:val="20"/>
        </w:rPr>
      </w:pPr>
    </w:p>
    <w:p w:rsidR="00C91295" w:rsidRPr="00526311" w:rsidRDefault="00C91295" w:rsidP="00F1387F">
      <w:pPr>
        <w:rPr>
          <w:i/>
          <w:iCs/>
          <w:sz w:val="20"/>
        </w:rPr>
      </w:pPr>
      <w:r w:rsidRPr="00526311">
        <w:rPr>
          <w:i/>
          <w:iCs/>
          <w:sz w:val="20"/>
        </w:rPr>
        <w:t>IX.1 Servicios de apoyo eficaces, eficientes, de calidad y orientados al cliente, tanto a los clientes internos como a las partes interesadas externas.</w:t>
      </w:r>
    </w:p>
    <w:p w:rsidR="00C91295" w:rsidRPr="00526311" w:rsidRDefault="00C91295" w:rsidP="00F1387F">
      <w:pPr>
        <w:rPr>
          <w:bCs/>
          <w:sz w:val="20"/>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t>OBJETIVOS, ALCANCE Y ENFOQUE:  ANTECEDENTES</w:t>
      </w:r>
    </w:p>
    <w:p w:rsidR="00C91295" w:rsidRPr="00526311" w:rsidRDefault="00C91295" w:rsidP="00F1387F">
      <w:pPr>
        <w:rPr>
          <w:bCs/>
          <w:sz w:val="20"/>
        </w:rPr>
      </w:pPr>
    </w:p>
    <w:p w:rsidR="00C91295" w:rsidRPr="00526311" w:rsidRDefault="00C91295" w:rsidP="00C91295">
      <w:pPr>
        <w:pStyle w:val="ONUME"/>
        <w:numPr>
          <w:ilvl w:val="0"/>
          <w:numId w:val="113"/>
        </w:numPr>
        <w:tabs>
          <w:tab w:val="left" w:pos="567"/>
        </w:tabs>
        <w:ind w:left="0" w:firstLine="0"/>
        <w:jc w:val="both"/>
        <w:rPr>
          <w:sz w:val="20"/>
        </w:rPr>
      </w:pPr>
      <w:r w:rsidRPr="00526311">
        <w:rPr>
          <w:sz w:val="20"/>
        </w:rPr>
        <w:t xml:space="preserve">Este proyecto tiene dos objetivos:  i) sustituir totalmente la instalación del sistema de refrigeración y calefacción, en el falso techo de los pisos superiores del edificio PCT, y ii) realizar una importante renovación de los elementos estructurales de todas las fachadas de ese edificio (es decir, dejando de lado, por lo general, las ventanas).  En los últimos años, se ha determinado que ya no eran sostenibles las pequeñas reparaciones menores </w:t>
      </w:r>
      <w:r w:rsidRPr="00526311">
        <w:rPr>
          <w:i/>
          <w:sz w:val="20"/>
        </w:rPr>
        <w:t>ad hoc</w:t>
      </w:r>
      <w:r w:rsidRPr="00526311">
        <w:rPr>
          <w:sz w:val="20"/>
        </w:rPr>
        <w:t xml:space="preserve"> que se han hecho durante unos 10 años en casos de avería y de imposibilidad de controlar la temperatura, demasiado alta o baja, en las oficinas.  Además, varios componentes de la instalación actual de refrigeración y calefacción ya no están disponibles en el comercio, al igual que los repuestos, lo que pondría en riesgo, a corto plazo, la viabilidad de toda la instalación de refrigeración y calefacción del edificio.  El desperdicio de energía causado por los sistemas e instalaciones defectuosos y por los elementos estructurales defectuosos de las fachadas es significativo y no hará más que aumentar año tras año.  En 2011, se realizó una auditoría técnica de la instalación de refrigeración y calefacción;  en el primer semestre de 2013 se realizó una auditoría técnica de las fachadas.</w:t>
      </w:r>
    </w:p>
    <w:p w:rsidR="00C91295" w:rsidRPr="00526311" w:rsidRDefault="00C91295" w:rsidP="00C91295">
      <w:pPr>
        <w:pStyle w:val="ONUME"/>
        <w:numPr>
          <w:ilvl w:val="0"/>
          <w:numId w:val="113"/>
        </w:numPr>
        <w:tabs>
          <w:tab w:val="left" w:pos="567"/>
        </w:tabs>
        <w:ind w:left="0" w:firstLine="0"/>
        <w:jc w:val="both"/>
        <w:rPr>
          <w:sz w:val="20"/>
        </w:rPr>
      </w:pPr>
      <w:r w:rsidRPr="00526311">
        <w:rPr>
          <w:sz w:val="20"/>
        </w:rPr>
        <w:t xml:space="preserve">Los resultados previstos de la renovación son el pleno funcionamiento y la fiabilidad de la instalación de refrigeración y calefacción y de las fachadas, así como una significativa reducción del consumo de energía, poniendo fin al desperdicio actual.  </w:t>
      </w:r>
    </w:p>
    <w:p w:rsidR="00C91295" w:rsidRPr="00526311" w:rsidRDefault="00C91295" w:rsidP="00C91295">
      <w:pPr>
        <w:pStyle w:val="ONUME"/>
        <w:numPr>
          <w:ilvl w:val="0"/>
          <w:numId w:val="113"/>
        </w:numPr>
        <w:tabs>
          <w:tab w:val="left" w:pos="567"/>
        </w:tabs>
        <w:ind w:left="0" w:firstLine="0"/>
        <w:jc w:val="both"/>
        <w:rPr>
          <w:bCs/>
          <w:sz w:val="20"/>
        </w:rPr>
      </w:pPr>
      <w:r w:rsidRPr="00526311">
        <w:rPr>
          <w:sz w:val="20"/>
        </w:rPr>
        <w:t xml:space="preserve">Los objetivos del proyecto son:  i) reducir el desperdicio de energía (fachadas);  ii) reducir el consumo de energía (falso techo térmico y fachadas);  iii) mejorar las instalaciones técnicas para reducir la necesidad de mantenimiento (falso techo térmico y fachadas);  iv) mejorar la comodidad de los ocupantes;  v) utilizar </w:t>
      </w:r>
      <w:r w:rsidRPr="00526311">
        <w:rPr>
          <w:bCs/>
          <w:sz w:val="20"/>
        </w:rPr>
        <w:t>tecnologías modernas y respetuosas del medio amiente;  y vi) modernizar las instalaciones para alargar sus ciclos de vida útil (falso techo térmico).</w:t>
      </w:r>
    </w:p>
    <w:p w:rsidR="00C91295" w:rsidRPr="00526311" w:rsidRDefault="00C91295" w:rsidP="00F1387F">
      <w:pPr>
        <w:rPr>
          <w:bCs/>
          <w:sz w:val="20"/>
        </w:rPr>
      </w:pPr>
      <w:r w:rsidRPr="00526311">
        <w:rPr>
          <w:bCs/>
          <w:sz w:val="20"/>
        </w:rPr>
        <w:t>RESEÑA DE LOS AVANCES LOGRADOS EN 2014 (ETAPAS FUNDAMENTALES)</w:t>
      </w:r>
    </w:p>
    <w:p w:rsidR="00C91295" w:rsidRPr="00526311" w:rsidRDefault="00C91295" w:rsidP="00F1387F">
      <w:pPr>
        <w:rPr>
          <w:bCs/>
          <w:sz w:val="20"/>
        </w:rPr>
      </w:pPr>
    </w:p>
    <w:p w:rsidR="00C91295" w:rsidRPr="00526311" w:rsidRDefault="00C91295" w:rsidP="00C91295">
      <w:pPr>
        <w:pStyle w:val="ONUME"/>
        <w:numPr>
          <w:ilvl w:val="0"/>
          <w:numId w:val="113"/>
        </w:numPr>
        <w:tabs>
          <w:tab w:val="left" w:pos="567"/>
        </w:tabs>
        <w:ind w:left="0" w:firstLine="0"/>
        <w:jc w:val="both"/>
        <w:rPr>
          <w:bCs/>
          <w:sz w:val="20"/>
        </w:rPr>
      </w:pPr>
      <w:r w:rsidRPr="00526311">
        <w:rPr>
          <w:bCs/>
          <w:sz w:val="20"/>
        </w:rPr>
        <w:t>En 2014, se realizaron los avances siguientes:</w:t>
      </w:r>
    </w:p>
    <w:p w:rsidR="00C91295" w:rsidRPr="00526311" w:rsidRDefault="00C91295" w:rsidP="00C91295">
      <w:pPr>
        <w:pStyle w:val="ListParagraph"/>
        <w:numPr>
          <w:ilvl w:val="0"/>
          <w:numId w:val="103"/>
        </w:numPr>
        <w:spacing w:after="120"/>
        <w:ind w:left="992" w:hanging="425"/>
        <w:rPr>
          <w:bCs/>
          <w:lang w:val="es-ES"/>
        </w:rPr>
      </w:pPr>
      <w:r w:rsidRPr="00526311">
        <w:rPr>
          <w:bCs/>
          <w:lang w:val="es-ES"/>
        </w:rPr>
        <w:t>redacción y publicación de la convocatoria a presentar expresiones de interés para el piloto/arquitecto;</w:t>
      </w:r>
    </w:p>
    <w:p w:rsidR="00C91295" w:rsidRPr="00526311" w:rsidRDefault="00C91295" w:rsidP="00C91295">
      <w:pPr>
        <w:pStyle w:val="ListParagraph"/>
        <w:numPr>
          <w:ilvl w:val="0"/>
          <w:numId w:val="103"/>
        </w:numPr>
        <w:shd w:val="clear" w:color="auto" w:fill="FFFFFF" w:themeFill="background1"/>
        <w:spacing w:after="120"/>
        <w:ind w:left="992" w:hanging="425"/>
        <w:rPr>
          <w:bCs/>
          <w:lang w:val="es-ES"/>
        </w:rPr>
      </w:pPr>
      <w:r w:rsidRPr="00526311">
        <w:rPr>
          <w:bCs/>
          <w:lang w:val="es-ES"/>
        </w:rPr>
        <w:t>finalización de la preselección de candidatos y evaluación de la convocatoria a presentar expresiones de interés para el mandato del piloto/arquitecto;  y</w:t>
      </w:r>
    </w:p>
    <w:p w:rsidR="00C91295" w:rsidRPr="00526311" w:rsidRDefault="00C91295" w:rsidP="00C91295">
      <w:pPr>
        <w:pStyle w:val="ListParagraph"/>
        <w:numPr>
          <w:ilvl w:val="0"/>
          <w:numId w:val="103"/>
        </w:numPr>
        <w:shd w:val="clear" w:color="auto" w:fill="FFFFFF" w:themeFill="background1"/>
        <w:ind w:left="993" w:hanging="426"/>
        <w:rPr>
          <w:bCs/>
          <w:lang w:val="es-ES"/>
        </w:rPr>
      </w:pPr>
      <w:r w:rsidRPr="00526311">
        <w:rPr>
          <w:bCs/>
          <w:lang w:val="es-ES"/>
        </w:rPr>
        <w:t>redacción de las especificaciones técnicas del llamado a licitación para el piloto/arquitecto.</w:t>
      </w:r>
    </w:p>
    <w:p w:rsidR="00C91295" w:rsidRPr="00526311" w:rsidRDefault="00C91295" w:rsidP="00F1387F">
      <w:pPr>
        <w:pStyle w:val="ListParagraph"/>
        <w:shd w:val="clear" w:color="auto" w:fill="FFFFFF" w:themeFill="background1"/>
        <w:rPr>
          <w:bCs/>
          <w:lang w:val="es-ES"/>
        </w:rPr>
      </w:pPr>
    </w:p>
    <w:p w:rsidR="00C91295" w:rsidRPr="00526311" w:rsidRDefault="00C91295" w:rsidP="00C91295">
      <w:pPr>
        <w:pStyle w:val="ONUME"/>
        <w:numPr>
          <w:ilvl w:val="0"/>
          <w:numId w:val="113"/>
        </w:numPr>
        <w:tabs>
          <w:tab w:val="left" w:pos="567"/>
        </w:tabs>
        <w:ind w:left="0" w:firstLine="0"/>
        <w:jc w:val="both"/>
        <w:rPr>
          <w:bCs/>
          <w:sz w:val="20"/>
        </w:rPr>
      </w:pPr>
      <w:r w:rsidRPr="00526311">
        <w:rPr>
          <w:bCs/>
          <w:sz w:val="20"/>
        </w:rPr>
        <w:t xml:space="preserve">Debido a la demora en la finalización (desde comienzos de 2014 hasta septiembre del mismo año) de la nueva sala de conferencias de la OMPI, el inicio del proyecto se pospuso de nueve meses en relación con el plan original.  El calendario del proyecto se extendió hasta 2018, según queda reflejado en los cuadros que figuran </w:t>
      </w:r>
      <w:r w:rsidRPr="00526311">
        <w:rPr>
          <w:bCs/>
          <w:i/>
          <w:sz w:val="20"/>
        </w:rPr>
        <w:t>infra</w:t>
      </w:r>
      <w:r w:rsidRPr="00526311">
        <w:rPr>
          <w:bCs/>
          <w:sz w:val="20"/>
        </w:rPr>
        <w:t>.</w:t>
      </w:r>
    </w:p>
    <w:p w:rsidR="00C91295" w:rsidRPr="00526311" w:rsidRDefault="00C91295" w:rsidP="00F1387F">
      <w:pPr>
        <w:keepNext/>
        <w:keepLines/>
        <w:shd w:val="clear" w:color="auto" w:fill="FFFFFF" w:themeFill="background1"/>
        <w:rPr>
          <w:bCs/>
          <w:sz w:val="20"/>
        </w:rPr>
      </w:pPr>
    </w:p>
    <w:p w:rsidR="00C91295" w:rsidRPr="00526311" w:rsidRDefault="00C91295" w:rsidP="00F1387F">
      <w:pPr>
        <w:keepNext/>
        <w:keepLines/>
        <w:rPr>
          <w:bCs/>
          <w:sz w:val="20"/>
        </w:rPr>
      </w:pPr>
      <w:r w:rsidRPr="00526311">
        <w:rPr>
          <w:bCs/>
          <w:sz w:val="20"/>
        </w:rPr>
        <w:t>OBTENCIÓN DE BENEFICIOS</w:t>
      </w:r>
    </w:p>
    <w:p w:rsidR="00C91295" w:rsidRPr="00526311" w:rsidRDefault="00C91295" w:rsidP="00F1387F">
      <w:pPr>
        <w:keepNext/>
        <w:keepLines/>
        <w:rPr>
          <w:sz w:val="20"/>
        </w:rPr>
      </w:pPr>
    </w:p>
    <w:tbl>
      <w:tblPr>
        <w:tblW w:w="4223" w:type="pct"/>
        <w:jc w:val="center"/>
        <w:tblInd w:w="-1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0"/>
        <w:gridCol w:w="4254"/>
      </w:tblGrid>
      <w:tr w:rsidR="00C91295" w:rsidRPr="00526311" w:rsidTr="00F1387F">
        <w:trPr>
          <w:trHeight w:val="314"/>
          <w:tblHeader/>
          <w:jc w:val="center"/>
        </w:trPr>
        <w:tc>
          <w:tcPr>
            <w:tcW w:w="2369" w:type="pct"/>
            <w:shd w:val="clear" w:color="auto" w:fill="C6D9F1" w:themeFill="text2" w:themeFillTint="33"/>
            <w:vAlign w:val="center"/>
          </w:tcPr>
          <w:p w:rsidR="00C91295" w:rsidRPr="00526311" w:rsidRDefault="00C91295" w:rsidP="00F1387F">
            <w:pPr>
              <w:keepNext/>
              <w:keepLines/>
              <w:jc w:val="center"/>
              <w:rPr>
                <w:b/>
                <w:bCs/>
                <w:sz w:val="16"/>
                <w:szCs w:val="16"/>
              </w:rPr>
            </w:pPr>
            <w:r w:rsidRPr="00526311">
              <w:rPr>
                <w:b/>
                <w:bCs/>
                <w:sz w:val="16"/>
                <w:szCs w:val="16"/>
              </w:rPr>
              <w:t>Beneficios previstos para 2017</w:t>
            </w:r>
          </w:p>
        </w:tc>
        <w:tc>
          <w:tcPr>
            <w:tcW w:w="2631" w:type="pct"/>
            <w:shd w:val="clear" w:color="auto" w:fill="C6D9F1" w:themeFill="text2" w:themeFillTint="33"/>
          </w:tcPr>
          <w:p w:rsidR="00C91295" w:rsidRPr="00526311" w:rsidRDefault="00C91295" w:rsidP="00F1387F">
            <w:pPr>
              <w:keepNext/>
              <w:keepLines/>
              <w:jc w:val="center"/>
              <w:rPr>
                <w:b/>
                <w:bCs/>
                <w:sz w:val="16"/>
                <w:szCs w:val="16"/>
              </w:rPr>
            </w:pPr>
            <w:r w:rsidRPr="00526311">
              <w:rPr>
                <w:b/>
                <w:bCs/>
                <w:sz w:val="16"/>
                <w:szCs w:val="16"/>
              </w:rPr>
              <w:t>Beneficios previstos para 2018</w:t>
            </w:r>
          </w:p>
        </w:tc>
      </w:tr>
      <w:tr w:rsidR="00C91295" w:rsidRPr="00526311" w:rsidTr="00F1387F">
        <w:trPr>
          <w:trHeight w:val="564"/>
          <w:jc w:val="center"/>
        </w:trPr>
        <w:tc>
          <w:tcPr>
            <w:tcW w:w="2369" w:type="pct"/>
            <w:shd w:val="clear" w:color="auto" w:fill="auto"/>
          </w:tcPr>
          <w:p w:rsidR="00C91295" w:rsidRPr="00526311" w:rsidRDefault="00C91295" w:rsidP="00F1387F">
            <w:pPr>
              <w:keepNext/>
              <w:keepLines/>
              <w:rPr>
                <w:bCs/>
                <w:iCs/>
                <w:sz w:val="16"/>
                <w:szCs w:val="16"/>
              </w:rPr>
            </w:pPr>
            <w:r w:rsidRPr="00526311">
              <w:rPr>
                <w:bCs/>
                <w:iCs/>
                <w:sz w:val="16"/>
                <w:szCs w:val="16"/>
              </w:rPr>
              <w:t>Mejoras parciales en las instalaciones técnicas</w:t>
            </w:r>
          </w:p>
        </w:tc>
        <w:tc>
          <w:tcPr>
            <w:tcW w:w="2631" w:type="pct"/>
            <w:shd w:val="clear" w:color="auto" w:fill="auto"/>
          </w:tcPr>
          <w:p w:rsidR="00C91295" w:rsidRPr="00526311" w:rsidRDefault="00C91295" w:rsidP="00F1387F">
            <w:pPr>
              <w:keepNext/>
              <w:keepLines/>
              <w:rPr>
                <w:bCs/>
                <w:iCs/>
                <w:sz w:val="16"/>
                <w:szCs w:val="16"/>
              </w:rPr>
            </w:pPr>
            <w:r w:rsidRPr="00526311">
              <w:rPr>
                <w:bCs/>
                <w:iCs/>
                <w:sz w:val="16"/>
                <w:szCs w:val="16"/>
              </w:rPr>
              <w:t>Mejora total de las instalaciones técnicas</w:t>
            </w:r>
          </w:p>
        </w:tc>
      </w:tr>
      <w:tr w:rsidR="00C91295" w:rsidRPr="00526311" w:rsidTr="00F1387F">
        <w:trPr>
          <w:trHeight w:val="564"/>
          <w:jc w:val="center"/>
        </w:trPr>
        <w:tc>
          <w:tcPr>
            <w:tcW w:w="2369" w:type="pct"/>
            <w:shd w:val="clear" w:color="auto" w:fill="auto"/>
          </w:tcPr>
          <w:p w:rsidR="00C91295" w:rsidRPr="00526311" w:rsidRDefault="00C91295" w:rsidP="00F1387F">
            <w:pPr>
              <w:keepNext/>
              <w:keepLines/>
              <w:rPr>
                <w:bCs/>
                <w:iCs/>
                <w:sz w:val="16"/>
                <w:szCs w:val="16"/>
              </w:rPr>
            </w:pPr>
            <w:r w:rsidRPr="00526311">
              <w:rPr>
                <w:bCs/>
                <w:iCs/>
                <w:sz w:val="16"/>
                <w:szCs w:val="16"/>
              </w:rPr>
              <w:t>Mejora parcial de la comodidad de los ocupantes</w:t>
            </w:r>
          </w:p>
        </w:tc>
        <w:tc>
          <w:tcPr>
            <w:tcW w:w="2631" w:type="pct"/>
            <w:shd w:val="clear" w:color="auto" w:fill="auto"/>
          </w:tcPr>
          <w:p w:rsidR="00C91295" w:rsidRPr="00526311" w:rsidRDefault="00C91295" w:rsidP="00F1387F">
            <w:pPr>
              <w:keepNext/>
              <w:keepLines/>
              <w:rPr>
                <w:bCs/>
                <w:iCs/>
                <w:sz w:val="16"/>
                <w:szCs w:val="16"/>
              </w:rPr>
            </w:pPr>
            <w:r w:rsidRPr="00526311">
              <w:rPr>
                <w:bCs/>
                <w:iCs/>
                <w:sz w:val="16"/>
                <w:szCs w:val="16"/>
              </w:rPr>
              <w:t>Mejora total de la comodidad de los ocupantes</w:t>
            </w:r>
          </w:p>
        </w:tc>
      </w:tr>
      <w:tr w:rsidR="00C91295" w:rsidRPr="00526311" w:rsidTr="00F1387F">
        <w:trPr>
          <w:trHeight w:val="564"/>
          <w:jc w:val="center"/>
        </w:trPr>
        <w:tc>
          <w:tcPr>
            <w:tcW w:w="2369" w:type="pct"/>
            <w:shd w:val="clear" w:color="auto" w:fill="auto"/>
          </w:tcPr>
          <w:p w:rsidR="00C91295" w:rsidRPr="00526311" w:rsidRDefault="00C91295" w:rsidP="00F1387F">
            <w:pPr>
              <w:rPr>
                <w:bCs/>
                <w:iCs/>
                <w:sz w:val="16"/>
                <w:szCs w:val="16"/>
              </w:rPr>
            </w:pPr>
          </w:p>
        </w:tc>
        <w:tc>
          <w:tcPr>
            <w:tcW w:w="2631" w:type="pct"/>
            <w:shd w:val="clear" w:color="auto" w:fill="auto"/>
          </w:tcPr>
          <w:p w:rsidR="00C91295" w:rsidRPr="00526311" w:rsidRDefault="00C91295" w:rsidP="00F1387F">
            <w:pPr>
              <w:rPr>
                <w:bCs/>
                <w:iCs/>
                <w:sz w:val="16"/>
                <w:szCs w:val="16"/>
              </w:rPr>
            </w:pPr>
            <w:r w:rsidRPr="00526311">
              <w:rPr>
                <w:bCs/>
                <w:iCs/>
                <w:sz w:val="16"/>
                <w:szCs w:val="16"/>
              </w:rPr>
              <w:t>Reducción parcial del desperdicio de energía gracias a la mejora de las fachadas</w:t>
            </w:r>
          </w:p>
        </w:tc>
      </w:tr>
      <w:tr w:rsidR="00C91295" w:rsidRPr="00526311" w:rsidTr="00F1387F">
        <w:trPr>
          <w:trHeight w:val="564"/>
          <w:jc w:val="center"/>
        </w:trPr>
        <w:tc>
          <w:tcPr>
            <w:tcW w:w="2369" w:type="pct"/>
            <w:shd w:val="clear" w:color="auto" w:fill="auto"/>
          </w:tcPr>
          <w:p w:rsidR="00C91295" w:rsidRPr="00526311" w:rsidRDefault="00C91295" w:rsidP="00F1387F">
            <w:pPr>
              <w:rPr>
                <w:bCs/>
                <w:iCs/>
                <w:sz w:val="16"/>
                <w:szCs w:val="16"/>
              </w:rPr>
            </w:pPr>
          </w:p>
        </w:tc>
        <w:tc>
          <w:tcPr>
            <w:tcW w:w="2631" w:type="pct"/>
            <w:shd w:val="clear" w:color="auto" w:fill="auto"/>
          </w:tcPr>
          <w:p w:rsidR="00C91295" w:rsidRPr="00526311" w:rsidRDefault="00C91295" w:rsidP="00F1387F">
            <w:pPr>
              <w:rPr>
                <w:bCs/>
                <w:iCs/>
                <w:sz w:val="16"/>
                <w:szCs w:val="16"/>
              </w:rPr>
            </w:pPr>
            <w:r w:rsidRPr="00526311">
              <w:rPr>
                <w:bCs/>
                <w:iCs/>
                <w:sz w:val="16"/>
                <w:szCs w:val="16"/>
              </w:rPr>
              <w:t>Reducción parcial del consumo de energía gracias al nuevo falso techo térmico</w:t>
            </w:r>
          </w:p>
        </w:tc>
      </w:tr>
      <w:tr w:rsidR="00C91295" w:rsidRPr="00526311" w:rsidTr="00F1387F">
        <w:trPr>
          <w:trHeight w:val="564"/>
          <w:jc w:val="center"/>
        </w:trPr>
        <w:tc>
          <w:tcPr>
            <w:tcW w:w="2369" w:type="pct"/>
            <w:shd w:val="clear" w:color="auto" w:fill="auto"/>
          </w:tcPr>
          <w:p w:rsidR="00C91295" w:rsidRPr="00526311" w:rsidRDefault="00C91295" w:rsidP="00F1387F">
            <w:pPr>
              <w:rPr>
                <w:b/>
                <w:bCs/>
                <w:i/>
                <w:iCs/>
                <w:sz w:val="16"/>
                <w:szCs w:val="16"/>
              </w:rPr>
            </w:pPr>
          </w:p>
        </w:tc>
        <w:tc>
          <w:tcPr>
            <w:tcW w:w="2631" w:type="pct"/>
            <w:shd w:val="clear" w:color="auto" w:fill="auto"/>
          </w:tcPr>
          <w:p w:rsidR="00C91295" w:rsidRPr="00526311" w:rsidRDefault="00C91295" w:rsidP="00F1387F">
            <w:pPr>
              <w:rPr>
                <w:bCs/>
                <w:iCs/>
                <w:sz w:val="16"/>
                <w:szCs w:val="16"/>
              </w:rPr>
            </w:pPr>
            <w:r w:rsidRPr="00526311">
              <w:rPr>
                <w:bCs/>
                <w:iCs/>
                <w:sz w:val="16"/>
                <w:szCs w:val="16"/>
              </w:rPr>
              <w:t>Aumento del ciclo de vida útil del nuevo falso techo térmico</w:t>
            </w:r>
          </w:p>
        </w:tc>
      </w:tr>
      <w:tr w:rsidR="00C91295" w:rsidRPr="00526311" w:rsidTr="00F1387F">
        <w:trPr>
          <w:trHeight w:val="564"/>
          <w:jc w:val="center"/>
        </w:trPr>
        <w:tc>
          <w:tcPr>
            <w:tcW w:w="2369" w:type="pct"/>
            <w:shd w:val="clear" w:color="auto" w:fill="auto"/>
          </w:tcPr>
          <w:p w:rsidR="00C91295" w:rsidRPr="00526311" w:rsidRDefault="00C91295" w:rsidP="00F1387F">
            <w:pPr>
              <w:rPr>
                <w:b/>
                <w:bCs/>
                <w:i/>
                <w:iCs/>
                <w:sz w:val="16"/>
                <w:szCs w:val="16"/>
              </w:rPr>
            </w:pPr>
          </w:p>
        </w:tc>
        <w:tc>
          <w:tcPr>
            <w:tcW w:w="2631" w:type="pct"/>
            <w:shd w:val="clear" w:color="auto" w:fill="auto"/>
          </w:tcPr>
          <w:p w:rsidR="00C91295" w:rsidRPr="00526311" w:rsidRDefault="00C91295" w:rsidP="00F1387F">
            <w:pPr>
              <w:rPr>
                <w:bCs/>
                <w:iCs/>
                <w:sz w:val="16"/>
                <w:szCs w:val="16"/>
              </w:rPr>
            </w:pPr>
            <w:r w:rsidRPr="00526311">
              <w:rPr>
                <w:bCs/>
                <w:iCs/>
                <w:sz w:val="16"/>
                <w:szCs w:val="16"/>
              </w:rPr>
              <w:t>Reducción de los costos de mantenimiento correctivo gracias al nuevo falso techo térmico</w:t>
            </w:r>
          </w:p>
        </w:tc>
      </w:tr>
    </w:tbl>
    <w:p w:rsidR="00C91295" w:rsidRPr="00526311" w:rsidRDefault="00C91295" w:rsidP="00F1387F">
      <w:pPr>
        <w:rPr>
          <w:b/>
          <w:sz w:val="20"/>
        </w:rPr>
      </w:pPr>
    </w:p>
    <w:p w:rsidR="00C91295" w:rsidRPr="00526311" w:rsidRDefault="00C91295" w:rsidP="00F1387F">
      <w:pPr>
        <w:rPr>
          <w:sz w:val="20"/>
        </w:rPr>
      </w:pPr>
    </w:p>
    <w:p w:rsidR="00C91295" w:rsidRPr="00526311" w:rsidRDefault="00C91295" w:rsidP="00F1387F">
      <w:pPr>
        <w:rPr>
          <w:sz w:val="20"/>
        </w:rPr>
      </w:pPr>
      <w:r w:rsidRPr="00526311">
        <w:rPr>
          <w:sz w:val="20"/>
        </w:rPr>
        <w:t>UTILIZACIÓN DE LOS RECURSOS</w:t>
      </w:r>
    </w:p>
    <w:p w:rsidR="00C91295" w:rsidRPr="00526311" w:rsidRDefault="00C91295" w:rsidP="00F1387F">
      <w:pPr>
        <w:rPr>
          <w:sz w:val="20"/>
        </w:rPr>
      </w:pPr>
    </w:p>
    <w:p w:rsidR="00C91295" w:rsidRPr="00526311" w:rsidRDefault="00C91295" w:rsidP="00F1387F">
      <w:pPr>
        <w:tabs>
          <w:tab w:val="left" w:pos="3261"/>
        </w:tabs>
        <w:autoSpaceDE w:val="0"/>
        <w:autoSpaceDN w:val="0"/>
        <w:adjustRightInd w:val="0"/>
        <w:jc w:val="center"/>
        <w:rPr>
          <w:b/>
          <w:sz w:val="20"/>
        </w:rPr>
      </w:pPr>
      <w:r w:rsidRPr="00526311">
        <w:rPr>
          <w:b/>
          <w:sz w:val="20"/>
        </w:rPr>
        <w:t>Utilización del presupuesto del proyecto</w:t>
      </w:r>
    </w:p>
    <w:p w:rsidR="00C91295" w:rsidRPr="00526311" w:rsidRDefault="00C91295" w:rsidP="00F1387F">
      <w:pPr>
        <w:tabs>
          <w:tab w:val="left" w:pos="3261"/>
        </w:tabs>
        <w:autoSpaceDE w:val="0"/>
        <w:autoSpaceDN w:val="0"/>
        <w:adjustRightInd w:val="0"/>
        <w:jc w:val="center"/>
        <w:rPr>
          <w:i/>
          <w:iCs/>
          <w:sz w:val="18"/>
          <w:szCs w:val="18"/>
        </w:rPr>
      </w:pPr>
      <w:r w:rsidRPr="00526311">
        <w:rPr>
          <w:i/>
          <w:iCs/>
          <w:sz w:val="18"/>
          <w:szCs w:val="18"/>
        </w:rPr>
        <w:t>(en francos suizos, al 31 de diciembre de 2014)</w:t>
      </w:r>
    </w:p>
    <w:p w:rsidR="00C91295" w:rsidRPr="00526311" w:rsidRDefault="00C91295" w:rsidP="00F1387F">
      <w:pPr>
        <w:rPr>
          <w:sz w:val="18"/>
          <w:szCs w:val="22"/>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91295" w:rsidRPr="00526311" w:rsidTr="00F1387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74" w:right="-60"/>
              <w:jc w:val="center"/>
              <w:rPr>
                <w:b/>
                <w:bCs/>
                <w:sz w:val="16"/>
                <w:szCs w:val="16"/>
              </w:rPr>
            </w:pPr>
            <w:r w:rsidRPr="00526311">
              <w:rPr>
                <w:b/>
                <w:bCs/>
                <w:sz w:val="16"/>
                <w:szCs w:val="16"/>
              </w:rPr>
              <w:t>Nombre del proyecto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7" w:right="-108"/>
              <w:jc w:val="center"/>
              <w:rPr>
                <w:b/>
                <w:bCs/>
                <w:sz w:val="16"/>
                <w:szCs w:val="16"/>
              </w:rPr>
            </w:pPr>
            <w:r w:rsidRPr="00526311">
              <w:rPr>
                <w:b/>
                <w:bCs/>
                <w:sz w:val="16"/>
                <w:szCs w:val="16"/>
              </w:rPr>
              <w:t>Presupuesto del proyecto</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73" w:firstLine="1"/>
              <w:jc w:val="center"/>
              <w:rPr>
                <w:b/>
                <w:bCs/>
                <w:sz w:val="16"/>
                <w:szCs w:val="16"/>
              </w:rPr>
            </w:pPr>
            <w:r w:rsidRPr="00526311">
              <w:rPr>
                <w:b/>
                <w:bCs/>
                <w:sz w:val="16"/>
                <w:szCs w:val="16"/>
              </w:rPr>
              <w:t>Índice de avance en la ejecución del proyecto</w:t>
            </w:r>
          </w:p>
        </w:tc>
      </w:tr>
      <w:tr w:rsidR="00C91295" w:rsidRPr="00526311" w:rsidTr="00F1387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rPr>
                <w:sz w:val="16"/>
                <w:szCs w:val="16"/>
              </w:rPr>
            </w:pPr>
            <w:r w:rsidRPr="00526311">
              <w:rPr>
                <w:sz w:val="16"/>
                <w:szCs w:val="16"/>
              </w:rPr>
              <w:t>Renovación de las fachadas e instalación de refrigeración / calefacción en el edificio PCT</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6.000.000</w:t>
            </w:r>
          </w:p>
        </w:tc>
        <w:tc>
          <w:tcPr>
            <w:tcW w:w="851"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2%</w:t>
            </w:r>
          </w:p>
        </w:tc>
      </w:tr>
    </w:tbl>
    <w:p w:rsidR="00C91295" w:rsidRPr="00526311" w:rsidRDefault="00C91295" w:rsidP="00F1387F">
      <w:pPr>
        <w:rPr>
          <w:b/>
          <w:sz w:val="20"/>
        </w:rPr>
      </w:pPr>
    </w:p>
    <w:p w:rsidR="00C91295" w:rsidRPr="00526311" w:rsidRDefault="00C91295" w:rsidP="00F1387F">
      <w:pPr>
        <w:rPr>
          <w:sz w:val="20"/>
        </w:rPr>
      </w:pPr>
    </w:p>
    <w:p w:rsidR="00C91295" w:rsidRPr="00526311" w:rsidRDefault="00C91295" w:rsidP="00F1387F">
      <w:pPr>
        <w:tabs>
          <w:tab w:val="left" w:pos="3261"/>
        </w:tabs>
        <w:autoSpaceDE w:val="0"/>
        <w:autoSpaceDN w:val="0"/>
        <w:adjustRightInd w:val="0"/>
        <w:jc w:val="center"/>
        <w:rPr>
          <w:b/>
          <w:sz w:val="20"/>
        </w:rPr>
      </w:pPr>
      <w:r w:rsidRPr="00526311">
        <w:rPr>
          <w:b/>
          <w:sz w:val="20"/>
        </w:rPr>
        <w:t>Utilización del presupuesto del proyecto (por etapa)</w:t>
      </w:r>
    </w:p>
    <w:p w:rsidR="00C91295" w:rsidRPr="00526311" w:rsidRDefault="00C91295" w:rsidP="00F1387F">
      <w:pPr>
        <w:tabs>
          <w:tab w:val="left" w:pos="3261"/>
        </w:tabs>
        <w:autoSpaceDE w:val="0"/>
        <w:autoSpaceDN w:val="0"/>
        <w:adjustRightInd w:val="0"/>
        <w:jc w:val="center"/>
        <w:rPr>
          <w:i/>
          <w:iCs/>
          <w:sz w:val="18"/>
          <w:szCs w:val="18"/>
        </w:rPr>
      </w:pPr>
      <w:r w:rsidRPr="00526311">
        <w:rPr>
          <w:i/>
          <w:iCs/>
          <w:sz w:val="18"/>
          <w:szCs w:val="18"/>
        </w:rPr>
        <w:t>(en francos suizos, al 31 de diciembre de 2014)</w:t>
      </w:r>
    </w:p>
    <w:p w:rsidR="00C91295" w:rsidRPr="00526311" w:rsidRDefault="00C91295" w:rsidP="00F1387F">
      <w:pPr>
        <w:autoSpaceDE w:val="0"/>
        <w:autoSpaceDN w:val="0"/>
        <w:rPr>
          <w:sz w:val="16"/>
          <w:szCs w:val="16"/>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C91295" w:rsidRPr="00526311" w:rsidTr="00F1387F">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74" w:right="-60"/>
              <w:jc w:val="center"/>
              <w:rPr>
                <w:b/>
                <w:bCs/>
                <w:sz w:val="16"/>
                <w:szCs w:val="16"/>
              </w:rPr>
            </w:pPr>
            <w:r w:rsidRPr="00526311">
              <w:rPr>
                <w:b/>
                <w:bCs/>
                <w:sz w:val="16"/>
                <w:szCs w:val="16"/>
              </w:rPr>
              <w:t>Etapa fundamental</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7" w:right="-108"/>
              <w:jc w:val="center"/>
              <w:rPr>
                <w:b/>
                <w:bCs/>
                <w:sz w:val="16"/>
                <w:szCs w:val="16"/>
              </w:rPr>
            </w:pPr>
            <w:r w:rsidRPr="00526311">
              <w:rPr>
                <w:b/>
                <w:bCs/>
                <w:sz w:val="16"/>
                <w:szCs w:val="16"/>
              </w:rPr>
              <w:t>Presupuesto del proyecto</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73" w:firstLine="1"/>
              <w:jc w:val="center"/>
              <w:rPr>
                <w:b/>
                <w:bCs/>
                <w:sz w:val="16"/>
                <w:szCs w:val="16"/>
              </w:rPr>
            </w:pPr>
            <w:r w:rsidRPr="00526311">
              <w:rPr>
                <w:b/>
                <w:bCs/>
                <w:sz w:val="16"/>
                <w:szCs w:val="16"/>
              </w:rPr>
              <w:t>Índice de avance en la ejecución, por etapa</w:t>
            </w:r>
          </w:p>
        </w:tc>
      </w:tr>
      <w:tr w:rsidR="00C91295" w:rsidRPr="00526311" w:rsidTr="00F1387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Adjudicación del contrato al piloto/arquitecto</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124.000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30%</w:t>
            </w:r>
          </w:p>
        </w:tc>
      </w:tr>
      <w:tr w:rsidR="00C91295" w:rsidRPr="00526311" w:rsidTr="00F1387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Adjudicación de contratos a los agentes</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900.000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10%</w:t>
            </w:r>
          </w:p>
        </w:tc>
      </w:tr>
      <w:tr w:rsidR="00C91295" w:rsidRPr="00526311" w:rsidTr="00F1387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Compromiso de recursos, internos y externos</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867.000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w:t>
            </w:r>
          </w:p>
        </w:tc>
      </w:tr>
      <w:tr w:rsidR="00C91295" w:rsidRPr="00526311" w:rsidTr="00F1387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Obra y puesta en servicio</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4.109.000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w:t>
            </w:r>
          </w:p>
        </w:tc>
      </w:tr>
      <w:tr w:rsidR="00C91295" w:rsidRPr="00526311" w:rsidTr="00F1387F">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rPr>
                <w:b/>
                <w:sz w:val="16"/>
                <w:szCs w:val="16"/>
              </w:rPr>
            </w:pPr>
            <w:r w:rsidRPr="00526311">
              <w:rPr>
                <w:b/>
                <w:sz w:val="16"/>
                <w:szCs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6.000.000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autoSpaceDE w:val="0"/>
              <w:autoSpaceDN w:val="0"/>
              <w:adjustRightInd w:val="0"/>
              <w:spacing w:before="40" w:after="40" w:line="260" w:lineRule="exact"/>
              <w:jc w:val="center"/>
              <w:rPr>
                <w:b/>
                <w:sz w:val="16"/>
                <w:szCs w:val="16"/>
              </w:rPr>
            </w:pPr>
          </w:p>
        </w:tc>
      </w:tr>
    </w:tbl>
    <w:p w:rsidR="00C91295" w:rsidRPr="00526311" w:rsidRDefault="00C91295" w:rsidP="00F1387F">
      <w:pPr>
        <w:tabs>
          <w:tab w:val="left" w:pos="3261"/>
        </w:tabs>
        <w:autoSpaceDE w:val="0"/>
        <w:autoSpaceDN w:val="0"/>
        <w:adjustRightInd w:val="0"/>
        <w:rPr>
          <w:b/>
          <w:sz w:val="20"/>
        </w:rPr>
      </w:pPr>
    </w:p>
    <w:p w:rsidR="00C91295" w:rsidRPr="00526311" w:rsidRDefault="00C91295" w:rsidP="00F1387F">
      <w:pPr>
        <w:tabs>
          <w:tab w:val="left" w:pos="3261"/>
        </w:tabs>
        <w:autoSpaceDE w:val="0"/>
        <w:autoSpaceDN w:val="0"/>
        <w:adjustRightInd w:val="0"/>
        <w:rPr>
          <w:b/>
          <w:sz w:val="20"/>
        </w:rPr>
      </w:pPr>
    </w:p>
    <w:p w:rsidR="00C91295" w:rsidRPr="00526311" w:rsidRDefault="00C91295" w:rsidP="00F1387F">
      <w:pPr>
        <w:rPr>
          <w:b/>
          <w:sz w:val="20"/>
        </w:rPr>
      </w:pPr>
      <w:r w:rsidRPr="00526311">
        <w:rPr>
          <w:b/>
          <w:sz w:val="20"/>
        </w:rPr>
        <w:br w:type="page"/>
      </w:r>
    </w:p>
    <w:p w:rsidR="00C91295" w:rsidRPr="00526311" w:rsidRDefault="00C91295" w:rsidP="00F1387F">
      <w:pPr>
        <w:tabs>
          <w:tab w:val="left" w:pos="3261"/>
        </w:tabs>
        <w:autoSpaceDE w:val="0"/>
        <w:autoSpaceDN w:val="0"/>
        <w:adjustRightInd w:val="0"/>
        <w:jc w:val="center"/>
        <w:rPr>
          <w:b/>
          <w:sz w:val="20"/>
        </w:rPr>
      </w:pPr>
      <w:r w:rsidRPr="00526311">
        <w:rPr>
          <w:b/>
          <w:sz w:val="20"/>
        </w:rPr>
        <w:lastRenderedPageBreak/>
        <w:t>Utilización del presupuesto del proyecto (por categoría de costo)</w:t>
      </w:r>
    </w:p>
    <w:p w:rsidR="00C91295" w:rsidRPr="00526311" w:rsidRDefault="00C91295" w:rsidP="00F1387F">
      <w:pPr>
        <w:tabs>
          <w:tab w:val="left" w:pos="3261"/>
        </w:tabs>
        <w:autoSpaceDE w:val="0"/>
        <w:autoSpaceDN w:val="0"/>
        <w:adjustRightInd w:val="0"/>
        <w:jc w:val="center"/>
        <w:rPr>
          <w:i/>
          <w:iCs/>
          <w:sz w:val="18"/>
          <w:szCs w:val="18"/>
        </w:rPr>
      </w:pPr>
      <w:r w:rsidRPr="00526311">
        <w:rPr>
          <w:i/>
          <w:iCs/>
          <w:sz w:val="18"/>
          <w:szCs w:val="18"/>
        </w:rPr>
        <w:t>(en francos suizos, al 31 de diciembre de 2014)</w:t>
      </w:r>
    </w:p>
    <w:p w:rsidR="00C91295" w:rsidRPr="00526311" w:rsidRDefault="00C91295" w:rsidP="00F1387F">
      <w:pPr>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C91295" w:rsidRPr="00526311" w:rsidTr="00F1387F">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74" w:right="-60"/>
              <w:jc w:val="center"/>
              <w:rPr>
                <w:b/>
                <w:bCs/>
                <w:sz w:val="16"/>
                <w:szCs w:val="16"/>
              </w:rPr>
            </w:pPr>
            <w:r w:rsidRPr="00526311">
              <w:rPr>
                <w:b/>
                <w:bCs/>
                <w:sz w:val="16"/>
                <w:szCs w:val="16"/>
              </w:rPr>
              <w:t>Categoría de costo</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7" w:right="-108"/>
              <w:jc w:val="center"/>
              <w:rPr>
                <w:b/>
                <w:bCs/>
                <w:sz w:val="16"/>
                <w:szCs w:val="16"/>
              </w:rPr>
            </w:pPr>
            <w:r w:rsidRPr="00526311">
              <w:rPr>
                <w:b/>
                <w:bCs/>
                <w:sz w:val="16"/>
                <w:szCs w:val="16"/>
              </w:rPr>
              <w:t>Presupuesto del proyecto</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r>
      <w:tr w:rsidR="00C91295" w:rsidRPr="00526311" w:rsidTr="00F1387F">
        <w:tc>
          <w:tcPr>
            <w:tcW w:w="18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Costos relacionados con la obra</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3.569.000</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r>
      <w:tr w:rsidR="00C91295" w:rsidRPr="00526311" w:rsidTr="00F1387F">
        <w:tc>
          <w:tcPr>
            <w:tcW w:w="18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Honorarios</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1.024.000</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jc w:val="center"/>
              <w:rPr>
                <w:sz w:val="16"/>
                <w:szCs w:val="16"/>
              </w:rPr>
            </w:pPr>
            <w:r w:rsidRPr="00526311">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jc w:val="center"/>
              <w:rPr>
                <w:sz w:val="16"/>
                <w:szCs w:val="16"/>
              </w:rPr>
            </w:pPr>
            <w:r w:rsidRPr="00526311">
              <w:rPr>
                <w:sz w:val="16"/>
                <w:szCs w:val="16"/>
              </w:rPr>
              <w:t>0%</w:t>
            </w:r>
          </w:p>
        </w:tc>
      </w:tr>
      <w:tr w:rsidR="00C91295" w:rsidRPr="00526311" w:rsidTr="00F1387F">
        <w:tc>
          <w:tcPr>
            <w:tcW w:w="18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Recursos internos/externos</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867.000</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jc w:val="center"/>
              <w:rPr>
                <w:sz w:val="16"/>
                <w:szCs w:val="16"/>
              </w:rPr>
            </w:pPr>
            <w:r w:rsidRPr="00526311">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jc w:val="center"/>
              <w:rPr>
                <w:sz w:val="16"/>
                <w:szCs w:val="16"/>
              </w:rPr>
            </w:pPr>
            <w:r w:rsidRPr="00526311">
              <w:rPr>
                <w:sz w:val="16"/>
                <w:szCs w:val="16"/>
              </w:rPr>
              <w:t>0%</w:t>
            </w:r>
          </w:p>
        </w:tc>
      </w:tr>
      <w:tr w:rsidR="00C91295" w:rsidRPr="00526311" w:rsidTr="00F1387F">
        <w:tc>
          <w:tcPr>
            <w:tcW w:w="18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Tasas</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120.000</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jc w:val="center"/>
              <w:rPr>
                <w:sz w:val="16"/>
                <w:szCs w:val="16"/>
              </w:rPr>
            </w:pPr>
            <w:r w:rsidRPr="00526311">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jc w:val="center"/>
              <w:rPr>
                <w:sz w:val="16"/>
                <w:szCs w:val="16"/>
              </w:rPr>
            </w:pPr>
            <w:r w:rsidRPr="00526311">
              <w:rPr>
                <w:sz w:val="16"/>
                <w:szCs w:val="16"/>
              </w:rPr>
              <w:t>0%</w:t>
            </w:r>
          </w:p>
        </w:tc>
      </w:tr>
      <w:tr w:rsidR="00C91295" w:rsidRPr="00526311" w:rsidTr="00F1387F">
        <w:tc>
          <w:tcPr>
            <w:tcW w:w="18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Diversos e imprevistos</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420.000</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jc w:val="center"/>
              <w:rPr>
                <w:sz w:val="16"/>
                <w:szCs w:val="16"/>
              </w:rPr>
            </w:pPr>
            <w:r w:rsidRPr="00526311">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jc w:val="center"/>
              <w:rPr>
                <w:sz w:val="16"/>
                <w:szCs w:val="16"/>
              </w:rPr>
            </w:pPr>
            <w:r w:rsidRPr="00526311">
              <w:rPr>
                <w:sz w:val="16"/>
                <w:szCs w:val="16"/>
              </w:rPr>
              <w:t>0%</w:t>
            </w:r>
          </w:p>
        </w:tc>
      </w:tr>
      <w:tr w:rsidR="00C91295" w:rsidRPr="00526311" w:rsidTr="00F1387F">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rPr>
                <w:b/>
                <w:sz w:val="16"/>
                <w:szCs w:val="16"/>
              </w:rPr>
            </w:pPr>
            <w:r w:rsidRPr="00526311">
              <w:rPr>
                <w:b/>
                <w:sz w:val="16"/>
                <w:szCs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6.000.000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0</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0%</w:t>
            </w:r>
          </w:p>
        </w:tc>
      </w:tr>
    </w:tbl>
    <w:p w:rsidR="00C91295" w:rsidRPr="00526311" w:rsidRDefault="00C91295" w:rsidP="00F1387F">
      <w:pPr>
        <w:rPr>
          <w:sz w:val="20"/>
        </w:rPr>
      </w:pPr>
    </w:p>
    <w:p w:rsidR="00C91295" w:rsidRPr="00526311" w:rsidRDefault="00C91295" w:rsidP="00F1387F">
      <w:pPr>
        <w:rPr>
          <w:sz w:val="20"/>
        </w:rPr>
      </w:pPr>
    </w:p>
    <w:p w:rsidR="00C91295" w:rsidRPr="00526311" w:rsidRDefault="00C91295" w:rsidP="00F1387F">
      <w:pPr>
        <w:rPr>
          <w:sz w:val="20"/>
        </w:rPr>
      </w:pPr>
      <w:r w:rsidRPr="00526311">
        <w:rPr>
          <w:sz w:val="20"/>
        </w:rPr>
        <w:t>PRINCIPALES RIESGOS Y ESTRATEGIAS DE MITIGACIÓN</w:t>
      </w:r>
    </w:p>
    <w:p w:rsidR="00C91295" w:rsidRPr="00526311" w:rsidRDefault="00C91295" w:rsidP="00F1387F">
      <w:pPr>
        <w:rPr>
          <w:sz w:val="20"/>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C91295" w:rsidRPr="00526311" w:rsidTr="00F1387F">
        <w:trPr>
          <w:trHeight w:val="308"/>
          <w:tblHeader/>
          <w:jc w:val="center"/>
        </w:trPr>
        <w:tc>
          <w:tcPr>
            <w:tcW w:w="1667"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74" w:right="-60"/>
              <w:jc w:val="center"/>
              <w:rPr>
                <w:b/>
                <w:bCs/>
                <w:sz w:val="16"/>
                <w:szCs w:val="16"/>
              </w:rPr>
            </w:pPr>
            <w:r w:rsidRPr="00526311">
              <w:rPr>
                <w:b/>
                <w:bCs/>
                <w:sz w:val="16"/>
                <w:szCs w:val="16"/>
              </w:rPr>
              <w:t>Riesgo</w:t>
            </w:r>
          </w:p>
        </w:tc>
        <w:tc>
          <w:tcPr>
            <w:tcW w:w="1667"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7" w:right="-108"/>
              <w:jc w:val="center"/>
              <w:rPr>
                <w:b/>
                <w:bCs/>
                <w:sz w:val="16"/>
                <w:szCs w:val="16"/>
              </w:rPr>
            </w:pPr>
            <w:r w:rsidRPr="00526311">
              <w:rPr>
                <w:b/>
                <w:bCs/>
                <w:sz w:val="16"/>
                <w:szCs w:val="16"/>
              </w:rPr>
              <w:t>Descripción</w:t>
            </w:r>
          </w:p>
        </w:tc>
        <w:tc>
          <w:tcPr>
            <w:tcW w:w="1666"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9"/>
              <w:jc w:val="center"/>
              <w:rPr>
                <w:b/>
                <w:bCs/>
                <w:sz w:val="16"/>
                <w:szCs w:val="16"/>
              </w:rPr>
            </w:pPr>
            <w:r w:rsidRPr="00526311">
              <w:rPr>
                <w:b/>
                <w:bCs/>
                <w:sz w:val="16"/>
                <w:szCs w:val="16"/>
              </w:rPr>
              <w:t>Mitigación del riesgo</w:t>
            </w:r>
          </w:p>
        </w:tc>
      </w:tr>
      <w:tr w:rsidR="00C91295" w:rsidRPr="00526311" w:rsidTr="00F1387F">
        <w:trPr>
          <w:trHeight w:val="776"/>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Demora en el comienzo de la ejecución del proyecto</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Proyecto demorado de un año debido al retraso en la finalización de la nueva sala de conferencias de la OMPI</w:t>
            </w:r>
          </w:p>
        </w:tc>
        <w:tc>
          <w:tcPr>
            <w:tcW w:w="1666"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Desplazar el calendario general del proyecto</w:t>
            </w:r>
          </w:p>
        </w:tc>
      </w:tr>
      <w:tr w:rsidR="00C91295" w:rsidRPr="00526311" w:rsidTr="00F1387F">
        <w:trPr>
          <w:trHeight w:val="776"/>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Demora en el comienzo de la obra</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El comienzo de la obra dependerá del tiempo necesario para escoger la solución técnica, lo que no está previsto antes de 2016.</w:t>
            </w:r>
          </w:p>
        </w:tc>
        <w:tc>
          <w:tcPr>
            <w:tcW w:w="1666"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Desplazar el calendario de la obra</w:t>
            </w:r>
          </w:p>
        </w:tc>
      </w:tr>
      <w:tr w:rsidR="00C91295" w:rsidRPr="00526311" w:rsidTr="00F1387F">
        <w:trPr>
          <w:trHeight w:val="776"/>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Demora en la puesta en servicio de la renovación</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Demora en el calendario de la obra debido a la solución técnica escogida</w:t>
            </w:r>
          </w:p>
          <w:p w:rsidR="00C91295" w:rsidRPr="00526311" w:rsidRDefault="00C91295" w:rsidP="00F1387F">
            <w:pPr>
              <w:autoSpaceDE w:val="0"/>
              <w:autoSpaceDN w:val="0"/>
              <w:adjustRightInd w:val="0"/>
              <w:spacing w:before="40" w:after="40"/>
              <w:rPr>
                <w:sz w:val="16"/>
                <w:szCs w:val="16"/>
              </w:rPr>
            </w:pPr>
          </w:p>
          <w:p w:rsidR="00C91295" w:rsidRPr="00526311" w:rsidRDefault="00C91295" w:rsidP="00F1387F">
            <w:pPr>
              <w:autoSpaceDE w:val="0"/>
              <w:autoSpaceDN w:val="0"/>
              <w:adjustRightInd w:val="0"/>
              <w:spacing w:before="40" w:after="40"/>
              <w:rPr>
                <w:sz w:val="16"/>
                <w:szCs w:val="16"/>
              </w:rPr>
            </w:pPr>
          </w:p>
          <w:p w:rsidR="00C91295" w:rsidRPr="00526311" w:rsidRDefault="00C91295" w:rsidP="00F1387F">
            <w:pPr>
              <w:autoSpaceDE w:val="0"/>
              <w:autoSpaceDN w:val="0"/>
              <w:adjustRightInd w:val="0"/>
              <w:spacing w:before="40" w:after="40"/>
              <w:rPr>
                <w:sz w:val="16"/>
                <w:szCs w:val="16"/>
              </w:rPr>
            </w:pPr>
            <w:r w:rsidRPr="00526311">
              <w:rPr>
                <w:sz w:val="16"/>
                <w:szCs w:val="16"/>
              </w:rPr>
              <w:t>Logística interna de redistribución de oficinas</w:t>
            </w:r>
          </w:p>
        </w:tc>
        <w:tc>
          <w:tcPr>
            <w:tcW w:w="1666"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Evaluar la elección de la solución técnica</w:t>
            </w:r>
          </w:p>
          <w:p w:rsidR="00C91295" w:rsidRPr="00526311" w:rsidRDefault="00C91295" w:rsidP="00F1387F">
            <w:pPr>
              <w:autoSpaceDE w:val="0"/>
              <w:autoSpaceDN w:val="0"/>
              <w:adjustRightInd w:val="0"/>
              <w:spacing w:before="40" w:after="40"/>
              <w:rPr>
                <w:sz w:val="16"/>
                <w:szCs w:val="16"/>
              </w:rPr>
            </w:pPr>
            <w:r w:rsidRPr="00526311">
              <w:rPr>
                <w:sz w:val="16"/>
                <w:szCs w:val="16"/>
              </w:rPr>
              <w:t>Evaluar la posibilidad de acortar el calendario</w:t>
            </w:r>
          </w:p>
          <w:p w:rsidR="00C91295" w:rsidRPr="00526311" w:rsidRDefault="00C91295" w:rsidP="00F1387F">
            <w:pPr>
              <w:autoSpaceDE w:val="0"/>
              <w:autoSpaceDN w:val="0"/>
              <w:adjustRightInd w:val="0"/>
              <w:spacing w:before="40" w:after="40"/>
              <w:rPr>
                <w:sz w:val="16"/>
                <w:szCs w:val="16"/>
              </w:rPr>
            </w:pPr>
            <w:r w:rsidRPr="00526311">
              <w:rPr>
                <w:sz w:val="16"/>
                <w:szCs w:val="16"/>
              </w:rPr>
              <w:t>Planificar con el PCT, el Departamento de Tecnologías de la Información y las Comunicaciones (TIC), y el Servicio de Coordinación en materia de Seguridad y Vigilancia</w:t>
            </w:r>
          </w:p>
        </w:tc>
      </w:tr>
      <w:tr w:rsidR="00C91295" w:rsidRPr="00526311" w:rsidTr="00F1387F">
        <w:trPr>
          <w:trHeight w:val="776"/>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Riesgos financieros</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Presupuesto insuficiente para aplicar la solución técnica escogida</w:t>
            </w:r>
          </w:p>
          <w:p w:rsidR="00C91295" w:rsidRPr="00526311" w:rsidRDefault="00C91295" w:rsidP="00F1387F">
            <w:pPr>
              <w:autoSpaceDE w:val="0"/>
              <w:autoSpaceDN w:val="0"/>
              <w:adjustRightInd w:val="0"/>
              <w:spacing w:before="40" w:after="40"/>
              <w:rPr>
                <w:sz w:val="16"/>
                <w:szCs w:val="16"/>
              </w:rPr>
            </w:pPr>
          </w:p>
          <w:p w:rsidR="00C91295" w:rsidRPr="00526311" w:rsidRDefault="00C91295" w:rsidP="00F1387F">
            <w:pPr>
              <w:autoSpaceDE w:val="0"/>
              <w:autoSpaceDN w:val="0"/>
              <w:adjustRightInd w:val="0"/>
              <w:spacing w:before="40" w:after="40"/>
              <w:rPr>
                <w:sz w:val="16"/>
                <w:szCs w:val="16"/>
              </w:rPr>
            </w:pPr>
            <w:r w:rsidRPr="00526311">
              <w:rPr>
                <w:sz w:val="16"/>
                <w:szCs w:val="16"/>
              </w:rPr>
              <w:t>Costos estimados más elevados en 2016 que los que figuran en el presupuesto aprobado, a raíz de la situación del mercado de la construcción durante el llamado a licitación para empresas</w:t>
            </w:r>
          </w:p>
        </w:tc>
        <w:tc>
          <w:tcPr>
            <w:tcW w:w="1666"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Revisar la elección de la solución técnica</w:t>
            </w:r>
          </w:p>
          <w:p w:rsidR="00C91295" w:rsidRPr="00526311" w:rsidRDefault="00C91295" w:rsidP="00F1387F">
            <w:pPr>
              <w:autoSpaceDE w:val="0"/>
              <w:autoSpaceDN w:val="0"/>
              <w:adjustRightInd w:val="0"/>
              <w:spacing w:before="40" w:after="40"/>
              <w:rPr>
                <w:sz w:val="16"/>
                <w:szCs w:val="16"/>
              </w:rPr>
            </w:pPr>
          </w:p>
          <w:p w:rsidR="00C91295" w:rsidRPr="00526311" w:rsidRDefault="00C91295" w:rsidP="00F1387F">
            <w:pPr>
              <w:autoSpaceDE w:val="0"/>
              <w:autoSpaceDN w:val="0"/>
              <w:adjustRightInd w:val="0"/>
              <w:spacing w:before="40" w:after="40"/>
              <w:rPr>
                <w:sz w:val="16"/>
                <w:szCs w:val="16"/>
              </w:rPr>
            </w:pPr>
            <w:r w:rsidRPr="00526311">
              <w:rPr>
                <w:sz w:val="16"/>
                <w:szCs w:val="16"/>
              </w:rPr>
              <w:t>Solicitar fondos adicionales</w:t>
            </w:r>
          </w:p>
        </w:tc>
      </w:tr>
    </w:tbl>
    <w:p w:rsidR="00C91295" w:rsidRPr="00526311" w:rsidRDefault="00C91295" w:rsidP="00F1387F">
      <w:pPr>
        <w:autoSpaceDE w:val="0"/>
        <w:autoSpaceDN w:val="0"/>
        <w:jc w:val="both"/>
        <w:rPr>
          <w:sz w:val="20"/>
        </w:rPr>
      </w:pPr>
    </w:p>
    <w:p w:rsidR="00C91295" w:rsidRPr="00526311" w:rsidRDefault="00C91295" w:rsidP="00F1387F">
      <w:pPr>
        <w:rPr>
          <w:sz w:val="20"/>
        </w:rPr>
      </w:pPr>
    </w:p>
    <w:p w:rsidR="00C91295" w:rsidRPr="00526311" w:rsidRDefault="00C91295" w:rsidP="00F1387F">
      <w:pPr>
        <w:rPr>
          <w:sz w:val="20"/>
        </w:rPr>
      </w:pPr>
      <w:r w:rsidRPr="00526311">
        <w:rPr>
          <w:sz w:val="20"/>
        </w:rPr>
        <w:br w:type="page"/>
      </w:r>
    </w:p>
    <w:p w:rsidR="00C91295" w:rsidRPr="00526311" w:rsidRDefault="00C91295" w:rsidP="00F1387F">
      <w:pPr>
        <w:rPr>
          <w:sz w:val="20"/>
        </w:rPr>
      </w:pPr>
      <w:r w:rsidRPr="00526311">
        <w:rPr>
          <w:sz w:val="20"/>
        </w:rPr>
        <w:lastRenderedPageBreak/>
        <w:t>CALENDARIO DEL PROYECTO, POR ETAPA</w:t>
      </w:r>
    </w:p>
    <w:p w:rsidR="00C91295" w:rsidRPr="00526311" w:rsidRDefault="00C91295" w:rsidP="00F1387F">
      <w:pPr>
        <w:autoSpaceDE w:val="0"/>
        <w:autoSpaceDN w:val="0"/>
        <w:jc w:val="both"/>
        <w:rPr>
          <w:sz w:val="20"/>
        </w:rPr>
      </w:pPr>
    </w:p>
    <w:p w:rsidR="00C91295" w:rsidRPr="00526311" w:rsidRDefault="00C91295" w:rsidP="00F1387F">
      <w:pPr>
        <w:autoSpaceDE w:val="0"/>
        <w:autoSpaceDN w:val="0"/>
        <w:jc w:val="both"/>
        <w:rPr>
          <w:sz w:val="20"/>
        </w:rPr>
      </w:pPr>
    </w:p>
    <w:tbl>
      <w:tblPr>
        <w:tblW w:w="9666" w:type="dxa"/>
        <w:jc w:val="center"/>
        <w:tblLook w:val="04A0" w:firstRow="1" w:lastRow="0" w:firstColumn="1" w:lastColumn="0" w:noHBand="0" w:noVBand="1"/>
      </w:tblPr>
      <w:tblGrid>
        <w:gridCol w:w="1999"/>
        <w:gridCol w:w="391"/>
        <w:gridCol w:w="384"/>
        <w:gridCol w:w="384"/>
        <w:gridCol w:w="374"/>
        <w:gridCol w:w="10"/>
        <w:gridCol w:w="384"/>
        <w:gridCol w:w="352"/>
        <w:gridCol w:w="384"/>
        <w:gridCol w:w="384"/>
        <w:gridCol w:w="19"/>
        <w:gridCol w:w="366"/>
        <w:gridCol w:w="385"/>
        <w:gridCol w:w="385"/>
        <w:gridCol w:w="385"/>
        <w:gridCol w:w="13"/>
        <w:gridCol w:w="372"/>
        <w:gridCol w:w="385"/>
        <w:gridCol w:w="385"/>
        <w:gridCol w:w="385"/>
        <w:gridCol w:w="6"/>
        <w:gridCol w:w="334"/>
        <w:gridCol w:w="340"/>
        <w:gridCol w:w="430"/>
        <w:gridCol w:w="430"/>
      </w:tblGrid>
      <w:tr w:rsidR="00C91295" w:rsidRPr="00526311" w:rsidTr="00F1387F">
        <w:trPr>
          <w:trHeight w:val="270"/>
          <w:jc w:val="center"/>
        </w:trPr>
        <w:tc>
          <w:tcPr>
            <w:tcW w:w="1999" w:type="dxa"/>
            <w:tcBorders>
              <w:top w:val="nil"/>
              <w:left w:val="nil"/>
              <w:bottom w:val="nil"/>
              <w:right w:val="nil"/>
            </w:tcBorders>
            <w:shd w:val="clear" w:color="auto" w:fill="auto"/>
            <w:noWrap/>
            <w:vAlign w:val="bottom"/>
            <w:hideMark/>
          </w:tcPr>
          <w:p w:rsidR="00C91295" w:rsidRPr="00526311" w:rsidRDefault="00C91295" w:rsidP="00F1387F">
            <w:pPr>
              <w:rPr>
                <w:sz w:val="16"/>
                <w:szCs w:val="16"/>
              </w:rPr>
            </w:pP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2014</w:t>
            </w:r>
          </w:p>
        </w:tc>
        <w:tc>
          <w:tcPr>
            <w:tcW w:w="1533" w:type="dxa"/>
            <w:gridSpan w:val="6"/>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C91295" w:rsidRPr="00526311" w:rsidRDefault="00C91295" w:rsidP="00F1387F">
            <w:pPr>
              <w:jc w:val="center"/>
              <w:rPr>
                <w:b/>
                <w:bCs/>
                <w:sz w:val="16"/>
                <w:szCs w:val="16"/>
              </w:rPr>
            </w:pPr>
            <w:r w:rsidRPr="00526311">
              <w:rPr>
                <w:b/>
                <w:bCs/>
                <w:sz w:val="16"/>
                <w:szCs w:val="16"/>
              </w:rPr>
              <w:t>2015</w:t>
            </w:r>
          </w:p>
        </w:tc>
        <w:tc>
          <w:tcPr>
            <w:tcW w:w="1534"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C91295" w:rsidRPr="00526311" w:rsidRDefault="00C91295" w:rsidP="00F1387F">
            <w:pPr>
              <w:jc w:val="center"/>
              <w:rPr>
                <w:b/>
                <w:bCs/>
                <w:sz w:val="16"/>
                <w:szCs w:val="16"/>
              </w:rPr>
            </w:pPr>
            <w:r w:rsidRPr="00526311">
              <w:rPr>
                <w:b/>
                <w:bCs/>
                <w:sz w:val="16"/>
                <w:szCs w:val="16"/>
              </w:rPr>
              <w:t>2016</w:t>
            </w:r>
          </w:p>
        </w:tc>
        <w:tc>
          <w:tcPr>
            <w:tcW w:w="1533"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C91295" w:rsidRPr="00526311" w:rsidRDefault="00C91295" w:rsidP="00F1387F">
            <w:pPr>
              <w:jc w:val="center"/>
              <w:rPr>
                <w:b/>
                <w:bCs/>
                <w:sz w:val="16"/>
                <w:szCs w:val="16"/>
              </w:rPr>
            </w:pPr>
            <w:r w:rsidRPr="00526311">
              <w:rPr>
                <w:b/>
                <w:bCs/>
                <w:sz w:val="16"/>
                <w:szCs w:val="16"/>
              </w:rPr>
              <w:t>2017</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C91295" w:rsidRPr="00526311" w:rsidRDefault="00C91295" w:rsidP="00F1387F">
            <w:pPr>
              <w:jc w:val="center"/>
              <w:rPr>
                <w:b/>
                <w:bCs/>
                <w:sz w:val="16"/>
                <w:szCs w:val="16"/>
              </w:rPr>
            </w:pPr>
            <w:r w:rsidRPr="00526311">
              <w:rPr>
                <w:b/>
                <w:bCs/>
                <w:sz w:val="16"/>
                <w:szCs w:val="16"/>
              </w:rPr>
              <w:t>2018</w:t>
            </w:r>
          </w:p>
        </w:tc>
      </w:tr>
      <w:tr w:rsidR="00C91295" w:rsidRPr="00526311" w:rsidTr="00F1387F">
        <w:trPr>
          <w:trHeight w:val="375"/>
          <w:jc w:val="center"/>
        </w:trPr>
        <w:tc>
          <w:tcPr>
            <w:tcW w:w="1999" w:type="dxa"/>
            <w:tcBorders>
              <w:top w:val="single" w:sz="8" w:space="0" w:color="auto"/>
              <w:left w:val="single" w:sz="4" w:space="0" w:color="auto"/>
              <w:bottom w:val="single" w:sz="4" w:space="0" w:color="auto"/>
              <w:right w:val="single" w:sz="8"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Etapa fundamental</w:t>
            </w:r>
          </w:p>
        </w:tc>
        <w:tc>
          <w:tcPr>
            <w:tcW w:w="391"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T1</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T2</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T3</w:t>
            </w:r>
          </w:p>
        </w:tc>
        <w:tc>
          <w:tcPr>
            <w:tcW w:w="384" w:type="dxa"/>
            <w:gridSpan w:val="2"/>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T4</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T1</w:t>
            </w:r>
          </w:p>
        </w:tc>
        <w:tc>
          <w:tcPr>
            <w:tcW w:w="352"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T2</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T3</w:t>
            </w:r>
          </w:p>
        </w:tc>
        <w:tc>
          <w:tcPr>
            <w:tcW w:w="384"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T4</w:t>
            </w:r>
          </w:p>
        </w:tc>
        <w:tc>
          <w:tcPr>
            <w:tcW w:w="385" w:type="dxa"/>
            <w:gridSpan w:val="2"/>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T1</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T2</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T3</w:t>
            </w:r>
          </w:p>
        </w:tc>
        <w:tc>
          <w:tcPr>
            <w:tcW w:w="385"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T4</w:t>
            </w:r>
          </w:p>
        </w:tc>
        <w:tc>
          <w:tcPr>
            <w:tcW w:w="385" w:type="dxa"/>
            <w:gridSpan w:val="2"/>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T1</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T2</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T3</w:t>
            </w:r>
          </w:p>
        </w:tc>
        <w:tc>
          <w:tcPr>
            <w:tcW w:w="385"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T4</w:t>
            </w:r>
          </w:p>
        </w:tc>
        <w:tc>
          <w:tcPr>
            <w:tcW w:w="340" w:type="dxa"/>
            <w:gridSpan w:val="2"/>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C91295" w:rsidRPr="00526311" w:rsidRDefault="00C91295" w:rsidP="00F1387F">
            <w:pPr>
              <w:jc w:val="center"/>
              <w:rPr>
                <w:b/>
                <w:bCs/>
                <w:sz w:val="16"/>
                <w:szCs w:val="16"/>
              </w:rPr>
            </w:pPr>
            <w:r w:rsidRPr="00526311">
              <w:rPr>
                <w:b/>
                <w:bCs/>
                <w:sz w:val="16"/>
                <w:szCs w:val="16"/>
              </w:rPr>
              <w:t>T1</w:t>
            </w:r>
          </w:p>
        </w:tc>
        <w:tc>
          <w:tcPr>
            <w:tcW w:w="340" w:type="dxa"/>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C91295" w:rsidRPr="00526311" w:rsidRDefault="00C91295" w:rsidP="00F1387F">
            <w:pPr>
              <w:jc w:val="center"/>
              <w:rPr>
                <w:b/>
                <w:bCs/>
                <w:sz w:val="16"/>
                <w:szCs w:val="16"/>
              </w:rPr>
            </w:pPr>
            <w:r w:rsidRPr="00526311">
              <w:rPr>
                <w:b/>
                <w:bCs/>
                <w:sz w:val="16"/>
                <w:szCs w:val="16"/>
              </w:rPr>
              <w:t>T2</w:t>
            </w:r>
          </w:p>
        </w:tc>
        <w:tc>
          <w:tcPr>
            <w:tcW w:w="430" w:type="dxa"/>
            <w:tcBorders>
              <w:top w:val="nil"/>
              <w:left w:val="nil"/>
              <w:bottom w:val="single" w:sz="4" w:space="0" w:color="auto"/>
              <w:right w:val="single" w:sz="8" w:space="0" w:color="auto"/>
            </w:tcBorders>
            <w:shd w:val="clear" w:color="auto" w:fill="C6D9F1" w:themeFill="text2" w:themeFillTint="33"/>
            <w:vAlign w:val="bottom"/>
          </w:tcPr>
          <w:p w:rsidR="00C91295" w:rsidRPr="00526311" w:rsidRDefault="00C91295" w:rsidP="00F1387F">
            <w:pPr>
              <w:jc w:val="center"/>
              <w:rPr>
                <w:b/>
                <w:bCs/>
                <w:sz w:val="16"/>
                <w:szCs w:val="16"/>
              </w:rPr>
            </w:pPr>
            <w:r w:rsidRPr="00526311">
              <w:rPr>
                <w:b/>
                <w:bCs/>
                <w:sz w:val="16"/>
                <w:szCs w:val="16"/>
              </w:rPr>
              <w:t>T3</w:t>
            </w:r>
          </w:p>
        </w:tc>
        <w:tc>
          <w:tcPr>
            <w:tcW w:w="430" w:type="dxa"/>
            <w:tcBorders>
              <w:top w:val="nil"/>
              <w:left w:val="nil"/>
              <w:bottom w:val="single" w:sz="4" w:space="0" w:color="auto"/>
              <w:right w:val="single" w:sz="4" w:space="0" w:color="auto"/>
            </w:tcBorders>
            <w:shd w:val="clear" w:color="auto" w:fill="C6D9F1" w:themeFill="text2" w:themeFillTint="33"/>
            <w:vAlign w:val="bottom"/>
          </w:tcPr>
          <w:p w:rsidR="00C91295" w:rsidRPr="00526311" w:rsidRDefault="00C91295" w:rsidP="00F1387F">
            <w:pPr>
              <w:jc w:val="center"/>
              <w:rPr>
                <w:b/>
                <w:bCs/>
                <w:sz w:val="16"/>
                <w:szCs w:val="16"/>
              </w:rPr>
            </w:pPr>
            <w:r w:rsidRPr="00526311">
              <w:rPr>
                <w:b/>
                <w:bCs/>
                <w:sz w:val="16"/>
                <w:szCs w:val="16"/>
              </w:rPr>
              <w:t>T4</w:t>
            </w:r>
          </w:p>
        </w:tc>
      </w:tr>
      <w:tr w:rsidR="00C91295" w:rsidRPr="00526311" w:rsidTr="00F1387F">
        <w:trPr>
          <w:trHeight w:val="615"/>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91295" w:rsidRPr="00526311" w:rsidRDefault="00C91295" w:rsidP="00F1387F">
            <w:pPr>
              <w:rPr>
                <w:sz w:val="16"/>
                <w:szCs w:val="16"/>
              </w:rPr>
            </w:pPr>
            <w:r w:rsidRPr="00526311">
              <w:rPr>
                <w:bCs/>
                <w:sz w:val="16"/>
                <w:szCs w:val="16"/>
              </w:rPr>
              <w:t>Convocación a presentar expresiones de interés para el piloto/arquitecto</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r w:rsidRPr="00526311">
              <w:rPr>
                <w:sz w:val="16"/>
                <w:szCs w:val="16"/>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C91295" w:rsidRPr="00526311" w:rsidRDefault="00C91295" w:rsidP="00F1387F">
            <w:pPr>
              <w:jc w:val="center"/>
              <w:rPr>
                <w:sz w:val="16"/>
                <w:szCs w:val="16"/>
              </w:rPr>
            </w:pPr>
          </w:p>
        </w:tc>
        <w:tc>
          <w:tcPr>
            <w:tcW w:w="340" w:type="dxa"/>
            <w:tcBorders>
              <w:top w:val="nil"/>
              <w:left w:val="nil"/>
              <w:bottom w:val="single" w:sz="4" w:space="0" w:color="auto"/>
              <w:right w:val="single" w:sz="8" w:space="0" w:color="auto"/>
            </w:tcBorders>
            <w:tcMar>
              <w:left w:w="0" w:type="dxa"/>
              <w:right w:w="0" w:type="dxa"/>
            </w:tcMar>
          </w:tcPr>
          <w:p w:rsidR="00C91295" w:rsidRPr="00526311" w:rsidRDefault="00C91295" w:rsidP="00F1387F">
            <w:pPr>
              <w:jc w:val="center"/>
              <w:rPr>
                <w:sz w:val="16"/>
                <w:szCs w:val="16"/>
              </w:rPr>
            </w:pPr>
          </w:p>
        </w:tc>
        <w:tc>
          <w:tcPr>
            <w:tcW w:w="430" w:type="dxa"/>
            <w:tcBorders>
              <w:top w:val="nil"/>
              <w:left w:val="nil"/>
              <w:bottom w:val="single" w:sz="4" w:space="0" w:color="auto"/>
              <w:right w:val="single" w:sz="8" w:space="0" w:color="auto"/>
            </w:tcBorders>
          </w:tcPr>
          <w:p w:rsidR="00C91295" w:rsidRPr="00526311" w:rsidRDefault="00C91295" w:rsidP="00F1387F">
            <w:pPr>
              <w:jc w:val="center"/>
              <w:rPr>
                <w:sz w:val="16"/>
                <w:szCs w:val="16"/>
              </w:rPr>
            </w:pPr>
          </w:p>
        </w:tc>
        <w:tc>
          <w:tcPr>
            <w:tcW w:w="430" w:type="dxa"/>
            <w:tcBorders>
              <w:top w:val="nil"/>
              <w:left w:val="nil"/>
              <w:bottom w:val="single" w:sz="4" w:space="0" w:color="auto"/>
              <w:right w:val="single" w:sz="4" w:space="0" w:color="auto"/>
            </w:tcBorders>
          </w:tcPr>
          <w:p w:rsidR="00C91295" w:rsidRPr="00526311" w:rsidRDefault="00C91295" w:rsidP="00F1387F">
            <w:pPr>
              <w:jc w:val="center"/>
              <w:rPr>
                <w:sz w:val="16"/>
                <w:szCs w:val="16"/>
              </w:rPr>
            </w:pPr>
          </w:p>
        </w:tc>
      </w:tr>
      <w:tr w:rsidR="00C91295" w:rsidRPr="00526311" w:rsidTr="00F1387F">
        <w:trPr>
          <w:trHeight w:val="413"/>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91295" w:rsidRPr="00526311" w:rsidRDefault="00C91295" w:rsidP="00F1387F">
            <w:pPr>
              <w:rPr>
                <w:sz w:val="16"/>
                <w:szCs w:val="16"/>
              </w:rPr>
            </w:pPr>
            <w:r w:rsidRPr="00526311">
              <w:rPr>
                <w:sz w:val="16"/>
                <w:szCs w:val="16"/>
              </w:rPr>
              <w:t>Llamado a licitación y selección del piloto/arquitecto y los ingenieros</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r w:rsidRPr="00526311">
              <w:rPr>
                <w:sz w:val="16"/>
                <w:szCs w:val="16"/>
              </w:rPr>
              <w:t>X</w:t>
            </w: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r w:rsidRPr="00526311">
              <w:rPr>
                <w:sz w:val="16"/>
                <w:szCs w:val="16"/>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C91295" w:rsidRPr="00526311" w:rsidRDefault="00C91295" w:rsidP="00F1387F">
            <w:pPr>
              <w:jc w:val="center"/>
              <w:rPr>
                <w:sz w:val="16"/>
                <w:szCs w:val="16"/>
              </w:rPr>
            </w:pPr>
          </w:p>
        </w:tc>
        <w:tc>
          <w:tcPr>
            <w:tcW w:w="340" w:type="dxa"/>
            <w:tcBorders>
              <w:top w:val="nil"/>
              <w:left w:val="nil"/>
              <w:bottom w:val="single" w:sz="4" w:space="0" w:color="auto"/>
              <w:right w:val="single" w:sz="8" w:space="0" w:color="auto"/>
            </w:tcBorders>
            <w:tcMar>
              <w:left w:w="0" w:type="dxa"/>
              <w:right w:w="0" w:type="dxa"/>
            </w:tcMar>
          </w:tcPr>
          <w:p w:rsidR="00C91295" w:rsidRPr="00526311" w:rsidRDefault="00C91295" w:rsidP="00F1387F">
            <w:pPr>
              <w:jc w:val="center"/>
              <w:rPr>
                <w:sz w:val="16"/>
                <w:szCs w:val="16"/>
              </w:rPr>
            </w:pPr>
          </w:p>
        </w:tc>
        <w:tc>
          <w:tcPr>
            <w:tcW w:w="430" w:type="dxa"/>
            <w:tcBorders>
              <w:top w:val="nil"/>
              <w:left w:val="nil"/>
              <w:bottom w:val="single" w:sz="4" w:space="0" w:color="auto"/>
              <w:right w:val="single" w:sz="8" w:space="0" w:color="auto"/>
            </w:tcBorders>
          </w:tcPr>
          <w:p w:rsidR="00C91295" w:rsidRPr="00526311" w:rsidRDefault="00C91295" w:rsidP="00F1387F">
            <w:pPr>
              <w:jc w:val="center"/>
              <w:rPr>
                <w:sz w:val="16"/>
                <w:szCs w:val="16"/>
              </w:rPr>
            </w:pPr>
          </w:p>
        </w:tc>
        <w:tc>
          <w:tcPr>
            <w:tcW w:w="430" w:type="dxa"/>
            <w:tcBorders>
              <w:top w:val="nil"/>
              <w:left w:val="nil"/>
              <w:bottom w:val="single" w:sz="4" w:space="0" w:color="auto"/>
              <w:right w:val="single" w:sz="4" w:space="0" w:color="auto"/>
            </w:tcBorders>
          </w:tcPr>
          <w:p w:rsidR="00C91295" w:rsidRPr="00526311" w:rsidRDefault="00C91295" w:rsidP="00F1387F">
            <w:pPr>
              <w:jc w:val="center"/>
              <w:rPr>
                <w:sz w:val="16"/>
                <w:szCs w:val="16"/>
              </w:rPr>
            </w:pPr>
          </w:p>
        </w:tc>
      </w:tr>
      <w:tr w:rsidR="00C91295" w:rsidRPr="00526311" w:rsidTr="00F1387F">
        <w:trPr>
          <w:trHeight w:val="507"/>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91295" w:rsidRPr="00526311" w:rsidRDefault="00C91295" w:rsidP="00F1387F">
            <w:pPr>
              <w:rPr>
                <w:sz w:val="16"/>
                <w:szCs w:val="16"/>
              </w:rPr>
            </w:pPr>
            <w:r w:rsidRPr="00526311">
              <w:rPr>
                <w:sz w:val="16"/>
                <w:szCs w:val="16"/>
              </w:rPr>
              <w:t>Estudio detallado de la ejecución</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r w:rsidRPr="00526311">
              <w:rPr>
                <w:sz w:val="16"/>
                <w:szCs w:val="16"/>
              </w:rPr>
              <w:t>X</w:t>
            </w: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r w:rsidRPr="00526311">
              <w:rPr>
                <w:sz w:val="16"/>
                <w:szCs w:val="16"/>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C91295" w:rsidRPr="00526311" w:rsidRDefault="00C91295" w:rsidP="00F1387F">
            <w:pPr>
              <w:jc w:val="center"/>
              <w:rPr>
                <w:sz w:val="16"/>
                <w:szCs w:val="16"/>
              </w:rPr>
            </w:pPr>
          </w:p>
        </w:tc>
        <w:tc>
          <w:tcPr>
            <w:tcW w:w="340" w:type="dxa"/>
            <w:tcBorders>
              <w:top w:val="nil"/>
              <w:left w:val="nil"/>
              <w:bottom w:val="single" w:sz="4" w:space="0" w:color="auto"/>
              <w:right w:val="single" w:sz="8" w:space="0" w:color="auto"/>
            </w:tcBorders>
            <w:tcMar>
              <w:left w:w="0" w:type="dxa"/>
              <w:right w:w="0" w:type="dxa"/>
            </w:tcMar>
          </w:tcPr>
          <w:p w:rsidR="00C91295" w:rsidRPr="00526311" w:rsidRDefault="00C91295" w:rsidP="00F1387F">
            <w:pPr>
              <w:jc w:val="center"/>
              <w:rPr>
                <w:sz w:val="16"/>
                <w:szCs w:val="16"/>
              </w:rPr>
            </w:pPr>
          </w:p>
        </w:tc>
        <w:tc>
          <w:tcPr>
            <w:tcW w:w="430" w:type="dxa"/>
            <w:tcBorders>
              <w:top w:val="nil"/>
              <w:left w:val="nil"/>
              <w:bottom w:val="single" w:sz="4" w:space="0" w:color="auto"/>
              <w:right w:val="single" w:sz="8" w:space="0" w:color="auto"/>
            </w:tcBorders>
          </w:tcPr>
          <w:p w:rsidR="00C91295" w:rsidRPr="00526311" w:rsidRDefault="00C91295" w:rsidP="00F1387F">
            <w:pPr>
              <w:jc w:val="center"/>
              <w:rPr>
                <w:sz w:val="16"/>
                <w:szCs w:val="16"/>
              </w:rPr>
            </w:pPr>
          </w:p>
        </w:tc>
        <w:tc>
          <w:tcPr>
            <w:tcW w:w="430" w:type="dxa"/>
            <w:tcBorders>
              <w:top w:val="nil"/>
              <w:left w:val="nil"/>
              <w:bottom w:val="single" w:sz="4" w:space="0" w:color="auto"/>
              <w:right w:val="single" w:sz="4" w:space="0" w:color="auto"/>
            </w:tcBorders>
          </w:tcPr>
          <w:p w:rsidR="00C91295" w:rsidRPr="00526311" w:rsidRDefault="00C91295" w:rsidP="00F1387F">
            <w:pPr>
              <w:jc w:val="center"/>
              <w:rPr>
                <w:sz w:val="16"/>
                <w:szCs w:val="16"/>
              </w:rPr>
            </w:pPr>
          </w:p>
        </w:tc>
      </w:tr>
      <w:tr w:rsidR="00C91295" w:rsidRPr="00526311" w:rsidTr="00F1387F">
        <w:trPr>
          <w:trHeight w:val="615"/>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91295" w:rsidRPr="00526311" w:rsidRDefault="00C91295" w:rsidP="00F1387F">
            <w:pPr>
              <w:rPr>
                <w:sz w:val="16"/>
                <w:szCs w:val="16"/>
              </w:rPr>
            </w:pPr>
            <w:r w:rsidRPr="00526311">
              <w:rPr>
                <w:sz w:val="16"/>
                <w:szCs w:val="16"/>
              </w:rPr>
              <w:t>Elección de la solución técnica</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r w:rsidRPr="00526311">
              <w:rPr>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C91295" w:rsidRPr="00526311" w:rsidRDefault="00C91295" w:rsidP="00F1387F">
            <w:pPr>
              <w:jc w:val="center"/>
              <w:rPr>
                <w:sz w:val="16"/>
                <w:szCs w:val="16"/>
              </w:rPr>
            </w:pPr>
          </w:p>
        </w:tc>
        <w:tc>
          <w:tcPr>
            <w:tcW w:w="340" w:type="dxa"/>
            <w:tcBorders>
              <w:top w:val="nil"/>
              <w:left w:val="nil"/>
              <w:bottom w:val="single" w:sz="4" w:space="0" w:color="auto"/>
              <w:right w:val="single" w:sz="8" w:space="0" w:color="auto"/>
            </w:tcBorders>
            <w:tcMar>
              <w:left w:w="0" w:type="dxa"/>
              <w:right w:w="0" w:type="dxa"/>
            </w:tcMar>
          </w:tcPr>
          <w:p w:rsidR="00C91295" w:rsidRPr="00526311" w:rsidRDefault="00C91295" w:rsidP="00F1387F">
            <w:pPr>
              <w:jc w:val="center"/>
              <w:rPr>
                <w:sz w:val="16"/>
                <w:szCs w:val="16"/>
              </w:rPr>
            </w:pPr>
          </w:p>
        </w:tc>
        <w:tc>
          <w:tcPr>
            <w:tcW w:w="430" w:type="dxa"/>
            <w:tcBorders>
              <w:top w:val="nil"/>
              <w:left w:val="nil"/>
              <w:bottom w:val="single" w:sz="4" w:space="0" w:color="auto"/>
              <w:right w:val="single" w:sz="8" w:space="0" w:color="auto"/>
            </w:tcBorders>
          </w:tcPr>
          <w:p w:rsidR="00C91295" w:rsidRPr="00526311" w:rsidRDefault="00C91295" w:rsidP="00F1387F">
            <w:pPr>
              <w:jc w:val="center"/>
              <w:rPr>
                <w:sz w:val="16"/>
                <w:szCs w:val="16"/>
              </w:rPr>
            </w:pPr>
          </w:p>
        </w:tc>
        <w:tc>
          <w:tcPr>
            <w:tcW w:w="430" w:type="dxa"/>
            <w:tcBorders>
              <w:top w:val="nil"/>
              <w:left w:val="nil"/>
              <w:bottom w:val="single" w:sz="4" w:space="0" w:color="auto"/>
              <w:right w:val="single" w:sz="4" w:space="0" w:color="auto"/>
            </w:tcBorders>
          </w:tcPr>
          <w:p w:rsidR="00C91295" w:rsidRPr="00526311" w:rsidRDefault="00C91295" w:rsidP="00F1387F">
            <w:pPr>
              <w:jc w:val="center"/>
              <w:rPr>
                <w:sz w:val="16"/>
                <w:szCs w:val="16"/>
              </w:rPr>
            </w:pPr>
          </w:p>
        </w:tc>
      </w:tr>
      <w:tr w:rsidR="00C91295" w:rsidRPr="00526311" w:rsidTr="00F1387F">
        <w:trPr>
          <w:trHeight w:val="563"/>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91295" w:rsidRPr="00526311" w:rsidRDefault="00C91295" w:rsidP="00F1387F">
            <w:pPr>
              <w:rPr>
                <w:sz w:val="16"/>
                <w:szCs w:val="16"/>
              </w:rPr>
            </w:pPr>
            <w:r w:rsidRPr="00526311">
              <w:rPr>
                <w:sz w:val="16"/>
                <w:szCs w:val="16"/>
              </w:rPr>
              <w:t>Llamado a licitación para empresas</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r w:rsidRPr="00526311">
              <w:rPr>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r w:rsidRPr="00526311">
              <w:rPr>
                <w:sz w:val="16"/>
                <w:szCs w:val="16"/>
              </w:rPr>
              <w:t>X</w:t>
            </w: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r w:rsidRPr="00526311">
              <w:rPr>
                <w:sz w:val="16"/>
                <w:szCs w:val="16"/>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C91295" w:rsidRPr="00526311" w:rsidRDefault="00C91295" w:rsidP="00F1387F">
            <w:pPr>
              <w:jc w:val="center"/>
              <w:rPr>
                <w:sz w:val="16"/>
                <w:szCs w:val="16"/>
              </w:rPr>
            </w:pPr>
          </w:p>
        </w:tc>
        <w:tc>
          <w:tcPr>
            <w:tcW w:w="340" w:type="dxa"/>
            <w:tcBorders>
              <w:top w:val="nil"/>
              <w:left w:val="nil"/>
              <w:bottom w:val="single" w:sz="4" w:space="0" w:color="auto"/>
              <w:right w:val="single" w:sz="8" w:space="0" w:color="auto"/>
            </w:tcBorders>
            <w:tcMar>
              <w:left w:w="0" w:type="dxa"/>
              <w:right w:w="0" w:type="dxa"/>
            </w:tcMar>
          </w:tcPr>
          <w:p w:rsidR="00C91295" w:rsidRPr="00526311" w:rsidRDefault="00C91295" w:rsidP="00F1387F">
            <w:pPr>
              <w:jc w:val="center"/>
              <w:rPr>
                <w:sz w:val="16"/>
                <w:szCs w:val="16"/>
              </w:rPr>
            </w:pPr>
          </w:p>
        </w:tc>
        <w:tc>
          <w:tcPr>
            <w:tcW w:w="430" w:type="dxa"/>
            <w:tcBorders>
              <w:top w:val="nil"/>
              <w:left w:val="nil"/>
              <w:bottom w:val="single" w:sz="4" w:space="0" w:color="auto"/>
              <w:right w:val="single" w:sz="8" w:space="0" w:color="auto"/>
            </w:tcBorders>
          </w:tcPr>
          <w:p w:rsidR="00C91295" w:rsidRPr="00526311" w:rsidRDefault="00C91295" w:rsidP="00F1387F">
            <w:pPr>
              <w:jc w:val="center"/>
              <w:rPr>
                <w:sz w:val="16"/>
                <w:szCs w:val="16"/>
              </w:rPr>
            </w:pPr>
          </w:p>
        </w:tc>
        <w:tc>
          <w:tcPr>
            <w:tcW w:w="430" w:type="dxa"/>
            <w:tcBorders>
              <w:top w:val="nil"/>
              <w:left w:val="nil"/>
              <w:bottom w:val="single" w:sz="4" w:space="0" w:color="auto"/>
              <w:right w:val="single" w:sz="4" w:space="0" w:color="auto"/>
            </w:tcBorders>
          </w:tcPr>
          <w:p w:rsidR="00C91295" w:rsidRPr="00526311" w:rsidRDefault="00C91295" w:rsidP="00F1387F">
            <w:pPr>
              <w:jc w:val="center"/>
              <w:rPr>
                <w:sz w:val="16"/>
                <w:szCs w:val="16"/>
              </w:rPr>
            </w:pPr>
          </w:p>
        </w:tc>
      </w:tr>
      <w:tr w:rsidR="00C91295" w:rsidRPr="00526311" w:rsidTr="00F1387F">
        <w:trPr>
          <w:trHeight w:val="415"/>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C91295" w:rsidRPr="00526311" w:rsidRDefault="00C91295" w:rsidP="00F1387F">
            <w:pPr>
              <w:rPr>
                <w:sz w:val="16"/>
                <w:szCs w:val="16"/>
              </w:rPr>
            </w:pPr>
            <w:r w:rsidRPr="00526311">
              <w:rPr>
                <w:sz w:val="16"/>
                <w:szCs w:val="16"/>
              </w:rPr>
              <w:t>Obra</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C91295" w:rsidRPr="00526311" w:rsidRDefault="00C91295" w:rsidP="00F1387F">
            <w:pP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C91295" w:rsidRPr="00526311" w:rsidRDefault="00C91295" w:rsidP="00F1387F">
            <w:pP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C91295" w:rsidRPr="00526311" w:rsidRDefault="00C91295" w:rsidP="00F1387F">
            <w:pPr>
              <w:rPr>
                <w:sz w:val="16"/>
                <w:szCs w:val="16"/>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r w:rsidRPr="00526311">
              <w:rPr>
                <w:sz w:val="16"/>
                <w:szCs w:val="16"/>
              </w:rPr>
              <w:t>X</w:t>
            </w: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r w:rsidRPr="00526311">
              <w:rPr>
                <w:sz w:val="16"/>
                <w:szCs w:val="16"/>
              </w:rPr>
              <w:t>X</w:t>
            </w: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r w:rsidRPr="00526311">
              <w:rPr>
                <w:sz w:val="16"/>
                <w:szCs w:val="16"/>
              </w:rPr>
              <w:t>X</w:t>
            </w: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r w:rsidRPr="00526311">
              <w:rPr>
                <w:sz w:val="16"/>
                <w:szCs w:val="16"/>
              </w:rPr>
              <w:t>X</w:t>
            </w:r>
          </w:p>
        </w:tc>
        <w:tc>
          <w:tcPr>
            <w:tcW w:w="340" w:type="dxa"/>
            <w:gridSpan w:val="2"/>
            <w:tcBorders>
              <w:top w:val="single" w:sz="4" w:space="0" w:color="auto"/>
              <w:left w:val="nil"/>
              <w:bottom w:val="single" w:sz="4" w:space="0" w:color="auto"/>
              <w:right w:val="single" w:sz="8" w:space="0" w:color="auto"/>
            </w:tcBorders>
            <w:tcMar>
              <w:left w:w="0" w:type="dxa"/>
              <w:right w:w="0" w:type="dxa"/>
            </w:tcMar>
          </w:tcPr>
          <w:p w:rsidR="00C91295" w:rsidRPr="00526311" w:rsidRDefault="00C91295" w:rsidP="00F1387F">
            <w:pPr>
              <w:jc w:val="center"/>
              <w:rPr>
                <w:sz w:val="16"/>
                <w:szCs w:val="16"/>
              </w:rPr>
            </w:pPr>
          </w:p>
        </w:tc>
        <w:tc>
          <w:tcPr>
            <w:tcW w:w="340" w:type="dxa"/>
            <w:tcBorders>
              <w:top w:val="single" w:sz="4" w:space="0" w:color="auto"/>
              <w:left w:val="nil"/>
              <w:bottom w:val="single" w:sz="4" w:space="0" w:color="auto"/>
              <w:right w:val="single" w:sz="8" w:space="0" w:color="auto"/>
            </w:tcBorders>
            <w:tcMar>
              <w:left w:w="0" w:type="dxa"/>
              <w:right w:w="0" w:type="dxa"/>
            </w:tcMar>
          </w:tcPr>
          <w:p w:rsidR="00C91295" w:rsidRPr="00526311" w:rsidRDefault="00C91295" w:rsidP="00F1387F">
            <w:pPr>
              <w:jc w:val="center"/>
              <w:rPr>
                <w:sz w:val="16"/>
                <w:szCs w:val="16"/>
              </w:rPr>
            </w:pPr>
          </w:p>
        </w:tc>
        <w:tc>
          <w:tcPr>
            <w:tcW w:w="430" w:type="dxa"/>
            <w:tcBorders>
              <w:top w:val="single" w:sz="4" w:space="0" w:color="auto"/>
              <w:left w:val="nil"/>
              <w:bottom w:val="single" w:sz="4" w:space="0" w:color="auto"/>
              <w:right w:val="single" w:sz="8" w:space="0" w:color="auto"/>
            </w:tcBorders>
          </w:tcPr>
          <w:p w:rsidR="00C91295" w:rsidRPr="00526311" w:rsidRDefault="00C91295" w:rsidP="00F1387F">
            <w:pPr>
              <w:jc w:val="center"/>
              <w:rPr>
                <w:sz w:val="16"/>
                <w:szCs w:val="16"/>
              </w:rPr>
            </w:pPr>
          </w:p>
        </w:tc>
        <w:tc>
          <w:tcPr>
            <w:tcW w:w="430" w:type="dxa"/>
            <w:tcBorders>
              <w:top w:val="single" w:sz="4" w:space="0" w:color="auto"/>
              <w:left w:val="nil"/>
              <w:bottom w:val="single" w:sz="4" w:space="0" w:color="auto"/>
              <w:right w:val="single" w:sz="4" w:space="0" w:color="auto"/>
            </w:tcBorders>
          </w:tcPr>
          <w:p w:rsidR="00C91295" w:rsidRPr="00526311" w:rsidRDefault="00C91295" w:rsidP="00F1387F">
            <w:pPr>
              <w:jc w:val="center"/>
              <w:rPr>
                <w:sz w:val="16"/>
                <w:szCs w:val="16"/>
              </w:rPr>
            </w:pPr>
          </w:p>
        </w:tc>
      </w:tr>
      <w:tr w:rsidR="00C91295" w:rsidRPr="00526311" w:rsidTr="00F1387F">
        <w:trPr>
          <w:trHeight w:val="415"/>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C91295" w:rsidRPr="00526311" w:rsidRDefault="00C91295" w:rsidP="00F1387F">
            <w:pPr>
              <w:rPr>
                <w:sz w:val="16"/>
                <w:szCs w:val="16"/>
              </w:rPr>
            </w:pPr>
            <w:r w:rsidRPr="00526311">
              <w:rPr>
                <w:sz w:val="16"/>
                <w:szCs w:val="16"/>
              </w:rPr>
              <w:t>Puesta en servicio</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C91295" w:rsidRPr="00526311" w:rsidRDefault="00C91295" w:rsidP="00F1387F">
            <w:pP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C91295" w:rsidRPr="00526311" w:rsidRDefault="00C91295" w:rsidP="00F1387F">
            <w:pP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C91295" w:rsidRPr="00526311" w:rsidRDefault="00C91295" w:rsidP="00F1387F">
            <w:pPr>
              <w:rPr>
                <w:sz w:val="16"/>
                <w:szCs w:val="16"/>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40" w:type="dxa"/>
            <w:gridSpan w:val="2"/>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C91295" w:rsidRPr="00526311" w:rsidRDefault="00C91295" w:rsidP="00F1387F">
            <w:pPr>
              <w:jc w:val="center"/>
              <w:rPr>
                <w:sz w:val="16"/>
                <w:szCs w:val="16"/>
              </w:rPr>
            </w:pPr>
            <w:r w:rsidRPr="00526311">
              <w:rPr>
                <w:sz w:val="16"/>
                <w:szCs w:val="16"/>
              </w:rPr>
              <w:t>X</w:t>
            </w:r>
          </w:p>
        </w:tc>
        <w:tc>
          <w:tcPr>
            <w:tcW w:w="340" w:type="dxa"/>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C91295" w:rsidRPr="00526311" w:rsidRDefault="00C91295" w:rsidP="00F1387F">
            <w:pPr>
              <w:jc w:val="center"/>
              <w:rPr>
                <w:sz w:val="16"/>
                <w:szCs w:val="16"/>
              </w:rPr>
            </w:pPr>
            <w:r w:rsidRPr="00526311">
              <w:rPr>
                <w:sz w:val="16"/>
                <w:szCs w:val="16"/>
              </w:rPr>
              <w:t>X</w:t>
            </w:r>
          </w:p>
        </w:tc>
        <w:tc>
          <w:tcPr>
            <w:tcW w:w="430" w:type="dxa"/>
            <w:tcBorders>
              <w:top w:val="single" w:sz="4" w:space="0" w:color="auto"/>
              <w:left w:val="nil"/>
              <w:bottom w:val="single" w:sz="4" w:space="0" w:color="auto"/>
              <w:right w:val="single" w:sz="8" w:space="0" w:color="auto"/>
            </w:tcBorders>
          </w:tcPr>
          <w:p w:rsidR="00C91295" w:rsidRPr="00526311" w:rsidRDefault="00C91295" w:rsidP="00F1387F">
            <w:pPr>
              <w:jc w:val="center"/>
              <w:rPr>
                <w:sz w:val="16"/>
                <w:szCs w:val="16"/>
              </w:rPr>
            </w:pPr>
          </w:p>
        </w:tc>
        <w:tc>
          <w:tcPr>
            <w:tcW w:w="430" w:type="dxa"/>
            <w:tcBorders>
              <w:top w:val="single" w:sz="4" w:space="0" w:color="auto"/>
              <w:left w:val="nil"/>
              <w:bottom w:val="single" w:sz="4" w:space="0" w:color="auto"/>
              <w:right w:val="single" w:sz="4" w:space="0" w:color="auto"/>
            </w:tcBorders>
          </w:tcPr>
          <w:p w:rsidR="00C91295" w:rsidRPr="00526311" w:rsidRDefault="00C91295" w:rsidP="00F1387F">
            <w:pPr>
              <w:jc w:val="center"/>
              <w:rPr>
                <w:sz w:val="16"/>
                <w:szCs w:val="16"/>
              </w:rPr>
            </w:pPr>
          </w:p>
        </w:tc>
      </w:tr>
    </w:tbl>
    <w:p w:rsidR="00C91295" w:rsidRPr="00526311" w:rsidRDefault="00C91295" w:rsidP="00F1387F"/>
    <w:p w:rsidR="00C91295" w:rsidRPr="00526311" w:rsidRDefault="00C91295" w:rsidP="00F1387F">
      <w:r w:rsidRPr="00526311">
        <w:br w:type="page"/>
      </w:r>
    </w:p>
    <w:p w:rsidR="00C91295" w:rsidRPr="00526311" w:rsidRDefault="00C91295" w:rsidP="00F1387F">
      <w:pPr>
        <w:rPr>
          <w:b/>
        </w:rPr>
      </w:pPr>
      <w:r w:rsidRPr="00526311">
        <w:rPr>
          <w:b/>
        </w:rPr>
        <w:lastRenderedPageBreak/>
        <w:t>PROYECTOS RELACIONADOS CON LOS EDIFICIOS</w:t>
      </w:r>
    </w:p>
    <w:p w:rsidR="00C91295" w:rsidRPr="00526311" w:rsidRDefault="00C91295" w:rsidP="00F1387F">
      <w:pPr>
        <w:pStyle w:val="StyleHeading3BoldNounderline"/>
        <w:rPr>
          <w:b/>
          <w:lang w:val="es-ES"/>
        </w:rPr>
      </w:pPr>
      <w:bookmarkStart w:id="105" w:name="_Toc422927451"/>
      <w:r w:rsidRPr="00526311">
        <w:rPr>
          <w:b/>
          <w:lang w:val="es-ES"/>
        </w:rPr>
        <w:t>PROYECTO:</w:t>
      </w:r>
      <w:r w:rsidRPr="00526311">
        <w:rPr>
          <w:i w:val="0"/>
          <w:lang w:val="es-ES"/>
        </w:rPr>
        <w:t xml:space="preserve">  </w:t>
      </w:r>
      <w:r w:rsidRPr="00526311">
        <w:rPr>
          <w:b/>
          <w:lang w:val="es-ES"/>
        </w:rPr>
        <w:t>INSTALACIÓN EN LOS EDIFICIOS AB Y PCT DE UN SISTEMA DE REFRIGERACIÓN QUE UTILIZA EL AGUA DEL LAGO DE GINEBRA (“GLN”)</w:t>
      </w:r>
      <w:r w:rsidR="005D293E" w:rsidRPr="00526311">
        <w:rPr>
          <w:b/>
          <w:lang w:val="es-ES"/>
        </w:rPr>
        <w:t xml:space="preserve"> (PMM 4)</w:t>
      </w:r>
      <w:bookmarkEnd w:id="105"/>
    </w:p>
    <w:p w:rsidR="00C91295" w:rsidRPr="00526311" w:rsidRDefault="00C91295" w:rsidP="00F1387F">
      <w:pPr>
        <w:rPr>
          <w:sz w:val="20"/>
        </w:rPr>
      </w:pPr>
    </w:p>
    <w:p w:rsidR="00C91295" w:rsidRPr="00526311" w:rsidRDefault="00C91295" w:rsidP="00F1387F">
      <w:pPr>
        <w:rPr>
          <w:b/>
          <w:sz w:val="20"/>
        </w:rPr>
      </w:pPr>
      <w:r w:rsidRPr="00526311">
        <w:rPr>
          <w:b/>
          <w:sz w:val="20"/>
        </w:rPr>
        <w:t>Director de proyecto:</w:t>
      </w:r>
      <w:r w:rsidRPr="00526311">
        <w:rPr>
          <w:b/>
          <w:sz w:val="20"/>
        </w:rPr>
        <w:tab/>
        <w:t xml:space="preserve">Sr. A. </w:t>
      </w:r>
      <w:r w:rsidR="00345563" w:rsidRPr="00526311">
        <w:rPr>
          <w:b/>
          <w:sz w:val="20"/>
        </w:rPr>
        <w:t>Favero</w:t>
      </w:r>
    </w:p>
    <w:p w:rsidR="00C91295" w:rsidRPr="00526311" w:rsidRDefault="00C91295" w:rsidP="00F1387F">
      <w:pPr>
        <w:rPr>
          <w:sz w:val="20"/>
        </w:rPr>
      </w:pPr>
    </w:p>
    <w:p w:rsidR="00C91295" w:rsidRPr="00526311" w:rsidRDefault="00C91295" w:rsidP="00F1387F">
      <w:pPr>
        <w:rPr>
          <w:sz w:val="20"/>
        </w:rPr>
      </w:pPr>
    </w:p>
    <w:p w:rsidR="00C91295" w:rsidRPr="00526311" w:rsidRDefault="00C91295" w:rsidP="00F1387F">
      <w:pPr>
        <w:rPr>
          <w:bCs/>
          <w:sz w:val="20"/>
        </w:rPr>
      </w:pPr>
      <w:r w:rsidRPr="00526311">
        <w:rPr>
          <w:bCs/>
          <w:sz w:val="20"/>
        </w:rPr>
        <w:t>RESULTADO PREVISTO</w:t>
      </w:r>
    </w:p>
    <w:p w:rsidR="00C91295" w:rsidRPr="00526311" w:rsidRDefault="00C91295" w:rsidP="00F1387F">
      <w:pPr>
        <w:rPr>
          <w:bCs/>
          <w:sz w:val="20"/>
        </w:rPr>
      </w:pPr>
    </w:p>
    <w:p w:rsidR="00C91295" w:rsidRPr="00526311" w:rsidRDefault="00C91295" w:rsidP="00F1387F">
      <w:pPr>
        <w:rPr>
          <w:i/>
          <w:iCs/>
          <w:sz w:val="20"/>
        </w:rPr>
      </w:pPr>
      <w:r w:rsidRPr="00526311">
        <w:rPr>
          <w:i/>
          <w:iCs/>
          <w:sz w:val="20"/>
        </w:rPr>
        <w:t>IX.1 Servicios de apoyo eficaces, eficientes, de calidad y orientados al cliente, tanto a los clientes internos como a las partes interesadas externas</w:t>
      </w:r>
    </w:p>
    <w:p w:rsidR="00C91295" w:rsidRPr="00526311" w:rsidRDefault="00C91295" w:rsidP="00F1387F">
      <w:pPr>
        <w:rPr>
          <w:bCs/>
          <w:sz w:val="20"/>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t>OBJETIVOS, ALCANCE Y ENFOQUE:  ANTECEDENTES</w:t>
      </w:r>
    </w:p>
    <w:p w:rsidR="00C91295" w:rsidRPr="00526311" w:rsidRDefault="00C91295" w:rsidP="00F1387F">
      <w:pPr>
        <w:rPr>
          <w:bCs/>
          <w:sz w:val="20"/>
        </w:rPr>
      </w:pPr>
    </w:p>
    <w:p w:rsidR="00C91295" w:rsidRPr="00526311" w:rsidRDefault="00C91295" w:rsidP="00C91295">
      <w:pPr>
        <w:pStyle w:val="ListParagraph"/>
        <w:numPr>
          <w:ilvl w:val="0"/>
          <w:numId w:val="114"/>
        </w:numPr>
        <w:tabs>
          <w:tab w:val="left" w:pos="567"/>
        </w:tabs>
        <w:ind w:left="0" w:firstLine="0"/>
        <w:jc w:val="both"/>
        <w:rPr>
          <w:bCs/>
          <w:lang w:val="es-ES"/>
        </w:rPr>
      </w:pPr>
      <w:r w:rsidRPr="00526311">
        <w:rPr>
          <w:lang w:val="es-ES"/>
        </w:rPr>
        <w:t>El sistema de refrigeración que utiliza el agua del lago de Ginebra (“GLN”) -creado hace algunos años y administrado y puesto en funcionamiento por la empresa local de suministro de energía (</w:t>
      </w:r>
      <w:r w:rsidRPr="00526311">
        <w:rPr>
          <w:i/>
          <w:lang w:val="es-ES"/>
        </w:rPr>
        <w:t>Services Industriels de Genève</w:t>
      </w:r>
      <w:r w:rsidRPr="00526311">
        <w:rPr>
          <w:lang w:val="es-ES"/>
        </w:rPr>
        <w:t xml:space="preserve"> – SIG), por el cual se recolecta agua fría de las profundidades del lago de Ginebra que se transporta a la zona Norte de la ciudad para utilizarla en un sistema de refrigeración de varios edificios administrativos en la zona de la Plaza de las Naciones.  Hace algunos años, la OMPI fue uno de los primeros clientes, entre los organismos de las Naciones Unidas, en celebrar un acuerdo con la empresa SIG para reservar la capacidad necesaria para todos sus edificios (incluidos los que entonces eran proyectos de construcción).  A finales de 2013, estaban totalmente conectados al sistema GLN de refrigeración los edificios siguientes del recinto de la OMPI:  el nuevo edificio (conectado desde 2011), los edificios GBI y GBII (conectados a mediados de 2013), la nueva sala de conferencias (el sistema se integró durante la fase de construcción y está conectado desde fines de 2013).  Los únicos dos edificios que queda conectar al sistema GLN son el edificio AB y el edificio PCT, que son objeto de esta parte del proyecto del Plan Maestro de mejoras de infraestructura.  También cabe observar que las demás máquinas de refrigeración existentes para los edificios AB y PCT ya han tenido una vida útil que oscila entre los 10 y los 33 años, aproximadamente, teniendo en cuenta que su vida útil prevista es de 30 años.</w:t>
      </w:r>
    </w:p>
    <w:p w:rsidR="00C91295" w:rsidRPr="00526311" w:rsidRDefault="00C91295" w:rsidP="00F1387F">
      <w:pPr>
        <w:tabs>
          <w:tab w:val="left" w:pos="567"/>
        </w:tabs>
        <w:jc w:val="both"/>
        <w:rPr>
          <w:bCs/>
          <w:sz w:val="20"/>
        </w:rPr>
      </w:pPr>
    </w:p>
    <w:p w:rsidR="00C91295" w:rsidRPr="00526311" w:rsidRDefault="00C91295" w:rsidP="00C91295">
      <w:pPr>
        <w:pStyle w:val="ListParagraph"/>
        <w:numPr>
          <w:ilvl w:val="0"/>
          <w:numId w:val="114"/>
        </w:numPr>
        <w:tabs>
          <w:tab w:val="left" w:pos="567"/>
        </w:tabs>
        <w:ind w:left="0" w:firstLine="0"/>
        <w:jc w:val="both"/>
        <w:rPr>
          <w:lang w:val="es-ES"/>
        </w:rPr>
      </w:pPr>
      <w:r w:rsidRPr="00526311">
        <w:rPr>
          <w:lang w:val="es-ES"/>
        </w:rPr>
        <w:t>Los objetivos de este proyecto son  i) completar la incorporación de un sistema tecnológico mejorado en el mantenimiento de los edificios, relacionado con las instalaciones de refrigeración que ya están en funcionamiento en más de la mitad de los volúmenes interesados del recinto de la OMPI;  ii) anticipar la necesidad de reemplazar los aparatos clásicos de refrigeración en los otros dos edificios, haciéndolo antes de que se averíen las instalaciones (lo cual ocurrió en 2011 en el edificio GBII);  iii) reducir los costos de mantenimiento de las instalaciones, en comparación con los costos de mantenimiento de las instalaciones clásicas de refrigeración;  y iv) modernizar este tipo de instalación técnica y equipo con sistemas más respetuosos del medio ambiente.</w:t>
      </w:r>
    </w:p>
    <w:p w:rsidR="00C91295" w:rsidRPr="00526311" w:rsidRDefault="00C91295" w:rsidP="00F1387F">
      <w:pPr>
        <w:rPr>
          <w:bCs/>
          <w:sz w:val="20"/>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t>RESEÑA DE LOS AVANCES LOGRADOS EN 2014 (ETAPAS FUNDAMENTALES)</w:t>
      </w:r>
    </w:p>
    <w:p w:rsidR="00C91295" w:rsidRPr="00526311" w:rsidRDefault="00C91295" w:rsidP="00F1387F">
      <w:pPr>
        <w:rPr>
          <w:bCs/>
          <w:sz w:val="20"/>
          <w:u w:val="single"/>
        </w:rPr>
      </w:pPr>
    </w:p>
    <w:p w:rsidR="00C91295" w:rsidRPr="00526311" w:rsidRDefault="00C91295" w:rsidP="00C91295">
      <w:pPr>
        <w:pStyle w:val="ListParagraph"/>
        <w:numPr>
          <w:ilvl w:val="0"/>
          <w:numId w:val="114"/>
        </w:numPr>
        <w:tabs>
          <w:tab w:val="left" w:pos="567"/>
        </w:tabs>
        <w:ind w:left="0" w:firstLine="0"/>
        <w:jc w:val="both"/>
        <w:rPr>
          <w:bCs/>
          <w:u w:val="single"/>
          <w:lang w:val="es-ES"/>
        </w:rPr>
      </w:pPr>
      <w:r w:rsidRPr="00526311">
        <w:rPr>
          <w:bCs/>
          <w:u w:val="single"/>
          <w:lang w:val="es-ES"/>
        </w:rPr>
        <w:t>Edificio AB (proyecto finalizado)</w:t>
      </w:r>
    </w:p>
    <w:p w:rsidR="00C91295" w:rsidRPr="00526311" w:rsidRDefault="00C91295" w:rsidP="00F1387F">
      <w:pPr>
        <w:rPr>
          <w:bCs/>
          <w:sz w:val="20"/>
        </w:rPr>
      </w:pPr>
    </w:p>
    <w:p w:rsidR="00C91295" w:rsidRPr="00526311" w:rsidRDefault="00C91295" w:rsidP="00C91295">
      <w:pPr>
        <w:pStyle w:val="ListParagraph"/>
        <w:numPr>
          <w:ilvl w:val="0"/>
          <w:numId w:val="104"/>
        </w:numPr>
        <w:rPr>
          <w:bCs/>
          <w:lang w:val="es-ES"/>
        </w:rPr>
      </w:pPr>
      <w:r w:rsidRPr="00526311">
        <w:rPr>
          <w:bCs/>
          <w:lang w:val="es-ES"/>
        </w:rPr>
        <w:t>Adjudicación de contrato al ingeniero en climatización</w:t>
      </w:r>
    </w:p>
    <w:p w:rsidR="00C91295" w:rsidRPr="00526311" w:rsidRDefault="00C91295" w:rsidP="00C91295">
      <w:pPr>
        <w:pStyle w:val="ListParagraph"/>
        <w:numPr>
          <w:ilvl w:val="0"/>
          <w:numId w:val="104"/>
        </w:numPr>
        <w:rPr>
          <w:bCs/>
          <w:lang w:val="es-ES"/>
        </w:rPr>
      </w:pPr>
      <w:r w:rsidRPr="00526311">
        <w:rPr>
          <w:bCs/>
          <w:lang w:val="es-ES"/>
        </w:rPr>
        <w:t>Llamado a presentar ofertas y selección de empresas</w:t>
      </w:r>
    </w:p>
    <w:p w:rsidR="00C91295" w:rsidRPr="00526311" w:rsidRDefault="00C91295" w:rsidP="00C91295">
      <w:pPr>
        <w:pStyle w:val="ListParagraph"/>
        <w:numPr>
          <w:ilvl w:val="0"/>
          <w:numId w:val="104"/>
        </w:numPr>
        <w:rPr>
          <w:bCs/>
          <w:lang w:val="es-ES"/>
        </w:rPr>
      </w:pPr>
      <w:r w:rsidRPr="00526311">
        <w:rPr>
          <w:bCs/>
          <w:lang w:val="es-ES"/>
        </w:rPr>
        <w:t>Trabajo realizado</w:t>
      </w:r>
    </w:p>
    <w:p w:rsidR="00C91295" w:rsidRPr="00526311" w:rsidRDefault="00C91295" w:rsidP="00F1387F">
      <w:pPr>
        <w:rPr>
          <w:bCs/>
          <w:sz w:val="20"/>
        </w:rPr>
      </w:pPr>
    </w:p>
    <w:p w:rsidR="00C91295" w:rsidRPr="00526311" w:rsidRDefault="00C91295" w:rsidP="00C91295">
      <w:pPr>
        <w:pStyle w:val="ListParagraph"/>
        <w:numPr>
          <w:ilvl w:val="0"/>
          <w:numId w:val="114"/>
        </w:numPr>
        <w:tabs>
          <w:tab w:val="left" w:pos="567"/>
        </w:tabs>
        <w:ind w:left="0" w:firstLine="0"/>
        <w:jc w:val="both"/>
        <w:rPr>
          <w:bCs/>
          <w:u w:val="single"/>
          <w:lang w:val="es-ES"/>
        </w:rPr>
      </w:pPr>
      <w:r w:rsidRPr="00526311">
        <w:rPr>
          <w:bCs/>
          <w:u w:val="single"/>
          <w:lang w:val="es-ES"/>
        </w:rPr>
        <w:t>Edificio PCT</w:t>
      </w:r>
    </w:p>
    <w:p w:rsidR="00C91295" w:rsidRPr="00526311" w:rsidRDefault="00C91295" w:rsidP="00F1387F">
      <w:pPr>
        <w:rPr>
          <w:bCs/>
          <w:sz w:val="20"/>
        </w:rPr>
      </w:pPr>
    </w:p>
    <w:p w:rsidR="00C91295" w:rsidRPr="00526311" w:rsidRDefault="00C91295" w:rsidP="00C91295">
      <w:pPr>
        <w:pStyle w:val="ListParagraph"/>
        <w:numPr>
          <w:ilvl w:val="0"/>
          <w:numId w:val="104"/>
        </w:numPr>
        <w:rPr>
          <w:bCs/>
          <w:lang w:val="es-ES"/>
        </w:rPr>
      </w:pPr>
      <w:r w:rsidRPr="00526311">
        <w:rPr>
          <w:bCs/>
          <w:lang w:val="es-ES"/>
        </w:rPr>
        <w:t>Adjudicación de contrato al ingeniero en climatización</w:t>
      </w:r>
    </w:p>
    <w:p w:rsidR="00C91295" w:rsidRPr="00526311" w:rsidRDefault="00C91295" w:rsidP="00C91295">
      <w:pPr>
        <w:pStyle w:val="ListParagraph"/>
        <w:numPr>
          <w:ilvl w:val="0"/>
          <w:numId w:val="104"/>
        </w:numPr>
        <w:rPr>
          <w:bCs/>
          <w:lang w:val="es-ES"/>
        </w:rPr>
      </w:pPr>
      <w:r w:rsidRPr="00526311">
        <w:rPr>
          <w:bCs/>
          <w:lang w:val="es-ES"/>
        </w:rPr>
        <w:t>Validación del proyecto con el ingeniero en climatización</w:t>
      </w:r>
    </w:p>
    <w:p w:rsidR="00C91295" w:rsidRPr="00526311" w:rsidRDefault="00C91295" w:rsidP="00C91295">
      <w:pPr>
        <w:pStyle w:val="ListParagraph"/>
        <w:numPr>
          <w:ilvl w:val="0"/>
          <w:numId w:val="104"/>
        </w:numPr>
        <w:rPr>
          <w:bCs/>
          <w:lang w:val="es-ES"/>
        </w:rPr>
      </w:pPr>
      <w:r w:rsidRPr="00526311">
        <w:rPr>
          <w:bCs/>
          <w:lang w:val="es-ES"/>
        </w:rPr>
        <w:t>Tendido de conductos dentro del edificio, por la empresa SIG</w:t>
      </w:r>
    </w:p>
    <w:p w:rsidR="00C91295" w:rsidRPr="00526311" w:rsidRDefault="00C91295" w:rsidP="00F1387F">
      <w:pPr>
        <w:rPr>
          <w:bCs/>
          <w:sz w:val="20"/>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br w:type="page"/>
      </w:r>
    </w:p>
    <w:p w:rsidR="00C91295" w:rsidRPr="00526311" w:rsidRDefault="00C91295" w:rsidP="00F1387F">
      <w:pPr>
        <w:rPr>
          <w:bCs/>
          <w:sz w:val="20"/>
        </w:rPr>
      </w:pPr>
      <w:r w:rsidRPr="00526311">
        <w:rPr>
          <w:bCs/>
          <w:sz w:val="20"/>
        </w:rPr>
        <w:lastRenderedPageBreak/>
        <w:t>OBTENCIÓN DE BENEFICIOS</w:t>
      </w:r>
    </w:p>
    <w:p w:rsidR="00C91295" w:rsidRPr="00526311" w:rsidRDefault="00C91295" w:rsidP="00F1387F"/>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6"/>
        <w:gridCol w:w="3157"/>
        <w:gridCol w:w="3155"/>
      </w:tblGrid>
      <w:tr w:rsidR="00C91295" w:rsidRPr="00526311" w:rsidTr="00F1387F">
        <w:trPr>
          <w:trHeight w:val="314"/>
          <w:tblHeader/>
        </w:trPr>
        <w:tc>
          <w:tcPr>
            <w:tcW w:w="1667" w:type="pct"/>
            <w:tcBorders>
              <w:bottom w:val="single" w:sz="4" w:space="0" w:color="auto"/>
            </w:tcBorders>
            <w:shd w:val="clear" w:color="auto" w:fill="C6D9F1" w:themeFill="text2" w:themeFillTint="33"/>
            <w:tcMar>
              <w:top w:w="113" w:type="dxa"/>
              <w:bottom w:w="113" w:type="dxa"/>
            </w:tcMar>
            <w:vAlign w:val="center"/>
          </w:tcPr>
          <w:p w:rsidR="00C91295" w:rsidRPr="00526311" w:rsidRDefault="00C91295" w:rsidP="00F1387F">
            <w:pPr>
              <w:jc w:val="center"/>
              <w:rPr>
                <w:b/>
                <w:bCs/>
                <w:sz w:val="16"/>
                <w:szCs w:val="16"/>
              </w:rPr>
            </w:pPr>
            <w:r w:rsidRPr="00526311">
              <w:rPr>
                <w:b/>
                <w:bCs/>
                <w:sz w:val="16"/>
                <w:szCs w:val="16"/>
              </w:rPr>
              <w:t>Beneficios obtenidos en 2014</w:t>
            </w:r>
          </w:p>
        </w:tc>
        <w:tc>
          <w:tcPr>
            <w:tcW w:w="1667" w:type="pct"/>
            <w:tcBorders>
              <w:bottom w:val="single" w:sz="4" w:space="0" w:color="auto"/>
            </w:tcBorders>
            <w:shd w:val="clear" w:color="auto" w:fill="C6D9F1" w:themeFill="text2" w:themeFillTint="33"/>
            <w:vAlign w:val="center"/>
          </w:tcPr>
          <w:p w:rsidR="00C91295" w:rsidRPr="00526311" w:rsidRDefault="00C91295" w:rsidP="00F1387F">
            <w:pPr>
              <w:jc w:val="center"/>
              <w:rPr>
                <w:b/>
                <w:bCs/>
                <w:sz w:val="16"/>
                <w:szCs w:val="16"/>
              </w:rPr>
            </w:pPr>
            <w:r w:rsidRPr="00526311">
              <w:rPr>
                <w:b/>
                <w:bCs/>
                <w:sz w:val="16"/>
                <w:szCs w:val="16"/>
              </w:rPr>
              <w:t>Beneficios previstos para 2015</w:t>
            </w:r>
          </w:p>
        </w:tc>
        <w:tc>
          <w:tcPr>
            <w:tcW w:w="1667" w:type="pct"/>
            <w:tcBorders>
              <w:bottom w:val="single" w:sz="4" w:space="0" w:color="auto"/>
            </w:tcBorders>
            <w:shd w:val="clear" w:color="auto" w:fill="C6D9F1" w:themeFill="text2" w:themeFillTint="33"/>
            <w:vAlign w:val="center"/>
          </w:tcPr>
          <w:p w:rsidR="00C91295" w:rsidRPr="00526311" w:rsidRDefault="00C91295" w:rsidP="00F1387F">
            <w:pPr>
              <w:jc w:val="center"/>
              <w:rPr>
                <w:b/>
                <w:bCs/>
                <w:sz w:val="16"/>
                <w:szCs w:val="16"/>
              </w:rPr>
            </w:pPr>
            <w:r w:rsidRPr="00526311">
              <w:rPr>
                <w:b/>
                <w:bCs/>
                <w:sz w:val="16"/>
                <w:szCs w:val="16"/>
              </w:rPr>
              <w:t>Beneficios previstos para 2016</w:t>
            </w:r>
          </w:p>
        </w:tc>
      </w:tr>
      <w:tr w:rsidR="00C91295" w:rsidRPr="00526311" w:rsidTr="00F1387F">
        <w:trPr>
          <w:trHeight w:val="564"/>
        </w:trPr>
        <w:tc>
          <w:tcPr>
            <w:tcW w:w="1667" w:type="pct"/>
            <w:tcBorders>
              <w:top w:val="single" w:sz="4" w:space="0" w:color="auto"/>
              <w:bottom w:val="single" w:sz="4" w:space="0" w:color="auto"/>
            </w:tcBorders>
            <w:shd w:val="clear" w:color="auto" w:fill="auto"/>
            <w:tcMar>
              <w:top w:w="113" w:type="dxa"/>
              <w:bottom w:w="113" w:type="dxa"/>
            </w:tcMar>
          </w:tcPr>
          <w:p w:rsidR="00C91295" w:rsidRPr="00526311" w:rsidRDefault="00C91295" w:rsidP="00F1387F">
            <w:pPr>
              <w:rPr>
                <w:bCs/>
                <w:sz w:val="16"/>
                <w:szCs w:val="16"/>
              </w:rPr>
            </w:pPr>
            <w:r w:rsidRPr="00526311">
              <w:rPr>
                <w:bCs/>
                <w:sz w:val="16"/>
                <w:szCs w:val="16"/>
              </w:rPr>
              <w:t>Puesta en servicio del sistema de refrigeración del edificio AB el 13 de agosto de 2014;  reducción parcial del consumo de energía eléctrica</w:t>
            </w:r>
          </w:p>
        </w:tc>
        <w:tc>
          <w:tcPr>
            <w:tcW w:w="1667" w:type="pct"/>
            <w:tcBorders>
              <w:top w:val="single" w:sz="4" w:space="0" w:color="auto"/>
              <w:bottom w:val="single" w:sz="4" w:space="0" w:color="auto"/>
            </w:tcBorders>
          </w:tcPr>
          <w:p w:rsidR="00C91295" w:rsidRPr="00526311" w:rsidRDefault="00C91295" w:rsidP="00F1387F">
            <w:pPr>
              <w:rPr>
                <w:bCs/>
                <w:sz w:val="16"/>
                <w:szCs w:val="16"/>
              </w:rPr>
            </w:pPr>
            <w:r w:rsidRPr="00526311">
              <w:rPr>
                <w:bCs/>
                <w:sz w:val="16"/>
                <w:szCs w:val="16"/>
              </w:rPr>
              <w:t>Reducción del uso de energía eléctrica y del impacto medioambiental del consumo de electricidad necesario para refrigerar el edificio AB</w:t>
            </w:r>
          </w:p>
        </w:tc>
        <w:tc>
          <w:tcPr>
            <w:tcW w:w="1667" w:type="pct"/>
            <w:tcBorders>
              <w:bottom w:val="single" w:sz="4" w:space="0" w:color="auto"/>
              <w:tr2bl w:val="nil"/>
            </w:tcBorders>
            <w:shd w:val="clear" w:color="auto" w:fill="auto"/>
          </w:tcPr>
          <w:p w:rsidR="00C91295" w:rsidRPr="00526311" w:rsidRDefault="00C91295" w:rsidP="00F1387F">
            <w:pPr>
              <w:rPr>
                <w:bCs/>
                <w:iCs/>
                <w:sz w:val="16"/>
                <w:szCs w:val="16"/>
              </w:rPr>
            </w:pPr>
          </w:p>
        </w:tc>
      </w:tr>
      <w:tr w:rsidR="00C91295" w:rsidRPr="00526311" w:rsidTr="00F1387F">
        <w:trPr>
          <w:trHeight w:val="516"/>
        </w:trPr>
        <w:tc>
          <w:tcPr>
            <w:tcW w:w="1667" w:type="pct"/>
            <w:tcBorders>
              <w:top w:val="single" w:sz="4" w:space="0" w:color="auto"/>
              <w:bottom w:val="single" w:sz="4" w:space="0" w:color="auto"/>
            </w:tcBorders>
            <w:shd w:val="clear" w:color="auto" w:fill="auto"/>
            <w:tcMar>
              <w:top w:w="113" w:type="dxa"/>
              <w:bottom w:w="113" w:type="dxa"/>
            </w:tcMar>
          </w:tcPr>
          <w:p w:rsidR="00C91295" w:rsidRPr="00526311" w:rsidRDefault="00C91295" w:rsidP="00F1387F">
            <w:pPr>
              <w:rPr>
                <w:bCs/>
                <w:sz w:val="16"/>
                <w:szCs w:val="16"/>
              </w:rPr>
            </w:pPr>
          </w:p>
        </w:tc>
        <w:tc>
          <w:tcPr>
            <w:tcW w:w="1667" w:type="pct"/>
            <w:tcBorders>
              <w:top w:val="single" w:sz="4" w:space="0" w:color="auto"/>
              <w:bottom w:val="single" w:sz="4" w:space="0" w:color="auto"/>
            </w:tcBorders>
          </w:tcPr>
          <w:p w:rsidR="00C91295" w:rsidRPr="00526311" w:rsidRDefault="00C91295" w:rsidP="00F1387F">
            <w:pPr>
              <w:rPr>
                <w:bCs/>
                <w:sz w:val="16"/>
                <w:szCs w:val="16"/>
              </w:rPr>
            </w:pPr>
            <w:r w:rsidRPr="00526311">
              <w:rPr>
                <w:bCs/>
                <w:sz w:val="16"/>
                <w:szCs w:val="16"/>
              </w:rPr>
              <w:t>Reducción de los costos de mantenimiento correctivo del sistema de refrigeración del edificio AB</w:t>
            </w:r>
          </w:p>
        </w:tc>
        <w:tc>
          <w:tcPr>
            <w:tcW w:w="1667" w:type="pct"/>
            <w:tcBorders>
              <w:tr2bl w:val="nil"/>
            </w:tcBorders>
            <w:shd w:val="clear" w:color="auto" w:fill="auto"/>
          </w:tcPr>
          <w:p w:rsidR="00C91295" w:rsidRPr="00526311" w:rsidRDefault="00C91295" w:rsidP="00F1387F">
            <w:pPr>
              <w:rPr>
                <w:bCs/>
                <w:iCs/>
                <w:sz w:val="16"/>
                <w:szCs w:val="16"/>
              </w:rPr>
            </w:pPr>
          </w:p>
        </w:tc>
      </w:tr>
      <w:tr w:rsidR="00C91295" w:rsidRPr="00526311" w:rsidTr="00F1387F">
        <w:trPr>
          <w:trHeight w:val="414"/>
        </w:trPr>
        <w:tc>
          <w:tcPr>
            <w:tcW w:w="1667" w:type="pct"/>
            <w:tcBorders>
              <w:top w:val="single" w:sz="4" w:space="0" w:color="auto"/>
              <w:bottom w:val="single" w:sz="4" w:space="0" w:color="auto"/>
            </w:tcBorders>
            <w:shd w:val="clear" w:color="auto" w:fill="auto"/>
            <w:tcMar>
              <w:top w:w="113" w:type="dxa"/>
              <w:bottom w:w="113" w:type="dxa"/>
            </w:tcMar>
          </w:tcPr>
          <w:p w:rsidR="00C91295" w:rsidRPr="00526311" w:rsidRDefault="00C91295" w:rsidP="00F1387F">
            <w:pPr>
              <w:rPr>
                <w:b/>
                <w:bCs/>
                <w:sz w:val="16"/>
                <w:szCs w:val="16"/>
                <w:u w:val="single"/>
              </w:rPr>
            </w:pPr>
          </w:p>
        </w:tc>
        <w:tc>
          <w:tcPr>
            <w:tcW w:w="1667" w:type="pct"/>
            <w:tcBorders>
              <w:top w:val="single" w:sz="4" w:space="0" w:color="auto"/>
              <w:bottom w:val="single" w:sz="4" w:space="0" w:color="auto"/>
            </w:tcBorders>
          </w:tcPr>
          <w:p w:rsidR="00C91295" w:rsidRPr="00526311" w:rsidRDefault="00C91295" w:rsidP="00F1387F">
            <w:pPr>
              <w:rPr>
                <w:bCs/>
                <w:sz w:val="16"/>
                <w:szCs w:val="16"/>
              </w:rPr>
            </w:pPr>
            <w:r w:rsidRPr="00526311">
              <w:rPr>
                <w:bCs/>
                <w:sz w:val="16"/>
                <w:szCs w:val="16"/>
              </w:rPr>
              <w:t>Aumento del ciclo de vida útil del sistema de refrigeración del edificio AB</w:t>
            </w:r>
          </w:p>
        </w:tc>
        <w:tc>
          <w:tcPr>
            <w:tcW w:w="1667" w:type="pct"/>
            <w:shd w:val="clear" w:color="auto" w:fill="auto"/>
          </w:tcPr>
          <w:p w:rsidR="00C91295" w:rsidRPr="00526311" w:rsidRDefault="00C91295" w:rsidP="00F1387F">
            <w:pPr>
              <w:rPr>
                <w:bCs/>
                <w:iCs/>
                <w:sz w:val="16"/>
                <w:szCs w:val="16"/>
              </w:rPr>
            </w:pPr>
          </w:p>
        </w:tc>
      </w:tr>
      <w:tr w:rsidR="00C91295" w:rsidRPr="00526311" w:rsidTr="00F1387F">
        <w:trPr>
          <w:trHeight w:val="564"/>
        </w:trPr>
        <w:tc>
          <w:tcPr>
            <w:tcW w:w="1667" w:type="pct"/>
            <w:tcBorders>
              <w:top w:val="single" w:sz="4" w:space="0" w:color="auto"/>
              <w:bottom w:val="single" w:sz="4" w:space="0" w:color="auto"/>
            </w:tcBorders>
            <w:shd w:val="clear" w:color="auto" w:fill="auto"/>
            <w:tcMar>
              <w:top w:w="113" w:type="dxa"/>
              <w:bottom w:w="113" w:type="dxa"/>
            </w:tcMar>
          </w:tcPr>
          <w:p w:rsidR="00C91295" w:rsidRPr="00526311" w:rsidRDefault="00C91295" w:rsidP="00F1387F">
            <w:pPr>
              <w:rPr>
                <w:b/>
                <w:bCs/>
                <w:sz w:val="16"/>
                <w:szCs w:val="16"/>
                <w:u w:val="single"/>
              </w:rPr>
            </w:pPr>
          </w:p>
        </w:tc>
        <w:tc>
          <w:tcPr>
            <w:tcW w:w="1667" w:type="pct"/>
            <w:tcBorders>
              <w:top w:val="single" w:sz="4" w:space="0" w:color="auto"/>
              <w:bottom w:val="single" w:sz="4" w:space="0" w:color="auto"/>
            </w:tcBorders>
          </w:tcPr>
          <w:p w:rsidR="00C91295" w:rsidRPr="00526311" w:rsidRDefault="00C91295" w:rsidP="00F1387F">
            <w:pPr>
              <w:rPr>
                <w:bCs/>
                <w:sz w:val="16"/>
                <w:szCs w:val="16"/>
              </w:rPr>
            </w:pPr>
            <w:r w:rsidRPr="00526311">
              <w:rPr>
                <w:bCs/>
                <w:sz w:val="16"/>
                <w:szCs w:val="16"/>
              </w:rPr>
              <w:t>Instalación y mantenimiento de un sistema de refrigeración más respetuoso del medio ambiente en el edificio AB</w:t>
            </w:r>
          </w:p>
        </w:tc>
        <w:tc>
          <w:tcPr>
            <w:tcW w:w="1667" w:type="pct"/>
            <w:shd w:val="clear" w:color="auto" w:fill="auto"/>
          </w:tcPr>
          <w:p w:rsidR="00C91295" w:rsidRPr="00526311" w:rsidRDefault="00C91295" w:rsidP="00F1387F">
            <w:pPr>
              <w:rPr>
                <w:bCs/>
                <w:iCs/>
                <w:sz w:val="16"/>
                <w:szCs w:val="16"/>
              </w:rPr>
            </w:pPr>
          </w:p>
        </w:tc>
      </w:tr>
      <w:tr w:rsidR="00C91295" w:rsidRPr="00526311" w:rsidTr="00F1387F">
        <w:trPr>
          <w:trHeight w:val="564"/>
        </w:trPr>
        <w:tc>
          <w:tcPr>
            <w:tcW w:w="1667" w:type="pct"/>
            <w:tcBorders>
              <w:top w:val="single" w:sz="4" w:space="0" w:color="auto"/>
              <w:bottom w:val="single" w:sz="4" w:space="0" w:color="auto"/>
            </w:tcBorders>
            <w:shd w:val="clear" w:color="auto" w:fill="auto"/>
            <w:tcMar>
              <w:top w:w="113" w:type="dxa"/>
              <w:bottom w:w="113" w:type="dxa"/>
            </w:tcMar>
          </w:tcPr>
          <w:p w:rsidR="00C91295" w:rsidRPr="00526311" w:rsidRDefault="00C91295" w:rsidP="00F1387F">
            <w:pPr>
              <w:rPr>
                <w:b/>
                <w:bCs/>
                <w:sz w:val="16"/>
                <w:szCs w:val="16"/>
                <w:u w:val="single"/>
              </w:rPr>
            </w:pPr>
          </w:p>
        </w:tc>
        <w:tc>
          <w:tcPr>
            <w:tcW w:w="1667" w:type="pct"/>
            <w:tcBorders>
              <w:top w:val="single" w:sz="4" w:space="0" w:color="auto"/>
              <w:bottom w:val="single" w:sz="4" w:space="0" w:color="auto"/>
            </w:tcBorders>
          </w:tcPr>
          <w:p w:rsidR="00C91295" w:rsidRPr="00526311" w:rsidRDefault="00C91295" w:rsidP="00F1387F">
            <w:pPr>
              <w:rPr>
                <w:bCs/>
                <w:sz w:val="16"/>
                <w:szCs w:val="16"/>
              </w:rPr>
            </w:pPr>
            <w:r w:rsidRPr="00526311">
              <w:rPr>
                <w:bCs/>
                <w:sz w:val="16"/>
                <w:szCs w:val="16"/>
              </w:rPr>
              <w:t>Puesta en servicio del sistema de refrigeración del edificio PCT prevista en julio, y reducción parcial del consumo de electricidad</w:t>
            </w:r>
          </w:p>
        </w:tc>
        <w:tc>
          <w:tcPr>
            <w:tcW w:w="1667" w:type="pct"/>
            <w:shd w:val="clear" w:color="auto" w:fill="auto"/>
          </w:tcPr>
          <w:p w:rsidR="00C91295" w:rsidRPr="00526311" w:rsidRDefault="00C91295" w:rsidP="00F1387F">
            <w:pPr>
              <w:rPr>
                <w:bCs/>
                <w:iCs/>
                <w:sz w:val="16"/>
                <w:szCs w:val="16"/>
              </w:rPr>
            </w:pPr>
            <w:r w:rsidRPr="00526311">
              <w:rPr>
                <w:bCs/>
                <w:iCs/>
                <w:sz w:val="16"/>
                <w:szCs w:val="16"/>
              </w:rPr>
              <w:t>Reducción del consumo de electricidad y del impacto medioambiental del uso de electricidad para refrigerar el edificio PCT</w:t>
            </w:r>
          </w:p>
        </w:tc>
      </w:tr>
      <w:tr w:rsidR="00C91295" w:rsidRPr="00526311" w:rsidTr="00F1387F">
        <w:trPr>
          <w:trHeight w:val="408"/>
        </w:trPr>
        <w:tc>
          <w:tcPr>
            <w:tcW w:w="1667" w:type="pct"/>
            <w:tcBorders>
              <w:top w:val="single" w:sz="4" w:space="0" w:color="auto"/>
            </w:tcBorders>
            <w:shd w:val="clear" w:color="auto" w:fill="auto"/>
            <w:tcMar>
              <w:top w:w="113" w:type="dxa"/>
              <w:bottom w:w="113" w:type="dxa"/>
            </w:tcMar>
          </w:tcPr>
          <w:p w:rsidR="00C91295" w:rsidRPr="00526311" w:rsidRDefault="00C91295" w:rsidP="00F1387F">
            <w:pPr>
              <w:rPr>
                <w:b/>
                <w:bCs/>
                <w:sz w:val="16"/>
                <w:szCs w:val="16"/>
                <w:u w:val="single"/>
              </w:rPr>
            </w:pPr>
          </w:p>
        </w:tc>
        <w:tc>
          <w:tcPr>
            <w:tcW w:w="1667" w:type="pct"/>
            <w:tcBorders>
              <w:top w:val="single" w:sz="4" w:space="0" w:color="auto"/>
            </w:tcBorders>
          </w:tcPr>
          <w:p w:rsidR="00C91295" w:rsidRPr="00526311" w:rsidRDefault="00C91295" w:rsidP="00F1387F">
            <w:pPr>
              <w:rPr>
                <w:bCs/>
                <w:sz w:val="16"/>
                <w:szCs w:val="16"/>
              </w:rPr>
            </w:pPr>
          </w:p>
        </w:tc>
        <w:tc>
          <w:tcPr>
            <w:tcW w:w="1667" w:type="pct"/>
            <w:shd w:val="clear" w:color="auto" w:fill="auto"/>
          </w:tcPr>
          <w:p w:rsidR="00C91295" w:rsidRPr="00526311" w:rsidRDefault="00C91295" w:rsidP="00F1387F">
            <w:pPr>
              <w:rPr>
                <w:bCs/>
                <w:iCs/>
                <w:sz w:val="16"/>
                <w:szCs w:val="16"/>
              </w:rPr>
            </w:pPr>
            <w:r w:rsidRPr="00526311">
              <w:rPr>
                <w:bCs/>
                <w:iCs/>
                <w:sz w:val="16"/>
                <w:szCs w:val="16"/>
              </w:rPr>
              <w:t>Reducción de los costos de mantenimiento correctivo del sistema de refrigeración del edificio PCT</w:t>
            </w:r>
          </w:p>
        </w:tc>
      </w:tr>
      <w:tr w:rsidR="00C91295" w:rsidRPr="00526311" w:rsidTr="00F1387F">
        <w:trPr>
          <w:trHeight w:val="488"/>
        </w:trPr>
        <w:tc>
          <w:tcPr>
            <w:tcW w:w="1667" w:type="pct"/>
            <w:tcBorders>
              <w:top w:val="single" w:sz="4" w:space="0" w:color="auto"/>
            </w:tcBorders>
            <w:shd w:val="clear" w:color="auto" w:fill="auto"/>
            <w:tcMar>
              <w:top w:w="113" w:type="dxa"/>
              <w:bottom w:w="113" w:type="dxa"/>
            </w:tcMar>
          </w:tcPr>
          <w:p w:rsidR="00C91295" w:rsidRPr="00526311" w:rsidRDefault="00C91295" w:rsidP="00F1387F">
            <w:pPr>
              <w:rPr>
                <w:b/>
                <w:bCs/>
                <w:sz w:val="16"/>
                <w:szCs w:val="16"/>
                <w:u w:val="single"/>
              </w:rPr>
            </w:pPr>
          </w:p>
        </w:tc>
        <w:tc>
          <w:tcPr>
            <w:tcW w:w="1667" w:type="pct"/>
            <w:tcBorders>
              <w:top w:val="single" w:sz="4" w:space="0" w:color="auto"/>
            </w:tcBorders>
          </w:tcPr>
          <w:p w:rsidR="00C91295" w:rsidRPr="00526311" w:rsidRDefault="00C91295" w:rsidP="00F1387F">
            <w:pPr>
              <w:rPr>
                <w:bCs/>
                <w:sz w:val="16"/>
                <w:szCs w:val="16"/>
              </w:rPr>
            </w:pPr>
          </w:p>
        </w:tc>
        <w:tc>
          <w:tcPr>
            <w:tcW w:w="1667" w:type="pct"/>
            <w:shd w:val="clear" w:color="auto" w:fill="auto"/>
          </w:tcPr>
          <w:p w:rsidR="00C91295" w:rsidRPr="00526311" w:rsidRDefault="00C91295" w:rsidP="00F1387F">
            <w:pPr>
              <w:rPr>
                <w:bCs/>
                <w:iCs/>
                <w:sz w:val="16"/>
                <w:szCs w:val="16"/>
              </w:rPr>
            </w:pPr>
            <w:r w:rsidRPr="00526311">
              <w:rPr>
                <w:bCs/>
                <w:iCs/>
                <w:sz w:val="16"/>
                <w:szCs w:val="16"/>
              </w:rPr>
              <w:t>Aumento del ciclo de vida útil del sistema de refrigeración del edificio PCT</w:t>
            </w:r>
          </w:p>
        </w:tc>
      </w:tr>
      <w:tr w:rsidR="00C91295" w:rsidRPr="00526311" w:rsidTr="00F1387F">
        <w:trPr>
          <w:trHeight w:val="564"/>
        </w:trPr>
        <w:tc>
          <w:tcPr>
            <w:tcW w:w="1667" w:type="pct"/>
            <w:tcBorders>
              <w:top w:val="single" w:sz="4" w:space="0" w:color="auto"/>
            </w:tcBorders>
            <w:shd w:val="clear" w:color="auto" w:fill="auto"/>
            <w:tcMar>
              <w:top w:w="113" w:type="dxa"/>
              <w:bottom w:w="113" w:type="dxa"/>
            </w:tcMar>
          </w:tcPr>
          <w:p w:rsidR="00C91295" w:rsidRPr="00526311" w:rsidRDefault="00C91295" w:rsidP="00F1387F">
            <w:pPr>
              <w:rPr>
                <w:b/>
                <w:bCs/>
                <w:sz w:val="16"/>
                <w:szCs w:val="16"/>
                <w:u w:val="single"/>
              </w:rPr>
            </w:pPr>
          </w:p>
        </w:tc>
        <w:tc>
          <w:tcPr>
            <w:tcW w:w="1667" w:type="pct"/>
            <w:tcBorders>
              <w:top w:val="single" w:sz="4" w:space="0" w:color="auto"/>
            </w:tcBorders>
          </w:tcPr>
          <w:p w:rsidR="00C91295" w:rsidRPr="00526311" w:rsidRDefault="00C91295" w:rsidP="00F1387F">
            <w:pPr>
              <w:rPr>
                <w:bCs/>
                <w:sz w:val="16"/>
                <w:szCs w:val="16"/>
              </w:rPr>
            </w:pPr>
          </w:p>
        </w:tc>
        <w:tc>
          <w:tcPr>
            <w:tcW w:w="1667" w:type="pct"/>
            <w:shd w:val="clear" w:color="auto" w:fill="auto"/>
          </w:tcPr>
          <w:p w:rsidR="00C91295" w:rsidRPr="00526311" w:rsidRDefault="00C91295" w:rsidP="00F1387F">
            <w:pPr>
              <w:rPr>
                <w:bCs/>
                <w:iCs/>
                <w:sz w:val="16"/>
                <w:szCs w:val="16"/>
              </w:rPr>
            </w:pPr>
            <w:r w:rsidRPr="00526311">
              <w:rPr>
                <w:bCs/>
                <w:iCs/>
                <w:sz w:val="16"/>
                <w:szCs w:val="16"/>
              </w:rPr>
              <w:t>Instalación y mantenimiento de un sistema de refrigeración más respetuoso del medio ambiente en el edificio PCT</w:t>
            </w:r>
          </w:p>
        </w:tc>
      </w:tr>
    </w:tbl>
    <w:p w:rsidR="00C91295" w:rsidRPr="00526311" w:rsidRDefault="00C91295" w:rsidP="00F1387F">
      <w:pPr>
        <w:jc w:val="both"/>
        <w:rPr>
          <w:sz w:val="20"/>
        </w:rPr>
      </w:pPr>
    </w:p>
    <w:p w:rsidR="00C91295" w:rsidRPr="00526311" w:rsidRDefault="00C91295" w:rsidP="00F1387F">
      <w:pPr>
        <w:rPr>
          <w:sz w:val="20"/>
        </w:rPr>
      </w:pPr>
    </w:p>
    <w:p w:rsidR="00C91295" w:rsidRPr="00526311" w:rsidRDefault="00C91295" w:rsidP="00F1387F">
      <w:pPr>
        <w:rPr>
          <w:sz w:val="20"/>
        </w:rPr>
      </w:pPr>
      <w:r w:rsidRPr="00526311">
        <w:rPr>
          <w:sz w:val="20"/>
        </w:rPr>
        <w:t>UTILIZACIÓN DE RECURSOS</w:t>
      </w:r>
    </w:p>
    <w:p w:rsidR="00C91295" w:rsidRPr="00526311" w:rsidRDefault="00C91295" w:rsidP="00F1387F">
      <w:pPr>
        <w:rPr>
          <w:sz w:val="20"/>
        </w:rPr>
      </w:pPr>
    </w:p>
    <w:p w:rsidR="00C91295" w:rsidRPr="00526311" w:rsidRDefault="00C91295" w:rsidP="00F1387F">
      <w:pPr>
        <w:keepNext/>
        <w:keepLines/>
        <w:tabs>
          <w:tab w:val="left" w:pos="3261"/>
        </w:tabs>
        <w:autoSpaceDE w:val="0"/>
        <w:autoSpaceDN w:val="0"/>
        <w:adjustRightInd w:val="0"/>
        <w:jc w:val="center"/>
        <w:rPr>
          <w:b/>
          <w:sz w:val="20"/>
        </w:rPr>
      </w:pPr>
      <w:r w:rsidRPr="00526311">
        <w:rPr>
          <w:b/>
          <w:sz w:val="20"/>
        </w:rPr>
        <w:t>Utilización del presupuesto del proyecto</w:t>
      </w:r>
    </w:p>
    <w:p w:rsidR="00C91295" w:rsidRPr="00526311" w:rsidRDefault="00C91295" w:rsidP="00F1387F">
      <w:pPr>
        <w:keepNext/>
        <w:keepLines/>
        <w:tabs>
          <w:tab w:val="left" w:pos="3261"/>
        </w:tabs>
        <w:autoSpaceDE w:val="0"/>
        <w:autoSpaceDN w:val="0"/>
        <w:adjustRightInd w:val="0"/>
        <w:jc w:val="center"/>
        <w:rPr>
          <w:i/>
          <w:iCs/>
          <w:sz w:val="18"/>
          <w:szCs w:val="18"/>
        </w:rPr>
      </w:pPr>
      <w:r w:rsidRPr="00526311">
        <w:rPr>
          <w:i/>
          <w:iCs/>
          <w:sz w:val="18"/>
          <w:szCs w:val="18"/>
        </w:rPr>
        <w:t>(en francos suizos, al 31 de diciembre de 2014)</w:t>
      </w:r>
    </w:p>
    <w:p w:rsidR="00C91295" w:rsidRPr="00526311" w:rsidRDefault="00C91295" w:rsidP="00F1387F">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91295" w:rsidRPr="00526311" w:rsidTr="00F1387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74" w:right="-60"/>
              <w:jc w:val="center"/>
              <w:rPr>
                <w:b/>
                <w:bCs/>
                <w:sz w:val="16"/>
                <w:szCs w:val="16"/>
              </w:rPr>
            </w:pPr>
            <w:r w:rsidRPr="00526311">
              <w:rPr>
                <w:b/>
                <w:bCs/>
                <w:sz w:val="16"/>
                <w:szCs w:val="16"/>
              </w:rPr>
              <w:t>Nombre del proyecto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7" w:right="-108"/>
              <w:jc w:val="center"/>
              <w:rPr>
                <w:b/>
                <w:bCs/>
                <w:sz w:val="16"/>
                <w:szCs w:val="16"/>
              </w:rPr>
            </w:pPr>
            <w:r w:rsidRPr="00526311">
              <w:rPr>
                <w:b/>
                <w:bCs/>
                <w:sz w:val="16"/>
                <w:szCs w:val="16"/>
              </w:rPr>
              <w:t>Presupuesto del proyecto</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9" w:right="-73" w:firstLine="1"/>
              <w:jc w:val="center"/>
              <w:rPr>
                <w:b/>
                <w:bCs/>
                <w:sz w:val="16"/>
                <w:szCs w:val="16"/>
              </w:rPr>
            </w:pPr>
            <w:r w:rsidRPr="00526311">
              <w:rPr>
                <w:b/>
                <w:bCs/>
                <w:sz w:val="16"/>
                <w:szCs w:val="16"/>
              </w:rPr>
              <w:t>Índice de avance en la ejecución del proyecto</w:t>
            </w:r>
          </w:p>
        </w:tc>
      </w:tr>
      <w:tr w:rsidR="00C91295" w:rsidRPr="00526311" w:rsidTr="00F1387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rPr>
                <w:sz w:val="16"/>
                <w:szCs w:val="16"/>
              </w:rPr>
            </w:pPr>
            <w:r w:rsidRPr="00526311">
              <w:rPr>
                <w:sz w:val="16"/>
                <w:szCs w:val="16"/>
              </w:rPr>
              <w:t>Instalación en los edificios AB y PCT de un sistema de refrigeración que utiliza el agua del lago de Ginebra (“GLN”)</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750.000</w:t>
            </w:r>
          </w:p>
        </w:tc>
        <w:tc>
          <w:tcPr>
            <w:tcW w:w="851"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88.791</w:t>
            </w:r>
          </w:p>
        </w:tc>
        <w:tc>
          <w:tcPr>
            <w:tcW w:w="851"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12%</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AB 100%</w:t>
            </w:r>
          </w:p>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PCT 8%</w:t>
            </w:r>
          </w:p>
        </w:tc>
      </w:tr>
    </w:tbl>
    <w:p w:rsidR="00C91295" w:rsidRPr="00526311" w:rsidRDefault="00C91295" w:rsidP="00F1387F">
      <w:pPr>
        <w:keepNext/>
        <w:autoSpaceDE w:val="0"/>
        <w:autoSpaceDN w:val="0"/>
        <w:rPr>
          <w:sz w:val="16"/>
          <w:szCs w:val="16"/>
        </w:rPr>
        <w:sectPr w:rsidR="00C91295" w:rsidRPr="00526311" w:rsidSect="00C91295">
          <w:headerReference w:type="even" r:id="rId167"/>
          <w:headerReference w:type="default" r:id="rId168"/>
          <w:headerReference w:type="first" r:id="rId169"/>
          <w:pgSz w:w="11907" w:h="16840" w:code="9"/>
          <w:pgMar w:top="567" w:right="1134" w:bottom="1247" w:left="1418" w:header="510" w:footer="1021" w:gutter="0"/>
          <w:cols w:space="720"/>
          <w:docGrid w:linePitch="299"/>
        </w:sectPr>
      </w:pPr>
    </w:p>
    <w:p w:rsidR="00C91295" w:rsidRPr="00526311" w:rsidRDefault="00C91295" w:rsidP="00F1387F">
      <w:pPr>
        <w:keepNext/>
        <w:keepLines/>
        <w:tabs>
          <w:tab w:val="left" w:pos="3261"/>
        </w:tabs>
        <w:autoSpaceDE w:val="0"/>
        <w:autoSpaceDN w:val="0"/>
        <w:adjustRightInd w:val="0"/>
        <w:jc w:val="center"/>
        <w:rPr>
          <w:b/>
          <w:sz w:val="20"/>
        </w:rPr>
      </w:pPr>
      <w:r w:rsidRPr="00526311">
        <w:rPr>
          <w:b/>
          <w:sz w:val="20"/>
        </w:rPr>
        <w:lastRenderedPageBreak/>
        <w:t>Utilización del presupuesto del proyecto (por etapa)</w:t>
      </w:r>
    </w:p>
    <w:p w:rsidR="00C91295" w:rsidRPr="00526311" w:rsidRDefault="00C91295" w:rsidP="00F1387F">
      <w:pPr>
        <w:keepNext/>
        <w:keepLines/>
        <w:tabs>
          <w:tab w:val="left" w:pos="3261"/>
        </w:tabs>
        <w:autoSpaceDE w:val="0"/>
        <w:autoSpaceDN w:val="0"/>
        <w:adjustRightInd w:val="0"/>
        <w:jc w:val="center"/>
        <w:rPr>
          <w:i/>
          <w:iCs/>
          <w:sz w:val="18"/>
          <w:szCs w:val="18"/>
        </w:rPr>
      </w:pPr>
      <w:r w:rsidRPr="00526311">
        <w:rPr>
          <w:i/>
          <w:iCs/>
          <w:sz w:val="18"/>
          <w:szCs w:val="18"/>
        </w:rPr>
        <w:t>(en francos suizos, al 31 de diciembre de 2014)</w:t>
      </w:r>
    </w:p>
    <w:p w:rsidR="00C91295" w:rsidRPr="00526311" w:rsidRDefault="00C91295" w:rsidP="00F1387F">
      <w:pPr>
        <w:keepNext/>
        <w:autoSpaceDE w:val="0"/>
        <w:autoSpaceDN w:val="0"/>
        <w:rPr>
          <w:sz w:val="16"/>
          <w:szCs w:val="16"/>
        </w:rPr>
      </w:pPr>
    </w:p>
    <w:tbl>
      <w:tblPr>
        <w:tblpPr w:leftFromText="180" w:rightFromText="180" w:vertAnchor="text" w:horzAnchor="margin" w:tblpX="182" w:tblpY="17"/>
        <w:tblW w:w="46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0"/>
        <w:gridCol w:w="1518"/>
        <w:gridCol w:w="1517"/>
        <w:gridCol w:w="1517"/>
        <w:gridCol w:w="1517"/>
      </w:tblGrid>
      <w:tr w:rsidR="00C91295" w:rsidRPr="00526311" w:rsidTr="00F1387F">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74" w:right="-60"/>
              <w:jc w:val="center"/>
              <w:rPr>
                <w:b/>
                <w:bCs/>
                <w:sz w:val="16"/>
                <w:szCs w:val="16"/>
              </w:rPr>
            </w:pPr>
            <w:r w:rsidRPr="00526311">
              <w:rPr>
                <w:b/>
                <w:bCs/>
                <w:sz w:val="16"/>
                <w:szCs w:val="16"/>
              </w:rPr>
              <w:t>Etapa fundamental</w:t>
            </w:r>
          </w:p>
        </w:tc>
        <w:tc>
          <w:tcPr>
            <w:tcW w:w="8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7" w:right="-108"/>
              <w:jc w:val="center"/>
              <w:rPr>
                <w:b/>
                <w:bCs/>
                <w:sz w:val="16"/>
                <w:szCs w:val="16"/>
              </w:rPr>
            </w:pPr>
            <w:r w:rsidRPr="00526311">
              <w:rPr>
                <w:b/>
                <w:bCs/>
                <w:sz w:val="16"/>
                <w:szCs w:val="16"/>
              </w:rPr>
              <w:t>Presupuesto del proyecto</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9" w:right="-73" w:firstLine="1"/>
              <w:jc w:val="center"/>
              <w:rPr>
                <w:b/>
                <w:bCs/>
                <w:sz w:val="16"/>
                <w:szCs w:val="16"/>
              </w:rPr>
            </w:pPr>
            <w:r w:rsidRPr="00526311">
              <w:rPr>
                <w:b/>
                <w:bCs/>
                <w:sz w:val="16"/>
                <w:szCs w:val="16"/>
              </w:rPr>
              <w:t>Índice de avance en la ejecución, por etapa</w:t>
            </w:r>
          </w:p>
        </w:tc>
      </w:tr>
      <w:tr w:rsidR="00C91295" w:rsidRPr="00526311" w:rsidTr="00F1387F">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rPr>
                <w:sz w:val="16"/>
                <w:szCs w:val="16"/>
              </w:rPr>
            </w:pPr>
            <w:r w:rsidRPr="00526311">
              <w:rPr>
                <w:sz w:val="16"/>
                <w:szCs w:val="16"/>
              </w:rPr>
              <w:t>Adjudicación del contrato al ingeniero en climatización para el edificio AB</w:t>
            </w:r>
          </w:p>
        </w:tc>
        <w:tc>
          <w:tcPr>
            <w:tcW w:w="857"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30.000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16.200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54%</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100%</w:t>
            </w:r>
          </w:p>
        </w:tc>
      </w:tr>
      <w:tr w:rsidR="00C91295" w:rsidRPr="00526311" w:rsidTr="00F1387F">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rPr>
                <w:sz w:val="16"/>
                <w:szCs w:val="16"/>
              </w:rPr>
            </w:pPr>
            <w:r w:rsidRPr="00526311">
              <w:rPr>
                <w:sz w:val="16"/>
                <w:szCs w:val="16"/>
              </w:rPr>
              <w:t>Adjudicación del contrato al ingeniero en climatización para el edificio PCT</w:t>
            </w:r>
          </w:p>
        </w:tc>
        <w:tc>
          <w:tcPr>
            <w:tcW w:w="857"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83.000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10.800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13%</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50%</w:t>
            </w:r>
          </w:p>
        </w:tc>
      </w:tr>
      <w:tr w:rsidR="00C91295" w:rsidRPr="00526311" w:rsidTr="00F1387F">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rPr>
                <w:sz w:val="16"/>
                <w:szCs w:val="16"/>
              </w:rPr>
            </w:pPr>
            <w:r w:rsidRPr="00526311">
              <w:rPr>
                <w:sz w:val="16"/>
                <w:szCs w:val="16"/>
              </w:rPr>
              <w:t>Puesta en servicio de las instalaciones de GLN en el edificio AB</w:t>
            </w:r>
          </w:p>
        </w:tc>
        <w:tc>
          <w:tcPr>
            <w:tcW w:w="857"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170.000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61.791</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36%</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100%</w:t>
            </w:r>
          </w:p>
        </w:tc>
      </w:tr>
      <w:tr w:rsidR="00C91295" w:rsidRPr="00526311" w:rsidTr="00F1387F">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rPr>
                <w:sz w:val="16"/>
                <w:szCs w:val="16"/>
              </w:rPr>
            </w:pPr>
            <w:r w:rsidRPr="00526311">
              <w:rPr>
                <w:sz w:val="16"/>
                <w:szCs w:val="16"/>
              </w:rPr>
              <w:t>Puesta en servicio de las instalaciones de GLN en el edificio PCT</w:t>
            </w:r>
          </w:p>
        </w:tc>
        <w:tc>
          <w:tcPr>
            <w:tcW w:w="857"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467.000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w:t>
            </w:r>
          </w:p>
        </w:tc>
      </w:tr>
      <w:tr w:rsidR="00C91295" w:rsidRPr="00526311" w:rsidTr="00F1387F">
        <w:trPr>
          <w:trHeight w:val="36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line="260" w:lineRule="exact"/>
              <w:rPr>
                <w:b/>
                <w:sz w:val="16"/>
                <w:szCs w:val="16"/>
              </w:rPr>
            </w:pPr>
            <w:r w:rsidRPr="00526311">
              <w:rPr>
                <w:b/>
                <w:sz w:val="16"/>
                <w:szCs w:val="16"/>
              </w:rPr>
              <w:t>Total</w:t>
            </w:r>
          </w:p>
        </w:tc>
        <w:tc>
          <w:tcPr>
            <w:tcW w:w="8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line="260" w:lineRule="exact"/>
              <w:jc w:val="center"/>
              <w:rPr>
                <w:b/>
                <w:sz w:val="16"/>
                <w:szCs w:val="16"/>
              </w:rPr>
            </w:pPr>
            <w:r w:rsidRPr="00526311">
              <w:rPr>
                <w:b/>
                <w:sz w:val="16"/>
                <w:szCs w:val="16"/>
              </w:rPr>
              <w:t>750.000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keepNext/>
              <w:keepLines/>
              <w:autoSpaceDE w:val="0"/>
              <w:autoSpaceDN w:val="0"/>
              <w:adjustRightInd w:val="0"/>
              <w:spacing w:before="40" w:after="40" w:line="260" w:lineRule="exact"/>
              <w:jc w:val="center"/>
              <w:rPr>
                <w:b/>
                <w:sz w:val="16"/>
                <w:szCs w:val="16"/>
              </w:rPr>
            </w:pPr>
            <w:r w:rsidRPr="00526311">
              <w:rPr>
                <w:b/>
                <w:sz w:val="16"/>
                <w:szCs w:val="16"/>
              </w:rPr>
              <w:t>88.791</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keepNext/>
              <w:keepLines/>
              <w:autoSpaceDE w:val="0"/>
              <w:autoSpaceDN w:val="0"/>
              <w:adjustRightInd w:val="0"/>
              <w:spacing w:before="40" w:after="40" w:line="260" w:lineRule="exact"/>
              <w:jc w:val="center"/>
              <w:rPr>
                <w:b/>
                <w:sz w:val="16"/>
                <w:szCs w:val="16"/>
              </w:rPr>
            </w:pPr>
            <w:r w:rsidRPr="00526311">
              <w:rPr>
                <w:b/>
                <w:sz w:val="16"/>
                <w:szCs w:val="16"/>
              </w:rPr>
              <w:t>12%</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keepNext/>
              <w:keepLines/>
              <w:autoSpaceDE w:val="0"/>
              <w:autoSpaceDN w:val="0"/>
              <w:adjustRightInd w:val="0"/>
              <w:spacing w:before="40" w:after="40" w:line="260" w:lineRule="exact"/>
              <w:jc w:val="center"/>
              <w:rPr>
                <w:b/>
                <w:sz w:val="16"/>
                <w:szCs w:val="16"/>
              </w:rPr>
            </w:pPr>
          </w:p>
        </w:tc>
      </w:tr>
    </w:tbl>
    <w:p w:rsidR="00C91295" w:rsidRPr="00526311" w:rsidRDefault="00C91295" w:rsidP="00F1387F">
      <w:pPr>
        <w:tabs>
          <w:tab w:val="left" w:pos="3261"/>
        </w:tabs>
        <w:autoSpaceDE w:val="0"/>
        <w:autoSpaceDN w:val="0"/>
        <w:adjustRightInd w:val="0"/>
        <w:rPr>
          <w:b/>
          <w:sz w:val="20"/>
        </w:rPr>
      </w:pPr>
    </w:p>
    <w:p w:rsidR="00C91295" w:rsidRPr="00526311" w:rsidRDefault="00C91295" w:rsidP="00F1387F">
      <w:pPr>
        <w:tabs>
          <w:tab w:val="left" w:pos="3261"/>
        </w:tabs>
        <w:autoSpaceDE w:val="0"/>
        <w:autoSpaceDN w:val="0"/>
        <w:adjustRightInd w:val="0"/>
        <w:jc w:val="center"/>
        <w:rPr>
          <w:b/>
          <w:sz w:val="20"/>
        </w:rPr>
      </w:pPr>
    </w:p>
    <w:p w:rsidR="00C91295" w:rsidRPr="00526311" w:rsidRDefault="00C91295" w:rsidP="00F1387F">
      <w:pPr>
        <w:tabs>
          <w:tab w:val="left" w:pos="3261"/>
        </w:tabs>
        <w:autoSpaceDE w:val="0"/>
        <w:autoSpaceDN w:val="0"/>
        <w:adjustRightInd w:val="0"/>
        <w:jc w:val="center"/>
        <w:rPr>
          <w:b/>
          <w:sz w:val="20"/>
        </w:rPr>
      </w:pPr>
      <w:r w:rsidRPr="00526311">
        <w:rPr>
          <w:b/>
          <w:sz w:val="20"/>
        </w:rPr>
        <w:t>Utilización del presupuesto del proyecto (por categoría de costo)</w:t>
      </w:r>
    </w:p>
    <w:p w:rsidR="00C91295" w:rsidRPr="00526311" w:rsidRDefault="00C91295" w:rsidP="00F1387F">
      <w:pPr>
        <w:tabs>
          <w:tab w:val="left" w:pos="3261"/>
        </w:tabs>
        <w:autoSpaceDE w:val="0"/>
        <w:autoSpaceDN w:val="0"/>
        <w:adjustRightInd w:val="0"/>
        <w:jc w:val="center"/>
        <w:rPr>
          <w:i/>
          <w:iCs/>
          <w:sz w:val="18"/>
          <w:szCs w:val="18"/>
        </w:rPr>
      </w:pPr>
      <w:r w:rsidRPr="00526311">
        <w:rPr>
          <w:i/>
          <w:iCs/>
          <w:sz w:val="18"/>
          <w:szCs w:val="18"/>
        </w:rPr>
        <w:t>(en francos suizos, al 31 de diciembre de 2014)</w:t>
      </w:r>
    </w:p>
    <w:p w:rsidR="00C91295" w:rsidRPr="00526311" w:rsidRDefault="00C91295" w:rsidP="00F1387F">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C91295" w:rsidRPr="00526311" w:rsidTr="00F1387F">
        <w:trPr>
          <w:trHeight w:val="569"/>
        </w:trPr>
        <w:tc>
          <w:tcPr>
            <w:tcW w:w="18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line="260" w:lineRule="exact"/>
              <w:ind w:left="-74" w:right="-60"/>
              <w:jc w:val="center"/>
              <w:rPr>
                <w:b/>
                <w:bCs/>
                <w:sz w:val="16"/>
                <w:szCs w:val="16"/>
              </w:rPr>
            </w:pPr>
            <w:r w:rsidRPr="00526311">
              <w:rPr>
                <w:b/>
                <w:bCs/>
                <w:sz w:val="16"/>
                <w:szCs w:val="16"/>
              </w:rPr>
              <w:t>Categoría de costo</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line="260" w:lineRule="exact"/>
              <w:ind w:left="-107" w:right="-108"/>
              <w:jc w:val="center"/>
              <w:rPr>
                <w:b/>
                <w:bCs/>
                <w:sz w:val="16"/>
                <w:szCs w:val="16"/>
              </w:rPr>
            </w:pPr>
            <w:r w:rsidRPr="00526311">
              <w:rPr>
                <w:b/>
                <w:bCs/>
                <w:sz w:val="16"/>
                <w:szCs w:val="16"/>
              </w:rPr>
              <w:t>Presupuesto del proyecto</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r>
      <w:tr w:rsidR="00C91295" w:rsidRPr="00526311" w:rsidTr="00F1387F">
        <w:tc>
          <w:tcPr>
            <w:tcW w:w="1853"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Costos relacionados con la obra</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585.000</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61.791</w:t>
            </w:r>
          </w:p>
        </w:tc>
        <w:tc>
          <w:tcPr>
            <w:tcW w:w="104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11%</w:t>
            </w:r>
          </w:p>
        </w:tc>
      </w:tr>
      <w:tr w:rsidR="00C91295" w:rsidRPr="00526311" w:rsidTr="00F1387F">
        <w:tc>
          <w:tcPr>
            <w:tcW w:w="1853"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Honorarios</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113.000</w:t>
            </w:r>
          </w:p>
        </w:tc>
        <w:tc>
          <w:tcPr>
            <w:tcW w:w="1049"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27.000</w:t>
            </w:r>
          </w:p>
        </w:tc>
        <w:tc>
          <w:tcPr>
            <w:tcW w:w="1048"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24%</w:t>
            </w:r>
          </w:p>
        </w:tc>
      </w:tr>
      <w:tr w:rsidR="00C91295" w:rsidRPr="00526311" w:rsidTr="00F1387F">
        <w:tc>
          <w:tcPr>
            <w:tcW w:w="1853"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Diversos e imprevistos</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52.000</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r>
      <w:tr w:rsidR="00C91295" w:rsidRPr="00526311" w:rsidTr="00F1387F">
        <w:tc>
          <w:tcPr>
            <w:tcW w:w="18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rPr>
                <w:b/>
                <w:sz w:val="16"/>
                <w:szCs w:val="16"/>
              </w:rPr>
            </w:pPr>
            <w:r w:rsidRPr="00526311">
              <w:rPr>
                <w:b/>
                <w:sz w:val="16"/>
                <w:szCs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750.000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88.791</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autoSpaceDE w:val="0"/>
              <w:autoSpaceDN w:val="0"/>
              <w:adjustRightInd w:val="0"/>
              <w:spacing w:before="40" w:after="40" w:line="260" w:lineRule="exact"/>
              <w:jc w:val="center"/>
              <w:rPr>
                <w:b/>
                <w:sz w:val="16"/>
                <w:szCs w:val="16"/>
              </w:rPr>
            </w:pPr>
          </w:p>
        </w:tc>
      </w:tr>
    </w:tbl>
    <w:p w:rsidR="00C91295" w:rsidRPr="00526311" w:rsidRDefault="00C91295" w:rsidP="00F1387F">
      <w:pPr>
        <w:rPr>
          <w:sz w:val="20"/>
        </w:rPr>
      </w:pPr>
    </w:p>
    <w:p w:rsidR="00C91295" w:rsidRPr="00526311" w:rsidRDefault="00C91295" w:rsidP="00F1387F">
      <w:pPr>
        <w:rPr>
          <w:sz w:val="20"/>
        </w:rPr>
      </w:pPr>
    </w:p>
    <w:p w:rsidR="00C91295" w:rsidRPr="00526311" w:rsidRDefault="00C91295" w:rsidP="00F1387F">
      <w:pPr>
        <w:rPr>
          <w:sz w:val="20"/>
        </w:rPr>
      </w:pPr>
      <w:r w:rsidRPr="00526311">
        <w:rPr>
          <w:sz w:val="20"/>
        </w:rPr>
        <w:t>PRINCIPALES RIESGOS Y ESTRATEGIAS DE MITIGACIÓN</w:t>
      </w:r>
    </w:p>
    <w:p w:rsidR="00C91295" w:rsidRPr="00526311" w:rsidRDefault="00C91295" w:rsidP="00F1387F">
      <w:pPr>
        <w:rPr>
          <w:sz w:val="20"/>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C91295" w:rsidRPr="00526311" w:rsidTr="00F1387F">
        <w:trPr>
          <w:trHeight w:val="308"/>
          <w:tblHeader/>
          <w:jc w:val="center"/>
        </w:trPr>
        <w:tc>
          <w:tcPr>
            <w:tcW w:w="1667"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74" w:right="-60"/>
              <w:jc w:val="center"/>
              <w:rPr>
                <w:b/>
                <w:bCs/>
                <w:sz w:val="16"/>
                <w:szCs w:val="16"/>
              </w:rPr>
            </w:pPr>
            <w:r w:rsidRPr="00526311">
              <w:rPr>
                <w:b/>
                <w:bCs/>
                <w:sz w:val="16"/>
                <w:szCs w:val="16"/>
              </w:rPr>
              <w:t xml:space="preserve">Riesgo </w:t>
            </w:r>
          </w:p>
        </w:tc>
        <w:tc>
          <w:tcPr>
            <w:tcW w:w="1667"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7" w:right="-108"/>
              <w:jc w:val="center"/>
              <w:rPr>
                <w:b/>
                <w:bCs/>
                <w:sz w:val="16"/>
                <w:szCs w:val="16"/>
              </w:rPr>
            </w:pPr>
            <w:r w:rsidRPr="00526311">
              <w:rPr>
                <w:b/>
                <w:bCs/>
                <w:sz w:val="16"/>
                <w:szCs w:val="16"/>
              </w:rPr>
              <w:t>Descripción</w:t>
            </w:r>
          </w:p>
        </w:tc>
        <w:tc>
          <w:tcPr>
            <w:tcW w:w="1666"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9"/>
              <w:jc w:val="center"/>
              <w:rPr>
                <w:b/>
                <w:bCs/>
                <w:sz w:val="16"/>
                <w:szCs w:val="16"/>
              </w:rPr>
            </w:pPr>
            <w:r w:rsidRPr="00526311">
              <w:rPr>
                <w:b/>
                <w:bCs/>
                <w:sz w:val="16"/>
                <w:szCs w:val="16"/>
              </w:rPr>
              <w:t>Mitigación del riesgo</w:t>
            </w:r>
          </w:p>
        </w:tc>
      </w:tr>
      <w:tr w:rsidR="00C91295" w:rsidRPr="00526311" w:rsidTr="00F1387F">
        <w:trPr>
          <w:trHeight w:val="776"/>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Incapacidad de realizar obras antes del verano de 2015 en el edificio PCT</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Las empresas no están disponibles dentro del calendario previsto por la OMPI</w:t>
            </w:r>
          </w:p>
        </w:tc>
        <w:tc>
          <w:tcPr>
            <w:tcW w:w="1666"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Demorar la obra hasta octubre/noviembre de 2015</w:t>
            </w:r>
          </w:p>
        </w:tc>
      </w:tr>
      <w:tr w:rsidR="00C91295" w:rsidRPr="00526311" w:rsidTr="00F1387F">
        <w:trPr>
          <w:trHeight w:val="776"/>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Circunstancias imprevistas en el sitio de la obra en el edificio PCT</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Demoras en la instalación por la empresa SIG de equipos internos en el edificio PCT y/o problemas técnicos durante la desinstalación de los conductos existentes o debido a ella</w:t>
            </w:r>
          </w:p>
        </w:tc>
        <w:tc>
          <w:tcPr>
            <w:tcW w:w="1666"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Realizar reparaciones y actualizar el calendario de las obras, de ser necesario, incluso para 2016</w:t>
            </w:r>
          </w:p>
        </w:tc>
      </w:tr>
    </w:tbl>
    <w:p w:rsidR="00C91295" w:rsidRPr="00526311" w:rsidRDefault="00C91295" w:rsidP="00F1387F">
      <w:pPr>
        <w:autoSpaceDE w:val="0"/>
        <w:autoSpaceDN w:val="0"/>
        <w:jc w:val="both"/>
      </w:pPr>
    </w:p>
    <w:p w:rsidR="00C91295" w:rsidRPr="00526311" w:rsidRDefault="00C91295" w:rsidP="00F1387F">
      <w:pPr>
        <w:rPr>
          <w:sz w:val="20"/>
        </w:rPr>
      </w:pPr>
    </w:p>
    <w:p w:rsidR="00C91295" w:rsidRPr="00526311" w:rsidRDefault="00C91295" w:rsidP="00F1387F">
      <w:pPr>
        <w:rPr>
          <w:sz w:val="20"/>
        </w:rPr>
      </w:pPr>
      <w:r w:rsidRPr="00526311">
        <w:rPr>
          <w:sz w:val="20"/>
        </w:rPr>
        <w:br w:type="page"/>
      </w:r>
    </w:p>
    <w:p w:rsidR="00C91295" w:rsidRPr="00526311" w:rsidRDefault="00C91295" w:rsidP="00F1387F">
      <w:pPr>
        <w:rPr>
          <w:sz w:val="20"/>
        </w:rPr>
      </w:pPr>
      <w:r w:rsidRPr="00526311">
        <w:rPr>
          <w:sz w:val="20"/>
        </w:rPr>
        <w:lastRenderedPageBreak/>
        <w:t>CALENDARIO DEL PROYECTO, POR ETAPA</w:t>
      </w:r>
    </w:p>
    <w:p w:rsidR="00C91295" w:rsidRPr="00526311" w:rsidRDefault="00C91295" w:rsidP="00F1387F">
      <w:pPr>
        <w:autoSpaceDE w:val="0"/>
        <w:autoSpaceDN w:val="0"/>
        <w:jc w:val="both"/>
        <w:rPr>
          <w:sz w:val="20"/>
        </w:rPr>
      </w:pPr>
    </w:p>
    <w:tbl>
      <w:tblPr>
        <w:tblW w:w="7514" w:type="dxa"/>
        <w:jc w:val="center"/>
        <w:tblInd w:w="-1834" w:type="dxa"/>
        <w:tblLook w:val="04A0" w:firstRow="1" w:lastRow="0" w:firstColumn="1" w:lastColumn="0" w:noHBand="0" w:noVBand="1"/>
      </w:tblPr>
      <w:tblGrid>
        <w:gridCol w:w="3674"/>
        <w:gridCol w:w="480"/>
        <w:gridCol w:w="480"/>
        <w:gridCol w:w="480"/>
        <w:gridCol w:w="480"/>
        <w:gridCol w:w="480"/>
        <w:gridCol w:w="480"/>
        <w:gridCol w:w="480"/>
        <w:gridCol w:w="480"/>
      </w:tblGrid>
      <w:tr w:rsidR="00C91295" w:rsidRPr="00526311" w:rsidTr="00F1387F">
        <w:trPr>
          <w:trHeight w:val="270"/>
          <w:jc w:val="center"/>
        </w:trPr>
        <w:tc>
          <w:tcPr>
            <w:tcW w:w="3674" w:type="dxa"/>
            <w:tcBorders>
              <w:top w:val="nil"/>
              <w:left w:val="nil"/>
              <w:bottom w:val="nil"/>
              <w:right w:val="nil"/>
            </w:tcBorders>
            <w:shd w:val="clear" w:color="auto" w:fill="auto"/>
            <w:noWrap/>
            <w:vAlign w:val="bottom"/>
            <w:hideMark/>
          </w:tcPr>
          <w:p w:rsidR="00C91295" w:rsidRPr="00526311" w:rsidRDefault="00C91295" w:rsidP="00F1387F">
            <w:pPr>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91295" w:rsidRPr="00526311" w:rsidRDefault="00C91295" w:rsidP="00F1387F">
            <w:pPr>
              <w:jc w:val="center"/>
              <w:rPr>
                <w:b/>
                <w:bCs/>
                <w:sz w:val="16"/>
                <w:szCs w:val="16"/>
              </w:rPr>
            </w:pPr>
            <w:r w:rsidRPr="00526311">
              <w:rPr>
                <w:b/>
                <w:bCs/>
                <w:sz w:val="16"/>
                <w:szCs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91295" w:rsidRPr="00526311" w:rsidRDefault="00C91295" w:rsidP="00F1387F">
            <w:pPr>
              <w:jc w:val="center"/>
              <w:rPr>
                <w:b/>
                <w:bCs/>
                <w:sz w:val="16"/>
                <w:szCs w:val="16"/>
              </w:rPr>
            </w:pPr>
            <w:r w:rsidRPr="00526311">
              <w:rPr>
                <w:b/>
                <w:bCs/>
                <w:sz w:val="16"/>
                <w:szCs w:val="16"/>
              </w:rPr>
              <w:t>2015</w:t>
            </w:r>
          </w:p>
        </w:tc>
      </w:tr>
      <w:tr w:rsidR="00C91295" w:rsidRPr="00526311" w:rsidTr="00F1387F">
        <w:trPr>
          <w:trHeight w:val="375"/>
          <w:jc w:val="center"/>
        </w:trPr>
        <w:tc>
          <w:tcPr>
            <w:tcW w:w="3674"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Etapa fundamental</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T4</w:t>
            </w:r>
          </w:p>
        </w:tc>
      </w:tr>
      <w:tr w:rsidR="00C91295" w:rsidRPr="00526311" w:rsidTr="00F1387F">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C91295" w:rsidRPr="00526311" w:rsidRDefault="00C91295" w:rsidP="00F1387F">
            <w:pPr>
              <w:rPr>
                <w:sz w:val="16"/>
                <w:szCs w:val="16"/>
              </w:rPr>
            </w:pPr>
            <w:r w:rsidRPr="00526311">
              <w:rPr>
                <w:sz w:val="16"/>
                <w:szCs w:val="16"/>
              </w:rPr>
              <w:t>Adjudicación del contrato al ingeniero en climatización (AB y PCT)</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r>
      <w:tr w:rsidR="00C91295" w:rsidRPr="00526311" w:rsidTr="00F1387F">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C91295" w:rsidRPr="00526311" w:rsidRDefault="00C91295" w:rsidP="00F1387F">
            <w:pPr>
              <w:rPr>
                <w:sz w:val="16"/>
                <w:szCs w:val="16"/>
              </w:rPr>
            </w:pPr>
            <w:r w:rsidRPr="00526311">
              <w:rPr>
                <w:bCs/>
                <w:sz w:val="16"/>
                <w:szCs w:val="16"/>
              </w:rPr>
              <w:t>Llamado a presentar ofertas</w:t>
            </w:r>
            <w:r w:rsidRPr="00526311">
              <w:rPr>
                <w:sz w:val="16"/>
                <w:szCs w:val="16"/>
              </w:rPr>
              <w:t xml:space="preserve"> para las empresas (AB)</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r>
      <w:tr w:rsidR="00C91295" w:rsidRPr="00526311" w:rsidTr="00F1387F">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C91295" w:rsidRPr="00526311" w:rsidRDefault="00C91295" w:rsidP="00F1387F">
            <w:pPr>
              <w:rPr>
                <w:sz w:val="16"/>
                <w:szCs w:val="16"/>
              </w:rPr>
            </w:pPr>
            <w:r w:rsidRPr="00526311">
              <w:rPr>
                <w:sz w:val="16"/>
                <w:szCs w:val="16"/>
              </w:rPr>
              <w:t>Ejecución y puesta en servicio de la obra (AB)</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X</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r>
      <w:tr w:rsidR="00C91295" w:rsidRPr="00526311" w:rsidTr="00F1387F">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C91295" w:rsidRPr="00526311" w:rsidRDefault="00C91295" w:rsidP="00F1387F">
            <w:pPr>
              <w:rPr>
                <w:sz w:val="16"/>
                <w:szCs w:val="16"/>
              </w:rPr>
            </w:pPr>
            <w:r w:rsidRPr="00526311">
              <w:rPr>
                <w:sz w:val="16"/>
                <w:szCs w:val="16"/>
              </w:rPr>
              <w:t>Validación del proyecto con el ingeniero en climatización (PCT)</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r>
      <w:tr w:rsidR="00C91295" w:rsidRPr="00526311" w:rsidTr="00F1387F">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tcPr>
          <w:p w:rsidR="00C91295" w:rsidRPr="00526311" w:rsidRDefault="00C91295" w:rsidP="00F1387F">
            <w:pPr>
              <w:rPr>
                <w:sz w:val="16"/>
                <w:szCs w:val="16"/>
              </w:rPr>
            </w:pPr>
            <w:r w:rsidRPr="00526311">
              <w:rPr>
                <w:sz w:val="16"/>
                <w:szCs w:val="16"/>
              </w:rPr>
              <w:t>Llamado a licitación para las empresas (PCT)</w:t>
            </w: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p>
        </w:tc>
      </w:tr>
      <w:tr w:rsidR="00C91295" w:rsidRPr="00526311" w:rsidTr="00F1387F">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tcPr>
          <w:p w:rsidR="00C91295" w:rsidRPr="00526311" w:rsidRDefault="00C91295" w:rsidP="00F1387F">
            <w:pPr>
              <w:rPr>
                <w:sz w:val="16"/>
                <w:szCs w:val="16"/>
              </w:rPr>
            </w:pPr>
            <w:r w:rsidRPr="00526311">
              <w:rPr>
                <w:sz w:val="16"/>
                <w:szCs w:val="16"/>
              </w:rPr>
              <w:t>Ejecución y puesta en servicio de la obra (PCT)</w:t>
            </w: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r w:rsidRPr="00526311">
              <w:rPr>
                <w:sz w:val="16"/>
                <w:szCs w:val="16"/>
              </w:rPr>
              <w:t>X</w:t>
            </w:r>
          </w:p>
        </w:tc>
        <w:tc>
          <w:tcPr>
            <w:tcW w:w="480" w:type="dxa"/>
            <w:tcBorders>
              <w:top w:val="nil"/>
              <w:left w:val="nil"/>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p>
        </w:tc>
      </w:tr>
    </w:tbl>
    <w:p w:rsidR="00C91295" w:rsidRPr="00526311" w:rsidRDefault="00C91295" w:rsidP="00F1387F">
      <w:pPr>
        <w:autoSpaceDE w:val="0"/>
        <w:autoSpaceDN w:val="0"/>
        <w:jc w:val="both"/>
      </w:pPr>
    </w:p>
    <w:p w:rsidR="00C91295" w:rsidRPr="00526311" w:rsidRDefault="00C91295" w:rsidP="00F1387F">
      <w:r w:rsidRPr="00526311">
        <w:br w:type="page"/>
      </w:r>
    </w:p>
    <w:p w:rsidR="00C91295" w:rsidRPr="00526311" w:rsidRDefault="00C91295" w:rsidP="00970131">
      <w:pPr>
        <w:rPr>
          <w:b/>
        </w:rPr>
      </w:pPr>
      <w:bookmarkStart w:id="106" w:name="_Toc422755501"/>
      <w:r w:rsidRPr="00526311">
        <w:rPr>
          <w:b/>
        </w:rPr>
        <w:lastRenderedPageBreak/>
        <w:t>PROYECTOS RELACIONADOS CON LOS EDIFICIOS</w:t>
      </w:r>
      <w:bookmarkEnd w:id="106"/>
    </w:p>
    <w:p w:rsidR="00C91295" w:rsidRPr="00526311" w:rsidRDefault="00C91295" w:rsidP="00F1387F">
      <w:pPr>
        <w:pStyle w:val="StyleHeading3BoldNounderline"/>
        <w:rPr>
          <w:b/>
          <w:szCs w:val="20"/>
          <w:lang w:val="es-ES"/>
        </w:rPr>
      </w:pPr>
      <w:bookmarkStart w:id="107" w:name="_Toc422927452"/>
      <w:r w:rsidRPr="00526311">
        <w:rPr>
          <w:b/>
          <w:szCs w:val="20"/>
          <w:lang w:val="es-ES"/>
        </w:rPr>
        <w:t>PROYECTO:</w:t>
      </w:r>
      <w:r w:rsidRPr="00526311">
        <w:rPr>
          <w:i w:val="0"/>
          <w:szCs w:val="20"/>
          <w:lang w:val="es-ES"/>
        </w:rPr>
        <w:t xml:space="preserve">  </w:t>
      </w:r>
      <w:r w:rsidRPr="00526311">
        <w:rPr>
          <w:b/>
          <w:szCs w:val="20"/>
          <w:lang w:val="es-ES"/>
        </w:rPr>
        <w:t xml:space="preserve">EDIFICIO ARPAD BOGSCH – FASE 1 DE LA RENOVACIÓN DEL SUBSUELO (ADAPTACIÓN DE LAS DIMENSIONES DEL CENTRO DE DATOS Y RENOVACIÓN DE LA IMPRENTA) </w:t>
      </w:r>
      <w:r w:rsidR="005D293E" w:rsidRPr="00526311">
        <w:rPr>
          <w:b/>
          <w:szCs w:val="20"/>
          <w:lang w:val="es-ES"/>
        </w:rPr>
        <w:t>(PMM 5)</w:t>
      </w:r>
      <w:bookmarkEnd w:id="107"/>
    </w:p>
    <w:p w:rsidR="00C91295" w:rsidRPr="00526311" w:rsidRDefault="00C91295" w:rsidP="00F1387F">
      <w:pPr>
        <w:rPr>
          <w:b/>
          <w:noProof/>
          <w:sz w:val="20"/>
        </w:rPr>
      </w:pPr>
    </w:p>
    <w:p w:rsidR="00C91295" w:rsidRPr="00526311" w:rsidRDefault="00C91295" w:rsidP="00F1387F">
      <w:pPr>
        <w:rPr>
          <w:b/>
          <w:noProof/>
          <w:sz w:val="20"/>
        </w:rPr>
      </w:pPr>
      <w:r w:rsidRPr="00526311">
        <w:rPr>
          <w:b/>
          <w:noProof/>
          <w:sz w:val="20"/>
        </w:rPr>
        <w:t>Director de proyecto:</w:t>
      </w:r>
      <w:r w:rsidRPr="00526311">
        <w:rPr>
          <w:b/>
          <w:noProof/>
          <w:sz w:val="20"/>
        </w:rPr>
        <w:tab/>
        <w:t xml:space="preserve">Sr. A. </w:t>
      </w:r>
      <w:r w:rsidR="00345563" w:rsidRPr="00526311">
        <w:rPr>
          <w:b/>
          <w:noProof/>
          <w:sz w:val="20"/>
        </w:rPr>
        <w:t>Favero</w:t>
      </w:r>
    </w:p>
    <w:p w:rsidR="00C91295" w:rsidRPr="00526311" w:rsidRDefault="00C91295" w:rsidP="00F1387F">
      <w:pPr>
        <w:rPr>
          <w:noProof/>
          <w:sz w:val="20"/>
        </w:rPr>
      </w:pPr>
    </w:p>
    <w:p w:rsidR="00C91295" w:rsidRPr="00526311" w:rsidRDefault="00C91295" w:rsidP="00F1387F">
      <w:pPr>
        <w:rPr>
          <w:bCs/>
          <w:noProof/>
          <w:sz w:val="20"/>
        </w:rPr>
      </w:pPr>
    </w:p>
    <w:p w:rsidR="00C91295" w:rsidRPr="00526311" w:rsidRDefault="00C91295" w:rsidP="00F1387F">
      <w:pPr>
        <w:rPr>
          <w:bCs/>
          <w:sz w:val="20"/>
        </w:rPr>
      </w:pPr>
      <w:r w:rsidRPr="00526311">
        <w:rPr>
          <w:bCs/>
          <w:sz w:val="20"/>
        </w:rPr>
        <w:t>RESULTADO PREVISTO</w:t>
      </w:r>
    </w:p>
    <w:p w:rsidR="00C91295" w:rsidRPr="00526311" w:rsidRDefault="00C91295" w:rsidP="00F1387F">
      <w:pPr>
        <w:rPr>
          <w:bCs/>
          <w:sz w:val="20"/>
        </w:rPr>
      </w:pPr>
    </w:p>
    <w:p w:rsidR="00C91295" w:rsidRPr="00526311" w:rsidRDefault="00C91295" w:rsidP="00F1387F">
      <w:pPr>
        <w:rPr>
          <w:i/>
          <w:iCs/>
          <w:sz w:val="20"/>
        </w:rPr>
      </w:pPr>
      <w:r w:rsidRPr="00526311">
        <w:rPr>
          <w:i/>
          <w:iCs/>
          <w:sz w:val="20"/>
        </w:rPr>
        <w:t>IX.1 Servicios de apoyo eficaces, eficientes, de calidad y orientados al cliente, tanto a los clientes internos como a las partes interesadas externas</w:t>
      </w:r>
    </w:p>
    <w:p w:rsidR="00C91295" w:rsidRPr="00526311" w:rsidRDefault="00C91295" w:rsidP="00F1387F">
      <w:pPr>
        <w:rPr>
          <w:bCs/>
          <w:noProof/>
          <w:sz w:val="20"/>
        </w:rPr>
      </w:pPr>
    </w:p>
    <w:p w:rsidR="00C91295" w:rsidRPr="00526311" w:rsidRDefault="00C91295" w:rsidP="00F1387F">
      <w:pPr>
        <w:rPr>
          <w:bCs/>
          <w:noProof/>
          <w:sz w:val="20"/>
        </w:rPr>
      </w:pPr>
    </w:p>
    <w:p w:rsidR="00C91295" w:rsidRPr="00526311" w:rsidRDefault="00C91295" w:rsidP="00F1387F">
      <w:pPr>
        <w:rPr>
          <w:bCs/>
          <w:noProof/>
          <w:sz w:val="20"/>
        </w:rPr>
      </w:pPr>
      <w:r w:rsidRPr="00526311">
        <w:rPr>
          <w:bCs/>
          <w:noProof/>
          <w:sz w:val="20"/>
        </w:rPr>
        <w:t>OBJETIVOS, ALCANCE Y ENFOQUE:  ANTECEDENTES</w:t>
      </w:r>
    </w:p>
    <w:p w:rsidR="00C91295" w:rsidRPr="00526311" w:rsidRDefault="00C91295" w:rsidP="00F1387F">
      <w:pPr>
        <w:rPr>
          <w:bCs/>
          <w:noProof/>
          <w:sz w:val="20"/>
        </w:rPr>
      </w:pPr>
    </w:p>
    <w:p w:rsidR="00C91295" w:rsidRPr="00526311" w:rsidRDefault="00C91295" w:rsidP="00C91295">
      <w:pPr>
        <w:pStyle w:val="ListParagraph"/>
        <w:numPr>
          <w:ilvl w:val="0"/>
          <w:numId w:val="115"/>
        </w:numPr>
        <w:tabs>
          <w:tab w:val="left" w:pos="567"/>
        </w:tabs>
        <w:ind w:left="0" w:firstLine="0"/>
        <w:jc w:val="both"/>
        <w:rPr>
          <w:bCs/>
          <w:lang w:val="es-ES"/>
        </w:rPr>
      </w:pPr>
      <w:r w:rsidRPr="00526311">
        <w:rPr>
          <w:bCs/>
          <w:lang w:val="es-ES"/>
        </w:rPr>
        <w:t>Es necesario adaptar las dimensiones del actual centro de datos situado en el subsuelo del edificio AB con el fin de adecuarlo a su nuevo objetivo, más reducido, de servir de sala informática para uso exclusivo de los usuarios del edificio AB.  Se prevé que esta adaptación permitirá liberar una superficie importante que podrá utilizarse ulteriormente para ampliar la actual imprenta, que necesita renovación.</w:t>
      </w:r>
    </w:p>
    <w:p w:rsidR="00C91295" w:rsidRPr="00526311" w:rsidRDefault="00C91295" w:rsidP="00F1387F">
      <w:pPr>
        <w:tabs>
          <w:tab w:val="left" w:pos="567"/>
        </w:tabs>
        <w:jc w:val="both"/>
        <w:rPr>
          <w:bCs/>
          <w:sz w:val="20"/>
        </w:rPr>
      </w:pPr>
    </w:p>
    <w:p w:rsidR="00C91295" w:rsidRPr="00526311" w:rsidRDefault="00C91295" w:rsidP="00C91295">
      <w:pPr>
        <w:pStyle w:val="ListParagraph"/>
        <w:numPr>
          <w:ilvl w:val="0"/>
          <w:numId w:val="115"/>
        </w:numPr>
        <w:tabs>
          <w:tab w:val="left" w:pos="567"/>
        </w:tabs>
        <w:ind w:left="0" w:firstLine="0"/>
        <w:jc w:val="both"/>
        <w:rPr>
          <w:bCs/>
          <w:lang w:val="es-ES"/>
        </w:rPr>
      </w:pPr>
      <w:r w:rsidRPr="00526311">
        <w:rPr>
          <w:bCs/>
          <w:lang w:val="es-ES"/>
        </w:rPr>
        <w:t>Los objetivos de este proyecto son:  i) determinar la superficie necesaria para la instalación de la imprenta y la sala de informática y documentación, reduciendo las dimensiones del centro de datos con el fin de disponer de un espacio suficientemente amplio para la expansión y renovación de la imprenta;  ii) reducir el consumo de energía mediante la remoción de determinados equipos técnicos del centro de datos;  y iii) mejorar los espacios de trabajo del personal de la sala de imprenta y documentación.</w:t>
      </w:r>
    </w:p>
    <w:p w:rsidR="00C91295" w:rsidRPr="00526311" w:rsidRDefault="00C91295" w:rsidP="00F1387F">
      <w:pPr>
        <w:rPr>
          <w:bCs/>
          <w:sz w:val="20"/>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t>RESEÑA DE LOS AVANCES LOGRADOS EN 2014 (ETAPAS FUNDAMENTALES)</w:t>
      </w:r>
    </w:p>
    <w:p w:rsidR="00C91295" w:rsidRPr="00526311" w:rsidRDefault="00C91295" w:rsidP="00F1387F">
      <w:pPr>
        <w:rPr>
          <w:bCs/>
          <w:sz w:val="20"/>
        </w:rPr>
      </w:pPr>
    </w:p>
    <w:p w:rsidR="00C91295" w:rsidRPr="00526311" w:rsidRDefault="00C91295" w:rsidP="00C91295">
      <w:pPr>
        <w:pStyle w:val="ListParagraph"/>
        <w:numPr>
          <w:ilvl w:val="0"/>
          <w:numId w:val="115"/>
        </w:numPr>
        <w:tabs>
          <w:tab w:val="left" w:pos="567"/>
        </w:tabs>
        <w:ind w:left="0" w:firstLine="0"/>
        <w:jc w:val="both"/>
        <w:rPr>
          <w:bCs/>
          <w:lang w:val="es-ES"/>
        </w:rPr>
      </w:pPr>
      <w:r w:rsidRPr="00526311">
        <w:rPr>
          <w:bCs/>
          <w:lang w:val="es-ES"/>
        </w:rPr>
        <w:t xml:space="preserve">En 2014, se realizaron los siguientes progresos: </w:t>
      </w:r>
    </w:p>
    <w:p w:rsidR="00C91295" w:rsidRPr="00526311" w:rsidRDefault="00C91295" w:rsidP="00C91295">
      <w:pPr>
        <w:pStyle w:val="ListParagraph"/>
        <w:numPr>
          <w:ilvl w:val="0"/>
          <w:numId w:val="105"/>
        </w:numPr>
        <w:rPr>
          <w:bCs/>
          <w:lang w:val="es-ES"/>
        </w:rPr>
      </w:pPr>
      <w:r w:rsidRPr="00526311">
        <w:rPr>
          <w:bCs/>
          <w:lang w:val="es-ES"/>
        </w:rPr>
        <w:t>se elaboró el mandato del arquitecto;</w:t>
      </w:r>
    </w:p>
    <w:p w:rsidR="00C91295" w:rsidRPr="00526311" w:rsidRDefault="00C91295" w:rsidP="00C91295">
      <w:pPr>
        <w:pStyle w:val="ListParagraph"/>
        <w:numPr>
          <w:ilvl w:val="0"/>
          <w:numId w:val="105"/>
        </w:numPr>
        <w:rPr>
          <w:bCs/>
          <w:lang w:val="es-ES"/>
        </w:rPr>
      </w:pPr>
      <w:r w:rsidRPr="00526311">
        <w:rPr>
          <w:bCs/>
          <w:lang w:val="es-ES"/>
        </w:rPr>
        <w:t xml:space="preserve">se llamó a licitación para la selección del arquitecto; y </w:t>
      </w:r>
    </w:p>
    <w:p w:rsidR="00C91295" w:rsidRPr="00526311" w:rsidRDefault="00C91295" w:rsidP="00C91295">
      <w:pPr>
        <w:pStyle w:val="ListParagraph"/>
        <w:numPr>
          <w:ilvl w:val="0"/>
          <w:numId w:val="105"/>
        </w:numPr>
        <w:rPr>
          <w:bCs/>
          <w:lang w:val="es-ES"/>
        </w:rPr>
      </w:pPr>
      <w:r w:rsidRPr="00526311">
        <w:rPr>
          <w:bCs/>
          <w:lang w:val="es-ES"/>
        </w:rPr>
        <w:t>se adjudicaron contratos al arquitecto y al ingeniero en climatización.</w:t>
      </w:r>
    </w:p>
    <w:p w:rsidR="00C91295" w:rsidRPr="00526311" w:rsidRDefault="00C91295" w:rsidP="00F1387F">
      <w:pPr>
        <w:shd w:val="clear" w:color="auto" w:fill="FFFFFF" w:themeFill="background1"/>
        <w:rPr>
          <w:bCs/>
          <w:sz w:val="20"/>
        </w:rPr>
      </w:pPr>
    </w:p>
    <w:p w:rsidR="00C91295" w:rsidRPr="00526311" w:rsidRDefault="00C91295" w:rsidP="00C91295">
      <w:pPr>
        <w:pStyle w:val="ListParagraph"/>
        <w:numPr>
          <w:ilvl w:val="0"/>
          <w:numId w:val="115"/>
        </w:numPr>
        <w:tabs>
          <w:tab w:val="left" w:pos="567"/>
        </w:tabs>
        <w:ind w:left="0" w:firstLine="0"/>
        <w:jc w:val="both"/>
        <w:rPr>
          <w:bCs/>
          <w:lang w:val="es-ES"/>
        </w:rPr>
      </w:pPr>
      <w:r w:rsidRPr="00526311">
        <w:rPr>
          <w:bCs/>
          <w:lang w:val="es-ES"/>
        </w:rPr>
        <w:t xml:space="preserve">Debido a la demora en la finalización de la nueva sala de conferencias de la OMPI (aplazada de comienzos de 2014 a septiembre de 2014), la puesta en marcha del proyecto se atrasó seis meses con respecto al plan original.  El calendario del proyecto se ha modificado en consecuencia.  </w:t>
      </w:r>
    </w:p>
    <w:p w:rsidR="00C91295" w:rsidRPr="00526311" w:rsidRDefault="00C91295" w:rsidP="00F1387F">
      <w:pPr>
        <w:rPr>
          <w:bCs/>
          <w:sz w:val="20"/>
        </w:rPr>
      </w:pPr>
    </w:p>
    <w:p w:rsidR="00C91295" w:rsidRPr="00526311" w:rsidRDefault="00C91295" w:rsidP="00F1387F">
      <w:pPr>
        <w:rPr>
          <w:bCs/>
          <w:sz w:val="20"/>
        </w:rPr>
      </w:pPr>
    </w:p>
    <w:p w:rsidR="00C91295" w:rsidRPr="00526311" w:rsidRDefault="00C91295" w:rsidP="00F1387F">
      <w:pPr>
        <w:rPr>
          <w:bCs/>
          <w:sz w:val="16"/>
          <w:szCs w:val="16"/>
        </w:rPr>
      </w:pPr>
      <w:r w:rsidRPr="00526311">
        <w:rPr>
          <w:bCs/>
          <w:sz w:val="20"/>
        </w:rPr>
        <w:t xml:space="preserve">OBTENCIÓN DE BENEFICIOS  </w:t>
      </w:r>
    </w:p>
    <w:p w:rsidR="00C91295" w:rsidRPr="00526311" w:rsidRDefault="00C91295" w:rsidP="00F1387F">
      <w:pPr>
        <w:rPr>
          <w:sz w:val="16"/>
          <w:szCs w:val="16"/>
        </w:rPr>
      </w:pPr>
    </w:p>
    <w:tbl>
      <w:tblPr>
        <w:tblW w:w="3700" w:type="pct"/>
        <w:jc w:val="center"/>
        <w:tblInd w:w="-1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3"/>
      </w:tblGrid>
      <w:tr w:rsidR="00C91295" w:rsidRPr="00526311" w:rsidTr="00F1387F">
        <w:trPr>
          <w:trHeight w:val="442"/>
          <w:tblHeader/>
          <w:jc w:val="center"/>
        </w:trPr>
        <w:tc>
          <w:tcPr>
            <w:tcW w:w="5000" w:type="pct"/>
            <w:shd w:val="clear" w:color="auto" w:fill="C6D9F1" w:themeFill="text2" w:themeFillTint="33"/>
            <w:vAlign w:val="center"/>
          </w:tcPr>
          <w:p w:rsidR="00C91295" w:rsidRPr="00526311" w:rsidRDefault="00C91295" w:rsidP="00F1387F">
            <w:pPr>
              <w:jc w:val="center"/>
              <w:rPr>
                <w:b/>
                <w:bCs/>
                <w:sz w:val="16"/>
                <w:szCs w:val="16"/>
              </w:rPr>
            </w:pPr>
            <w:r w:rsidRPr="00526311">
              <w:rPr>
                <w:b/>
                <w:bCs/>
                <w:sz w:val="16"/>
                <w:szCs w:val="16"/>
              </w:rPr>
              <w:t>Beneficios previstos para 2017</w:t>
            </w:r>
          </w:p>
        </w:tc>
      </w:tr>
      <w:tr w:rsidR="00C91295" w:rsidRPr="00526311" w:rsidTr="00F1387F">
        <w:trPr>
          <w:trHeight w:val="564"/>
          <w:jc w:val="center"/>
        </w:trPr>
        <w:tc>
          <w:tcPr>
            <w:tcW w:w="5000" w:type="pct"/>
            <w:shd w:val="clear" w:color="auto" w:fill="auto"/>
            <w:vAlign w:val="center"/>
          </w:tcPr>
          <w:p w:rsidR="00C91295" w:rsidRPr="00526311" w:rsidRDefault="00C91295" w:rsidP="00F1387F">
            <w:pPr>
              <w:rPr>
                <w:bCs/>
                <w:iCs/>
                <w:sz w:val="16"/>
                <w:szCs w:val="16"/>
              </w:rPr>
            </w:pPr>
            <w:r w:rsidRPr="00526311">
              <w:rPr>
                <w:bCs/>
                <w:iCs/>
                <w:sz w:val="16"/>
                <w:szCs w:val="16"/>
              </w:rPr>
              <w:t>Mejor asignación del espacio disponible en función de los usos respectivos</w:t>
            </w:r>
          </w:p>
        </w:tc>
      </w:tr>
      <w:tr w:rsidR="00C91295" w:rsidRPr="00526311" w:rsidTr="00F1387F">
        <w:trPr>
          <w:trHeight w:val="839"/>
          <w:jc w:val="center"/>
        </w:trPr>
        <w:tc>
          <w:tcPr>
            <w:tcW w:w="5000" w:type="pct"/>
            <w:shd w:val="clear" w:color="auto" w:fill="auto"/>
            <w:vAlign w:val="center"/>
          </w:tcPr>
          <w:p w:rsidR="00C91295" w:rsidRPr="00526311" w:rsidRDefault="00C91295" w:rsidP="00F1387F">
            <w:pPr>
              <w:rPr>
                <w:bCs/>
                <w:iCs/>
                <w:sz w:val="16"/>
                <w:szCs w:val="16"/>
              </w:rPr>
            </w:pPr>
            <w:r w:rsidRPr="00526311">
              <w:rPr>
                <w:bCs/>
                <w:iCs/>
                <w:sz w:val="16"/>
                <w:szCs w:val="16"/>
              </w:rPr>
              <w:t>Reducción parcial del consumo de energía en la zona afectada por las obras en el edificio  AB</w:t>
            </w:r>
          </w:p>
        </w:tc>
      </w:tr>
      <w:tr w:rsidR="00C91295" w:rsidRPr="00526311" w:rsidTr="00F1387F">
        <w:trPr>
          <w:trHeight w:val="564"/>
          <w:jc w:val="center"/>
        </w:trPr>
        <w:tc>
          <w:tcPr>
            <w:tcW w:w="5000" w:type="pct"/>
            <w:shd w:val="clear" w:color="auto" w:fill="auto"/>
            <w:vAlign w:val="center"/>
          </w:tcPr>
          <w:p w:rsidR="00C91295" w:rsidRPr="00526311" w:rsidRDefault="00C91295" w:rsidP="00F1387F">
            <w:pPr>
              <w:rPr>
                <w:bCs/>
                <w:iCs/>
                <w:sz w:val="16"/>
                <w:szCs w:val="16"/>
              </w:rPr>
            </w:pPr>
            <w:r w:rsidRPr="00526311">
              <w:rPr>
                <w:bCs/>
                <w:iCs/>
                <w:sz w:val="16"/>
                <w:szCs w:val="16"/>
              </w:rPr>
              <w:t>Mejora de los espacios de trabajo del personal de la imprenta y la documentación</w:t>
            </w:r>
          </w:p>
        </w:tc>
      </w:tr>
    </w:tbl>
    <w:p w:rsidR="00C91295" w:rsidRPr="00526311" w:rsidRDefault="00C91295" w:rsidP="00F1387F"/>
    <w:p w:rsidR="00C91295" w:rsidRPr="00526311" w:rsidRDefault="00C91295" w:rsidP="00F1387F">
      <w:r w:rsidRPr="00526311">
        <w:br w:type="page"/>
      </w:r>
    </w:p>
    <w:p w:rsidR="00C91295" w:rsidRPr="00526311" w:rsidRDefault="00C91295" w:rsidP="00F1387F">
      <w:pPr>
        <w:rPr>
          <w:sz w:val="20"/>
        </w:rPr>
      </w:pPr>
      <w:r w:rsidRPr="00526311">
        <w:rPr>
          <w:sz w:val="20"/>
        </w:rPr>
        <w:lastRenderedPageBreak/>
        <w:t>UTILIZACIÓN DE LOS RECURSOS</w:t>
      </w:r>
      <w:r w:rsidRPr="00526311">
        <w:rPr>
          <w:sz w:val="20"/>
        </w:rPr>
        <w:tab/>
      </w:r>
    </w:p>
    <w:p w:rsidR="00C91295" w:rsidRPr="00526311" w:rsidRDefault="00C91295" w:rsidP="00F1387F">
      <w:pPr>
        <w:rPr>
          <w:sz w:val="20"/>
        </w:rPr>
      </w:pPr>
    </w:p>
    <w:p w:rsidR="00C91295" w:rsidRPr="00526311" w:rsidRDefault="00C91295" w:rsidP="00F1387F">
      <w:pPr>
        <w:keepNext/>
        <w:keepLines/>
        <w:tabs>
          <w:tab w:val="left" w:pos="3261"/>
        </w:tabs>
        <w:autoSpaceDE w:val="0"/>
        <w:autoSpaceDN w:val="0"/>
        <w:adjustRightInd w:val="0"/>
        <w:jc w:val="center"/>
        <w:rPr>
          <w:b/>
          <w:sz w:val="20"/>
        </w:rPr>
      </w:pPr>
      <w:r w:rsidRPr="00526311">
        <w:rPr>
          <w:b/>
          <w:sz w:val="20"/>
        </w:rPr>
        <w:t>Utilización del presupuesto del proyecto</w:t>
      </w:r>
    </w:p>
    <w:p w:rsidR="00C91295" w:rsidRPr="00526311" w:rsidRDefault="00C91295" w:rsidP="00F1387F">
      <w:pPr>
        <w:keepNext/>
        <w:keepLines/>
        <w:tabs>
          <w:tab w:val="left" w:pos="3261"/>
        </w:tabs>
        <w:autoSpaceDE w:val="0"/>
        <w:autoSpaceDN w:val="0"/>
        <w:adjustRightInd w:val="0"/>
        <w:jc w:val="center"/>
        <w:rPr>
          <w:i/>
          <w:iCs/>
          <w:sz w:val="18"/>
          <w:szCs w:val="18"/>
        </w:rPr>
      </w:pPr>
      <w:r w:rsidRPr="00526311">
        <w:rPr>
          <w:i/>
          <w:iCs/>
          <w:sz w:val="18"/>
          <w:szCs w:val="18"/>
        </w:rPr>
        <w:t>(en francos suizos, al 31 de diciembre de 2014)</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91295" w:rsidRPr="00526311" w:rsidTr="00F1387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74" w:right="-60"/>
              <w:jc w:val="center"/>
              <w:rPr>
                <w:b/>
                <w:bCs/>
                <w:sz w:val="16"/>
                <w:szCs w:val="16"/>
              </w:rPr>
            </w:pPr>
            <w:r w:rsidRPr="00526311">
              <w:rPr>
                <w:b/>
                <w:bCs/>
                <w:sz w:val="16"/>
                <w:szCs w:val="16"/>
              </w:rPr>
              <w:t>Nombre del proyecto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7" w:right="-108"/>
              <w:jc w:val="center"/>
              <w:rPr>
                <w:b/>
                <w:bCs/>
                <w:sz w:val="16"/>
                <w:szCs w:val="16"/>
              </w:rPr>
            </w:pPr>
            <w:r w:rsidRPr="00526311">
              <w:rPr>
                <w:b/>
                <w:bCs/>
                <w:sz w:val="16"/>
                <w:szCs w:val="16"/>
              </w:rPr>
              <w:t>Presupuesto del proyecto</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9" w:right="-73" w:firstLine="1"/>
              <w:jc w:val="center"/>
              <w:rPr>
                <w:b/>
                <w:bCs/>
                <w:sz w:val="16"/>
                <w:szCs w:val="16"/>
              </w:rPr>
            </w:pPr>
            <w:r w:rsidRPr="00526311">
              <w:rPr>
                <w:b/>
                <w:bCs/>
                <w:sz w:val="16"/>
                <w:szCs w:val="16"/>
              </w:rPr>
              <w:t>Índice de avance en la ejecución del proyecto</w:t>
            </w:r>
          </w:p>
        </w:tc>
      </w:tr>
      <w:tr w:rsidR="00C91295" w:rsidRPr="00526311" w:rsidTr="00F1387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rPr>
                <w:sz w:val="16"/>
                <w:szCs w:val="16"/>
              </w:rPr>
            </w:pPr>
            <w:r w:rsidRPr="00526311">
              <w:rPr>
                <w:sz w:val="16"/>
                <w:szCs w:val="16"/>
              </w:rPr>
              <w:t>Edificio Arpad Bogsch – fase 1 de la renovación del subsuelo (adaptación de las dimensiones del centro de datos y renovación de la imprenta)</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960.000</w:t>
            </w:r>
          </w:p>
        </w:tc>
        <w:tc>
          <w:tcPr>
            <w:tcW w:w="851"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w:t>
            </w:r>
          </w:p>
        </w:tc>
      </w:tr>
    </w:tbl>
    <w:p w:rsidR="00C91295" w:rsidRPr="00526311" w:rsidRDefault="00C91295" w:rsidP="00F1387F">
      <w:pPr>
        <w:keepNext/>
        <w:autoSpaceDE w:val="0"/>
        <w:autoSpaceDN w:val="0"/>
        <w:rPr>
          <w:sz w:val="20"/>
        </w:rPr>
      </w:pPr>
    </w:p>
    <w:p w:rsidR="00C91295" w:rsidRPr="00526311" w:rsidRDefault="00C91295" w:rsidP="00F1387F">
      <w:pPr>
        <w:keepNext/>
        <w:keepLines/>
        <w:tabs>
          <w:tab w:val="left" w:pos="3261"/>
        </w:tabs>
        <w:autoSpaceDE w:val="0"/>
        <w:autoSpaceDN w:val="0"/>
        <w:adjustRightInd w:val="0"/>
        <w:jc w:val="center"/>
        <w:rPr>
          <w:b/>
          <w:sz w:val="20"/>
        </w:rPr>
      </w:pPr>
    </w:p>
    <w:p w:rsidR="00C91295" w:rsidRPr="00526311" w:rsidRDefault="00C91295" w:rsidP="00F1387F">
      <w:pPr>
        <w:keepNext/>
        <w:keepLines/>
        <w:tabs>
          <w:tab w:val="left" w:pos="3261"/>
        </w:tabs>
        <w:autoSpaceDE w:val="0"/>
        <w:autoSpaceDN w:val="0"/>
        <w:adjustRightInd w:val="0"/>
        <w:jc w:val="center"/>
        <w:rPr>
          <w:b/>
          <w:sz w:val="20"/>
        </w:rPr>
      </w:pPr>
    </w:p>
    <w:p w:rsidR="00C91295" w:rsidRPr="00526311" w:rsidRDefault="00C91295" w:rsidP="00F1387F">
      <w:pPr>
        <w:keepNext/>
        <w:keepLines/>
        <w:tabs>
          <w:tab w:val="left" w:pos="3261"/>
        </w:tabs>
        <w:autoSpaceDE w:val="0"/>
        <w:autoSpaceDN w:val="0"/>
        <w:adjustRightInd w:val="0"/>
        <w:jc w:val="center"/>
        <w:rPr>
          <w:b/>
          <w:sz w:val="20"/>
        </w:rPr>
      </w:pPr>
      <w:r w:rsidRPr="00526311">
        <w:rPr>
          <w:b/>
          <w:sz w:val="20"/>
        </w:rPr>
        <w:t>Utilización del presupuesto del proyecto (por etapa)</w:t>
      </w:r>
    </w:p>
    <w:p w:rsidR="00C91295" w:rsidRPr="00526311" w:rsidRDefault="00C91295" w:rsidP="00F1387F">
      <w:pPr>
        <w:keepNext/>
        <w:keepLines/>
        <w:tabs>
          <w:tab w:val="left" w:pos="3261"/>
        </w:tabs>
        <w:autoSpaceDE w:val="0"/>
        <w:autoSpaceDN w:val="0"/>
        <w:adjustRightInd w:val="0"/>
        <w:jc w:val="center"/>
        <w:rPr>
          <w:i/>
          <w:iCs/>
          <w:sz w:val="18"/>
          <w:szCs w:val="18"/>
        </w:rPr>
      </w:pPr>
      <w:r w:rsidRPr="00526311">
        <w:rPr>
          <w:i/>
          <w:iCs/>
          <w:sz w:val="18"/>
          <w:szCs w:val="18"/>
        </w:rPr>
        <w:t>(en francos suizos, al 31 de diciembre de 2014)</w:t>
      </w:r>
    </w:p>
    <w:p w:rsidR="00C91295" w:rsidRPr="00526311" w:rsidRDefault="00C91295" w:rsidP="00F1387F">
      <w:pPr>
        <w:keepNext/>
        <w:autoSpaceDE w:val="0"/>
        <w:autoSpaceDN w:val="0"/>
        <w:rPr>
          <w:sz w:val="18"/>
          <w:szCs w:val="18"/>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C91295" w:rsidRPr="00526311" w:rsidTr="00F1387F">
        <w:trPr>
          <w:trHeight w:val="410"/>
        </w:trPr>
        <w:tc>
          <w:tcPr>
            <w:tcW w:w="15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74" w:right="-60"/>
              <w:jc w:val="center"/>
              <w:rPr>
                <w:b/>
                <w:bCs/>
                <w:sz w:val="16"/>
                <w:szCs w:val="16"/>
              </w:rPr>
            </w:pPr>
            <w:r w:rsidRPr="00526311">
              <w:rPr>
                <w:b/>
                <w:bCs/>
                <w:sz w:val="16"/>
                <w:szCs w:val="16"/>
              </w:rPr>
              <w:t>Etapas fundamentales</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7" w:right="-108"/>
              <w:jc w:val="center"/>
              <w:rPr>
                <w:b/>
                <w:bCs/>
                <w:sz w:val="16"/>
                <w:szCs w:val="16"/>
              </w:rPr>
            </w:pPr>
            <w:r w:rsidRPr="00526311">
              <w:rPr>
                <w:b/>
                <w:bCs/>
                <w:sz w:val="16"/>
                <w:szCs w:val="16"/>
              </w:rPr>
              <w:t>Presupuesto del proyecto</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9" w:right="-73" w:firstLine="1"/>
              <w:jc w:val="center"/>
              <w:rPr>
                <w:b/>
                <w:bCs/>
                <w:sz w:val="16"/>
                <w:szCs w:val="16"/>
              </w:rPr>
            </w:pPr>
            <w:r w:rsidRPr="00526311">
              <w:rPr>
                <w:b/>
                <w:bCs/>
                <w:sz w:val="16"/>
                <w:szCs w:val="16"/>
              </w:rPr>
              <w:t>Índice de avance en la ejecución del proyecto</w:t>
            </w:r>
          </w:p>
        </w:tc>
      </w:tr>
      <w:tr w:rsidR="00C91295" w:rsidRPr="00526311" w:rsidTr="00F1387F">
        <w:trPr>
          <w:trHeight w:val="389"/>
        </w:trPr>
        <w:tc>
          <w:tcPr>
            <w:tcW w:w="157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rPr>
                <w:sz w:val="16"/>
                <w:szCs w:val="16"/>
              </w:rPr>
            </w:pPr>
            <w:r w:rsidRPr="00526311">
              <w:rPr>
                <w:bCs/>
                <w:sz w:val="16"/>
                <w:szCs w:val="16"/>
              </w:rPr>
              <w:t>Adjudicación de los contratos al arquitecto y a los ingenieros</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144.000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80%</w:t>
            </w:r>
          </w:p>
        </w:tc>
      </w:tr>
      <w:tr w:rsidR="00C91295" w:rsidRPr="00526311" w:rsidTr="00F1387F">
        <w:trPr>
          <w:trHeight w:val="389"/>
        </w:trPr>
        <w:tc>
          <w:tcPr>
            <w:tcW w:w="157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rPr>
                <w:sz w:val="16"/>
                <w:szCs w:val="16"/>
              </w:rPr>
            </w:pPr>
            <w:r w:rsidRPr="00526311">
              <w:rPr>
                <w:sz w:val="16"/>
                <w:szCs w:val="16"/>
              </w:rPr>
              <w:t xml:space="preserve">Obra y puesta en servicio </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816.000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w:t>
            </w:r>
          </w:p>
        </w:tc>
      </w:tr>
      <w:tr w:rsidR="00C91295" w:rsidRPr="00526311" w:rsidTr="00F1387F">
        <w:trPr>
          <w:trHeight w:val="389"/>
        </w:trPr>
        <w:tc>
          <w:tcPr>
            <w:tcW w:w="15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line="260" w:lineRule="exact"/>
              <w:rPr>
                <w:b/>
                <w:sz w:val="16"/>
                <w:szCs w:val="16"/>
              </w:rPr>
            </w:pPr>
            <w:r w:rsidRPr="00526311">
              <w:rPr>
                <w:b/>
                <w:sz w:val="16"/>
                <w:szCs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line="260" w:lineRule="exact"/>
              <w:jc w:val="center"/>
              <w:rPr>
                <w:b/>
                <w:sz w:val="16"/>
                <w:szCs w:val="16"/>
              </w:rPr>
            </w:pPr>
            <w:r w:rsidRPr="00526311">
              <w:rPr>
                <w:b/>
                <w:sz w:val="16"/>
                <w:szCs w:val="16"/>
              </w:rPr>
              <w:t>960.000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keepNext/>
              <w:keepLines/>
              <w:autoSpaceDE w:val="0"/>
              <w:autoSpaceDN w:val="0"/>
              <w:adjustRightInd w:val="0"/>
              <w:spacing w:before="40" w:after="40" w:line="260" w:lineRule="exact"/>
              <w:jc w:val="center"/>
              <w:rPr>
                <w:b/>
                <w:sz w:val="16"/>
                <w:szCs w:val="16"/>
              </w:rPr>
            </w:pPr>
            <w:r w:rsidRPr="00526311">
              <w:rPr>
                <w:b/>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keepNext/>
              <w:keepLines/>
              <w:autoSpaceDE w:val="0"/>
              <w:autoSpaceDN w:val="0"/>
              <w:adjustRightInd w:val="0"/>
              <w:spacing w:before="40" w:after="40" w:line="260" w:lineRule="exact"/>
              <w:jc w:val="center"/>
              <w:rPr>
                <w:b/>
                <w:sz w:val="16"/>
                <w:szCs w:val="16"/>
              </w:rPr>
            </w:pPr>
            <w:r w:rsidRPr="00526311">
              <w:rPr>
                <w:b/>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keepNext/>
              <w:keepLines/>
              <w:autoSpaceDE w:val="0"/>
              <w:autoSpaceDN w:val="0"/>
              <w:adjustRightInd w:val="0"/>
              <w:spacing w:before="40" w:after="40" w:line="260" w:lineRule="exact"/>
              <w:jc w:val="center"/>
              <w:rPr>
                <w:b/>
                <w:sz w:val="16"/>
                <w:szCs w:val="16"/>
              </w:rPr>
            </w:pPr>
          </w:p>
        </w:tc>
      </w:tr>
    </w:tbl>
    <w:p w:rsidR="00C91295" w:rsidRPr="00526311" w:rsidRDefault="00C91295" w:rsidP="00F1387F">
      <w:pPr>
        <w:keepNext/>
        <w:keepLines/>
        <w:tabs>
          <w:tab w:val="left" w:pos="3261"/>
        </w:tabs>
        <w:autoSpaceDE w:val="0"/>
        <w:autoSpaceDN w:val="0"/>
        <w:adjustRightInd w:val="0"/>
        <w:rPr>
          <w:b/>
          <w:sz w:val="20"/>
        </w:rPr>
      </w:pPr>
    </w:p>
    <w:p w:rsidR="00C91295" w:rsidRPr="00526311" w:rsidRDefault="00C91295" w:rsidP="00F1387F">
      <w:pPr>
        <w:keepNext/>
        <w:keepLines/>
        <w:tabs>
          <w:tab w:val="left" w:pos="3261"/>
        </w:tabs>
        <w:autoSpaceDE w:val="0"/>
        <w:autoSpaceDN w:val="0"/>
        <w:adjustRightInd w:val="0"/>
        <w:jc w:val="center"/>
        <w:rPr>
          <w:b/>
          <w:sz w:val="20"/>
        </w:rPr>
      </w:pPr>
    </w:p>
    <w:p w:rsidR="00C91295" w:rsidRPr="00526311" w:rsidRDefault="00C91295" w:rsidP="00F1387F">
      <w:pPr>
        <w:keepNext/>
        <w:keepLines/>
        <w:tabs>
          <w:tab w:val="left" w:pos="3261"/>
        </w:tabs>
        <w:autoSpaceDE w:val="0"/>
        <w:autoSpaceDN w:val="0"/>
        <w:adjustRightInd w:val="0"/>
        <w:jc w:val="center"/>
        <w:rPr>
          <w:b/>
          <w:sz w:val="20"/>
        </w:rPr>
      </w:pPr>
      <w:r w:rsidRPr="00526311">
        <w:rPr>
          <w:b/>
          <w:sz w:val="20"/>
        </w:rPr>
        <w:t>Utilización del presupuesto del proyecto (por categoría de costo)</w:t>
      </w:r>
    </w:p>
    <w:p w:rsidR="00C91295" w:rsidRPr="00526311" w:rsidRDefault="00C91295" w:rsidP="00F1387F">
      <w:pPr>
        <w:keepNext/>
        <w:keepLines/>
        <w:tabs>
          <w:tab w:val="left" w:pos="3261"/>
        </w:tabs>
        <w:autoSpaceDE w:val="0"/>
        <w:autoSpaceDN w:val="0"/>
        <w:adjustRightInd w:val="0"/>
        <w:jc w:val="center"/>
        <w:rPr>
          <w:i/>
          <w:iCs/>
          <w:sz w:val="18"/>
          <w:szCs w:val="18"/>
        </w:rPr>
      </w:pPr>
      <w:r w:rsidRPr="00526311">
        <w:rPr>
          <w:i/>
          <w:iCs/>
          <w:sz w:val="18"/>
          <w:szCs w:val="18"/>
        </w:rPr>
        <w:t>(en francos suizos, al 31 de diciembre de 2014)</w:t>
      </w:r>
    </w:p>
    <w:p w:rsidR="00C91295" w:rsidRPr="00526311" w:rsidRDefault="00C91295" w:rsidP="00F1387F">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C91295" w:rsidRPr="00526311" w:rsidTr="00F1387F">
        <w:trPr>
          <w:trHeight w:val="569"/>
        </w:trPr>
        <w:tc>
          <w:tcPr>
            <w:tcW w:w="18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line="260" w:lineRule="exact"/>
              <w:ind w:left="-74" w:right="-60"/>
              <w:jc w:val="center"/>
              <w:rPr>
                <w:b/>
                <w:bCs/>
                <w:sz w:val="16"/>
                <w:szCs w:val="16"/>
              </w:rPr>
            </w:pPr>
            <w:r w:rsidRPr="00526311">
              <w:rPr>
                <w:b/>
                <w:bCs/>
                <w:sz w:val="16"/>
                <w:szCs w:val="16"/>
              </w:rPr>
              <w:t>Categoría de costo</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line="260" w:lineRule="exact"/>
              <w:ind w:left="-107" w:right="-108"/>
              <w:jc w:val="center"/>
              <w:rPr>
                <w:b/>
                <w:bCs/>
                <w:sz w:val="16"/>
                <w:szCs w:val="16"/>
              </w:rPr>
            </w:pPr>
            <w:r w:rsidRPr="00526311">
              <w:rPr>
                <w:b/>
                <w:bCs/>
                <w:sz w:val="16"/>
                <w:szCs w:val="16"/>
              </w:rPr>
              <w:t>Presupuesto del proyecto</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line="260" w:lineRule="exact"/>
              <w:ind w:left="-108"/>
              <w:jc w:val="center"/>
              <w:rPr>
                <w:b/>
                <w:bCs/>
                <w:sz w:val="16"/>
                <w:szCs w:val="16"/>
              </w:rPr>
            </w:pPr>
            <w:r w:rsidRPr="00526311">
              <w:rPr>
                <w:b/>
                <w:bCs/>
                <w:sz w:val="16"/>
                <w:szCs w:val="16"/>
              </w:rPr>
              <w:t>Gasto real hasta la fecha</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line="260" w:lineRule="exact"/>
              <w:ind w:left="-109"/>
              <w:jc w:val="center"/>
              <w:rPr>
                <w:b/>
                <w:bCs/>
                <w:sz w:val="16"/>
                <w:szCs w:val="16"/>
              </w:rPr>
            </w:pPr>
            <w:r w:rsidRPr="00526311">
              <w:rPr>
                <w:b/>
                <w:bCs/>
                <w:sz w:val="16"/>
                <w:szCs w:val="16"/>
              </w:rPr>
              <w:t>Utilización real del presupuesto</w:t>
            </w:r>
          </w:p>
        </w:tc>
      </w:tr>
      <w:tr w:rsidR="00C91295" w:rsidRPr="00526311" w:rsidTr="00F1387F">
        <w:tc>
          <w:tcPr>
            <w:tcW w:w="1853"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Costos relacionados con la obra</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759.000</w:t>
            </w:r>
          </w:p>
        </w:tc>
        <w:tc>
          <w:tcPr>
            <w:tcW w:w="1049"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1048"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r>
      <w:tr w:rsidR="00C91295" w:rsidRPr="00526311" w:rsidTr="00F1387F">
        <w:tc>
          <w:tcPr>
            <w:tcW w:w="1853"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Honorarios</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144.000</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jc w:val="center"/>
              <w:rPr>
                <w:sz w:val="16"/>
                <w:szCs w:val="16"/>
              </w:rPr>
            </w:pPr>
            <w:r w:rsidRPr="00526311">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jc w:val="center"/>
              <w:rPr>
                <w:sz w:val="16"/>
                <w:szCs w:val="16"/>
              </w:rPr>
            </w:pPr>
            <w:r w:rsidRPr="00526311">
              <w:rPr>
                <w:sz w:val="16"/>
                <w:szCs w:val="16"/>
              </w:rPr>
              <w:t>0%</w:t>
            </w:r>
          </w:p>
        </w:tc>
      </w:tr>
      <w:tr w:rsidR="00C91295" w:rsidRPr="00526311" w:rsidTr="00F1387F">
        <w:tc>
          <w:tcPr>
            <w:tcW w:w="1853"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Diversos e imprevistos</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67.000</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jc w:val="center"/>
              <w:rPr>
                <w:sz w:val="16"/>
                <w:szCs w:val="16"/>
              </w:rPr>
            </w:pPr>
            <w:r w:rsidRPr="00526311">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jc w:val="center"/>
              <w:rPr>
                <w:sz w:val="16"/>
                <w:szCs w:val="16"/>
              </w:rPr>
            </w:pPr>
            <w:r w:rsidRPr="00526311">
              <w:rPr>
                <w:sz w:val="16"/>
                <w:szCs w:val="16"/>
              </w:rPr>
              <w:t>0%</w:t>
            </w:r>
          </w:p>
        </w:tc>
      </w:tr>
      <w:tr w:rsidR="00C91295" w:rsidRPr="00526311" w:rsidTr="00F1387F">
        <w:tc>
          <w:tcPr>
            <w:tcW w:w="18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rPr>
                <w:b/>
                <w:sz w:val="16"/>
                <w:szCs w:val="16"/>
              </w:rPr>
            </w:pPr>
            <w:r w:rsidRPr="00526311">
              <w:rPr>
                <w:b/>
                <w:sz w:val="16"/>
                <w:szCs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960.000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0</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0%</w:t>
            </w:r>
          </w:p>
        </w:tc>
      </w:tr>
    </w:tbl>
    <w:p w:rsidR="00C91295" w:rsidRPr="00526311" w:rsidRDefault="00C91295" w:rsidP="00F1387F">
      <w:pPr>
        <w:rPr>
          <w:sz w:val="20"/>
        </w:rPr>
      </w:pPr>
    </w:p>
    <w:p w:rsidR="00C91295" w:rsidRPr="00526311" w:rsidRDefault="00C91295" w:rsidP="00F1387F">
      <w:pPr>
        <w:rPr>
          <w:sz w:val="20"/>
        </w:rPr>
      </w:pPr>
    </w:p>
    <w:p w:rsidR="00C91295" w:rsidRPr="00526311" w:rsidRDefault="00C91295" w:rsidP="00F1387F">
      <w:pPr>
        <w:rPr>
          <w:sz w:val="20"/>
        </w:rPr>
      </w:pPr>
      <w:r w:rsidRPr="00526311">
        <w:rPr>
          <w:sz w:val="20"/>
        </w:rPr>
        <w:t>RIESGOS Y ESTRATEGIAS DE MITIGACIÓN</w:t>
      </w:r>
    </w:p>
    <w:p w:rsidR="00C91295" w:rsidRPr="00526311" w:rsidRDefault="00C91295" w:rsidP="00F1387F">
      <w:pPr>
        <w:rPr>
          <w:sz w:val="20"/>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C91295" w:rsidRPr="00526311" w:rsidTr="00F1387F">
        <w:trPr>
          <w:trHeight w:val="308"/>
          <w:tblHeader/>
          <w:jc w:val="center"/>
        </w:trPr>
        <w:tc>
          <w:tcPr>
            <w:tcW w:w="1667"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74" w:right="-60"/>
              <w:jc w:val="center"/>
              <w:rPr>
                <w:b/>
                <w:bCs/>
                <w:sz w:val="16"/>
                <w:szCs w:val="16"/>
              </w:rPr>
            </w:pPr>
            <w:r w:rsidRPr="00526311">
              <w:rPr>
                <w:b/>
                <w:bCs/>
                <w:sz w:val="16"/>
                <w:szCs w:val="16"/>
              </w:rPr>
              <w:t xml:space="preserve">Riesgo </w:t>
            </w:r>
          </w:p>
        </w:tc>
        <w:tc>
          <w:tcPr>
            <w:tcW w:w="1667"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7" w:right="-108"/>
              <w:jc w:val="center"/>
              <w:rPr>
                <w:b/>
                <w:bCs/>
                <w:sz w:val="16"/>
                <w:szCs w:val="16"/>
              </w:rPr>
            </w:pPr>
            <w:r w:rsidRPr="00526311">
              <w:rPr>
                <w:b/>
                <w:bCs/>
                <w:sz w:val="16"/>
                <w:szCs w:val="16"/>
              </w:rPr>
              <w:t>Descripción</w:t>
            </w:r>
          </w:p>
        </w:tc>
        <w:tc>
          <w:tcPr>
            <w:tcW w:w="1666"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9"/>
              <w:jc w:val="center"/>
              <w:rPr>
                <w:b/>
                <w:bCs/>
                <w:sz w:val="16"/>
                <w:szCs w:val="16"/>
              </w:rPr>
            </w:pPr>
            <w:r w:rsidRPr="00526311">
              <w:rPr>
                <w:b/>
                <w:bCs/>
                <w:sz w:val="16"/>
                <w:szCs w:val="16"/>
              </w:rPr>
              <w:t>Mitigación del riesgo</w:t>
            </w:r>
          </w:p>
        </w:tc>
      </w:tr>
      <w:tr w:rsidR="00C91295" w:rsidRPr="00526311" w:rsidTr="00F1387F">
        <w:trPr>
          <w:trHeight w:val="776"/>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Demora en el comienzo de la ejecución del proyecto </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Proyecto aplazado de seis meses a un año debido al retraso en finalización de la nueva sala de conferencias de la OMPI </w:t>
            </w:r>
          </w:p>
        </w:tc>
        <w:tc>
          <w:tcPr>
            <w:tcW w:w="1666"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Desplazar el calendario general del proyecto</w:t>
            </w:r>
          </w:p>
        </w:tc>
      </w:tr>
      <w:tr w:rsidR="00C91295" w:rsidRPr="00526311" w:rsidTr="00F1387F">
        <w:trPr>
          <w:trHeight w:val="776"/>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Demora en el comienzo de las obras</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Incertidumbre en relación con las decisiones internas en lo tocante a las opciones para la instalación de las máquinas y del personal en la sala prevista para la imprenta que aseguren una mejor utilización del espacio disponible por las unidades en cuestión </w:t>
            </w:r>
          </w:p>
        </w:tc>
        <w:tc>
          <w:tcPr>
            <w:tcW w:w="1666"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Determinar la superficie necesaria</w:t>
            </w:r>
          </w:p>
        </w:tc>
      </w:tr>
      <w:tr w:rsidR="00C91295" w:rsidRPr="00526311" w:rsidTr="00F1387F">
        <w:trPr>
          <w:trHeight w:val="776"/>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Demora en la terminación de las obras </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Problema técnico detectado durante las obras de desmantelamiento de las instalaciones actuales o causado por ellas </w:t>
            </w:r>
          </w:p>
        </w:tc>
        <w:tc>
          <w:tcPr>
            <w:tcW w:w="1666"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Realizar las reparaciones necesarias y, de ser necesario, actualizar el calendario de las obras </w:t>
            </w:r>
          </w:p>
        </w:tc>
      </w:tr>
      <w:tr w:rsidR="00C91295" w:rsidRPr="00526311" w:rsidTr="00F1387F">
        <w:trPr>
          <w:trHeight w:val="776"/>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Riesgos financieros </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Costos derivados de la reubicación parcial y temporal del personal de la imprenta y la documentación </w:t>
            </w:r>
          </w:p>
        </w:tc>
        <w:tc>
          <w:tcPr>
            <w:tcW w:w="1666"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Utilizar la reserva para “gastos diversos e imprevistos” en el presupuesto aprobado  </w:t>
            </w:r>
          </w:p>
        </w:tc>
      </w:tr>
    </w:tbl>
    <w:p w:rsidR="00C91295" w:rsidRPr="00526311" w:rsidRDefault="00C91295" w:rsidP="00F1387F">
      <w:pPr>
        <w:rPr>
          <w:sz w:val="20"/>
        </w:rPr>
      </w:pPr>
    </w:p>
    <w:p w:rsidR="00C91295" w:rsidRPr="00526311" w:rsidRDefault="00C91295" w:rsidP="00F1387F">
      <w:pPr>
        <w:rPr>
          <w:sz w:val="20"/>
        </w:rPr>
      </w:pPr>
    </w:p>
    <w:p w:rsidR="00C91295" w:rsidRPr="00526311" w:rsidRDefault="00C91295" w:rsidP="00F1387F">
      <w:pPr>
        <w:rPr>
          <w:sz w:val="20"/>
        </w:rPr>
      </w:pPr>
      <w:r w:rsidRPr="00526311">
        <w:rPr>
          <w:sz w:val="20"/>
        </w:rPr>
        <w:t>CALENDARIO DEL PROYECTO, POR ETAPA</w:t>
      </w:r>
    </w:p>
    <w:p w:rsidR="00C91295" w:rsidRPr="00526311" w:rsidRDefault="00C91295" w:rsidP="00F1387F">
      <w:pPr>
        <w:autoSpaceDE w:val="0"/>
        <w:autoSpaceDN w:val="0"/>
        <w:jc w:val="both"/>
        <w:rPr>
          <w:sz w:val="20"/>
        </w:rPr>
      </w:pPr>
    </w:p>
    <w:p w:rsidR="00C91295" w:rsidRPr="00526311" w:rsidRDefault="00C91295" w:rsidP="00F1387F">
      <w:pPr>
        <w:autoSpaceDE w:val="0"/>
        <w:autoSpaceDN w:val="0"/>
        <w:jc w:val="both"/>
        <w:rPr>
          <w:sz w:val="20"/>
        </w:rPr>
      </w:pPr>
    </w:p>
    <w:tbl>
      <w:tblPr>
        <w:tblW w:w="9520" w:type="dxa"/>
        <w:jc w:val="center"/>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C91295" w:rsidRPr="00526311" w:rsidTr="00F1387F">
        <w:trPr>
          <w:trHeight w:val="270"/>
          <w:jc w:val="center"/>
        </w:trPr>
        <w:tc>
          <w:tcPr>
            <w:tcW w:w="1840" w:type="dxa"/>
            <w:tcBorders>
              <w:top w:val="nil"/>
              <w:left w:val="nil"/>
              <w:bottom w:val="nil"/>
              <w:right w:val="nil"/>
            </w:tcBorders>
            <w:shd w:val="clear" w:color="auto" w:fill="auto"/>
            <w:noWrap/>
            <w:vAlign w:val="bottom"/>
            <w:hideMark/>
          </w:tcPr>
          <w:p w:rsidR="00C91295" w:rsidRPr="00526311" w:rsidRDefault="00C91295" w:rsidP="00F1387F">
            <w:pPr>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91295" w:rsidRPr="00526311" w:rsidRDefault="00C91295" w:rsidP="00F1387F">
            <w:pPr>
              <w:jc w:val="center"/>
              <w:rPr>
                <w:b/>
                <w:bCs/>
                <w:sz w:val="16"/>
                <w:szCs w:val="16"/>
              </w:rPr>
            </w:pPr>
            <w:r w:rsidRPr="00526311">
              <w:rPr>
                <w:b/>
                <w:bCs/>
                <w:sz w:val="16"/>
                <w:szCs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91295" w:rsidRPr="00526311" w:rsidRDefault="00C91295" w:rsidP="00F1387F">
            <w:pPr>
              <w:jc w:val="center"/>
              <w:rPr>
                <w:b/>
                <w:bCs/>
                <w:sz w:val="16"/>
                <w:szCs w:val="16"/>
              </w:rPr>
            </w:pPr>
            <w:r w:rsidRPr="00526311">
              <w:rPr>
                <w:b/>
                <w:bCs/>
                <w:sz w:val="16"/>
                <w:szCs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91295" w:rsidRPr="00526311" w:rsidRDefault="00C91295" w:rsidP="00F1387F">
            <w:pPr>
              <w:jc w:val="center"/>
              <w:rPr>
                <w:b/>
                <w:bCs/>
                <w:sz w:val="16"/>
                <w:szCs w:val="16"/>
              </w:rPr>
            </w:pPr>
            <w:r w:rsidRPr="00526311">
              <w:rPr>
                <w:b/>
                <w:bCs/>
                <w:sz w:val="16"/>
                <w:szCs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91295" w:rsidRPr="00526311" w:rsidRDefault="00C91295" w:rsidP="00F1387F">
            <w:pPr>
              <w:jc w:val="center"/>
              <w:rPr>
                <w:b/>
                <w:bCs/>
                <w:sz w:val="16"/>
                <w:szCs w:val="16"/>
              </w:rPr>
            </w:pPr>
            <w:r w:rsidRPr="00526311">
              <w:rPr>
                <w:b/>
                <w:bCs/>
                <w:sz w:val="16"/>
                <w:szCs w:val="16"/>
              </w:rPr>
              <w:t>2017</w:t>
            </w:r>
          </w:p>
        </w:tc>
      </w:tr>
      <w:tr w:rsidR="00C91295" w:rsidRPr="00526311" w:rsidTr="00F1387F">
        <w:trPr>
          <w:trHeight w:val="375"/>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Etapas fundamentales</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T4</w:t>
            </w:r>
          </w:p>
        </w:tc>
      </w:tr>
      <w:tr w:rsidR="00C91295" w:rsidRPr="00526311" w:rsidTr="00F1387F">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Definición interna de los objetivos del proyecto</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r>
      <w:tr w:rsidR="00C91295" w:rsidRPr="00526311" w:rsidTr="00F1387F">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r w:rsidRPr="00526311">
              <w:rPr>
                <w:sz w:val="16"/>
                <w:szCs w:val="16"/>
              </w:rPr>
              <w:t>Adjudicación de contratos al arquitecto</w:t>
            </w: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C91295" w:rsidRPr="00526311" w:rsidRDefault="00C91295" w:rsidP="00F1387F">
            <w:pP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r>
      <w:tr w:rsidR="00C91295" w:rsidRPr="00526311" w:rsidTr="00F1387F">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Adjudicación de contratos a los ingenieros</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p>
        </w:tc>
      </w:tr>
      <w:tr w:rsidR="00C91295" w:rsidRPr="00526311" w:rsidTr="00F1387F">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xml:space="preserve">Examen exhaustivo de la ejecución de las obras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p>
        </w:tc>
      </w:tr>
      <w:tr w:rsidR="00C91295" w:rsidRPr="00526311" w:rsidTr="00F1387F">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r w:rsidRPr="00526311">
              <w:rPr>
                <w:sz w:val="16"/>
                <w:szCs w:val="16"/>
              </w:rPr>
              <w:t>Llamado a licitación y selección de empresas</w:t>
            </w: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91295" w:rsidRPr="00526311" w:rsidRDefault="00C91295" w:rsidP="00F1387F">
            <w:pPr>
              <w:jc w:val="center"/>
              <w:rPr>
                <w:sz w:val="16"/>
                <w:szCs w:val="16"/>
              </w:rPr>
            </w:pPr>
          </w:p>
        </w:tc>
      </w:tr>
      <w:tr w:rsidR="00C91295" w:rsidRPr="00526311" w:rsidTr="00F1387F">
        <w:trPr>
          <w:trHeight w:val="42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r w:rsidRPr="00526311">
              <w:rPr>
                <w:sz w:val="16"/>
                <w:szCs w:val="16"/>
              </w:rPr>
              <w:t>Obra</w:t>
            </w:r>
          </w:p>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91295" w:rsidRPr="00526311" w:rsidRDefault="00C91295" w:rsidP="00F1387F">
            <w:pPr>
              <w:jc w:val="center"/>
              <w:rPr>
                <w:sz w:val="16"/>
                <w:szCs w:val="16"/>
              </w:rPr>
            </w:pPr>
          </w:p>
        </w:tc>
      </w:tr>
      <w:tr w:rsidR="00C91295" w:rsidRPr="00526311" w:rsidTr="00F1387F">
        <w:trPr>
          <w:trHeight w:val="397"/>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Puesta en servicio</w:t>
            </w:r>
          </w:p>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91295" w:rsidRPr="00526311" w:rsidRDefault="00C91295" w:rsidP="00F1387F">
            <w:pPr>
              <w:jc w:val="center"/>
              <w:rPr>
                <w:sz w:val="16"/>
                <w:szCs w:val="16"/>
              </w:rPr>
            </w:pPr>
          </w:p>
        </w:tc>
      </w:tr>
    </w:tbl>
    <w:p w:rsidR="00C91295" w:rsidRPr="00526311" w:rsidRDefault="00C91295" w:rsidP="00F1387F"/>
    <w:p w:rsidR="00C91295" w:rsidRPr="00526311" w:rsidRDefault="00C91295" w:rsidP="00F1387F">
      <w:r w:rsidRPr="00526311">
        <w:br w:type="page"/>
      </w:r>
    </w:p>
    <w:p w:rsidR="00C91295" w:rsidRPr="00526311" w:rsidRDefault="00C91295" w:rsidP="00F1387F">
      <w:pPr>
        <w:rPr>
          <w:b/>
        </w:rPr>
      </w:pPr>
      <w:r w:rsidRPr="00526311">
        <w:rPr>
          <w:b/>
        </w:rPr>
        <w:lastRenderedPageBreak/>
        <w:t>PROYECTOS RELACIONADOS CON LOS EDIFICIOS</w:t>
      </w:r>
    </w:p>
    <w:p w:rsidR="00C91295" w:rsidRPr="00526311" w:rsidRDefault="00C91295" w:rsidP="00970131">
      <w:pPr>
        <w:pStyle w:val="StyleHeading3BoldNounderline"/>
        <w:rPr>
          <w:b/>
          <w:szCs w:val="20"/>
          <w:lang w:val="es-ES"/>
        </w:rPr>
      </w:pPr>
      <w:bookmarkStart w:id="108" w:name="_Toc422927453"/>
      <w:r w:rsidRPr="00526311">
        <w:rPr>
          <w:b/>
          <w:szCs w:val="20"/>
          <w:lang w:val="es-ES"/>
        </w:rPr>
        <w:t>PROYECTO:  EDIFICIO ARPAD BOGSCH – SUSTITUCIÓN DE DETERMINADAS VENTANAS</w:t>
      </w:r>
      <w:r w:rsidR="005D293E" w:rsidRPr="00526311">
        <w:rPr>
          <w:b/>
          <w:szCs w:val="20"/>
          <w:lang w:val="es-ES"/>
        </w:rPr>
        <w:t xml:space="preserve"> (PMM 6)</w:t>
      </w:r>
      <w:bookmarkEnd w:id="108"/>
    </w:p>
    <w:p w:rsidR="00C91295" w:rsidRPr="00526311" w:rsidRDefault="00C91295" w:rsidP="00F1387F">
      <w:pPr>
        <w:rPr>
          <w:sz w:val="20"/>
        </w:rPr>
      </w:pPr>
    </w:p>
    <w:p w:rsidR="00C91295" w:rsidRPr="00526311" w:rsidRDefault="00C91295" w:rsidP="00F1387F">
      <w:pPr>
        <w:rPr>
          <w:b/>
          <w:sz w:val="20"/>
        </w:rPr>
      </w:pPr>
      <w:r w:rsidRPr="00526311">
        <w:rPr>
          <w:b/>
          <w:sz w:val="20"/>
        </w:rPr>
        <w:t>Director de proyecto:</w:t>
      </w:r>
      <w:r w:rsidRPr="00526311">
        <w:rPr>
          <w:b/>
          <w:sz w:val="20"/>
        </w:rPr>
        <w:tab/>
        <w:t xml:space="preserve">Sr. A. </w:t>
      </w:r>
      <w:r w:rsidR="00345563" w:rsidRPr="00526311">
        <w:rPr>
          <w:b/>
          <w:sz w:val="20"/>
        </w:rPr>
        <w:t>Favero</w:t>
      </w:r>
    </w:p>
    <w:p w:rsidR="00C91295" w:rsidRPr="00526311" w:rsidRDefault="00C91295" w:rsidP="00F1387F">
      <w:pPr>
        <w:rPr>
          <w:sz w:val="20"/>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t>RESULTADO PREVISTO</w:t>
      </w:r>
    </w:p>
    <w:p w:rsidR="00C91295" w:rsidRPr="00526311" w:rsidRDefault="00C91295" w:rsidP="00F1387F">
      <w:pPr>
        <w:rPr>
          <w:bCs/>
          <w:sz w:val="20"/>
        </w:rPr>
      </w:pPr>
    </w:p>
    <w:p w:rsidR="00C91295" w:rsidRPr="00526311" w:rsidRDefault="00C91295" w:rsidP="00F1387F">
      <w:pPr>
        <w:rPr>
          <w:i/>
          <w:iCs/>
          <w:sz w:val="20"/>
        </w:rPr>
      </w:pPr>
      <w:r w:rsidRPr="00526311">
        <w:rPr>
          <w:i/>
          <w:iCs/>
          <w:sz w:val="20"/>
        </w:rPr>
        <w:t>IX.1 Servicios de apoyo eficaces, eficientes, de calidad y orientados al cliente, tanto a los clientes internos como a las partes interesadas externas</w:t>
      </w:r>
    </w:p>
    <w:p w:rsidR="00C91295" w:rsidRPr="00526311" w:rsidRDefault="00C91295" w:rsidP="00F1387F">
      <w:pPr>
        <w:rPr>
          <w:bCs/>
          <w:sz w:val="20"/>
        </w:rPr>
      </w:pPr>
    </w:p>
    <w:p w:rsidR="00C91295" w:rsidRPr="00526311" w:rsidRDefault="00C91295" w:rsidP="00F1387F">
      <w:pPr>
        <w:rPr>
          <w:bCs/>
          <w:sz w:val="20"/>
        </w:rPr>
      </w:pPr>
      <w:r w:rsidRPr="00526311">
        <w:rPr>
          <w:bCs/>
          <w:sz w:val="20"/>
        </w:rPr>
        <w:t>OBJETIVOS, ALCANCE Y ENFOQUE:  ANTECEDENTES</w:t>
      </w:r>
    </w:p>
    <w:p w:rsidR="00C91295" w:rsidRPr="00526311" w:rsidRDefault="00C91295" w:rsidP="00F1387F">
      <w:pPr>
        <w:rPr>
          <w:bCs/>
          <w:sz w:val="20"/>
        </w:rPr>
      </w:pPr>
    </w:p>
    <w:p w:rsidR="00C91295" w:rsidRPr="00526311" w:rsidRDefault="00C91295" w:rsidP="00C91295">
      <w:pPr>
        <w:pStyle w:val="ListParagraph"/>
        <w:numPr>
          <w:ilvl w:val="0"/>
          <w:numId w:val="116"/>
        </w:numPr>
        <w:tabs>
          <w:tab w:val="left" w:pos="567"/>
        </w:tabs>
        <w:ind w:left="0" w:firstLine="0"/>
        <w:jc w:val="both"/>
        <w:rPr>
          <w:bCs/>
          <w:lang w:val="es-ES"/>
        </w:rPr>
      </w:pPr>
      <w:r w:rsidRPr="00526311">
        <w:rPr>
          <w:bCs/>
          <w:lang w:val="es-ES"/>
        </w:rPr>
        <w:t>Las ventanas de la fachada suroeste del edificio AB, expuestas en los últimos tres decenios, más que las otras fachadas, al sol y el calor y a mayores diferencias de temperatura entre el verano y el invierno, han sufrido un deterioro significativo en sus cualidades térmicas.  Además, en varias de esas ventanas, así como en otras de la fachada, se degradó el tono de azul (que ha pasado a tomar matices de rosa y violeta) debido al envejecimiento de los componentes gaseosos que rellenan el espacio entre las capas de vidrio.</w:t>
      </w:r>
    </w:p>
    <w:p w:rsidR="00C91295" w:rsidRPr="00526311" w:rsidRDefault="00C91295" w:rsidP="00F1387F">
      <w:pPr>
        <w:tabs>
          <w:tab w:val="left" w:pos="567"/>
        </w:tabs>
        <w:jc w:val="both"/>
        <w:rPr>
          <w:bCs/>
          <w:sz w:val="20"/>
        </w:rPr>
      </w:pPr>
    </w:p>
    <w:p w:rsidR="00C91295" w:rsidRPr="00526311" w:rsidRDefault="00C91295" w:rsidP="00C91295">
      <w:pPr>
        <w:pStyle w:val="ListParagraph"/>
        <w:numPr>
          <w:ilvl w:val="0"/>
          <w:numId w:val="116"/>
        </w:numPr>
        <w:tabs>
          <w:tab w:val="left" w:pos="567"/>
        </w:tabs>
        <w:ind w:left="0" w:firstLine="0"/>
        <w:jc w:val="both"/>
        <w:rPr>
          <w:bCs/>
          <w:lang w:val="es-ES"/>
        </w:rPr>
      </w:pPr>
      <w:r w:rsidRPr="00526311">
        <w:rPr>
          <w:bCs/>
          <w:lang w:val="es-ES"/>
        </w:rPr>
        <w:t xml:space="preserve">La sustitución de esas ventanas reducirá el consumo de energía necesario principalmente para refrigerar las oficinas de que se trate en períodos de calor.  También mejorará, como es necesario, el aspecto estético del edificio AB, uno de los emblemas arquitectónicos de la ciudad de Ginebra. </w:t>
      </w:r>
    </w:p>
    <w:p w:rsidR="00C91295" w:rsidRPr="00526311" w:rsidRDefault="00C91295" w:rsidP="00F1387F">
      <w:pPr>
        <w:pStyle w:val="ListParagraph"/>
        <w:rPr>
          <w:bCs/>
          <w:lang w:val="es-ES"/>
        </w:rPr>
      </w:pPr>
    </w:p>
    <w:p w:rsidR="00C91295" w:rsidRPr="00526311" w:rsidRDefault="00C91295" w:rsidP="00C91295">
      <w:pPr>
        <w:pStyle w:val="ListParagraph"/>
        <w:numPr>
          <w:ilvl w:val="0"/>
          <w:numId w:val="116"/>
        </w:numPr>
        <w:tabs>
          <w:tab w:val="left" w:pos="567"/>
        </w:tabs>
        <w:ind w:left="0" w:firstLine="0"/>
        <w:jc w:val="both"/>
        <w:rPr>
          <w:bCs/>
          <w:lang w:val="es-ES"/>
        </w:rPr>
      </w:pPr>
      <w:r w:rsidRPr="00526311">
        <w:rPr>
          <w:bCs/>
          <w:lang w:val="es-ES"/>
        </w:rPr>
        <w:t>Los objetivos de este proyecto son: i) mejorar las cualidades térmicas y la eficiencia energética de la fachada suroeste del edificio AB; ii) reducir el consumo de energía; iii) mejorar el confort térmico de los ocupantes; y iv) mejorar el aspecto estético del edificio AB.</w:t>
      </w:r>
    </w:p>
    <w:p w:rsidR="00C91295" w:rsidRPr="00526311" w:rsidRDefault="00C91295" w:rsidP="00F1387F">
      <w:pPr>
        <w:jc w:val="both"/>
        <w:rPr>
          <w:bCs/>
          <w:sz w:val="20"/>
        </w:rPr>
      </w:pPr>
    </w:p>
    <w:p w:rsidR="00C91295" w:rsidRPr="00526311" w:rsidRDefault="00C91295" w:rsidP="00F1387F">
      <w:pPr>
        <w:jc w:val="both"/>
        <w:rPr>
          <w:bCs/>
          <w:sz w:val="20"/>
        </w:rPr>
      </w:pPr>
    </w:p>
    <w:p w:rsidR="00C91295" w:rsidRPr="00526311" w:rsidRDefault="00C91295" w:rsidP="00F1387F">
      <w:pPr>
        <w:jc w:val="both"/>
        <w:rPr>
          <w:bCs/>
          <w:sz w:val="20"/>
        </w:rPr>
      </w:pPr>
      <w:r w:rsidRPr="00526311">
        <w:rPr>
          <w:bCs/>
          <w:sz w:val="20"/>
        </w:rPr>
        <w:t>RESEÑA DE LOS AVANCES LOGRADOS EN 2014 (ETAPAS FUNDAMENTALES)</w:t>
      </w:r>
    </w:p>
    <w:p w:rsidR="00C91295" w:rsidRPr="00526311" w:rsidRDefault="00C91295" w:rsidP="00F1387F">
      <w:pPr>
        <w:jc w:val="both"/>
        <w:rPr>
          <w:bCs/>
          <w:sz w:val="20"/>
        </w:rPr>
      </w:pPr>
    </w:p>
    <w:p w:rsidR="00C91295" w:rsidRPr="00526311" w:rsidRDefault="00C91295" w:rsidP="00C91295">
      <w:pPr>
        <w:pStyle w:val="ListParagraph"/>
        <w:numPr>
          <w:ilvl w:val="0"/>
          <w:numId w:val="116"/>
        </w:numPr>
        <w:tabs>
          <w:tab w:val="left" w:pos="567"/>
        </w:tabs>
        <w:ind w:left="0" w:firstLine="0"/>
        <w:jc w:val="both"/>
        <w:rPr>
          <w:bCs/>
          <w:lang w:val="es-ES"/>
        </w:rPr>
      </w:pPr>
      <w:r w:rsidRPr="00526311">
        <w:rPr>
          <w:bCs/>
          <w:lang w:val="es-ES"/>
        </w:rPr>
        <w:t>En 2014, se realizaron los siguientes progresos:</w:t>
      </w:r>
    </w:p>
    <w:p w:rsidR="00C91295" w:rsidRPr="00526311" w:rsidRDefault="00C91295" w:rsidP="00F1387F">
      <w:pPr>
        <w:pStyle w:val="ListParagraph"/>
        <w:tabs>
          <w:tab w:val="left" w:pos="567"/>
        </w:tabs>
        <w:ind w:left="0"/>
        <w:jc w:val="both"/>
        <w:rPr>
          <w:bCs/>
          <w:lang w:val="es-ES"/>
        </w:rPr>
      </w:pPr>
    </w:p>
    <w:p w:rsidR="00C91295" w:rsidRPr="00526311" w:rsidRDefault="00C91295" w:rsidP="00C91295">
      <w:pPr>
        <w:pStyle w:val="ListParagraph"/>
        <w:numPr>
          <w:ilvl w:val="0"/>
          <w:numId w:val="106"/>
        </w:numPr>
        <w:spacing w:after="120"/>
        <w:ind w:left="567" w:firstLine="0"/>
        <w:jc w:val="both"/>
        <w:rPr>
          <w:bCs/>
          <w:lang w:val="es-ES"/>
        </w:rPr>
      </w:pPr>
      <w:r w:rsidRPr="00526311">
        <w:rPr>
          <w:bCs/>
          <w:lang w:val="es-ES"/>
        </w:rPr>
        <w:t>se elaboró el mandato del ingeniero de fachadas;</w:t>
      </w:r>
    </w:p>
    <w:p w:rsidR="00C91295" w:rsidRPr="00526311" w:rsidRDefault="00C91295" w:rsidP="00C91295">
      <w:pPr>
        <w:pStyle w:val="ListParagraph"/>
        <w:numPr>
          <w:ilvl w:val="0"/>
          <w:numId w:val="106"/>
        </w:numPr>
        <w:spacing w:after="120"/>
        <w:ind w:left="567" w:firstLine="0"/>
        <w:jc w:val="both"/>
        <w:rPr>
          <w:bCs/>
          <w:lang w:val="es-ES"/>
        </w:rPr>
      </w:pPr>
      <w:r w:rsidRPr="00526311">
        <w:rPr>
          <w:bCs/>
          <w:lang w:val="es-ES"/>
        </w:rPr>
        <w:t xml:space="preserve">se llamó a licitación para la selección del ingeniero de fachadas; </w:t>
      </w:r>
    </w:p>
    <w:p w:rsidR="00C91295" w:rsidRPr="00526311" w:rsidRDefault="00C91295" w:rsidP="00C91295">
      <w:pPr>
        <w:pStyle w:val="ListParagraph"/>
        <w:numPr>
          <w:ilvl w:val="0"/>
          <w:numId w:val="106"/>
        </w:numPr>
        <w:spacing w:after="120"/>
        <w:ind w:left="567" w:firstLine="0"/>
        <w:jc w:val="both"/>
        <w:rPr>
          <w:bCs/>
          <w:lang w:val="es-ES"/>
        </w:rPr>
      </w:pPr>
      <w:r w:rsidRPr="00526311">
        <w:rPr>
          <w:bCs/>
          <w:lang w:val="es-ES"/>
        </w:rPr>
        <w:t>se adjudicó el contrato al ingeniero de fachadas; y</w:t>
      </w:r>
    </w:p>
    <w:p w:rsidR="00C91295" w:rsidRPr="00526311" w:rsidRDefault="00C91295" w:rsidP="00C91295">
      <w:pPr>
        <w:pStyle w:val="ListParagraph"/>
        <w:numPr>
          <w:ilvl w:val="0"/>
          <w:numId w:val="106"/>
        </w:numPr>
        <w:spacing w:after="120"/>
        <w:ind w:left="567" w:firstLine="0"/>
        <w:jc w:val="both"/>
        <w:rPr>
          <w:bCs/>
          <w:lang w:val="es-ES"/>
        </w:rPr>
      </w:pPr>
      <w:r w:rsidRPr="00526311">
        <w:rPr>
          <w:bCs/>
          <w:lang w:val="es-ES"/>
        </w:rPr>
        <w:t>se examinó y validó el proyecto con el ingeniero de fachadas.</w:t>
      </w:r>
    </w:p>
    <w:p w:rsidR="00C91295" w:rsidRPr="00526311" w:rsidRDefault="00C91295" w:rsidP="00F1387F">
      <w:pPr>
        <w:pStyle w:val="ListParagraph"/>
        <w:ind w:left="60"/>
        <w:jc w:val="both"/>
        <w:rPr>
          <w:bCs/>
          <w:lang w:val="es-ES"/>
        </w:rPr>
      </w:pPr>
    </w:p>
    <w:p w:rsidR="00C91295" w:rsidRPr="00526311" w:rsidRDefault="00C91295" w:rsidP="00C91295">
      <w:pPr>
        <w:pStyle w:val="ListParagraph"/>
        <w:numPr>
          <w:ilvl w:val="0"/>
          <w:numId w:val="116"/>
        </w:numPr>
        <w:tabs>
          <w:tab w:val="left" w:pos="567"/>
        </w:tabs>
        <w:ind w:left="0" w:firstLine="0"/>
        <w:jc w:val="both"/>
        <w:rPr>
          <w:bCs/>
          <w:lang w:val="es-ES"/>
        </w:rPr>
      </w:pPr>
      <w:r w:rsidRPr="00526311">
        <w:rPr>
          <w:bCs/>
          <w:lang w:val="es-ES"/>
        </w:rPr>
        <w:t xml:space="preserve">Debido al retraso registrado en la finalización de la nueva sala de conferencias de la OMPI (aplazada de comienzos de 2014 a septiembre de 2014), la puesta en marcha del proyecto se atrasó un año con respecto al plan original.  El calendario del proyecto se ha modificado en consecuencia.  </w:t>
      </w:r>
    </w:p>
    <w:p w:rsidR="00C91295" w:rsidRPr="00526311" w:rsidRDefault="00C91295" w:rsidP="00F1387F">
      <w:pPr>
        <w:pStyle w:val="ListParagraph"/>
        <w:tabs>
          <w:tab w:val="left" w:pos="567"/>
        </w:tabs>
        <w:ind w:left="0"/>
        <w:jc w:val="both"/>
        <w:rPr>
          <w:bCs/>
          <w:lang w:val="es-ES"/>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t xml:space="preserve">OBTENCIÓN DE BENEFICIOS  </w:t>
      </w:r>
    </w:p>
    <w:p w:rsidR="00C91295" w:rsidRPr="00526311" w:rsidRDefault="00C91295" w:rsidP="00F1387F">
      <w:pPr>
        <w:rPr>
          <w:bCs/>
          <w:sz w:val="20"/>
        </w:rPr>
      </w:pPr>
    </w:p>
    <w:p w:rsidR="00C91295" w:rsidRPr="00526311" w:rsidRDefault="00C91295" w:rsidP="00F1387F">
      <w:pPr>
        <w:rPr>
          <w:sz w:val="20"/>
        </w:rPr>
      </w:pPr>
    </w:p>
    <w:tbl>
      <w:tblPr>
        <w:tblW w:w="3293" w:type="pct"/>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3128"/>
      </w:tblGrid>
      <w:tr w:rsidR="00C91295" w:rsidRPr="00526311" w:rsidTr="00F1387F">
        <w:trPr>
          <w:trHeight w:val="314"/>
          <w:tblHeader/>
          <w:jc w:val="center"/>
        </w:trPr>
        <w:tc>
          <w:tcPr>
            <w:tcW w:w="2519" w:type="pct"/>
            <w:tcBorders>
              <w:bottom w:val="single" w:sz="4" w:space="0" w:color="auto"/>
            </w:tcBorders>
            <w:shd w:val="clear" w:color="auto" w:fill="C6D9F1" w:themeFill="text2" w:themeFillTint="33"/>
            <w:vAlign w:val="center"/>
          </w:tcPr>
          <w:p w:rsidR="00C91295" w:rsidRPr="00526311" w:rsidRDefault="00C91295" w:rsidP="00F1387F">
            <w:pPr>
              <w:jc w:val="center"/>
              <w:rPr>
                <w:b/>
                <w:bCs/>
                <w:sz w:val="16"/>
                <w:szCs w:val="16"/>
              </w:rPr>
            </w:pPr>
            <w:r w:rsidRPr="00526311">
              <w:rPr>
                <w:b/>
                <w:bCs/>
                <w:sz w:val="16"/>
                <w:szCs w:val="16"/>
              </w:rPr>
              <w:t>Beneficios previstos para 2015</w:t>
            </w:r>
          </w:p>
        </w:tc>
        <w:tc>
          <w:tcPr>
            <w:tcW w:w="2481" w:type="pct"/>
            <w:shd w:val="clear" w:color="auto" w:fill="C6D9F1" w:themeFill="text2" w:themeFillTint="33"/>
            <w:vAlign w:val="center"/>
          </w:tcPr>
          <w:p w:rsidR="00C91295" w:rsidRPr="00526311" w:rsidRDefault="00C91295" w:rsidP="00F1387F">
            <w:pPr>
              <w:jc w:val="center"/>
              <w:rPr>
                <w:b/>
                <w:bCs/>
                <w:sz w:val="16"/>
                <w:szCs w:val="16"/>
              </w:rPr>
            </w:pPr>
            <w:r w:rsidRPr="00526311">
              <w:rPr>
                <w:b/>
                <w:bCs/>
                <w:sz w:val="16"/>
                <w:szCs w:val="16"/>
              </w:rPr>
              <w:t>Beneficios previstos para 2016</w:t>
            </w:r>
          </w:p>
        </w:tc>
      </w:tr>
      <w:tr w:rsidR="00C91295" w:rsidRPr="00526311" w:rsidTr="00F1387F">
        <w:trPr>
          <w:trHeight w:val="564"/>
          <w:jc w:val="center"/>
        </w:trPr>
        <w:tc>
          <w:tcPr>
            <w:tcW w:w="2519" w:type="pct"/>
            <w:tcBorders>
              <w:top w:val="single" w:sz="4" w:space="0" w:color="auto"/>
              <w:bottom w:val="single" w:sz="4" w:space="0" w:color="auto"/>
            </w:tcBorders>
            <w:vAlign w:val="center"/>
          </w:tcPr>
          <w:p w:rsidR="00C91295" w:rsidRPr="00526311" w:rsidRDefault="00C91295" w:rsidP="00F1387F">
            <w:pPr>
              <w:rPr>
                <w:bCs/>
                <w:sz w:val="16"/>
                <w:szCs w:val="16"/>
              </w:rPr>
            </w:pPr>
            <w:r w:rsidRPr="00526311">
              <w:rPr>
                <w:bCs/>
                <w:sz w:val="16"/>
                <w:szCs w:val="16"/>
              </w:rPr>
              <w:t xml:space="preserve">Reducción parcial de la pérdida de energía a través de la fachada suroeste del edificio AB </w:t>
            </w:r>
          </w:p>
        </w:tc>
        <w:tc>
          <w:tcPr>
            <w:tcW w:w="2481" w:type="pct"/>
            <w:shd w:val="clear" w:color="auto" w:fill="auto"/>
            <w:vAlign w:val="center"/>
          </w:tcPr>
          <w:p w:rsidR="00C91295" w:rsidRPr="00526311" w:rsidRDefault="00C91295" w:rsidP="00F1387F">
            <w:pPr>
              <w:rPr>
                <w:bCs/>
                <w:sz w:val="16"/>
                <w:szCs w:val="16"/>
              </w:rPr>
            </w:pPr>
            <w:r w:rsidRPr="00526311">
              <w:rPr>
                <w:bCs/>
                <w:sz w:val="16"/>
                <w:szCs w:val="16"/>
              </w:rPr>
              <w:t xml:space="preserve">Reducción total de la pérdida de energía a través de la fachada suroeste del edificio AB </w:t>
            </w:r>
          </w:p>
        </w:tc>
      </w:tr>
      <w:tr w:rsidR="00C91295" w:rsidRPr="00526311" w:rsidTr="00F1387F">
        <w:trPr>
          <w:trHeight w:val="564"/>
          <w:jc w:val="center"/>
        </w:trPr>
        <w:tc>
          <w:tcPr>
            <w:tcW w:w="2519" w:type="pct"/>
            <w:tcBorders>
              <w:top w:val="single" w:sz="4" w:space="0" w:color="auto"/>
              <w:bottom w:val="single" w:sz="4" w:space="0" w:color="auto"/>
            </w:tcBorders>
            <w:vAlign w:val="center"/>
          </w:tcPr>
          <w:p w:rsidR="00C91295" w:rsidRPr="00526311" w:rsidRDefault="00C91295" w:rsidP="00F1387F">
            <w:pPr>
              <w:rPr>
                <w:bCs/>
                <w:sz w:val="16"/>
                <w:szCs w:val="16"/>
              </w:rPr>
            </w:pPr>
            <w:r w:rsidRPr="00526311">
              <w:rPr>
                <w:bCs/>
                <w:sz w:val="16"/>
                <w:szCs w:val="16"/>
              </w:rPr>
              <w:t>Mejor confort térmico durante el invierno</w:t>
            </w:r>
          </w:p>
        </w:tc>
        <w:tc>
          <w:tcPr>
            <w:tcW w:w="2481" w:type="pct"/>
            <w:shd w:val="clear" w:color="auto" w:fill="auto"/>
            <w:vAlign w:val="center"/>
          </w:tcPr>
          <w:p w:rsidR="00C91295" w:rsidRPr="00526311" w:rsidRDefault="00C91295" w:rsidP="00F1387F">
            <w:pPr>
              <w:rPr>
                <w:bCs/>
                <w:iCs/>
                <w:sz w:val="16"/>
                <w:szCs w:val="16"/>
              </w:rPr>
            </w:pPr>
            <w:r w:rsidRPr="00526311">
              <w:rPr>
                <w:bCs/>
                <w:iCs/>
                <w:sz w:val="16"/>
                <w:szCs w:val="16"/>
              </w:rPr>
              <w:t>Mejor confort térmico todo el año</w:t>
            </w:r>
          </w:p>
        </w:tc>
      </w:tr>
      <w:tr w:rsidR="00C91295" w:rsidRPr="00526311" w:rsidTr="00F1387F">
        <w:trPr>
          <w:trHeight w:val="564"/>
          <w:jc w:val="center"/>
        </w:trPr>
        <w:tc>
          <w:tcPr>
            <w:tcW w:w="2519" w:type="pct"/>
            <w:tcBorders>
              <w:top w:val="single" w:sz="4" w:space="0" w:color="auto"/>
              <w:bottom w:val="single" w:sz="4" w:space="0" w:color="auto"/>
            </w:tcBorders>
            <w:vAlign w:val="center"/>
          </w:tcPr>
          <w:p w:rsidR="00C91295" w:rsidRPr="00526311" w:rsidRDefault="00C91295" w:rsidP="00F1387F">
            <w:pPr>
              <w:rPr>
                <w:bCs/>
                <w:sz w:val="16"/>
                <w:szCs w:val="16"/>
              </w:rPr>
            </w:pPr>
            <w:r w:rsidRPr="00526311">
              <w:rPr>
                <w:bCs/>
                <w:sz w:val="16"/>
                <w:szCs w:val="16"/>
              </w:rPr>
              <w:t xml:space="preserve">Reciclado de las ventanas menos dañadas para su uso en otras fachadas del edificio AB </w:t>
            </w:r>
          </w:p>
        </w:tc>
        <w:tc>
          <w:tcPr>
            <w:tcW w:w="2481" w:type="pct"/>
            <w:shd w:val="clear" w:color="auto" w:fill="auto"/>
            <w:vAlign w:val="center"/>
          </w:tcPr>
          <w:p w:rsidR="00C91295" w:rsidRPr="00526311" w:rsidRDefault="00C91295" w:rsidP="00F1387F">
            <w:pPr>
              <w:rPr>
                <w:bCs/>
                <w:iCs/>
                <w:sz w:val="16"/>
                <w:szCs w:val="16"/>
              </w:rPr>
            </w:pPr>
            <w:r w:rsidRPr="00526311">
              <w:rPr>
                <w:bCs/>
                <w:iCs/>
                <w:sz w:val="16"/>
                <w:szCs w:val="16"/>
              </w:rPr>
              <w:t>Mejora de la eficiencia energética</w:t>
            </w:r>
          </w:p>
        </w:tc>
      </w:tr>
      <w:tr w:rsidR="00C91295" w:rsidRPr="00526311" w:rsidTr="00F1387F">
        <w:trPr>
          <w:trHeight w:val="564"/>
          <w:jc w:val="center"/>
        </w:trPr>
        <w:tc>
          <w:tcPr>
            <w:tcW w:w="2519" w:type="pct"/>
            <w:tcBorders>
              <w:top w:val="single" w:sz="4" w:space="0" w:color="auto"/>
              <w:bottom w:val="single" w:sz="4" w:space="0" w:color="auto"/>
            </w:tcBorders>
            <w:vAlign w:val="center"/>
          </w:tcPr>
          <w:p w:rsidR="00C91295" w:rsidRPr="00526311" w:rsidRDefault="00C91295" w:rsidP="00F1387F">
            <w:pPr>
              <w:rPr>
                <w:bCs/>
                <w:sz w:val="16"/>
                <w:szCs w:val="16"/>
              </w:rPr>
            </w:pPr>
            <w:r w:rsidRPr="00526311">
              <w:rPr>
                <w:bCs/>
                <w:sz w:val="16"/>
                <w:szCs w:val="16"/>
              </w:rPr>
              <w:t xml:space="preserve">Mejora del aspecto estético de la fachada suroeste del edificio AB </w:t>
            </w:r>
          </w:p>
        </w:tc>
        <w:tc>
          <w:tcPr>
            <w:tcW w:w="2481" w:type="pct"/>
            <w:shd w:val="clear" w:color="auto" w:fill="auto"/>
            <w:vAlign w:val="center"/>
          </w:tcPr>
          <w:p w:rsidR="00C91295" w:rsidRPr="00526311" w:rsidRDefault="00C91295" w:rsidP="00F1387F">
            <w:pPr>
              <w:rPr>
                <w:bCs/>
                <w:iCs/>
                <w:sz w:val="16"/>
                <w:szCs w:val="16"/>
              </w:rPr>
            </w:pPr>
          </w:p>
        </w:tc>
      </w:tr>
    </w:tbl>
    <w:p w:rsidR="00C91295" w:rsidRPr="00526311" w:rsidRDefault="00C91295" w:rsidP="00F1387F">
      <w:pPr>
        <w:rPr>
          <w:b/>
          <w:sz w:val="20"/>
        </w:rPr>
      </w:pPr>
    </w:p>
    <w:p w:rsidR="00C91295" w:rsidRPr="00526311" w:rsidRDefault="00C91295" w:rsidP="00F1387F">
      <w:pPr>
        <w:rPr>
          <w:sz w:val="20"/>
        </w:rPr>
      </w:pPr>
    </w:p>
    <w:p w:rsidR="00C91295" w:rsidRPr="00526311" w:rsidRDefault="00C91295" w:rsidP="00F1387F">
      <w:pPr>
        <w:rPr>
          <w:sz w:val="20"/>
        </w:rPr>
      </w:pPr>
      <w:r w:rsidRPr="00526311">
        <w:rPr>
          <w:sz w:val="20"/>
        </w:rPr>
        <w:t>UTILIZACIÓN DE LOS RECURSOS</w:t>
      </w:r>
    </w:p>
    <w:p w:rsidR="00C91295" w:rsidRPr="00526311" w:rsidRDefault="00C91295" w:rsidP="00F1387F">
      <w:pPr>
        <w:rPr>
          <w:sz w:val="20"/>
        </w:rPr>
      </w:pPr>
    </w:p>
    <w:p w:rsidR="00C91295" w:rsidRPr="00526311" w:rsidRDefault="00C91295" w:rsidP="00F1387F">
      <w:pPr>
        <w:tabs>
          <w:tab w:val="left" w:pos="3261"/>
        </w:tabs>
        <w:autoSpaceDE w:val="0"/>
        <w:autoSpaceDN w:val="0"/>
        <w:adjustRightInd w:val="0"/>
        <w:jc w:val="center"/>
        <w:rPr>
          <w:b/>
          <w:sz w:val="20"/>
        </w:rPr>
      </w:pPr>
      <w:r w:rsidRPr="00526311">
        <w:rPr>
          <w:b/>
          <w:sz w:val="20"/>
        </w:rPr>
        <w:t>Utilización del presupuesto del proyecto</w:t>
      </w:r>
    </w:p>
    <w:p w:rsidR="00C91295" w:rsidRPr="00526311" w:rsidRDefault="00C91295" w:rsidP="00F1387F">
      <w:pPr>
        <w:tabs>
          <w:tab w:val="left" w:pos="3261"/>
        </w:tabs>
        <w:autoSpaceDE w:val="0"/>
        <w:autoSpaceDN w:val="0"/>
        <w:adjustRightInd w:val="0"/>
        <w:jc w:val="center"/>
        <w:rPr>
          <w:i/>
          <w:iCs/>
          <w:sz w:val="18"/>
          <w:szCs w:val="18"/>
        </w:rPr>
      </w:pPr>
      <w:r w:rsidRPr="00526311">
        <w:rPr>
          <w:i/>
          <w:iCs/>
          <w:sz w:val="18"/>
          <w:szCs w:val="18"/>
        </w:rPr>
        <w:t>(en francos suizos, al 31 de diciembre de 2014)</w:t>
      </w:r>
    </w:p>
    <w:p w:rsidR="00C91295" w:rsidRPr="00526311" w:rsidRDefault="00C91295" w:rsidP="00F1387F"/>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91295" w:rsidRPr="00526311" w:rsidTr="00F1387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74" w:right="-60"/>
              <w:jc w:val="center"/>
              <w:rPr>
                <w:b/>
                <w:bCs/>
                <w:sz w:val="16"/>
                <w:szCs w:val="16"/>
              </w:rPr>
            </w:pPr>
            <w:r w:rsidRPr="00526311">
              <w:rPr>
                <w:b/>
                <w:bCs/>
                <w:sz w:val="16"/>
                <w:szCs w:val="16"/>
              </w:rPr>
              <w:t>Nombre del proyecto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7" w:right="-108"/>
              <w:jc w:val="center"/>
              <w:rPr>
                <w:b/>
                <w:bCs/>
                <w:sz w:val="16"/>
                <w:szCs w:val="16"/>
              </w:rPr>
            </w:pPr>
            <w:r w:rsidRPr="00526311">
              <w:rPr>
                <w:b/>
                <w:bCs/>
                <w:sz w:val="16"/>
                <w:szCs w:val="16"/>
              </w:rPr>
              <w:t>Presupuesto del proyecto</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73" w:firstLine="1"/>
              <w:jc w:val="center"/>
              <w:rPr>
                <w:b/>
                <w:bCs/>
                <w:sz w:val="16"/>
                <w:szCs w:val="16"/>
              </w:rPr>
            </w:pPr>
            <w:r w:rsidRPr="00526311">
              <w:rPr>
                <w:b/>
                <w:bCs/>
                <w:sz w:val="16"/>
                <w:szCs w:val="16"/>
              </w:rPr>
              <w:t>Índice de avance en la ejecución del proyecto</w:t>
            </w:r>
          </w:p>
        </w:tc>
      </w:tr>
      <w:tr w:rsidR="00C91295" w:rsidRPr="00526311" w:rsidTr="00F1387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Edificio Arpad Bogsch – sustitución de determinadas ventanas</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300.000</w:t>
            </w:r>
          </w:p>
        </w:tc>
        <w:tc>
          <w:tcPr>
            <w:tcW w:w="851"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w:t>
            </w:r>
          </w:p>
        </w:tc>
      </w:tr>
    </w:tbl>
    <w:p w:rsidR="00C91295" w:rsidRPr="00526311" w:rsidRDefault="00C91295" w:rsidP="00F1387F">
      <w:pPr>
        <w:autoSpaceDE w:val="0"/>
        <w:autoSpaceDN w:val="0"/>
        <w:rPr>
          <w:sz w:val="20"/>
        </w:rPr>
      </w:pPr>
    </w:p>
    <w:p w:rsidR="00C91295" w:rsidRPr="00526311" w:rsidRDefault="00C91295" w:rsidP="00F1387F">
      <w:pPr>
        <w:tabs>
          <w:tab w:val="left" w:pos="3261"/>
        </w:tabs>
        <w:autoSpaceDE w:val="0"/>
        <w:autoSpaceDN w:val="0"/>
        <w:adjustRightInd w:val="0"/>
        <w:jc w:val="center"/>
        <w:rPr>
          <w:b/>
          <w:sz w:val="20"/>
        </w:rPr>
      </w:pPr>
    </w:p>
    <w:p w:rsidR="00C91295" w:rsidRPr="00526311" w:rsidRDefault="00C91295" w:rsidP="00F1387F">
      <w:pPr>
        <w:tabs>
          <w:tab w:val="left" w:pos="3261"/>
        </w:tabs>
        <w:autoSpaceDE w:val="0"/>
        <w:autoSpaceDN w:val="0"/>
        <w:adjustRightInd w:val="0"/>
        <w:jc w:val="center"/>
        <w:rPr>
          <w:b/>
          <w:sz w:val="20"/>
        </w:rPr>
      </w:pPr>
      <w:r w:rsidRPr="00526311">
        <w:rPr>
          <w:b/>
          <w:sz w:val="20"/>
        </w:rPr>
        <w:t>Utilización del presupuesto del proyecto (por etapa)</w:t>
      </w:r>
    </w:p>
    <w:p w:rsidR="00C91295" w:rsidRPr="00526311" w:rsidRDefault="00C91295" w:rsidP="00F1387F">
      <w:pPr>
        <w:tabs>
          <w:tab w:val="left" w:pos="3261"/>
        </w:tabs>
        <w:autoSpaceDE w:val="0"/>
        <w:autoSpaceDN w:val="0"/>
        <w:adjustRightInd w:val="0"/>
        <w:jc w:val="center"/>
        <w:rPr>
          <w:i/>
          <w:iCs/>
          <w:sz w:val="18"/>
          <w:szCs w:val="18"/>
        </w:rPr>
      </w:pPr>
      <w:r w:rsidRPr="00526311">
        <w:rPr>
          <w:i/>
          <w:iCs/>
          <w:sz w:val="18"/>
          <w:szCs w:val="18"/>
        </w:rPr>
        <w:t>(en francos suizos, al 31 de diciembre de 2014)</w:t>
      </w:r>
    </w:p>
    <w:p w:rsidR="00C91295" w:rsidRPr="00526311" w:rsidRDefault="00C91295" w:rsidP="00F1387F">
      <w:pPr>
        <w:autoSpaceDE w:val="0"/>
        <w:autoSpaceDN w:val="0"/>
        <w:rPr>
          <w:sz w:val="20"/>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C91295" w:rsidRPr="00526311" w:rsidTr="00F1387F">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74" w:right="-60"/>
              <w:jc w:val="center"/>
              <w:rPr>
                <w:b/>
                <w:bCs/>
                <w:sz w:val="16"/>
                <w:szCs w:val="16"/>
              </w:rPr>
            </w:pPr>
            <w:r w:rsidRPr="00526311">
              <w:rPr>
                <w:b/>
                <w:bCs/>
                <w:sz w:val="16"/>
                <w:szCs w:val="16"/>
              </w:rPr>
              <w:t>Etapas fundamentales</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7" w:right="-108"/>
              <w:jc w:val="center"/>
              <w:rPr>
                <w:b/>
                <w:bCs/>
                <w:sz w:val="16"/>
                <w:szCs w:val="16"/>
              </w:rPr>
            </w:pPr>
            <w:r w:rsidRPr="00526311">
              <w:rPr>
                <w:b/>
                <w:bCs/>
                <w:sz w:val="16"/>
                <w:szCs w:val="16"/>
              </w:rPr>
              <w:t>Presupuesto del proyecto</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73" w:firstLine="1"/>
              <w:jc w:val="center"/>
              <w:rPr>
                <w:b/>
                <w:bCs/>
                <w:sz w:val="16"/>
                <w:szCs w:val="16"/>
              </w:rPr>
            </w:pPr>
            <w:r w:rsidRPr="00526311">
              <w:rPr>
                <w:b/>
                <w:bCs/>
                <w:sz w:val="16"/>
                <w:szCs w:val="16"/>
              </w:rPr>
              <w:t>Índice de avance en la ejecución del proyecto</w:t>
            </w:r>
          </w:p>
        </w:tc>
      </w:tr>
      <w:tr w:rsidR="00C91295" w:rsidRPr="00526311" w:rsidTr="00F1387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Adjudicación del contrato al ingeniero de fachadas</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45.000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20%</w:t>
            </w:r>
          </w:p>
        </w:tc>
      </w:tr>
      <w:tr w:rsidR="00C91295" w:rsidRPr="00526311" w:rsidTr="00F1387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 xml:space="preserve">Obra y puesta en servicio </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255.000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w:t>
            </w:r>
          </w:p>
        </w:tc>
      </w:tr>
      <w:tr w:rsidR="00C91295" w:rsidRPr="00526311" w:rsidTr="00F1387F">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rPr>
                <w:b/>
                <w:sz w:val="16"/>
                <w:szCs w:val="16"/>
              </w:rPr>
            </w:pPr>
            <w:r w:rsidRPr="00526311">
              <w:rPr>
                <w:b/>
                <w:sz w:val="16"/>
                <w:szCs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300.000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autoSpaceDE w:val="0"/>
              <w:autoSpaceDN w:val="0"/>
              <w:adjustRightInd w:val="0"/>
              <w:spacing w:before="40" w:after="40" w:line="260" w:lineRule="exact"/>
              <w:jc w:val="center"/>
              <w:rPr>
                <w:b/>
                <w:sz w:val="16"/>
                <w:szCs w:val="16"/>
              </w:rPr>
            </w:pPr>
          </w:p>
        </w:tc>
      </w:tr>
    </w:tbl>
    <w:p w:rsidR="00C91295" w:rsidRPr="00526311" w:rsidRDefault="00C91295" w:rsidP="00F1387F">
      <w:pPr>
        <w:tabs>
          <w:tab w:val="left" w:pos="3261"/>
        </w:tabs>
        <w:autoSpaceDE w:val="0"/>
        <w:autoSpaceDN w:val="0"/>
        <w:adjustRightInd w:val="0"/>
        <w:rPr>
          <w:b/>
          <w:sz w:val="20"/>
        </w:rPr>
      </w:pPr>
    </w:p>
    <w:p w:rsidR="00C91295" w:rsidRPr="00526311" w:rsidRDefault="00C91295" w:rsidP="00F1387F">
      <w:pPr>
        <w:tabs>
          <w:tab w:val="left" w:pos="3261"/>
        </w:tabs>
        <w:autoSpaceDE w:val="0"/>
        <w:autoSpaceDN w:val="0"/>
        <w:adjustRightInd w:val="0"/>
        <w:rPr>
          <w:b/>
          <w:sz w:val="20"/>
        </w:rPr>
      </w:pPr>
    </w:p>
    <w:p w:rsidR="00C91295" w:rsidRPr="00526311" w:rsidRDefault="00C91295" w:rsidP="00F1387F">
      <w:pPr>
        <w:tabs>
          <w:tab w:val="left" w:pos="3261"/>
        </w:tabs>
        <w:autoSpaceDE w:val="0"/>
        <w:autoSpaceDN w:val="0"/>
        <w:adjustRightInd w:val="0"/>
        <w:jc w:val="center"/>
        <w:rPr>
          <w:b/>
          <w:sz w:val="20"/>
        </w:rPr>
      </w:pPr>
      <w:r w:rsidRPr="00526311">
        <w:rPr>
          <w:b/>
          <w:sz w:val="20"/>
        </w:rPr>
        <w:t>Utilización del presupuesto del proyecto (por categoría de costo)</w:t>
      </w:r>
    </w:p>
    <w:p w:rsidR="00C91295" w:rsidRPr="00526311" w:rsidRDefault="00C91295" w:rsidP="00F1387F">
      <w:pPr>
        <w:tabs>
          <w:tab w:val="left" w:pos="3261"/>
        </w:tabs>
        <w:autoSpaceDE w:val="0"/>
        <w:autoSpaceDN w:val="0"/>
        <w:adjustRightInd w:val="0"/>
        <w:jc w:val="center"/>
        <w:rPr>
          <w:i/>
          <w:iCs/>
          <w:sz w:val="18"/>
          <w:szCs w:val="18"/>
        </w:rPr>
      </w:pPr>
      <w:r w:rsidRPr="00526311">
        <w:rPr>
          <w:i/>
          <w:iCs/>
          <w:sz w:val="18"/>
          <w:szCs w:val="18"/>
        </w:rPr>
        <w:t>(en francos suizos, al 31 de diciembre de 2014)</w:t>
      </w:r>
    </w:p>
    <w:p w:rsidR="00C91295" w:rsidRPr="00526311" w:rsidRDefault="00C91295" w:rsidP="00F1387F">
      <w:pPr>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C91295" w:rsidRPr="00526311" w:rsidTr="00F1387F">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74" w:right="-60"/>
              <w:jc w:val="center"/>
              <w:rPr>
                <w:b/>
                <w:bCs/>
                <w:sz w:val="16"/>
                <w:szCs w:val="16"/>
              </w:rPr>
            </w:pPr>
            <w:r w:rsidRPr="00526311">
              <w:rPr>
                <w:b/>
                <w:bCs/>
                <w:sz w:val="16"/>
                <w:szCs w:val="16"/>
              </w:rPr>
              <w:t>Categoría de costo</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7" w:right="-108"/>
              <w:jc w:val="center"/>
              <w:rPr>
                <w:b/>
                <w:bCs/>
                <w:sz w:val="16"/>
                <w:szCs w:val="16"/>
              </w:rPr>
            </w:pPr>
            <w:r w:rsidRPr="00526311">
              <w:rPr>
                <w:b/>
                <w:bCs/>
                <w:sz w:val="16"/>
                <w:szCs w:val="16"/>
              </w:rPr>
              <w:t>Presupuesto del proyecto</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8"/>
              <w:jc w:val="center"/>
              <w:rPr>
                <w:b/>
                <w:bCs/>
                <w:sz w:val="16"/>
                <w:szCs w:val="16"/>
              </w:rPr>
            </w:pPr>
            <w:r w:rsidRPr="00526311">
              <w:rPr>
                <w:b/>
                <w:bCs/>
                <w:sz w:val="16"/>
                <w:szCs w:val="16"/>
              </w:rPr>
              <w:t>Gasto real hasta la fecha</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9"/>
              <w:jc w:val="center"/>
              <w:rPr>
                <w:b/>
                <w:bCs/>
                <w:sz w:val="16"/>
                <w:szCs w:val="16"/>
              </w:rPr>
            </w:pPr>
            <w:r w:rsidRPr="00526311">
              <w:rPr>
                <w:b/>
                <w:bCs/>
                <w:sz w:val="16"/>
                <w:szCs w:val="16"/>
              </w:rPr>
              <w:t>Utilización real del presupuesto</w:t>
            </w:r>
          </w:p>
        </w:tc>
      </w:tr>
      <w:tr w:rsidR="00C91295" w:rsidRPr="00526311" w:rsidTr="00F1387F">
        <w:tc>
          <w:tcPr>
            <w:tcW w:w="18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Costos relacionados con la obra</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234.000</w:t>
            </w:r>
          </w:p>
        </w:tc>
        <w:tc>
          <w:tcPr>
            <w:tcW w:w="1049"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1049"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r>
      <w:tr w:rsidR="00C91295" w:rsidRPr="00526311" w:rsidTr="00F1387F">
        <w:tc>
          <w:tcPr>
            <w:tcW w:w="18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Honorarios</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45.000</w:t>
            </w:r>
          </w:p>
        </w:tc>
        <w:tc>
          <w:tcPr>
            <w:tcW w:w="1049"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1049"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r>
      <w:tr w:rsidR="00C91295" w:rsidRPr="00526311" w:rsidTr="00F1387F">
        <w:tc>
          <w:tcPr>
            <w:tcW w:w="18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Diversos e imprevistos</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21.000</w:t>
            </w:r>
          </w:p>
        </w:tc>
        <w:tc>
          <w:tcPr>
            <w:tcW w:w="1049"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1049"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r>
      <w:tr w:rsidR="00C91295" w:rsidRPr="00526311" w:rsidTr="00F1387F">
        <w:tc>
          <w:tcPr>
            <w:tcW w:w="18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autoSpaceDE w:val="0"/>
              <w:autoSpaceDN w:val="0"/>
              <w:adjustRightInd w:val="0"/>
              <w:spacing w:before="40" w:after="40" w:line="260" w:lineRule="exact"/>
              <w:rPr>
                <w:b/>
                <w:sz w:val="16"/>
                <w:szCs w:val="16"/>
              </w:rPr>
            </w:pPr>
            <w:r w:rsidRPr="00526311">
              <w:rPr>
                <w:b/>
                <w:sz w:val="16"/>
                <w:szCs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300.000</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0</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0%</w:t>
            </w:r>
          </w:p>
        </w:tc>
      </w:tr>
    </w:tbl>
    <w:p w:rsidR="00C91295" w:rsidRPr="00526311" w:rsidRDefault="00C91295" w:rsidP="00F1387F">
      <w:pPr>
        <w:rPr>
          <w:sz w:val="20"/>
        </w:rPr>
      </w:pPr>
    </w:p>
    <w:p w:rsidR="00C91295" w:rsidRPr="00526311" w:rsidRDefault="00C91295" w:rsidP="00F1387F">
      <w:pPr>
        <w:rPr>
          <w:sz w:val="16"/>
          <w:szCs w:val="16"/>
        </w:rPr>
      </w:pPr>
    </w:p>
    <w:p w:rsidR="00C91295" w:rsidRPr="00526311" w:rsidRDefault="00C91295" w:rsidP="00F1387F">
      <w:pPr>
        <w:rPr>
          <w:sz w:val="20"/>
        </w:rPr>
      </w:pPr>
      <w:r w:rsidRPr="00526311">
        <w:rPr>
          <w:sz w:val="20"/>
        </w:rPr>
        <w:t>RIESGOS Y ESTRATEGIAS DE MITIGACIÓN</w:t>
      </w:r>
    </w:p>
    <w:p w:rsidR="00C91295" w:rsidRPr="00526311" w:rsidRDefault="00C91295" w:rsidP="00F1387F">
      <w:pPr>
        <w:rPr>
          <w:sz w:val="20"/>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C91295" w:rsidRPr="00526311" w:rsidTr="00F1387F">
        <w:trPr>
          <w:trHeight w:val="308"/>
          <w:tblHeader/>
          <w:jc w:val="center"/>
        </w:trPr>
        <w:tc>
          <w:tcPr>
            <w:tcW w:w="1667"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74" w:right="-60"/>
              <w:jc w:val="center"/>
              <w:rPr>
                <w:b/>
                <w:bCs/>
                <w:sz w:val="16"/>
                <w:szCs w:val="16"/>
              </w:rPr>
            </w:pPr>
            <w:r w:rsidRPr="00526311">
              <w:rPr>
                <w:b/>
                <w:bCs/>
                <w:sz w:val="16"/>
                <w:szCs w:val="16"/>
              </w:rPr>
              <w:t xml:space="preserve">Riesgo </w:t>
            </w:r>
          </w:p>
        </w:tc>
        <w:tc>
          <w:tcPr>
            <w:tcW w:w="1667"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7" w:right="-108"/>
              <w:jc w:val="center"/>
              <w:rPr>
                <w:b/>
                <w:bCs/>
                <w:sz w:val="16"/>
                <w:szCs w:val="16"/>
              </w:rPr>
            </w:pPr>
            <w:r w:rsidRPr="00526311">
              <w:rPr>
                <w:b/>
                <w:bCs/>
                <w:sz w:val="16"/>
                <w:szCs w:val="16"/>
              </w:rPr>
              <w:t>Descripción</w:t>
            </w:r>
          </w:p>
        </w:tc>
        <w:tc>
          <w:tcPr>
            <w:tcW w:w="1667"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9"/>
              <w:jc w:val="center"/>
              <w:rPr>
                <w:b/>
                <w:bCs/>
                <w:sz w:val="16"/>
                <w:szCs w:val="16"/>
              </w:rPr>
            </w:pPr>
            <w:r w:rsidRPr="00526311">
              <w:rPr>
                <w:b/>
                <w:bCs/>
                <w:sz w:val="16"/>
                <w:szCs w:val="16"/>
              </w:rPr>
              <w:t>Mitigación del riesgo</w:t>
            </w:r>
          </w:p>
        </w:tc>
      </w:tr>
      <w:tr w:rsidR="00C91295" w:rsidRPr="00526311" w:rsidTr="00F1387F">
        <w:trPr>
          <w:trHeight w:val="776"/>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Demora en el comienzo de la ejecución del proyecto</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El comienzo del proyecto se aplazó por un año debido al retraso en la finalización de la nueva sala de conferencias de la OMPI </w:t>
            </w:r>
          </w:p>
          <w:p w:rsidR="00C91295" w:rsidRPr="00526311" w:rsidRDefault="00C91295" w:rsidP="00F1387F">
            <w:pPr>
              <w:autoSpaceDE w:val="0"/>
              <w:autoSpaceDN w:val="0"/>
              <w:adjustRightInd w:val="0"/>
              <w:spacing w:before="40" w:after="40"/>
              <w:rPr>
                <w:sz w:val="12"/>
                <w:szCs w:val="12"/>
              </w:rPr>
            </w:pPr>
          </w:p>
          <w:p w:rsidR="00C91295" w:rsidRPr="00526311" w:rsidRDefault="00C91295" w:rsidP="00F1387F">
            <w:pPr>
              <w:autoSpaceDE w:val="0"/>
              <w:autoSpaceDN w:val="0"/>
              <w:adjustRightInd w:val="0"/>
              <w:spacing w:before="40" w:after="40"/>
              <w:rPr>
                <w:sz w:val="16"/>
                <w:szCs w:val="16"/>
              </w:rPr>
            </w:pPr>
            <w:r w:rsidRPr="00526311">
              <w:rPr>
                <w:sz w:val="16"/>
                <w:szCs w:val="16"/>
              </w:rPr>
              <w:t>Realización de las obras prevista durante el verano</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Desplazar el calendario general del proyecto </w:t>
            </w:r>
          </w:p>
          <w:p w:rsidR="00C91295" w:rsidRPr="00526311" w:rsidRDefault="00C91295" w:rsidP="00F1387F">
            <w:pPr>
              <w:autoSpaceDE w:val="0"/>
              <w:autoSpaceDN w:val="0"/>
              <w:adjustRightInd w:val="0"/>
              <w:spacing w:before="40" w:after="40"/>
              <w:rPr>
                <w:sz w:val="16"/>
                <w:szCs w:val="16"/>
              </w:rPr>
            </w:pPr>
          </w:p>
          <w:p w:rsidR="00C91295" w:rsidRPr="00526311" w:rsidRDefault="00C91295" w:rsidP="00F1387F">
            <w:pPr>
              <w:autoSpaceDE w:val="0"/>
              <w:autoSpaceDN w:val="0"/>
              <w:adjustRightInd w:val="0"/>
              <w:spacing w:before="40" w:after="40"/>
              <w:rPr>
                <w:sz w:val="16"/>
                <w:szCs w:val="16"/>
              </w:rPr>
            </w:pPr>
            <w:r w:rsidRPr="00526311">
              <w:rPr>
                <w:sz w:val="16"/>
                <w:szCs w:val="16"/>
              </w:rPr>
              <w:t xml:space="preserve">Reprogramar las obras, que comenzarán a principios del verano de 2015 </w:t>
            </w:r>
          </w:p>
        </w:tc>
      </w:tr>
      <w:tr w:rsidR="00C91295" w:rsidRPr="00526311" w:rsidTr="00F1387F">
        <w:trPr>
          <w:trHeight w:val="776"/>
          <w:jc w:val="center"/>
        </w:trPr>
        <w:tc>
          <w:tcPr>
            <w:tcW w:w="1667" w:type="pct"/>
            <w:shd w:val="clear" w:color="auto" w:fill="auto"/>
          </w:tcPr>
          <w:p w:rsidR="00C91295" w:rsidRPr="00526311" w:rsidRDefault="00C91295" w:rsidP="00F1387F">
            <w:pPr>
              <w:rPr>
                <w:sz w:val="16"/>
                <w:szCs w:val="16"/>
              </w:rPr>
            </w:pPr>
          </w:p>
          <w:p w:rsidR="00C91295" w:rsidRPr="00526311" w:rsidRDefault="00C91295" w:rsidP="00F1387F">
            <w:pPr>
              <w:rPr>
                <w:sz w:val="16"/>
                <w:szCs w:val="16"/>
              </w:rPr>
            </w:pPr>
            <w:r w:rsidRPr="00526311">
              <w:rPr>
                <w:sz w:val="16"/>
                <w:szCs w:val="16"/>
              </w:rPr>
              <w:t>Conflicto de prioridades entre el avance de las obras y la utilización de las oficinas por sus ocupantes</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Imposibilidad de desalojar las oficinas para poder comenzar las obras en las plantas afectadas</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En lo posible, reorganizar las obras de construcción y revisar el calendario</w:t>
            </w:r>
          </w:p>
        </w:tc>
      </w:tr>
      <w:tr w:rsidR="00C91295" w:rsidRPr="00526311" w:rsidTr="00F1387F">
        <w:trPr>
          <w:trHeight w:val="479"/>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Incapacidad de realizar las obras en el verano de 2015</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Las empresas no están disponibles para realizar las obras dentro del calendario previsto por la OMPI </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Aplazar las obras hasta el verano de 2016</w:t>
            </w:r>
          </w:p>
        </w:tc>
      </w:tr>
      <w:tr w:rsidR="00C91295" w:rsidRPr="00526311" w:rsidTr="00F1387F">
        <w:trPr>
          <w:trHeight w:val="776"/>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Demora o interrupción de las obras</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Accidente en el sitio de las obras</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Revalidar y fortalecer las medidas de seguridad</w:t>
            </w:r>
          </w:p>
          <w:p w:rsidR="00C91295" w:rsidRPr="00526311" w:rsidRDefault="00C91295" w:rsidP="00F1387F">
            <w:pPr>
              <w:autoSpaceDE w:val="0"/>
              <w:autoSpaceDN w:val="0"/>
              <w:adjustRightInd w:val="0"/>
              <w:spacing w:before="40" w:after="40"/>
              <w:rPr>
                <w:sz w:val="16"/>
                <w:szCs w:val="16"/>
              </w:rPr>
            </w:pPr>
          </w:p>
          <w:p w:rsidR="00C91295" w:rsidRPr="00526311" w:rsidRDefault="00C91295" w:rsidP="00F1387F">
            <w:pPr>
              <w:autoSpaceDE w:val="0"/>
              <w:autoSpaceDN w:val="0"/>
              <w:adjustRightInd w:val="0"/>
              <w:spacing w:before="40" w:after="40"/>
              <w:rPr>
                <w:sz w:val="16"/>
                <w:szCs w:val="16"/>
              </w:rPr>
            </w:pPr>
            <w:r w:rsidRPr="00526311">
              <w:rPr>
                <w:sz w:val="16"/>
                <w:szCs w:val="16"/>
              </w:rPr>
              <w:t>Revisar el calendario de las obras hasta 2016</w:t>
            </w:r>
          </w:p>
        </w:tc>
      </w:tr>
    </w:tbl>
    <w:p w:rsidR="00C91295" w:rsidRPr="00526311" w:rsidRDefault="00C91295" w:rsidP="00F1387F">
      <w:pPr>
        <w:autoSpaceDE w:val="0"/>
        <w:autoSpaceDN w:val="0"/>
        <w:jc w:val="both"/>
        <w:rPr>
          <w:sz w:val="20"/>
        </w:rPr>
      </w:pPr>
    </w:p>
    <w:p w:rsidR="00C91295" w:rsidRPr="00526311" w:rsidRDefault="00C91295" w:rsidP="00F1387F">
      <w:pPr>
        <w:rPr>
          <w:sz w:val="20"/>
        </w:rPr>
      </w:pPr>
    </w:p>
    <w:p w:rsidR="00C91295" w:rsidRPr="00526311" w:rsidRDefault="00C91295" w:rsidP="00F1387F">
      <w:pPr>
        <w:rPr>
          <w:sz w:val="20"/>
        </w:rPr>
      </w:pPr>
      <w:r w:rsidRPr="00526311">
        <w:rPr>
          <w:sz w:val="20"/>
        </w:rPr>
        <w:t>CALENDARIO DEL PROYECTO, POR ETAPA</w:t>
      </w:r>
    </w:p>
    <w:p w:rsidR="00C91295" w:rsidRPr="00526311" w:rsidRDefault="00C91295" w:rsidP="00F1387F">
      <w:pPr>
        <w:rPr>
          <w:sz w:val="20"/>
        </w:rPr>
      </w:pPr>
    </w:p>
    <w:p w:rsidR="00C91295" w:rsidRPr="00526311" w:rsidRDefault="00C91295" w:rsidP="00F1387F">
      <w:pPr>
        <w:autoSpaceDE w:val="0"/>
        <w:autoSpaceDN w:val="0"/>
        <w:jc w:val="both"/>
        <w:rPr>
          <w:sz w:val="20"/>
        </w:rPr>
      </w:pPr>
    </w:p>
    <w:tbl>
      <w:tblPr>
        <w:tblW w:w="6820" w:type="dxa"/>
        <w:jc w:val="center"/>
        <w:tblInd w:w="-1140" w:type="dxa"/>
        <w:tblLook w:val="04A0" w:firstRow="1" w:lastRow="0" w:firstColumn="1" w:lastColumn="0" w:noHBand="0" w:noVBand="1"/>
      </w:tblPr>
      <w:tblGrid>
        <w:gridCol w:w="2980"/>
        <w:gridCol w:w="480"/>
        <w:gridCol w:w="480"/>
        <w:gridCol w:w="480"/>
        <w:gridCol w:w="480"/>
        <w:gridCol w:w="480"/>
        <w:gridCol w:w="480"/>
        <w:gridCol w:w="480"/>
        <w:gridCol w:w="480"/>
      </w:tblGrid>
      <w:tr w:rsidR="00C91295" w:rsidRPr="00526311" w:rsidTr="00F1387F">
        <w:trPr>
          <w:trHeight w:val="270"/>
          <w:jc w:val="center"/>
        </w:trPr>
        <w:tc>
          <w:tcPr>
            <w:tcW w:w="2980" w:type="dxa"/>
            <w:tcBorders>
              <w:top w:val="nil"/>
              <w:left w:val="nil"/>
              <w:bottom w:val="nil"/>
              <w:right w:val="nil"/>
            </w:tcBorders>
            <w:shd w:val="clear" w:color="auto" w:fill="auto"/>
            <w:noWrap/>
            <w:vAlign w:val="bottom"/>
            <w:hideMark/>
          </w:tcPr>
          <w:p w:rsidR="00C91295" w:rsidRPr="00526311" w:rsidRDefault="00C91295" w:rsidP="00F1387F">
            <w:pPr>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91295" w:rsidRPr="00526311" w:rsidRDefault="00C91295" w:rsidP="00F1387F">
            <w:pPr>
              <w:jc w:val="center"/>
              <w:rPr>
                <w:b/>
                <w:bCs/>
                <w:sz w:val="16"/>
                <w:szCs w:val="16"/>
              </w:rPr>
            </w:pPr>
            <w:r w:rsidRPr="00526311">
              <w:rPr>
                <w:b/>
                <w:bCs/>
                <w:sz w:val="16"/>
                <w:szCs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91295" w:rsidRPr="00526311" w:rsidRDefault="00C91295" w:rsidP="00F1387F">
            <w:pPr>
              <w:jc w:val="center"/>
              <w:rPr>
                <w:b/>
                <w:bCs/>
                <w:sz w:val="16"/>
                <w:szCs w:val="16"/>
              </w:rPr>
            </w:pPr>
            <w:r w:rsidRPr="00526311">
              <w:rPr>
                <w:b/>
                <w:bCs/>
                <w:sz w:val="16"/>
                <w:szCs w:val="16"/>
              </w:rPr>
              <w:t>2015</w:t>
            </w:r>
          </w:p>
        </w:tc>
      </w:tr>
      <w:tr w:rsidR="00C91295" w:rsidRPr="00526311" w:rsidTr="00F1387F">
        <w:trPr>
          <w:trHeight w:val="375"/>
          <w:jc w:val="center"/>
        </w:trPr>
        <w:tc>
          <w:tcPr>
            <w:tcW w:w="298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Etapas fundamentales</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T4</w:t>
            </w:r>
          </w:p>
        </w:tc>
      </w:tr>
      <w:tr w:rsidR="00C91295" w:rsidRPr="00526311" w:rsidTr="00F1387F">
        <w:trPr>
          <w:trHeight w:val="6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C91295" w:rsidRPr="00526311" w:rsidRDefault="00C91295" w:rsidP="00F1387F">
            <w:pPr>
              <w:rPr>
                <w:sz w:val="16"/>
                <w:szCs w:val="16"/>
              </w:rPr>
            </w:pPr>
            <w:r w:rsidRPr="00526311">
              <w:rPr>
                <w:sz w:val="16"/>
                <w:szCs w:val="16"/>
              </w:rPr>
              <w:t>Adjudicación del contrato al ingeniero de fachadas</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r>
      <w:tr w:rsidR="00C91295" w:rsidRPr="00526311" w:rsidTr="00F1387F">
        <w:trPr>
          <w:trHeight w:val="6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C91295" w:rsidRPr="00526311" w:rsidRDefault="00C91295" w:rsidP="00F1387F">
            <w:pPr>
              <w:rPr>
                <w:sz w:val="16"/>
                <w:szCs w:val="16"/>
              </w:rPr>
            </w:pPr>
            <w:r w:rsidRPr="00526311">
              <w:rPr>
                <w:sz w:val="16"/>
                <w:szCs w:val="16"/>
              </w:rPr>
              <w:t xml:space="preserve">Desarrollo y validación del proyecto con el ingeniero de fachadas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r>
      <w:tr w:rsidR="00C91295" w:rsidRPr="00526311" w:rsidTr="00F1387F">
        <w:trPr>
          <w:trHeight w:val="6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C91295" w:rsidRPr="00526311" w:rsidRDefault="00C91295" w:rsidP="00F1387F">
            <w:pPr>
              <w:rPr>
                <w:bCs/>
                <w:sz w:val="16"/>
                <w:szCs w:val="16"/>
              </w:rPr>
            </w:pPr>
            <w:r w:rsidRPr="00526311">
              <w:rPr>
                <w:bCs/>
                <w:sz w:val="16"/>
                <w:szCs w:val="16"/>
              </w:rPr>
              <w:t>Llamado a presentar ofertas y selección de empresas</w:t>
            </w:r>
          </w:p>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r>
      <w:tr w:rsidR="00C91295" w:rsidRPr="00526311" w:rsidTr="00F1387F">
        <w:trPr>
          <w:trHeight w:val="6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C91295" w:rsidRPr="00526311" w:rsidRDefault="00C91295" w:rsidP="00F1387F">
            <w:pPr>
              <w:rPr>
                <w:sz w:val="16"/>
                <w:szCs w:val="16"/>
              </w:rPr>
            </w:pPr>
            <w:r w:rsidRPr="00526311">
              <w:rPr>
                <w:sz w:val="16"/>
                <w:szCs w:val="16"/>
              </w:rPr>
              <w:t>Ejecución y puesta en servicio de la obra</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r>
    </w:tbl>
    <w:p w:rsidR="00C91295" w:rsidRPr="00526311" w:rsidRDefault="00C91295" w:rsidP="00F1387F">
      <w:pPr>
        <w:autoSpaceDE w:val="0"/>
        <w:autoSpaceDN w:val="0"/>
        <w:jc w:val="both"/>
        <w:rPr>
          <w:sz w:val="20"/>
        </w:rPr>
      </w:pPr>
    </w:p>
    <w:p w:rsidR="00C91295" w:rsidRPr="00526311" w:rsidRDefault="00C91295" w:rsidP="00F1387F">
      <w:pPr>
        <w:rPr>
          <w:sz w:val="20"/>
        </w:rPr>
      </w:pPr>
    </w:p>
    <w:p w:rsidR="00C91295" w:rsidRPr="00526311" w:rsidRDefault="00C91295" w:rsidP="00F1387F">
      <w:pPr>
        <w:rPr>
          <w:sz w:val="20"/>
        </w:rPr>
      </w:pPr>
      <w:r w:rsidRPr="00526311">
        <w:rPr>
          <w:sz w:val="20"/>
        </w:rPr>
        <w:br w:type="page"/>
      </w:r>
    </w:p>
    <w:p w:rsidR="00C91295" w:rsidRPr="00526311" w:rsidRDefault="00C91295" w:rsidP="00970131">
      <w:pPr>
        <w:rPr>
          <w:b/>
        </w:rPr>
      </w:pPr>
      <w:bookmarkStart w:id="109" w:name="_Toc422755503"/>
      <w:bookmarkStart w:id="110" w:name="_Toc422210529"/>
      <w:r w:rsidRPr="00526311">
        <w:rPr>
          <w:b/>
        </w:rPr>
        <w:lastRenderedPageBreak/>
        <w:t>PROYECTOS RELACIONADOS CON LA SEGURIDAD Y LA VIGILANCIA</w:t>
      </w:r>
      <w:bookmarkEnd w:id="109"/>
      <w:r w:rsidRPr="00526311">
        <w:rPr>
          <w:b/>
        </w:rPr>
        <w:t xml:space="preserve"> </w:t>
      </w:r>
    </w:p>
    <w:p w:rsidR="00C91295" w:rsidRPr="00526311" w:rsidRDefault="00C91295" w:rsidP="005D293E">
      <w:pPr>
        <w:pStyle w:val="StyleHeading3BoldNounderline"/>
        <w:ind w:right="-185"/>
        <w:rPr>
          <w:b/>
          <w:szCs w:val="20"/>
          <w:lang w:val="es-ES"/>
        </w:rPr>
      </w:pPr>
      <w:bookmarkStart w:id="111" w:name="_Toc422927454"/>
      <w:r w:rsidRPr="00526311">
        <w:rPr>
          <w:b/>
          <w:szCs w:val="20"/>
          <w:lang w:val="es-ES"/>
        </w:rPr>
        <w:t xml:space="preserve">PROYECTO:  MEDIDAS DE SEGURIDAD Y DE PROTECCIÓN CONTRA INCENDIOS </w:t>
      </w:r>
      <w:bookmarkEnd w:id="110"/>
      <w:r w:rsidR="005D293E" w:rsidRPr="00526311">
        <w:rPr>
          <w:b/>
          <w:szCs w:val="20"/>
          <w:lang w:val="es-ES"/>
        </w:rPr>
        <w:t>(PMM 7)</w:t>
      </w:r>
      <w:bookmarkEnd w:id="111"/>
    </w:p>
    <w:p w:rsidR="00C91295" w:rsidRPr="00526311" w:rsidRDefault="00C91295" w:rsidP="00F1387F">
      <w:pPr>
        <w:rPr>
          <w:b/>
          <w:sz w:val="20"/>
        </w:rPr>
      </w:pPr>
    </w:p>
    <w:p w:rsidR="00C91295" w:rsidRPr="00526311" w:rsidRDefault="00C91295" w:rsidP="00F1387F">
      <w:pPr>
        <w:rPr>
          <w:b/>
          <w:sz w:val="20"/>
        </w:rPr>
      </w:pPr>
      <w:r w:rsidRPr="00526311">
        <w:rPr>
          <w:b/>
          <w:sz w:val="20"/>
        </w:rPr>
        <w:t>Director de proyecto:</w:t>
      </w:r>
      <w:r w:rsidRPr="00526311">
        <w:rPr>
          <w:b/>
          <w:sz w:val="20"/>
        </w:rPr>
        <w:tab/>
        <w:t xml:space="preserve">Sr. J. </w:t>
      </w:r>
      <w:r w:rsidR="00345563" w:rsidRPr="00526311">
        <w:rPr>
          <w:b/>
          <w:sz w:val="20"/>
        </w:rPr>
        <w:t xml:space="preserve">Gagnon </w:t>
      </w:r>
    </w:p>
    <w:p w:rsidR="00C91295" w:rsidRPr="00526311" w:rsidRDefault="00C91295" w:rsidP="00F1387F">
      <w:pPr>
        <w:rPr>
          <w:sz w:val="20"/>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t>RESULTADO PREVISTO</w:t>
      </w:r>
    </w:p>
    <w:p w:rsidR="00C91295" w:rsidRPr="00526311" w:rsidRDefault="00C91295" w:rsidP="00F1387F">
      <w:pPr>
        <w:rPr>
          <w:bCs/>
          <w:sz w:val="20"/>
        </w:rPr>
      </w:pPr>
    </w:p>
    <w:p w:rsidR="00C91295" w:rsidRPr="00526311" w:rsidRDefault="00C91295" w:rsidP="00F1387F">
      <w:pPr>
        <w:rPr>
          <w:bCs/>
          <w:i/>
          <w:sz w:val="20"/>
        </w:rPr>
      </w:pPr>
      <w:r w:rsidRPr="00526311">
        <w:rPr>
          <w:bCs/>
          <w:i/>
          <w:sz w:val="20"/>
        </w:rPr>
        <w:t>IX.4 Una organización responsable con el medio ambiente y la sociedad</w:t>
      </w:r>
      <w:r w:rsidR="00345563">
        <w:rPr>
          <w:bCs/>
          <w:i/>
          <w:sz w:val="20"/>
        </w:rPr>
        <w:t>,</w:t>
      </w:r>
      <w:r w:rsidRPr="00526311">
        <w:rPr>
          <w:bCs/>
          <w:i/>
          <w:sz w:val="20"/>
        </w:rPr>
        <w:t xml:space="preserve"> en la que se garantiza la seguridad de</w:t>
      </w:r>
      <w:r w:rsidR="00345563">
        <w:rPr>
          <w:bCs/>
          <w:i/>
          <w:sz w:val="20"/>
        </w:rPr>
        <w:t xml:space="preserve"> su</w:t>
      </w:r>
      <w:r w:rsidRPr="00526311">
        <w:rPr>
          <w:bCs/>
          <w:i/>
          <w:sz w:val="20"/>
        </w:rPr>
        <w:t xml:space="preserve"> personal, los delegados, los visitantes, la información y los activos físicos</w:t>
      </w:r>
    </w:p>
    <w:p w:rsidR="00C91295" w:rsidRPr="00526311" w:rsidRDefault="00C91295" w:rsidP="00F1387F">
      <w:pPr>
        <w:rPr>
          <w:bCs/>
          <w:sz w:val="20"/>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t>OBJETIVOS, ALCANCE Y ENFOQUE:  ANTECEDENTES</w:t>
      </w:r>
    </w:p>
    <w:p w:rsidR="00C91295" w:rsidRPr="00526311" w:rsidRDefault="00C91295" w:rsidP="00F1387F">
      <w:pPr>
        <w:rPr>
          <w:bCs/>
          <w:sz w:val="20"/>
        </w:rPr>
      </w:pPr>
    </w:p>
    <w:p w:rsidR="00C91295" w:rsidRPr="00526311" w:rsidRDefault="00C91295" w:rsidP="00C91295">
      <w:pPr>
        <w:pStyle w:val="ListParagraph"/>
        <w:numPr>
          <w:ilvl w:val="0"/>
          <w:numId w:val="117"/>
        </w:numPr>
        <w:tabs>
          <w:tab w:val="left" w:pos="567"/>
        </w:tabs>
        <w:ind w:left="0" w:firstLine="0"/>
        <w:jc w:val="both"/>
        <w:rPr>
          <w:rFonts w:cs="Arial"/>
          <w:lang w:val="es-ES"/>
        </w:rPr>
      </w:pPr>
      <w:r w:rsidRPr="00526311">
        <w:rPr>
          <w:rFonts w:cs="Arial"/>
          <w:lang w:val="es-ES"/>
        </w:rPr>
        <w:t xml:space="preserve">Según la auditoría de seguridad y vigilancia realizada por un instituto especializado a petición de la Secretaría, es necesario poner en práctica varias recomendaciones relacionadas con medidas de seguridad y de protección contra incendios en los edificios más antiguos de la OMPI, para que cumplan con los nuevos niveles de seguridad (cabe señalar que el nuevo edificio y la nueva sala de conferencias quedan excluidos de este proyecto pues las especificaciones técnicas ya reflejan los nuevos niveles exigidos).  Las medidas de seguridad y de protección contra incendios que han de aplicarse en los edificios más antiguos de la OMPI son la compartimentación entre edificios y entre áreas de un edificio determinado (tabiques divisorios) para aislar mejor un único edificio o área en caso de incendio o de propagación de humo tras un incidente.  La compartimentación de los edificios se realizará mediante la construcción de elementos de infraestructura o puertas además o en lugar de las existentes y, en algunos casos, la instalación de nuevas puertas en los corredores o pasillos existentes.  </w:t>
      </w:r>
    </w:p>
    <w:p w:rsidR="00C91295" w:rsidRPr="00526311" w:rsidRDefault="00C91295" w:rsidP="00F1387F">
      <w:pPr>
        <w:tabs>
          <w:tab w:val="left" w:pos="567"/>
        </w:tabs>
        <w:rPr>
          <w:sz w:val="20"/>
        </w:rPr>
      </w:pPr>
    </w:p>
    <w:p w:rsidR="00C91295" w:rsidRPr="00526311" w:rsidRDefault="00C91295" w:rsidP="00C91295">
      <w:pPr>
        <w:pStyle w:val="ListParagraph"/>
        <w:numPr>
          <w:ilvl w:val="0"/>
          <w:numId w:val="117"/>
        </w:numPr>
        <w:tabs>
          <w:tab w:val="left" w:pos="567"/>
        </w:tabs>
        <w:ind w:left="0" w:firstLine="0"/>
        <w:rPr>
          <w:rFonts w:cs="Arial"/>
          <w:lang w:val="es-ES"/>
        </w:rPr>
      </w:pPr>
      <w:r w:rsidRPr="00526311">
        <w:rPr>
          <w:rFonts w:cs="Arial"/>
          <w:lang w:val="es-ES"/>
        </w:rPr>
        <w:t>La ejecución del proyecto permitirá:</w:t>
      </w:r>
    </w:p>
    <w:p w:rsidR="00C91295" w:rsidRPr="00526311" w:rsidRDefault="00C91295" w:rsidP="00F1387F">
      <w:pPr>
        <w:pStyle w:val="ListParagraph"/>
        <w:tabs>
          <w:tab w:val="left" w:pos="567"/>
        </w:tabs>
        <w:ind w:left="0"/>
        <w:rPr>
          <w:rFonts w:cs="Arial"/>
          <w:lang w:val="es-ES"/>
        </w:rPr>
      </w:pPr>
    </w:p>
    <w:p w:rsidR="00C91295" w:rsidRPr="00526311" w:rsidRDefault="00C91295" w:rsidP="00C91295">
      <w:pPr>
        <w:pStyle w:val="ListParagraph"/>
        <w:numPr>
          <w:ilvl w:val="0"/>
          <w:numId w:val="107"/>
        </w:numPr>
        <w:spacing w:after="120"/>
        <w:ind w:left="1134" w:hanging="567"/>
        <w:jc w:val="both"/>
        <w:rPr>
          <w:rFonts w:cs="Arial"/>
          <w:lang w:val="es-ES"/>
        </w:rPr>
      </w:pPr>
      <w:r w:rsidRPr="00526311">
        <w:rPr>
          <w:rFonts w:cs="Arial"/>
          <w:bCs/>
          <w:lang w:val="es-ES"/>
        </w:rPr>
        <w:t xml:space="preserve">reducir los costos relacionados con: i) daños causados a los locales o a los activos que se encuentran en su interior, limitando la probabilidad de que ocurran incidentes; y ii) actividades de reparación, sustitución y limpieza; </w:t>
      </w:r>
    </w:p>
    <w:p w:rsidR="00C91295" w:rsidRPr="00526311" w:rsidRDefault="00C91295" w:rsidP="00C91295">
      <w:pPr>
        <w:pStyle w:val="ListParagraph"/>
        <w:numPr>
          <w:ilvl w:val="0"/>
          <w:numId w:val="107"/>
        </w:numPr>
        <w:spacing w:after="120"/>
        <w:ind w:left="1134" w:hanging="567"/>
        <w:jc w:val="both"/>
        <w:rPr>
          <w:rFonts w:cs="Arial"/>
          <w:bCs/>
          <w:lang w:val="es-ES"/>
        </w:rPr>
      </w:pPr>
      <w:r w:rsidRPr="00526311">
        <w:rPr>
          <w:rFonts w:cs="Arial"/>
          <w:bCs/>
          <w:lang w:val="es-ES"/>
        </w:rPr>
        <w:t>mejorar la protección de los datos relativos a la presentación de solicitudes en virtud de diferentes sistemas de registro;</w:t>
      </w:r>
    </w:p>
    <w:p w:rsidR="00C91295" w:rsidRPr="00526311" w:rsidRDefault="00C91295" w:rsidP="00C91295">
      <w:pPr>
        <w:pStyle w:val="ListParagraph"/>
        <w:numPr>
          <w:ilvl w:val="0"/>
          <w:numId w:val="107"/>
        </w:numPr>
        <w:spacing w:after="120"/>
        <w:ind w:left="1134" w:hanging="567"/>
        <w:jc w:val="both"/>
        <w:rPr>
          <w:rFonts w:cs="Arial"/>
          <w:bCs/>
          <w:lang w:val="es-ES"/>
        </w:rPr>
      </w:pPr>
      <w:r w:rsidRPr="00526311">
        <w:rPr>
          <w:rFonts w:cs="Arial"/>
          <w:bCs/>
          <w:lang w:val="es-ES"/>
        </w:rPr>
        <w:t>crear un entorno de trabajo más seguro, fortaleciendo, en caso de incidente, la seguridad y las medidas de protección del personal y de las demás personas que trabajen en los edificios, y mejorando los procedimientos de evacuación; y</w:t>
      </w:r>
    </w:p>
    <w:p w:rsidR="00C91295" w:rsidRPr="00526311" w:rsidRDefault="00C91295" w:rsidP="00C91295">
      <w:pPr>
        <w:pStyle w:val="ListParagraph"/>
        <w:numPr>
          <w:ilvl w:val="0"/>
          <w:numId w:val="107"/>
        </w:numPr>
        <w:spacing w:after="120"/>
        <w:ind w:left="1134" w:hanging="567"/>
        <w:jc w:val="both"/>
        <w:rPr>
          <w:rFonts w:cs="Arial"/>
          <w:bCs/>
          <w:lang w:val="es-ES"/>
        </w:rPr>
      </w:pPr>
      <w:r w:rsidRPr="00526311">
        <w:rPr>
          <w:rFonts w:cs="Arial"/>
          <w:bCs/>
          <w:lang w:val="es-ES"/>
        </w:rPr>
        <w:t>mejorar la protección y la separación física de las instalaciones esenciales en los edificios.</w:t>
      </w:r>
    </w:p>
    <w:p w:rsidR="00C91295" w:rsidRPr="00526311" w:rsidRDefault="00C91295" w:rsidP="00F1387F">
      <w:pPr>
        <w:pStyle w:val="ListParagraph"/>
        <w:ind w:left="420"/>
        <w:jc w:val="both"/>
        <w:rPr>
          <w:rFonts w:cs="Arial"/>
          <w:bCs/>
          <w:lang w:val="es-ES"/>
        </w:rPr>
      </w:pPr>
    </w:p>
    <w:p w:rsidR="00C91295" w:rsidRPr="00526311" w:rsidRDefault="00C91295" w:rsidP="00F1387F">
      <w:pPr>
        <w:rPr>
          <w:bCs/>
          <w:sz w:val="20"/>
        </w:rPr>
      </w:pPr>
    </w:p>
    <w:p w:rsidR="00C91295" w:rsidRPr="00526311" w:rsidRDefault="00C91295" w:rsidP="00F1387F">
      <w:pPr>
        <w:spacing w:line="276" w:lineRule="auto"/>
        <w:rPr>
          <w:bCs/>
          <w:sz w:val="20"/>
        </w:rPr>
      </w:pPr>
      <w:r w:rsidRPr="00526311">
        <w:rPr>
          <w:bCs/>
          <w:sz w:val="20"/>
        </w:rPr>
        <w:t>RESEÑA DE LOS AVANCES LOGRADOS EN 2014 (ETAPAS FUNDAMENTALES)</w:t>
      </w:r>
    </w:p>
    <w:p w:rsidR="00C91295" w:rsidRPr="00526311" w:rsidRDefault="00C91295" w:rsidP="00F1387F">
      <w:pPr>
        <w:spacing w:line="276" w:lineRule="auto"/>
        <w:rPr>
          <w:bCs/>
          <w:sz w:val="20"/>
        </w:rPr>
      </w:pPr>
    </w:p>
    <w:p w:rsidR="00C91295" w:rsidRPr="00526311" w:rsidRDefault="00C91295" w:rsidP="00C91295">
      <w:pPr>
        <w:pStyle w:val="ListParagraph"/>
        <w:numPr>
          <w:ilvl w:val="0"/>
          <w:numId w:val="117"/>
        </w:numPr>
        <w:tabs>
          <w:tab w:val="left" w:pos="567"/>
        </w:tabs>
        <w:ind w:left="0" w:firstLine="0"/>
        <w:rPr>
          <w:rFonts w:cs="Arial"/>
          <w:bCs/>
          <w:u w:val="single"/>
          <w:lang w:val="es-ES"/>
        </w:rPr>
      </w:pPr>
      <w:r w:rsidRPr="00526311">
        <w:rPr>
          <w:rFonts w:cs="Arial"/>
          <w:bCs/>
          <w:u w:val="single"/>
          <w:lang w:val="es-ES"/>
        </w:rPr>
        <w:t>Compartimentación del edificio PCT:</w:t>
      </w:r>
    </w:p>
    <w:p w:rsidR="00C91295" w:rsidRPr="00526311" w:rsidRDefault="00C91295" w:rsidP="00F1387F">
      <w:pPr>
        <w:pStyle w:val="ListParagraph"/>
        <w:tabs>
          <w:tab w:val="left" w:pos="567"/>
        </w:tabs>
        <w:ind w:left="0"/>
        <w:rPr>
          <w:rFonts w:cs="Arial"/>
          <w:bCs/>
          <w:u w:val="single"/>
          <w:lang w:val="es-ES"/>
        </w:rPr>
      </w:pPr>
    </w:p>
    <w:p w:rsidR="00C91295" w:rsidRPr="00526311" w:rsidRDefault="00C91295" w:rsidP="00C91295">
      <w:pPr>
        <w:pStyle w:val="ListParagraph"/>
        <w:numPr>
          <w:ilvl w:val="0"/>
          <w:numId w:val="108"/>
        </w:numPr>
        <w:spacing w:after="120"/>
        <w:ind w:left="992" w:hanging="425"/>
        <w:rPr>
          <w:rFonts w:cs="Arial"/>
          <w:bCs/>
          <w:lang w:val="es-ES"/>
        </w:rPr>
      </w:pPr>
      <w:r w:rsidRPr="00526311">
        <w:rPr>
          <w:rFonts w:cs="Arial"/>
          <w:bCs/>
          <w:lang w:val="es-ES"/>
        </w:rPr>
        <w:t xml:space="preserve">Finalización de la instalación y conexión de las puertas cortafuego </w:t>
      </w:r>
    </w:p>
    <w:p w:rsidR="00C91295" w:rsidRPr="00526311" w:rsidRDefault="00C91295" w:rsidP="00C91295">
      <w:pPr>
        <w:pStyle w:val="ListParagraph"/>
        <w:numPr>
          <w:ilvl w:val="0"/>
          <w:numId w:val="108"/>
        </w:numPr>
        <w:ind w:left="993" w:hanging="426"/>
        <w:rPr>
          <w:rFonts w:cs="Arial"/>
          <w:b/>
          <w:bCs/>
          <w:u w:val="single"/>
          <w:lang w:val="es-ES"/>
        </w:rPr>
      </w:pPr>
      <w:r w:rsidRPr="00526311">
        <w:rPr>
          <w:rFonts w:cs="Arial"/>
          <w:bCs/>
          <w:lang w:val="es-ES"/>
        </w:rPr>
        <w:t>Finalización y aceptación de las obras</w:t>
      </w:r>
    </w:p>
    <w:p w:rsidR="00C91295" w:rsidRPr="00526311" w:rsidRDefault="00C91295" w:rsidP="00F1387F">
      <w:pPr>
        <w:rPr>
          <w:b/>
          <w:bCs/>
          <w:sz w:val="20"/>
          <w:u w:val="single"/>
        </w:rPr>
      </w:pPr>
    </w:p>
    <w:p w:rsidR="00C91295" w:rsidRPr="00526311" w:rsidRDefault="00C91295" w:rsidP="00C91295">
      <w:pPr>
        <w:pStyle w:val="ListParagraph"/>
        <w:numPr>
          <w:ilvl w:val="0"/>
          <w:numId w:val="117"/>
        </w:numPr>
        <w:tabs>
          <w:tab w:val="left" w:pos="567"/>
        </w:tabs>
        <w:ind w:left="0" w:firstLine="0"/>
        <w:rPr>
          <w:rFonts w:cs="Arial"/>
          <w:bCs/>
          <w:u w:val="single"/>
          <w:lang w:val="es-ES"/>
        </w:rPr>
      </w:pPr>
      <w:r w:rsidRPr="00526311">
        <w:rPr>
          <w:rFonts w:cs="Arial"/>
          <w:bCs/>
          <w:u w:val="single"/>
          <w:lang w:val="es-ES"/>
        </w:rPr>
        <w:t>Mejora de la planificación del espacio en la zona para los delegados en el segundo subsuelo del edificio AB/creación de un</w:t>
      </w:r>
      <w:r w:rsidRPr="00526311">
        <w:rPr>
          <w:rFonts w:ascii="ArialMT" w:hAnsi="ArialMT" w:cs="ArialMT"/>
          <w:lang w:val="es-ES"/>
        </w:rPr>
        <w:t xml:space="preserve"> </w:t>
      </w:r>
      <w:r w:rsidRPr="00526311">
        <w:rPr>
          <w:rFonts w:cs="Arial"/>
          <w:bCs/>
          <w:u w:val="single"/>
          <w:lang w:val="es-ES"/>
        </w:rPr>
        <w:t>vestíbulo de independencia en el acceso a los ascensores en el segundo subsuelo del edificio AB </w:t>
      </w:r>
    </w:p>
    <w:p w:rsidR="00C91295" w:rsidRPr="00526311" w:rsidRDefault="00C91295" w:rsidP="00F1387F">
      <w:pPr>
        <w:pStyle w:val="ListParagraph"/>
        <w:tabs>
          <w:tab w:val="left" w:pos="567"/>
        </w:tabs>
        <w:ind w:left="0"/>
        <w:rPr>
          <w:rFonts w:cs="Arial"/>
          <w:bCs/>
          <w:u w:val="single"/>
          <w:lang w:val="es-ES"/>
        </w:rPr>
      </w:pPr>
    </w:p>
    <w:p w:rsidR="00C91295" w:rsidRPr="00526311" w:rsidRDefault="00C91295" w:rsidP="00C91295">
      <w:pPr>
        <w:pStyle w:val="ListParagraph"/>
        <w:numPr>
          <w:ilvl w:val="0"/>
          <w:numId w:val="109"/>
        </w:numPr>
        <w:spacing w:after="120"/>
        <w:ind w:left="993" w:hanging="426"/>
        <w:jc w:val="both"/>
        <w:rPr>
          <w:rFonts w:cs="Arial"/>
          <w:bCs/>
          <w:lang w:val="es-ES"/>
        </w:rPr>
      </w:pPr>
      <w:r w:rsidRPr="00526311">
        <w:rPr>
          <w:rFonts w:cs="Arial"/>
          <w:bCs/>
          <w:lang w:val="es-ES"/>
        </w:rPr>
        <w:t>Definición de los objetivos antes de la preparación de la obra gruesa.</w:t>
      </w:r>
    </w:p>
    <w:p w:rsidR="00C91295" w:rsidRPr="00526311" w:rsidRDefault="00C91295" w:rsidP="00C91295">
      <w:pPr>
        <w:pStyle w:val="ListParagraph"/>
        <w:numPr>
          <w:ilvl w:val="0"/>
          <w:numId w:val="109"/>
        </w:numPr>
        <w:spacing w:after="120"/>
        <w:ind w:left="993" w:hanging="426"/>
        <w:jc w:val="both"/>
        <w:rPr>
          <w:rFonts w:cs="Arial"/>
          <w:bCs/>
          <w:lang w:val="es-ES"/>
        </w:rPr>
      </w:pPr>
      <w:r w:rsidRPr="00526311">
        <w:rPr>
          <w:rFonts w:cs="Arial"/>
          <w:bCs/>
          <w:lang w:val="es-ES"/>
        </w:rPr>
        <w:t>Convocatoria de ofertas, adjudicación de contratos a las diversas empresas, terminación de la preparación de la obra gruesa del vestíbulo de independencia.</w:t>
      </w:r>
    </w:p>
    <w:p w:rsidR="00C91295" w:rsidRPr="00526311" w:rsidRDefault="00C91295" w:rsidP="00C91295">
      <w:pPr>
        <w:pStyle w:val="ListParagraph"/>
        <w:numPr>
          <w:ilvl w:val="0"/>
          <w:numId w:val="109"/>
        </w:numPr>
        <w:spacing w:after="120"/>
        <w:ind w:left="993" w:hanging="426"/>
        <w:jc w:val="both"/>
        <w:rPr>
          <w:rFonts w:cs="Arial"/>
          <w:lang w:val="es-ES"/>
        </w:rPr>
      </w:pPr>
      <w:r w:rsidRPr="00526311">
        <w:rPr>
          <w:rFonts w:cs="Arial"/>
          <w:lang w:val="es-ES"/>
        </w:rPr>
        <w:t xml:space="preserve">Fase 1: instalación de los tabiques divisorios: </w:t>
      </w:r>
    </w:p>
    <w:p w:rsidR="00C91295" w:rsidRPr="00526311" w:rsidRDefault="00C91295" w:rsidP="00C91295">
      <w:pPr>
        <w:pStyle w:val="ListParagraph"/>
        <w:numPr>
          <w:ilvl w:val="1"/>
          <w:numId w:val="109"/>
        </w:numPr>
        <w:spacing w:after="120"/>
        <w:jc w:val="both"/>
        <w:rPr>
          <w:rFonts w:cs="Arial"/>
          <w:lang w:val="es-ES"/>
        </w:rPr>
      </w:pPr>
      <w:r w:rsidRPr="00526311">
        <w:rPr>
          <w:rFonts w:cs="Arial"/>
          <w:lang w:val="es-ES"/>
        </w:rPr>
        <w:t xml:space="preserve">Estudios y ejecución interna del proyecto de la obra   </w:t>
      </w:r>
    </w:p>
    <w:p w:rsidR="00C91295" w:rsidRPr="00526311" w:rsidRDefault="00C91295" w:rsidP="00C91295">
      <w:pPr>
        <w:pStyle w:val="ListParagraph"/>
        <w:numPr>
          <w:ilvl w:val="1"/>
          <w:numId w:val="109"/>
        </w:numPr>
        <w:spacing w:after="120"/>
        <w:jc w:val="both"/>
        <w:rPr>
          <w:rFonts w:cs="Arial"/>
          <w:bCs/>
          <w:lang w:val="es-ES"/>
        </w:rPr>
      </w:pPr>
      <w:r w:rsidRPr="00526311">
        <w:rPr>
          <w:rFonts w:cs="Arial"/>
          <w:bCs/>
          <w:lang w:val="es-ES"/>
        </w:rPr>
        <w:lastRenderedPageBreak/>
        <w:t>Convocatoria pública de ofertas y adjudicación de contratos</w:t>
      </w:r>
    </w:p>
    <w:p w:rsidR="00C91295" w:rsidRPr="00526311" w:rsidRDefault="00C91295" w:rsidP="00C91295">
      <w:pPr>
        <w:pStyle w:val="ListParagraph"/>
        <w:numPr>
          <w:ilvl w:val="1"/>
          <w:numId w:val="109"/>
        </w:numPr>
        <w:jc w:val="both"/>
        <w:rPr>
          <w:rFonts w:cs="Arial"/>
          <w:bCs/>
          <w:lang w:val="es-ES"/>
        </w:rPr>
      </w:pPr>
      <w:r w:rsidRPr="00526311">
        <w:rPr>
          <w:rFonts w:cs="Arial"/>
          <w:bCs/>
          <w:lang w:val="es-ES"/>
        </w:rPr>
        <w:t xml:space="preserve">Ejecución de las obras de compartimentación, es decir, la instalación de los tabiques divisorios </w:t>
      </w:r>
    </w:p>
    <w:p w:rsidR="00C91295" w:rsidRPr="00526311" w:rsidRDefault="00C91295" w:rsidP="00F1387F">
      <w:pPr>
        <w:rPr>
          <w:bCs/>
          <w:sz w:val="20"/>
        </w:rPr>
      </w:pPr>
    </w:p>
    <w:p w:rsidR="00C91295" w:rsidRPr="00526311" w:rsidRDefault="00C91295" w:rsidP="00F1387F">
      <w:pPr>
        <w:rPr>
          <w:bCs/>
          <w:sz w:val="20"/>
        </w:rPr>
      </w:pPr>
    </w:p>
    <w:p w:rsidR="00C91295" w:rsidRPr="00526311" w:rsidRDefault="00B34035" w:rsidP="00F1387F">
      <w:pPr>
        <w:rPr>
          <w:bCs/>
          <w:sz w:val="20"/>
        </w:rPr>
      </w:pPr>
      <w:r w:rsidRPr="00526311">
        <w:rPr>
          <w:bCs/>
          <w:sz w:val="20"/>
        </w:rPr>
        <w:t>OBTENCIÓN DE BENEFICIOS</w:t>
      </w:r>
    </w:p>
    <w:p w:rsidR="00C91295" w:rsidRPr="00526311" w:rsidRDefault="00C91295" w:rsidP="00F1387F">
      <w:pPr>
        <w:rPr>
          <w:sz w:val="20"/>
        </w:rPr>
      </w:pPr>
    </w:p>
    <w:tbl>
      <w:tblPr>
        <w:tblW w:w="4257" w:type="pct"/>
        <w:jc w:val="center"/>
        <w:tblInd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4"/>
        <w:gridCol w:w="2394"/>
        <w:gridCol w:w="2391"/>
      </w:tblGrid>
      <w:tr w:rsidR="00C91295" w:rsidRPr="00526311" w:rsidTr="00F1387F">
        <w:trPr>
          <w:trHeight w:val="314"/>
          <w:tblHeader/>
          <w:jc w:val="center"/>
        </w:trPr>
        <w:tc>
          <w:tcPr>
            <w:tcW w:w="2064" w:type="pct"/>
            <w:tcBorders>
              <w:bottom w:val="single" w:sz="4" w:space="0" w:color="auto"/>
            </w:tcBorders>
            <w:shd w:val="clear" w:color="auto" w:fill="C6D9F1" w:themeFill="text2" w:themeFillTint="33"/>
            <w:tcMar>
              <w:top w:w="113" w:type="dxa"/>
              <w:bottom w:w="113" w:type="dxa"/>
            </w:tcMar>
            <w:vAlign w:val="center"/>
          </w:tcPr>
          <w:p w:rsidR="00C91295" w:rsidRPr="00526311" w:rsidRDefault="00C91295" w:rsidP="00F1387F">
            <w:pPr>
              <w:jc w:val="center"/>
              <w:rPr>
                <w:b/>
                <w:bCs/>
                <w:sz w:val="16"/>
                <w:szCs w:val="16"/>
              </w:rPr>
            </w:pPr>
            <w:r w:rsidRPr="00526311">
              <w:rPr>
                <w:b/>
                <w:bCs/>
                <w:sz w:val="16"/>
                <w:szCs w:val="16"/>
              </w:rPr>
              <w:t>Beneficios obtenidos en 2014</w:t>
            </w:r>
          </w:p>
        </w:tc>
        <w:tc>
          <w:tcPr>
            <w:tcW w:w="1469" w:type="pct"/>
            <w:tcBorders>
              <w:bottom w:val="single" w:sz="4" w:space="0" w:color="auto"/>
            </w:tcBorders>
            <w:shd w:val="clear" w:color="auto" w:fill="C6D9F1" w:themeFill="text2" w:themeFillTint="33"/>
            <w:vAlign w:val="center"/>
          </w:tcPr>
          <w:p w:rsidR="00C91295" w:rsidRPr="00526311" w:rsidRDefault="00C91295" w:rsidP="00F1387F">
            <w:pPr>
              <w:jc w:val="center"/>
              <w:rPr>
                <w:b/>
                <w:bCs/>
                <w:sz w:val="16"/>
                <w:szCs w:val="16"/>
              </w:rPr>
            </w:pPr>
            <w:r w:rsidRPr="00526311">
              <w:rPr>
                <w:b/>
                <w:bCs/>
                <w:sz w:val="16"/>
                <w:szCs w:val="16"/>
              </w:rPr>
              <w:t>Beneficios previstos para 2015</w:t>
            </w:r>
          </w:p>
        </w:tc>
        <w:tc>
          <w:tcPr>
            <w:tcW w:w="1468" w:type="pct"/>
            <w:shd w:val="clear" w:color="auto" w:fill="C6D9F1" w:themeFill="text2" w:themeFillTint="33"/>
            <w:vAlign w:val="center"/>
          </w:tcPr>
          <w:p w:rsidR="00C91295" w:rsidRPr="00526311" w:rsidRDefault="00C91295" w:rsidP="00F1387F">
            <w:pPr>
              <w:jc w:val="center"/>
              <w:rPr>
                <w:b/>
                <w:bCs/>
                <w:sz w:val="16"/>
                <w:szCs w:val="16"/>
              </w:rPr>
            </w:pPr>
            <w:r w:rsidRPr="00526311">
              <w:rPr>
                <w:b/>
                <w:bCs/>
                <w:sz w:val="16"/>
                <w:szCs w:val="16"/>
              </w:rPr>
              <w:t>Beneficios previstos para 2016</w:t>
            </w:r>
          </w:p>
        </w:tc>
      </w:tr>
      <w:tr w:rsidR="00C91295" w:rsidRPr="00526311" w:rsidTr="00F1387F">
        <w:trPr>
          <w:trHeight w:val="564"/>
          <w:jc w:val="center"/>
        </w:trPr>
        <w:tc>
          <w:tcPr>
            <w:tcW w:w="2064" w:type="pct"/>
            <w:tcBorders>
              <w:top w:val="single" w:sz="4" w:space="0" w:color="auto"/>
              <w:bottom w:val="single" w:sz="4" w:space="0" w:color="auto"/>
            </w:tcBorders>
            <w:shd w:val="clear" w:color="auto" w:fill="auto"/>
            <w:tcMar>
              <w:top w:w="113" w:type="dxa"/>
              <w:bottom w:w="113" w:type="dxa"/>
            </w:tcMar>
          </w:tcPr>
          <w:p w:rsidR="00C91295" w:rsidRPr="00526311" w:rsidRDefault="00C91295" w:rsidP="00F1387F">
            <w:pPr>
              <w:rPr>
                <w:bCs/>
                <w:sz w:val="16"/>
                <w:szCs w:val="16"/>
              </w:rPr>
            </w:pPr>
            <w:r w:rsidRPr="00526311">
              <w:rPr>
                <w:bCs/>
                <w:sz w:val="16"/>
                <w:szCs w:val="16"/>
              </w:rPr>
              <w:t>Mejora de la seguridad y de las medidas de protección del personal al término de las obras de compartimentación del edificio PCT</w:t>
            </w:r>
          </w:p>
        </w:tc>
        <w:tc>
          <w:tcPr>
            <w:tcW w:w="1469" w:type="pct"/>
            <w:tcBorders>
              <w:top w:val="single" w:sz="4" w:space="0" w:color="auto"/>
              <w:bottom w:val="single" w:sz="4" w:space="0" w:color="auto"/>
            </w:tcBorders>
          </w:tcPr>
          <w:p w:rsidR="00C91295" w:rsidRPr="00526311" w:rsidRDefault="00C91295" w:rsidP="00F1387F">
            <w:pPr>
              <w:rPr>
                <w:b/>
                <w:bCs/>
                <w:sz w:val="16"/>
                <w:szCs w:val="16"/>
                <w:u w:val="single"/>
              </w:rPr>
            </w:pPr>
            <w:r w:rsidRPr="00526311">
              <w:rPr>
                <w:bCs/>
                <w:sz w:val="16"/>
                <w:szCs w:val="16"/>
              </w:rPr>
              <w:t>Mantener el nivel de vigilancia y seguridad en el edificio PCT</w:t>
            </w:r>
          </w:p>
        </w:tc>
        <w:tc>
          <w:tcPr>
            <w:tcW w:w="1468" w:type="pct"/>
            <w:shd w:val="clear" w:color="auto" w:fill="auto"/>
          </w:tcPr>
          <w:p w:rsidR="00C91295" w:rsidRPr="00526311" w:rsidRDefault="00C91295" w:rsidP="00F1387F">
            <w:pPr>
              <w:rPr>
                <w:b/>
                <w:bCs/>
                <w:i/>
                <w:iCs/>
                <w:sz w:val="16"/>
                <w:szCs w:val="16"/>
              </w:rPr>
            </w:pPr>
          </w:p>
        </w:tc>
      </w:tr>
      <w:tr w:rsidR="00C91295" w:rsidRPr="00526311" w:rsidTr="00F1387F">
        <w:trPr>
          <w:trHeight w:val="919"/>
          <w:jc w:val="center"/>
        </w:trPr>
        <w:tc>
          <w:tcPr>
            <w:tcW w:w="2064" w:type="pct"/>
            <w:tcBorders>
              <w:top w:val="single" w:sz="4" w:space="0" w:color="auto"/>
              <w:bottom w:val="single" w:sz="4" w:space="0" w:color="auto"/>
            </w:tcBorders>
            <w:shd w:val="clear" w:color="auto" w:fill="auto"/>
            <w:tcMar>
              <w:top w:w="113" w:type="dxa"/>
              <w:bottom w:w="113" w:type="dxa"/>
            </w:tcMar>
          </w:tcPr>
          <w:p w:rsidR="00C91295" w:rsidRPr="00526311" w:rsidRDefault="00C91295" w:rsidP="00F1387F">
            <w:pPr>
              <w:rPr>
                <w:b/>
                <w:bCs/>
                <w:sz w:val="16"/>
                <w:szCs w:val="16"/>
                <w:u w:val="single"/>
              </w:rPr>
            </w:pPr>
          </w:p>
        </w:tc>
        <w:tc>
          <w:tcPr>
            <w:tcW w:w="1469" w:type="pct"/>
            <w:tcBorders>
              <w:top w:val="single" w:sz="4" w:space="0" w:color="auto"/>
              <w:bottom w:val="single" w:sz="4" w:space="0" w:color="auto"/>
            </w:tcBorders>
          </w:tcPr>
          <w:p w:rsidR="00C91295" w:rsidRPr="00526311" w:rsidRDefault="00C91295" w:rsidP="00F1387F">
            <w:pPr>
              <w:rPr>
                <w:bCs/>
                <w:sz w:val="16"/>
                <w:szCs w:val="16"/>
              </w:rPr>
            </w:pPr>
            <w:r w:rsidRPr="00526311">
              <w:rPr>
                <w:bCs/>
                <w:sz w:val="16"/>
                <w:szCs w:val="16"/>
              </w:rPr>
              <w:t xml:space="preserve">Mejorar la seguridad del personal y de los delegados mediante la creación de un vestíbulo de independencia en el acceso a los ascensores en el segundo subsuelo del edificio AB </w:t>
            </w:r>
          </w:p>
          <w:p w:rsidR="00C91295" w:rsidRPr="00526311" w:rsidRDefault="00C91295" w:rsidP="00F1387F">
            <w:pPr>
              <w:rPr>
                <w:bCs/>
                <w:sz w:val="16"/>
                <w:szCs w:val="16"/>
              </w:rPr>
            </w:pPr>
          </w:p>
        </w:tc>
        <w:tc>
          <w:tcPr>
            <w:tcW w:w="1468" w:type="pct"/>
            <w:shd w:val="clear" w:color="auto" w:fill="auto"/>
          </w:tcPr>
          <w:p w:rsidR="00C91295" w:rsidRPr="00526311" w:rsidRDefault="00C91295" w:rsidP="00F1387F">
            <w:pPr>
              <w:rPr>
                <w:bCs/>
                <w:sz w:val="16"/>
                <w:szCs w:val="16"/>
              </w:rPr>
            </w:pPr>
            <w:r w:rsidRPr="00526311">
              <w:rPr>
                <w:bCs/>
                <w:sz w:val="16"/>
                <w:szCs w:val="16"/>
              </w:rPr>
              <w:t xml:space="preserve">Mantener el nivel de vigilancia y seguridad en el acceso al segundo subsuelo del edificio AB </w:t>
            </w:r>
          </w:p>
          <w:p w:rsidR="00C91295" w:rsidRPr="00526311" w:rsidRDefault="00C91295" w:rsidP="00F1387F">
            <w:pPr>
              <w:rPr>
                <w:b/>
                <w:bCs/>
                <w:i/>
                <w:iCs/>
                <w:sz w:val="16"/>
                <w:szCs w:val="16"/>
              </w:rPr>
            </w:pPr>
          </w:p>
        </w:tc>
      </w:tr>
      <w:tr w:rsidR="00C91295" w:rsidRPr="00526311" w:rsidTr="00F1387F">
        <w:trPr>
          <w:trHeight w:val="564"/>
          <w:jc w:val="center"/>
        </w:trPr>
        <w:tc>
          <w:tcPr>
            <w:tcW w:w="2064" w:type="pct"/>
            <w:tcBorders>
              <w:top w:val="single" w:sz="4" w:space="0" w:color="auto"/>
              <w:bottom w:val="single" w:sz="4" w:space="0" w:color="auto"/>
            </w:tcBorders>
            <w:shd w:val="clear" w:color="auto" w:fill="auto"/>
            <w:tcMar>
              <w:top w:w="113" w:type="dxa"/>
              <w:bottom w:w="113" w:type="dxa"/>
            </w:tcMar>
          </w:tcPr>
          <w:p w:rsidR="00C91295" w:rsidRPr="00526311" w:rsidRDefault="00C91295" w:rsidP="00F1387F">
            <w:pPr>
              <w:rPr>
                <w:b/>
                <w:bCs/>
                <w:sz w:val="16"/>
                <w:szCs w:val="16"/>
                <w:u w:val="single"/>
              </w:rPr>
            </w:pPr>
          </w:p>
        </w:tc>
        <w:tc>
          <w:tcPr>
            <w:tcW w:w="1469" w:type="pct"/>
            <w:tcBorders>
              <w:top w:val="single" w:sz="4" w:space="0" w:color="auto"/>
              <w:bottom w:val="single" w:sz="4" w:space="0" w:color="auto"/>
            </w:tcBorders>
          </w:tcPr>
          <w:p w:rsidR="00C91295" w:rsidRPr="00526311" w:rsidRDefault="00C91295" w:rsidP="00F1387F">
            <w:pPr>
              <w:rPr>
                <w:b/>
                <w:bCs/>
                <w:sz w:val="16"/>
                <w:szCs w:val="16"/>
                <w:u w:val="single"/>
              </w:rPr>
            </w:pPr>
          </w:p>
        </w:tc>
        <w:tc>
          <w:tcPr>
            <w:tcW w:w="1468" w:type="pct"/>
            <w:shd w:val="clear" w:color="auto" w:fill="auto"/>
          </w:tcPr>
          <w:p w:rsidR="00C91295" w:rsidRPr="00526311" w:rsidRDefault="00C91295" w:rsidP="00F1387F">
            <w:pPr>
              <w:rPr>
                <w:b/>
                <w:bCs/>
                <w:i/>
                <w:iCs/>
                <w:sz w:val="16"/>
                <w:szCs w:val="16"/>
              </w:rPr>
            </w:pPr>
            <w:r w:rsidRPr="00526311">
              <w:rPr>
                <w:bCs/>
                <w:sz w:val="16"/>
                <w:szCs w:val="16"/>
              </w:rPr>
              <w:t>Mejorar el nivel de vigilancia y seguridad entre los edificios GBI y GBII</w:t>
            </w:r>
          </w:p>
        </w:tc>
      </w:tr>
      <w:tr w:rsidR="00C91295" w:rsidRPr="00526311" w:rsidTr="00F1387F">
        <w:trPr>
          <w:trHeight w:val="564"/>
          <w:jc w:val="center"/>
        </w:trPr>
        <w:tc>
          <w:tcPr>
            <w:tcW w:w="2064" w:type="pct"/>
            <w:tcBorders>
              <w:top w:val="single" w:sz="4" w:space="0" w:color="auto"/>
              <w:bottom w:val="single" w:sz="4" w:space="0" w:color="auto"/>
            </w:tcBorders>
            <w:shd w:val="clear" w:color="auto" w:fill="auto"/>
            <w:tcMar>
              <w:top w:w="113" w:type="dxa"/>
              <w:bottom w:w="113" w:type="dxa"/>
            </w:tcMar>
          </w:tcPr>
          <w:p w:rsidR="00C91295" w:rsidRPr="00526311" w:rsidRDefault="00C91295" w:rsidP="00F1387F">
            <w:pPr>
              <w:rPr>
                <w:b/>
                <w:bCs/>
                <w:sz w:val="16"/>
                <w:szCs w:val="16"/>
                <w:u w:val="single"/>
              </w:rPr>
            </w:pPr>
          </w:p>
        </w:tc>
        <w:tc>
          <w:tcPr>
            <w:tcW w:w="1469" w:type="pct"/>
            <w:tcBorders>
              <w:top w:val="single" w:sz="4" w:space="0" w:color="auto"/>
              <w:bottom w:val="single" w:sz="4" w:space="0" w:color="auto"/>
            </w:tcBorders>
          </w:tcPr>
          <w:p w:rsidR="00C91295" w:rsidRPr="00526311" w:rsidRDefault="00C91295" w:rsidP="00F1387F">
            <w:pPr>
              <w:rPr>
                <w:b/>
                <w:bCs/>
                <w:sz w:val="16"/>
                <w:szCs w:val="16"/>
                <w:u w:val="single"/>
              </w:rPr>
            </w:pPr>
          </w:p>
        </w:tc>
        <w:tc>
          <w:tcPr>
            <w:tcW w:w="1468" w:type="pct"/>
            <w:shd w:val="clear" w:color="auto" w:fill="auto"/>
          </w:tcPr>
          <w:p w:rsidR="00C91295" w:rsidRPr="00526311" w:rsidRDefault="00C91295" w:rsidP="00F1387F">
            <w:pPr>
              <w:rPr>
                <w:b/>
                <w:bCs/>
                <w:i/>
                <w:iCs/>
                <w:sz w:val="16"/>
                <w:szCs w:val="16"/>
              </w:rPr>
            </w:pPr>
            <w:r w:rsidRPr="00526311">
              <w:rPr>
                <w:bCs/>
                <w:sz w:val="16"/>
                <w:szCs w:val="16"/>
              </w:rPr>
              <w:t>Mejorar el nivel de vigilancia y seguridad entre los edificios AB y GBI</w:t>
            </w:r>
          </w:p>
        </w:tc>
      </w:tr>
    </w:tbl>
    <w:p w:rsidR="00C91295" w:rsidRPr="00526311" w:rsidRDefault="00C91295" w:rsidP="00F1387F">
      <w:pPr>
        <w:rPr>
          <w:sz w:val="20"/>
        </w:rPr>
      </w:pPr>
    </w:p>
    <w:p w:rsidR="00C91295" w:rsidRPr="00526311" w:rsidRDefault="00C91295" w:rsidP="00F1387F">
      <w:pPr>
        <w:rPr>
          <w:sz w:val="20"/>
        </w:rPr>
      </w:pPr>
    </w:p>
    <w:p w:rsidR="00C91295" w:rsidRPr="00526311" w:rsidRDefault="001A0CDD" w:rsidP="00F1387F">
      <w:pPr>
        <w:rPr>
          <w:sz w:val="20"/>
        </w:rPr>
      </w:pPr>
      <w:r w:rsidRPr="00526311">
        <w:rPr>
          <w:sz w:val="20"/>
        </w:rPr>
        <w:t>UTILIZACIÓN DE LOS RECURSOS</w:t>
      </w:r>
    </w:p>
    <w:p w:rsidR="00C91295" w:rsidRPr="00526311" w:rsidRDefault="00C91295" w:rsidP="00F1387F">
      <w:pPr>
        <w:rPr>
          <w:sz w:val="20"/>
        </w:rPr>
      </w:pPr>
    </w:p>
    <w:p w:rsidR="00C91295" w:rsidRPr="00526311" w:rsidRDefault="00C91295" w:rsidP="00F1387F">
      <w:pPr>
        <w:keepNext/>
        <w:keepLines/>
        <w:tabs>
          <w:tab w:val="left" w:pos="3261"/>
        </w:tabs>
        <w:autoSpaceDE w:val="0"/>
        <w:autoSpaceDN w:val="0"/>
        <w:adjustRightInd w:val="0"/>
        <w:jc w:val="center"/>
        <w:rPr>
          <w:b/>
          <w:sz w:val="20"/>
        </w:rPr>
      </w:pPr>
      <w:r w:rsidRPr="00526311">
        <w:rPr>
          <w:b/>
          <w:sz w:val="20"/>
        </w:rPr>
        <w:t>Utilización del presupuesto del proyecto</w:t>
      </w:r>
    </w:p>
    <w:p w:rsidR="00C91295" w:rsidRPr="00526311" w:rsidRDefault="00C91295" w:rsidP="00F1387F">
      <w:pPr>
        <w:keepNext/>
        <w:keepLines/>
        <w:tabs>
          <w:tab w:val="left" w:pos="3261"/>
        </w:tabs>
        <w:autoSpaceDE w:val="0"/>
        <w:autoSpaceDN w:val="0"/>
        <w:adjustRightInd w:val="0"/>
        <w:jc w:val="center"/>
        <w:rPr>
          <w:i/>
          <w:iCs/>
          <w:sz w:val="18"/>
          <w:szCs w:val="18"/>
        </w:rPr>
      </w:pPr>
      <w:r w:rsidRPr="00526311">
        <w:rPr>
          <w:i/>
          <w:iCs/>
          <w:sz w:val="18"/>
          <w:szCs w:val="18"/>
        </w:rPr>
        <w:t>(en francos suizos, al 31 de diciembre de 2014)</w:t>
      </w:r>
    </w:p>
    <w:p w:rsidR="00C91295" w:rsidRPr="00526311" w:rsidRDefault="00C91295" w:rsidP="00F1387F">
      <w:pPr>
        <w:keepNext/>
        <w:keepLines/>
        <w:tabs>
          <w:tab w:val="left" w:pos="3261"/>
        </w:tabs>
        <w:autoSpaceDE w:val="0"/>
        <w:autoSpaceDN w:val="0"/>
        <w:adjustRightInd w:val="0"/>
        <w:jc w:val="center"/>
        <w:rPr>
          <w:i/>
          <w:iCs/>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1759"/>
        <w:gridCol w:w="1711"/>
        <w:gridCol w:w="1225"/>
        <w:gridCol w:w="1564"/>
      </w:tblGrid>
      <w:tr w:rsidR="00C91295" w:rsidRPr="00526311" w:rsidTr="00F1387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keepNext/>
              <w:keepLines/>
              <w:autoSpaceDE w:val="0"/>
              <w:autoSpaceDN w:val="0"/>
              <w:adjustRightInd w:val="0"/>
              <w:spacing w:before="40" w:after="40"/>
              <w:ind w:left="-74" w:right="-60"/>
              <w:jc w:val="center"/>
              <w:rPr>
                <w:b/>
                <w:bCs/>
                <w:sz w:val="16"/>
                <w:szCs w:val="16"/>
              </w:rPr>
            </w:pPr>
            <w:r w:rsidRPr="00526311">
              <w:rPr>
                <w:b/>
                <w:bCs/>
                <w:sz w:val="16"/>
                <w:szCs w:val="16"/>
              </w:rPr>
              <w:t>Nombre del proyecto</w:t>
            </w:r>
          </w:p>
        </w:tc>
        <w:tc>
          <w:tcPr>
            <w:tcW w:w="9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keepNext/>
              <w:keepLines/>
              <w:autoSpaceDE w:val="0"/>
              <w:autoSpaceDN w:val="0"/>
              <w:adjustRightInd w:val="0"/>
              <w:spacing w:before="40" w:after="40"/>
              <w:ind w:left="-107" w:right="-108"/>
              <w:jc w:val="center"/>
              <w:rPr>
                <w:b/>
                <w:bCs/>
                <w:sz w:val="16"/>
                <w:szCs w:val="16"/>
              </w:rPr>
            </w:pPr>
            <w:r w:rsidRPr="00526311">
              <w:rPr>
                <w:b/>
                <w:bCs/>
                <w:sz w:val="16"/>
                <w:szCs w:val="16"/>
              </w:rPr>
              <w:t>Presupuesto del proyecto</w:t>
            </w:r>
          </w:p>
        </w:tc>
        <w:tc>
          <w:tcPr>
            <w:tcW w:w="9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keepNext/>
              <w:keepLines/>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6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keepNext/>
              <w:keepLines/>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c>
          <w:tcPr>
            <w:tcW w:w="8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keepNext/>
              <w:keepLines/>
              <w:autoSpaceDE w:val="0"/>
              <w:autoSpaceDN w:val="0"/>
              <w:adjustRightInd w:val="0"/>
              <w:spacing w:before="40" w:after="40"/>
              <w:ind w:left="-109" w:right="-73" w:firstLine="1"/>
              <w:jc w:val="center"/>
              <w:rPr>
                <w:b/>
                <w:bCs/>
                <w:sz w:val="16"/>
                <w:szCs w:val="16"/>
              </w:rPr>
            </w:pPr>
            <w:r w:rsidRPr="00526311">
              <w:rPr>
                <w:b/>
                <w:bCs/>
                <w:sz w:val="16"/>
                <w:szCs w:val="16"/>
              </w:rPr>
              <w:t>Índice de avance en la ejecución del proyecto</w:t>
            </w:r>
          </w:p>
        </w:tc>
      </w:tr>
      <w:tr w:rsidR="00C91295" w:rsidRPr="00526311" w:rsidTr="00F1387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Medidas de seguridad y de protección contra incendios</w:t>
            </w:r>
          </w:p>
        </w:tc>
        <w:tc>
          <w:tcPr>
            <w:tcW w:w="9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400.000</w:t>
            </w:r>
          </w:p>
        </w:tc>
        <w:tc>
          <w:tcPr>
            <w:tcW w:w="93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96.544</w:t>
            </w:r>
          </w:p>
        </w:tc>
        <w:tc>
          <w:tcPr>
            <w:tcW w:w="66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24%</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40%</w:t>
            </w:r>
          </w:p>
        </w:tc>
      </w:tr>
    </w:tbl>
    <w:p w:rsidR="00C91295" w:rsidRPr="00526311" w:rsidRDefault="00C91295" w:rsidP="00F1387F">
      <w:pPr>
        <w:keepNext/>
        <w:autoSpaceDE w:val="0"/>
        <w:autoSpaceDN w:val="0"/>
        <w:rPr>
          <w:sz w:val="20"/>
        </w:rPr>
      </w:pPr>
    </w:p>
    <w:p w:rsidR="00C91295" w:rsidRPr="00526311" w:rsidRDefault="00C91295" w:rsidP="00F1387F">
      <w:pPr>
        <w:keepNext/>
        <w:keepLines/>
        <w:tabs>
          <w:tab w:val="left" w:pos="3261"/>
        </w:tabs>
        <w:autoSpaceDE w:val="0"/>
        <w:autoSpaceDN w:val="0"/>
        <w:adjustRightInd w:val="0"/>
        <w:rPr>
          <w:b/>
          <w:sz w:val="20"/>
        </w:rPr>
      </w:pPr>
    </w:p>
    <w:p w:rsidR="00D65430" w:rsidRPr="00526311" w:rsidRDefault="00D65430">
      <w:pPr>
        <w:rPr>
          <w:b/>
          <w:sz w:val="20"/>
        </w:rPr>
      </w:pPr>
      <w:r w:rsidRPr="00526311">
        <w:rPr>
          <w:b/>
          <w:sz w:val="20"/>
        </w:rPr>
        <w:br w:type="page"/>
      </w:r>
    </w:p>
    <w:p w:rsidR="00C91295" w:rsidRPr="00526311" w:rsidRDefault="00C91295" w:rsidP="00D65430">
      <w:pPr>
        <w:keepNext/>
        <w:keepLines/>
        <w:tabs>
          <w:tab w:val="left" w:pos="3261"/>
        </w:tabs>
        <w:autoSpaceDE w:val="0"/>
        <w:autoSpaceDN w:val="0"/>
        <w:adjustRightInd w:val="0"/>
        <w:jc w:val="center"/>
        <w:rPr>
          <w:b/>
          <w:sz w:val="20"/>
        </w:rPr>
      </w:pPr>
      <w:r w:rsidRPr="00526311">
        <w:rPr>
          <w:b/>
          <w:sz w:val="20"/>
        </w:rPr>
        <w:lastRenderedPageBreak/>
        <w:t>Utilización del presupuesto del proyecto (por etapa)</w:t>
      </w:r>
    </w:p>
    <w:p w:rsidR="00C91295" w:rsidRPr="00526311" w:rsidRDefault="00C91295" w:rsidP="00D65430">
      <w:pPr>
        <w:keepNext/>
        <w:keepLines/>
        <w:tabs>
          <w:tab w:val="left" w:pos="3261"/>
        </w:tabs>
        <w:autoSpaceDE w:val="0"/>
        <w:autoSpaceDN w:val="0"/>
        <w:adjustRightInd w:val="0"/>
        <w:jc w:val="center"/>
        <w:rPr>
          <w:i/>
          <w:iCs/>
          <w:sz w:val="18"/>
          <w:szCs w:val="18"/>
        </w:rPr>
      </w:pPr>
      <w:r w:rsidRPr="00526311">
        <w:rPr>
          <w:i/>
          <w:iCs/>
          <w:sz w:val="18"/>
          <w:szCs w:val="18"/>
        </w:rPr>
        <w:t xml:space="preserve">(en francos suizos, al 31 de diciembre de 2014) </w:t>
      </w:r>
    </w:p>
    <w:p w:rsidR="00C91295" w:rsidRPr="00526311" w:rsidRDefault="00C91295" w:rsidP="00D65430">
      <w:pPr>
        <w:keepNext/>
        <w:keepLines/>
        <w:tabs>
          <w:tab w:val="left" w:pos="3261"/>
        </w:tabs>
        <w:autoSpaceDE w:val="0"/>
        <w:autoSpaceDN w:val="0"/>
        <w:adjustRightInd w:val="0"/>
        <w:jc w:val="center"/>
        <w:rPr>
          <w:i/>
          <w:iCs/>
          <w:sz w:val="20"/>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387"/>
        <w:gridCol w:w="1589"/>
        <w:gridCol w:w="1562"/>
        <w:gridCol w:w="1575"/>
      </w:tblGrid>
      <w:tr w:rsidR="00C91295" w:rsidRPr="00526311" w:rsidTr="00F1387F">
        <w:trPr>
          <w:trHeight w:val="410"/>
        </w:trPr>
        <w:tc>
          <w:tcPr>
            <w:tcW w:w="16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D65430">
            <w:pPr>
              <w:keepNext/>
              <w:keepLines/>
              <w:autoSpaceDE w:val="0"/>
              <w:autoSpaceDN w:val="0"/>
              <w:adjustRightInd w:val="0"/>
              <w:spacing w:before="40" w:after="40"/>
              <w:ind w:left="-74" w:right="-60"/>
              <w:jc w:val="center"/>
              <w:rPr>
                <w:b/>
                <w:bCs/>
                <w:sz w:val="16"/>
                <w:szCs w:val="16"/>
              </w:rPr>
            </w:pPr>
            <w:r w:rsidRPr="00526311">
              <w:rPr>
                <w:b/>
                <w:bCs/>
                <w:sz w:val="16"/>
                <w:szCs w:val="16"/>
              </w:rPr>
              <w:t>Etapas fundamentales</w:t>
            </w:r>
          </w:p>
        </w:tc>
        <w:tc>
          <w:tcPr>
            <w:tcW w:w="7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D65430">
            <w:pPr>
              <w:keepNext/>
              <w:keepLines/>
              <w:autoSpaceDE w:val="0"/>
              <w:autoSpaceDN w:val="0"/>
              <w:adjustRightInd w:val="0"/>
              <w:spacing w:before="40" w:after="40"/>
              <w:ind w:left="-107" w:right="-108"/>
              <w:jc w:val="center"/>
              <w:rPr>
                <w:b/>
                <w:bCs/>
                <w:sz w:val="16"/>
                <w:szCs w:val="16"/>
              </w:rPr>
            </w:pPr>
            <w:r w:rsidRPr="00526311">
              <w:rPr>
                <w:b/>
                <w:bCs/>
                <w:sz w:val="16"/>
                <w:szCs w:val="16"/>
              </w:rPr>
              <w:t>Presupuesto del proyecto</w:t>
            </w:r>
          </w:p>
        </w:tc>
        <w:tc>
          <w:tcPr>
            <w:tcW w:w="8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D65430">
            <w:pPr>
              <w:keepNext/>
              <w:keepLines/>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8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D65430">
            <w:pPr>
              <w:keepNext/>
              <w:keepLines/>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c>
          <w:tcPr>
            <w:tcW w:w="8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D65430">
            <w:pPr>
              <w:keepNext/>
              <w:keepLines/>
              <w:autoSpaceDE w:val="0"/>
              <w:autoSpaceDN w:val="0"/>
              <w:adjustRightInd w:val="0"/>
              <w:spacing w:before="40" w:after="40"/>
              <w:ind w:left="-109" w:right="-73" w:firstLine="1"/>
              <w:jc w:val="center"/>
              <w:rPr>
                <w:b/>
                <w:bCs/>
                <w:sz w:val="16"/>
                <w:szCs w:val="16"/>
              </w:rPr>
            </w:pPr>
            <w:r w:rsidRPr="00526311">
              <w:rPr>
                <w:b/>
                <w:bCs/>
                <w:sz w:val="16"/>
                <w:szCs w:val="16"/>
              </w:rPr>
              <w:t>Índice de avance en la ejecución del proyecto</w:t>
            </w:r>
          </w:p>
        </w:tc>
      </w:tr>
      <w:tr w:rsidR="00C91295" w:rsidRPr="00526311" w:rsidTr="00F1387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rPr>
                <w:sz w:val="16"/>
                <w:szCs w:val="16"/>
              </w:rPr>
            </w:pPr>
            <w:r w:rsidRPr="00526311">
              <w:rPr>
                <w:sz w:val="16"/>
                <w:szCs w:val="16"/>
              </w:rPr>
              <w:t>Compartimentación del edificio PCT</w:t>
            </w:r>
          </w:p>
        </w:tc>
        <w:tc>
          <w:tcPr>
            <w:tcW w:w="7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45.000</w:t>
            </w:r>
          </w:p>
        </w:tc>
        <w:tc>
          <w:tcPr>
            <w:tcW w:w="86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44.392</w:t>
            </w:r>
          </w:p>
        </w:tc>
        <w:tc>
          <w:tcPr>
            <w:tcW w:w="8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99%</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100%</w:t>
            </w:r>
          </w:p>
        </w:tc>
      </w:tr>
      <w:tr w:rsidR="00C91295" w:rsidRPr="00526311" w:rsidTr="00F1387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rPr>
                <w:sz w:val="16"/>
                <w:szCs w:val="16"/>
              </w:rPr>
            </w:pPr>
            <w:r w:rsidRPr="00526311">
              <w:rPr>
                <w:sz w:val="16"/>
                <w:szCs w:val="16"/>
              </w:rPr>
              <w:t xml:space="preserve">Mejora de la planificación de los espacios en la zona para los delegados en el segundo subsuelo del edificio AB/creación de un vestíbulo de independencia en el acceso a los ascensores en el segundo subsuelo del edificio AB </w:t>
            </w:r>
          </w:p>
          <w:p w:rsidR="00C91295" w:rsidRPr="00526311" w:rsidRDefault="00C91295" w:rsidP="00D65430">
            <w:pPr>
              <w:keepNext/>
              <w:keepLines/>
              <w:rPr>
                <w:sz w:val="16"/>
                <w:szCs w:val="16"/>
              </w:rPr>
            </w:pPr>
          </w:p>
        </w:tc>
        <w:tc>
          <w:tcPr>
            <w:tcW w:w="7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55.000</w:t>
            </w:r>
          </w:p>
        </w:tc>
        <w:tc>
          <w:tcPr>
            <w:tcW w:w="86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52.152</w:t>
            </w:r>
          </w:p>
        </w:tc>
        <w:tc>
          <w:tcPr>
            <w:tcW w:w="8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95%</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80%</w:t>
            </w:r>
          </w:p>
        </w:tc>
      </w:tr>
      <w:tr w:rsidR="00C91295" w:rsidRPr="00526311" w:rsidTr="00F1387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rPr>
                <w:sz w:val="16"/>
                <w:szCs w:val="16"/>
              </w:rPr>
            </w:pPr>
            <w:r w:rsidRPr="00526311">
              <w:rPr>
                <w:sz w:val="16"/>
                <w:szCs w:val="16"/>
              </w:rPr>
              <w:t>Estudio y proyecto relacionados con la compartimentación entre los edificios GBI y AB</w:t>
            </w:r>
          </w:p>
        </w:tc>
        <w:tc>
          <w:tcPr>
            <w:tcW w:w="7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175.000</w:t>
            </w:r>
          </w:p>
        </w:tc>
        <w:tc>
          <w:tcPr>
            <w:tcW w:w="86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w:t>
            </w:r>
          </w:p>
        </w:tc>
      </w:tr>
      <w:tr w:rsidR="00C91295" w:rsidRPr="00526311" w:rsidTr="00F1387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rPr>
                <w:sz w:val="16"/>
                <w:szCs w:val="16"/>
              </w:rPr>
            </w:pPr>
            <w:r w:rsidRPr="00526311">
              <w:rPr>
                <w:sz w:val="16"/>
                <w:szCs w:val="16"/>
              </w:rPr>
              <w:t>Proyecto relacionado con la compartimentación entre los edificios GBI y GBII (todos los niveles, con excepción del primer subsuelo)</w:t>
            </w:r>
          </w:p>
        </w:tc>
        <w:tc>
          <w:tcPr>
            <w:tcW w:w="7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65.000</w:t>
            </w:r>
          </w:p>
        </w:tc>
        <w:tc>
          <w:tcPr>
            <w:tcW w:w="86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w:t>
            </w:r>
          </w:p>
        </w:tc>
      </w:tr>
      <w:tr w:rsidR="00C91295" w:rsidRPr="00526311" w:rsidTr="00F1387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rPr>
                <w:sz w:val="16"/>
                <w:szCs w:val="16"/>
              </w:rPr>
            </w:pPr>
            <w:r w:rsidRPr="00526311">
              <w:rPr>
                <w:sz w:val="16"/>
                <w:szCs w:val="16"/>
              </w:rPr>
              <w:t>Proyecto relacionado con la compartimentación del edificio AB (con excepción del  segundo subsuelo)</w:t>
            </w:r>
          </w:p>
        </w:tc>
        <w:tc>
          <w:tcPr>
            <w:tcW w:w="7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60.000</w:t>
            </w:r>
          </w:p>
        </w:tc>
        <w:tc>
          <w:tcPr>
            <w:tcW w:w="86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w:t>
            </w:r>
          </w:p>
        </w:tc>
      </w:tr>
      <w:tr w:rsidR="00C91295" w:rsidRPr="00526311" w:rsidTr="00F1387F">
        <w:trPr>
          <w:trHeight w:val="389"/>
        </w:trPr>
        <w:tc>
          <w:tcPr>
            <w:tcW w:w="16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D65430">
            <w:pPr>
              <w:keepNext/>
              <w:keepLines/>
              <w:autoSpaceDE w:val="0"/>
              <w:autoSpaceDN w:val="0"/>
              <w:adjustRightInd w:val="0"/>
              <w:spacing w:before="40" w:after="40" w:line="260" w:lineRule="exact"/>
              <w:rPr>
                <w:b/>
                <w:sz w:val="16"/>
                <w:szCs w:val="16"/>
              </w:rPr>
            </w:pPr>
            <w:r w:rsidRPr="00526311">
              <w:rPr>
                <w:b/>
                <w:sz w:val="16"/>
                <w:szCs w:val="16"/>
              </w:rPr>
              <w:t>Total</w:t>
            </w:r>
          </w:p>
        </w:tc>
        <w:tc>
          <w:tcPr>
            <w:tcW w:w="7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D65430">
            <w:pPr>
              <w:keepNext/>
              <w:keepLines/>
              <w:autoSpaceDE w:val="0"/>
              <w:autoSpaceDN w:val="0"/>
              <w:adjustRightInd w:val="0"/>
              <w:spacing w:before="40" w:after="40" w:line="260" w:lineRule="exact"/>
              <w:jc w:val="center"/>
              <w:rPr>
                <w:b/>
                <w:sz w:val="16"/>
                <w:szCs w:val="16"/>
              </w:rPr>
            </w:pPr>
            <w:r w:rsidRPr="00526311">
              <w:rPr>
                <w:b/>
                <w:sz w:val="16"/>
                <w:szCs w:val="16"/>
              </w:rPr>
              <w:t>400.000</w:t>
            </w:r>
          </w:p>
        </w:tc>
        <w:tc>
          <w:tcPr>
            <w:tcW w:w="86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91295" w:rsidRPr="00526311" w:rsidRDefault="00C91295" w:rsidP="00D65430">
            <w:pPr>
              <w:keepNext/>
              <w:keepLines/>
              <w:autoSpaceDE w:val="0"/>
              <w:autoSpaceDN w:val="0"/>
              <w:adjustRightInd w:val="0"/>
              <w:spacing w:before="40" w:after="40" w:line="260" w:lineRule="exact"/>
              <w:jc w:val="center"/>
              <w:rPr>
                <w:b/>
                <w:sz w:val="16"/>
                <w:szCs w:val="16"/>
              </w:rPr>
            </w:pPr>
            <w:r w:rsidRPr="00526311">
              <w:rPr>
                <w:b/>
                <w:sz w:val="16"/>
                <w:szCs w:val="16"/>
              </w:rPr>
              <w:t>96.544</w:t>
            </w:r>
          </w:p>
        </w:tc>
        <w:tc>
          <w:tcPr>
            <w:tcW w:w="84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91295" w:rsidRPr="00526311" w:rsidRDefault="00C91295" w:rsidP="00D65430">
            <w:pPr>
              <w:keepNext/>
              <w:keepLines/>
              <w:autoSpaceDE w:val="0"/>
              <w:autoSpaceDN w:val="0"/>
              <w:adjustRightInd w:val="0"/>
              <w:spacing w:before="40" w:after="40" w:line="260" w:lineRule="exact"/>
              <w:jc w:val="center"/>
              <w:rPr>
                <w:b/>
                <w:sz w:val="16"/>
                <w:szCs w:val="16"/>
              </w:rPr>
            </w:pPr>
            <w:r w:rsidRPr="00526311">
              <w:rPr>
                <w:b/>
                <w:sz w:val="16"/>
                <w:szCs w:val="16"/>
              </w:rPr>
              <w:t>24%</w:t>
            </w:r>
          </w:p>
        </w:tc>
        <w:tc>
          <w:tcPr>
            <w:tcW w:w="85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91295" w:rsidRPr="00526311" w:rsidRDefault="00C91295" w:rsidP="00D65430">
            <w:pPr>
              <w:keepNext/>
              <w:keepLines/>
              <w:autoSpaceDE w:val="0"/>
              <w:autoSpaceDN w:val="0"/>
              <w:adjustRightInd w:val="0"/>
              <w:spacing w:before="40" w:after="40" w:line="260" w:lineRule="exact"/>
              <w:jc w:val="center"/>
              <w:rPr>
                <w:b/>
                <w:sz w:val="16"/>
                <w:szCs w:val="16"/>
              </w:rPr>
            </w:pPr>
          </w:p>
        </w:tc>
      </w:tr>
    </w:tbl>
    <w:p w:rsidR="00C91295" w:rsidRPr="00526311" w:rsidRDefault="00C91295" w:rsidP="00F1387F">
      <w:pPr>
        <w:keepNext/>
        <w:keepLines/>
        <w:tabs>
          <w:tab w:val="left" w:pos="3261"/>
        </w:tabs>
        <w:autoSpaceDE w:val="0"/>
        <w:autoSpaceDN w:val="0"/>
        <w:adjustRightInd w:val="0"/>
        <w:jc w:val="center"/>
        <w:rPr>
          <w:b/>
          <w:sz w:val="20"/>
        </w:rPr>
      </w:pPr>
    </w:p>
    <w:p w:rsidR="00C91295" w:rsidRPr="00526311" w:rsidRDefault="00C91295" w:rsidP="00F1387F">
      <w:pPr>
        <w:keepNext/>
        <w:keepLines/>
        <w:tabs>
          <w:tab w:val="left" w:pos="3261"/>
        </w:tabs>
        <w:autoSpaceDE w:val="0"/>
        <w:autoSpaceDN w:val="0"/>
        <w:adjustRightInd w:val="0"/>
        <w:jc w:val="center"/>
        <w:rPr>
          <w:b/>
          <w:sz w:val="20"/>
        </w:rPr>
      </w:pPr>
    </w:p>
    <w:p w:rsidR="00C91295" w:rsidRPr="00526311" w:rsidRDefault="00C91295" w:rsidP="00F1387F">
      <w:pPr>
        <w:keepNext/>
        <w:keepLines/>
        <w:tabs>
          <w:tab w:val="left" w:pos="3261"/>
        </w:tabs>
        <w:autoSpaceDE w:val="0"/>
        <w:autoSpaceDN w:val="0"/>
        <w:adjustRightInd w:val="0"/>
        <w:jc w:val="center"/>
        <w:rPr>
          <w:b/>
          <w:sz w:val="20"/>
        </w:rPr>
      </w:pPr>
      <w:r w:rsidRPr="00526311">
        <w:rPr>
          <w:b/>
          <w:sz w:val="20"/>
        </w:rPr>
        <w:t>Utilización del presupuesto del proyecto (por categoría de costo)</w:t>
      </w:r>
    </w:p>
    <w:p w:rsidR="00C91295" w:rsidRPr="00526311" w:rsidRDefault="00C91295" w:rsidP="00F1387F">
      <w:pPr>
        <w:keepNext/>
        <w:keepLines/>
        <w:tabs>
          <w:tab w:val="left" w:pos="3261"/>
        </w:tabs>
        <w:autoSpaceDE w:val="0"/>
        <w:autoSpaceDN w:val="0"/>
        <w:adjustRightInd w:val="0"/>
        <w:jc w:val="center"/>
        <w:rPr>
          <w:i/>
          <w:iCs/>
          <w:sz w:val="18"/>
          <w:szCs w:val="18"/>
        </w:rPr>
      </w:pPr>
      <w:r w:rsidRPr="00526311">
        <w:rPr>
          <w:i/>
          <w:iCs/>
          <w:sz w:val="18"/>
          <w:szCs w:val="18"/>
        </w:rPr>
        <w:t>(en francos suizos, al 31 de diciembre de 2014)</w:t>
      </w:r>
    </w:p>
    <w:p w:rsidR="00C91295" w:rsidRPr="00526311" w:rsidRDefault="00C91295" w:rsidP="00F1387F">
      <w:pPr>
        <w:keepNext/>
        <w:keepLines/>
        <w:autoSpaceDE w:val="0"/>
        <w:autoSpaceDN w:val="0"/>
        <w:adjustRightInd w:val="0"/>
        <w:jc w:val="center"/>
        <w:rPr>
          <w:sz w:val="20"/>
        </w:rP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C91295" w:rsidRPr="00526311" w:rsidTr="00F1387F">
        <w:trPr>
          <w:trHeight w:val="569"/>
        </w:trPr>
        <w:tc>
          <w:tcPr>
            <w:tcW w:w="185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keepNext/>
              <w:keepLines/>
              <w:autoSpaceDE w:val="0"/>
              <w:autoSpaceDN w:val="0"/>
              <w:adjustRightInd w:val="0"/>
              <w:spacing w:before="40" w:after="40" w:line="260" w:lineRule="exact"/>
              <w:ind w:left="-74" w:right="-60"/>
              <w:jc w:val="center"/>
              <w:rPr>
                <w:b/>
                <w:bCs/>
                <w:sz w:val="16"/>
                <w:szCs w:val="16"/>
              </w:rPr>
            </w:pPr>
            <w:r w:rsidRPr="00526311">
              <w:rPr>
                <w:b/>
                <w:bCs/>
                <w:sz w:val="16"/>
                <w:szCs w:val="16"/>
              </w:rPr>
              <w:t>Categoría de costo</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keepNext/>
              <w:keepLines/>
              <w:autoSpaceDE w:val="0"/>
              <w:autoSpaceDN w:val="0"/>
              <w:adjustRightInd w:val="0"/>
              <w:spacing w:before="40" w:after="40" w:line="260" w:lineRule="exact"/>
              <w:ind w:left="-107" w:right="-108"/>
              <w:jc w:val="center"/>
              <w:rPr>
                <w:b/>
                <w:bCs/>
                <w:sz w:val="16"/>
                <w:szCs w:val="16"/>
              </w:rPr>
            </w:pPr>
            <w:r w:rsidRPr="00526311">
              <w:rPr>
                <w:b/>
                <w:bCs/>
                <w:sz w:val="16"/>
                <w:szCs w:val="16"/>
              </w:rPr>
              <w:t xml:space="preserve">Presupuesto del proyecto </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keepNext/>
              <w:keepLines/>
              <w:autoSpaceDE w:val="0"/>
              <w:autoSpaceDN w:val="0"/>
              <w:adjustRightInd w:val="0"/>
              <w:spacing w:before="40" w:after="40" w:line="260" w:lineRule="exact"/>
              <w:ind w:left="-108"/>
              <w:jc w:val="center"/>
              <w:rPr>
                <w:b/>
                <w:bCs/>
                <w:sz w:val="16"/>
                <w:szCs w:val="16"/>
              </w:rPr>
            </w:pPr>
            <w:r w:rsidRPr="00526311">
              <w:rPr>
                <w:b/>
                <w:bCs/>
                <w:sz w:val="16"/>
                <w:szCs w:val="16"/>
              </w:rPr>
              <w:t>Gasto real hasta la fecha</w:t>
            </w:r>
          </w:p>
        </w:tc>
        <w:tc>
          <w:tcPr>
            <w:tcW w:w="10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keepNext/>
              <w:keepLines/>
              <w:autoSpaceDE w:val="0"/>
              <w:autoSpaceDN w:val="0"/>
              <w:adjustRightInd w:val="0"/>
              <w:spacing w:before="40" w:after="40" w:line="260" w:lineRule="exact"/>
              <w:ind w:left="-109"/>
              <w:jc w:val="center"/>
              <w:rPr>
                <w:b/>
                <w:bCs/>
                <w:sz w:val="16"/>
                <w:szCs w:val="16"/>
              </w:rPr>
            </w:pPr>
            <w:r w:rsidRPr="00526311">
              <w:rPr>
                <w:b/>
                <w:bCs/>
                <w:sz w:val="16"/>
                <w:szCs w:val="16"/>
              </w:rPr>
              <w:t>Utilización real del presupuesto</w:t>
            </w:r>
          </w:p>
        </w:tc>
      </w:tr>
      <w:tr w:rsidR="00C91295" w:rsidRPr="00526311" w:rsidTr="00F1387F">
        <w:tc>
          <w:tcPr>
            <w:tcW w:w="1853"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Costos relacionados con la obra</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312.000</w:t>
            </w:r>
          </w:p>
        </w:tc>
        <w:tc>
          <w:tcPr>
            <w:tcW w:w="1049"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96.544</w:t>
            </w:r>
          </w:p>
        </w:tc>
        <w:tc>
          <w:tcPr>
            <w:tcW w:w="1048"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31%</w:t>
            </w:r>
          </w:p>
        </w:tc>
      </w:tr>
      <w:tr w:rsidR="00C91295" w:rsidRPr="00526311" w:rsidTr="00F1387F">
        <w:tc>
          <w:tcPr>
            <w:tcW w:w="1853"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Honorarios</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60.000</w:t>
            </w:r>
          </w:p>
        </w:tc>
        <w:tc>
          <w:tcPr>
            <w:tcW w:w="1049"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1048"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r>
      <w:tr w:rsidR="00C91295" w:rsidRPr="00526311" w:rsidTr="00F1387F">
        <w:tc>
          <w:tcPr>
            <w:tcW w:w="1853"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Diversos e imprevistos</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28.000</w:t>
            </w:r>
          </w:p>
        </w:tc>
        <w:tc>
          <w:tcPr>
            <w:tcW w:w="1049"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1048"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r>
      <w:tr w:rsidR="00C91295" w:rsidRPr="00526311" w:rsidTr="00F1387F">
        <w:tc>
          <w:tcPr>
            <w:tcW w:w="185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autoSpaceDE w:val="0"/>
              <w:autoSpaceDN w:val="0"/>
              <w:adjustRightInd w:val="0"/>
              <w:spacing w:before="40" w:after="40" w:line="260" w:lineRule="exact"/>
              <w:rPr>
                <w:b/>
                <w:sz w:val="16"/>
                <w:szCs w:val="16"/>
              </w:rPr>
            </w:pPr>
            <w:r w:rsidRPr="00526311">
              <w:rPr>
                <w:b/>
                <w:sz w:val="16"/>
                <w:szCs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400.000</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96.544</w:t>
            </w:r>
          </w:p>
        </w:tc>
        <w:tc>
          <w:tcPr>
            <w:tcW w:w="104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24%</w:t>
            </w:r>
          </w:p>
        </w:tc>
      </w:tr>
    </w:tbl>
    <w:p w:rsidR="00C91295" w:rsidRPr="00526311" w:rsidRDefault="00C91295" w:rsidP="00F1387F">
      <w:pPr>
        <w:rPr>
          <w:sz w:val="20"/>
        </w:rPr>
      </w:pPr>
    </w:p>
    <w:p w:rsidR="00C91295" w:rsidRPr="00526311" w:rsidRDefault="00C91295" w:rsidP="00F1387F">
      <w:pPr>
        <w:rPr>
          <w:sz w:val="20"/>
        </w:rPr>
      </w:pPr>
    </w:p>
    <w:p w:rsidR="00C91295" w:rsidRPr="00526311" w:rsidRDefault="00C91295" w:rsidP="00F1387F">
      <w:pPr>
        <w:rPr>
          <w:sz w:val="20"/>
        </w:rPr>
      </w:pPr>
      <w:r w:rsidRPr="00526311">
        <w:rPr>
          <w:sz w:val="20"/>
        </w:rPr>
        <w:t>RIESGOS Y ESTRATEGIAS DE MITIGACIÓN</w:t>
      </w:r>
    </w:p>
    <w:p w:rsidR="00C91295" w:rsidRPr="00526311" w:rsidRDefault="00C91295" w:rsidP="00F1387F">
      <w:pPr>
        <w:rPr>
          <w:sz w:val="20"/>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C91295" w:rsidRPr="00526311" w:rsidTr="00F1387F">
        <w:trPr>
          <w:trHeight w:val="308"/>
          <w:tblHeader/>
          <w:jc w:val="center"/>
        </w:trPr>
        <w:tc>
          <w:tcPr>
            <w:tcW w:w="1667"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74" w:right="-60"/>
              <w:jc w:val="center"/>
              <w:rPr>
                <w:b/>
                <w:bCs/>
                <w:sz w:val="16"/>
                <w:szCs w:val="16"/>
              </w:rPr>
            </w:pPr>
            <w:r w:rsidRPr="00526311">
              <w:rPr>
                <w:b/>
                <w:bCs/>
                <w:sz w:val="16"/>
                <w:szCs w:val="16"/>
              </w:rPr>
              <w:t xml:space="preserve">Riesgo </w:t>
            </w:r>
          </w:p>
        </w:tc>
        <w:tc>
          <w:tcPr>
            <w:tcW w:w="1667"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7" w:right="-108"/>
              <w:jc w:val="center"/>
              <w:rPr>
                <w:b/>
                <w:bCs/>
                <w:sz w:val="16"/>
                <w:szCs w:val="16"/>
              </w:rPr>
            </w:pPr>
            <w:r w:rsidRPr="00526311">
              <w:rPr>
                <w:b/>
                <w:bCs/>
                <w:sz w:val="16"/>
                <w:szCs w:val="16"/>
              </w:rPr>
              <w:t>Descripción</w:t>
            </w:r>
          </w:p>
        </w:tc>
        <w:tc>
          <w:tcPr>
            <w:tcW w:w="1666"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9"/>
              <w:jc w:val="center"/>
              <w:rPr>
                <w:b/>
                <w:bCs/>
                <w:sz w:val="16"/>
                <w:szCs w:val="16"/>
              </w:rPr>
            </w:pPr>
            <w:r w:rsidRPr="00526311">
              <w:rPr>
                <w:b/>
                <w:bCs/>
                <w:sz w:val="16"/>
                <w:szCs w:val="16"/>
              </w:rPr>
              <w:t>Mitigación del riesgo</w:t>
            </w:r>
          </w:p>
        </w:tc>
      </w:tr>
      <w:tr w:rsidR="00C91295" w:rsidRPr="00526311" w:rsidTr="00F1387F">
        <w:trPr>
          <w:trHeight w:val="776"/>
          <w:jc w:val="center"/>
        </w:trPr>
        <w:tc>
          <w:tcPr>
            <w:tcW w:w="1667" w:type="pct"/>
            <w:shd w:val="clear" w:color="auto" w:fill="FFFFFF" w:themeFill="background1"/>
          </w:tcPr>
          <w:p w:rsidR="00C91295" w:rsidRPr="00526311" w:rsidRDefault="00C91295" w:rsidP="00F1387F">
            <w:pPr>
              <w:autoSpaceDE w:val="0"/>
              <w:autoSpaceDN w:val="0"/>
              <w:adjustRightInd w:val="0"/>
              <w:spacing w:before="40" w:after="40"/>
              <w:rPr>
                <w:sz w:val="16"/>
                <w:szCs w:val="16"/>
              </w:rPr>
            </w:pPr>
            <w:r w:rsidRPr="00526311">
              <w:rPr>
                <w:sz w:val="16"/>
                <w:szCs w:val="16"/>
              </w:rPr>
              <w:t>Incapacidad de realizar las obras en los plazos previstos</w:t>
            </w:r>
          </w:p>
        </w:tc>
        <w:tc>
          <w:tcPr>
            <w:tcW w:w="1667" w:type="pct"/>
            <w:shd w:val="clear" w:color="auto" w:fill="FFFFFF" w:themeFill="background1"/>
          </w:tcPr>
          <w:p w:rsidR="00C91295" w:rsidRPr="00526311" w:rsidRDefault="00C91295" w:rsidP="00F1387F">
            <w:pPr>
              <w:autoSpaceDE w:val="0"/>
              <w:autoSpaceDN w:val="0"/>
              <w:adjustRightInd w:val="0"/>
              <w:spacing w:before="40" w:after="40"/>
              <w:rPr>
                <w:sz w:val="16"/>
                <w:szCs w:val="16"/>
              </w:rPr>
            </w:pPr>
            <w:r w:rsidRPr="00526311">
              <w:rPr>
                <w:sz w:val="16"/>
                <w:szCs w:val="16"/>
              </w:rPr>
              <w:t>Los proveedores no están disponibles dentro del calendario previsto por la OMPI</w:t>
            </w:r>
          </w:p>
        </w:tc>
        <w:tc>
          <w:tcPr>
            <w:tcW w:w="1666" w:type="pct"/>
            <w:shd w:val="clear" w:color="auto" w:fill="FFFFFF" w:themeFill="background1"/>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Aplazar las obras hasta que el proveedor esté disponible </w:t>
            </w:r>
          </w:p>
        </w:tc>
      </w:tr>
      <w:tr w:rsidR="00C91295" w:rsidRPr="00526311" w:rsidTr="00F1387F">
        <w:trPr>
          <w:trHeight w:val="776"/>
          <w:jc w:val="center"/>
        </w:trPr>
        <w:tc>
          <w:tcPr>
            <w:tcW w:w="1667" w:type="pct"/>
            <w:shd w:val="clear" w:color="auto" w:fill="FFFFFF" w:themeFill="background1"/>
          </w:tcPr>
          <w:p w:rsidR="00C91295" w:rsidRPr="00526311" w:rsidRDefault="00C91295" w:rsidP="00F1387F">
            <w:pPr>
              <w:autoSpaceDE w:val="0"/>
              <w:autoSpaceDN w:val="0"/>
              <w:adjustRightInd w:val="0"/>
              <w:spacing w:before="40" w:after="40"/>
              <w:rPr>
                <w:sz w:val="16"/>
                <w:szCs w:val="16"/>
              </w:rPr>
            </w:pPr>
            <w:r w:rsidRPr="00526311">
              <w:rPr>
                <w:sz w:val="16"/>
                <w:szCs w:val="16"/>
              </w:rPr>
              <w:t>Demora o interrupción de las obras</w:t>
            </w:r>
          </w:p>
        </w:tc>
        <w:tc>
          <w:tcPr>
            <w:tcW w:w="1667" w:type="pct"/>
            <w:shd w:val="clear" w:color="auto" w:fill="FFFFFF" w:themeFill="background1"/>
          </w:tcPr>
          <w:p w:rsidR="00C91295" w:rsidRPr="00526311" w:rsidRDefault="00C91295" w:rsidP="00F1387F">
            <w:pPr>
              <w:autoSpaceDE w:val="0"/>
              <w:autoSpaceDN w:val="0"/>
              <w:adjustRightInd w:val="0"/>
              <w:spacing w:before="40" w:after="40"/>
              <w:rPr>
                <w:sz w:val="16"/>
                <w:szCs w:val="16"/>
              </w:rPr>
            </w:pPr>
            <w:r w:rsidRPr="00526311">
              <w:rPr>
                <w:sz w:val="16"/>
                <w:szCs w:val="16"/>
              </w:rPr>
              <w:t>Accidente en el sitio de las obras</w:t>
            </w:r>
          </w:p>
        </w:tc>
        <w:tc>
          <w:tcPr>
            <w:tcW w:w="1666" w:type="pct"/>
            <w:shd w:val="clear" w:color="auto" w:fill="FFFFFF" w:themeFill="background1"/>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Revalidar y fortalecer las medidas de seguridad </w:t>
            </w:r>
          </w:p>
          <w:p w:rsidR="00C91295" w:rsidRPr="00526311" w:rsidRDefault="00C91295" w:rsidP="00F1387F">
            <w:pPr>
              <w:autoSpaceDE w:val="0"/>
              <w:autoSpaceDN w:val="0"/>
              <w:adjustRightInd w:val="0"/>
              <w:spacing w:before="40" w:after="40"/>
              <w:rPr>
                <w:sz w:val="16"/>
                <w:szCs w:val="16"/>
              </w:rPr>
            </w:pPr>
            <w:r w:rsidRPr="00526311">
              <w:rPr>
                <w:sz w:val="16"/>
                <w:szCs w:val="16"/>
              </w:rPr>
              <w:t>Revisar el calendario de las obras</w:t>
            </w:r>
          </w:p>
        </w:tc>
      </w:tr>
    </w:tbl>
    <w:p w:rsidR="00C91295" w:rsidRPr="00526311" w:rsidRDefault="00C91295" w:rsidP="00F1387F">
      <w:pPr>
        <w:autoSpaceDE w:val="0"/>
        <w:autoSpaceDN w:val="0"/>
        <w:jc w:val="both"/>
        <w:rPr>
          <w:sz w:val="20"/>
        </w:rPr>
      </w:pPr>
    </w:p>
    <w:p w:rsidR="00C91295" w:rsidRPr="00526311" w:rsidRDefault="00C91295" w:rsidP="00F1387F">
      <w:pPr>
        <w:rPr>
          <w:sz w:val="20"/>
        </w:rPr>
      </w:pPr>
    </w:p>
    <w:p w:rsidR="00C91295" w:rsidRPr="00526311" w:rsidRDefault="00C91295" w:rsidP="00D65430">
      <w:pPr>
        <w:keepNext/>
        <w:autoSpaceDE w:val="0"/>
        <w:autoSpaceDN w:val="0"/>
        <w:jc w:val="both"/>
        <w:rPr>
          <w:sz w:val="20"/>
        </w:rPr>
      </w:pPr>
      <w:r w:rsidRPr="00526311">
        <w:rPr>
          <w:sz w:val="20"/>
        </w:rPr>
        <w:lastRenderedPageBreak/>
        <w:t>CALENDARIO DEL PROYECTO, POR ETAPA</w:t>
      </w:r>
    </w:p>
    <w:p w:rsidR="00C91295" w:rsidRPr="00526311" w:rsidRDefault="00C91295" w:rsidP="00D65430">
      <w:pPr>
        <w:keepNext/>
        <w:autoSpaceDE w:val="0"/>
        <w:autoSpaceDN w:val="0"/>
        <w:jc w:val="both"/>
        <w:rPr>
          <w:sz w:val="20"/>
        </w:rPr>
      </w:pPr>
    </w:p>
    <w:tbl>
      <w:tblPr>
        <w:tblW w:w="10004" w:type="dxa"/>
        <w:jc w:val="center"/>
        <w:tblInd w:w="-391" w:type="dxa"/>
        <w:tblLook w:val="04A0" w:firstRow="1" w:lastRow="0" w:firstColumn="1" w:lastColumn="0" w:noHBand="0" w:noVBand="1"/>
      </w:tblPr>
      <w:tblGrid>
        <w:gridCol w:w="2324"/>
        <w:gridCol w:w="480"/>
        <w:gridCol w:w="480"/>
        <w:gridCol w:w="480"/>
        <w:gridCol w:w="480"/>
        <w:gridCol w:w="480"/>
        <w:gridCol w:w="480"/>
        <w:gridCol w:w="480"/>
        <w:gridCol w:w="480"/>
        <w:gridCol w:w="480"/>
        <w:gridCol w:w="480"/>
        <w:gridCol w:w="480"/>
        <w:gridCol w:w="480"/>
        <w:gridCol w:w="480"/>
        <w:gridCol w:w="480"/>
        <w:gridCol w:w="480"/>
        <w:gridCol w:w="480"/>
      </w:tblGrid>
      <w:tr w:rsidR="00C91295" w:rsidRPr="00526311" w:rsidTr="00F1387F">
        <w:trPr>
          <w:trHeight w:val="270"/>
          <w:jc w:val="center"/>
        </w:trPr>
        <w:tc>
          <w:tcPr>
            <w:tcW w:w="2324" w:type="dxa"/>
            <w:tcBorders>
              <w:top w:val="nil"/>
              <w:left w:val="nil"/>
              <w:bottom w:val="nil"/>
              <w:right w:val="nil"/>
            </w:tcBorders>
            <w:shd w:val="clear" w:color="auto" w:fill="auto"/>
            <w:noWrap/>
            <w:vAlign w:val="bottom"/>
            <w:hideMark/>
          </w:tcPr>
          <w:p w:rsidR="00C91295" w:rsidRPr="00526311" w:rsidRDefault="00C91295" w:rsidP="00D65430">
            <w:pPr>
              <w:keepNext/>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91295" w:rsidRPr="00526311" w:rsidRDefault="00C91295" w:rsidP="00D65430">
            <w:pPr>
              <w:keepNext/>
              <w:jc w:val="center"/>
              <w:rPr>
                <w:b/>
                <w:bCs/>
                <w:sz w:val="16"/>
                <w:szCs w:val="16"/>
              </w:rPr>
            </w:pPr>
            <w:r w:rsidRPr="00526311">
              <w:rPr>
                <w:b/>
                <w:bCs/>
                <w:sz w:val="16"/>
                <w:szCs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91295" w:rsidRPr="00526311" w:rsidRDefault="00C91295" w:rsidP="00D65430">
            <w:pPr>
              <w:keepNext/>
              <w:jc w:val="center"/>
              <w:rPr>
                <w:b/>
                <w:bCs/>
                <w:sz w:val="16"/>
                <w:szCs w:val="16"/>
              </w:rPr>
            </w:pPr>
            <w:r w:rsidRPr="00526311">
              <w:rPr>
                <w:b/>
                <w:bCs/>
                <w:sz w:val="16"/>
                <w:szCs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91295" w:rsidRPr="00526311" w:rsidRDefault="00C91295" w:rsidP="00D65430">
            <w:pPr>
              <w:keepNext/>
              <w:jc w:val="center"/>
              <w:rPr>
                <w:b/>
                <w:bCs/>
                <w:sz w:val="16"/>
                <w:szCs w:val="16"/>
              </w:rPr>
            </w:pPr>
            <w:r w:rsidRPr="00526311">
              <w:rPr>
                <w:b/>
                <w:bCs/>
                <w:sz w:val="16"/>
                <w:szCs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91295" w:rsidRPr="00526311" w:rsidRDefault="00C91295" w:rsidP="00D65430">
            <w:pPr>
              <w:keepNext/>
              <w:jc w:val="center"/>
              <w:rPr>
                <w:b/>
                <w:bCs/>
                <w:sz w:val="16"/>
                <w:szCs w:val="16"/>
              </w:rPr>
            </w:pPr>
            <w:r w:rsidRPr="00526311">
              <w:rPr>
                <w:b/>
                <w:bCs/>
                <w:sz w:val="16"/>
                <w:szCs w:val="16"/>
              </w:rPr>
              <w:t>2017</w:t>
            </w:r>
          </w:p>
        </w:tc>
      </w:tr>
      <w:tr w:rsidR="00C91295" w:rsidRPr="00526311" w:rsidTr="00F1387F">
        <w:trPr>
          <w:trHeight w:val="375"/>
          <w:jc w:val="center"/>
        </w:trPr>
        <w:tc>
          <w:tcPr>
            <w:tcW w:w="2324"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91295" w:rsidRPr="00526311" w:rsidRDefault="00C91295" w:rsidP="00D65430">
            <w:pPr>
              <w:keepNext/>
              <w:jc w:val="center"/>
              <w:rPr>
                <w:b/>
                <w:bCs/>
                <w:sz w:val="16"/>
                <w:szCs w:val="16"/>
              </w:rPr>
            </w:pPr>
            <w:r w:rsidRPr="00526311">
              <w:rPr>
                <w:b/>
                <w:bCs/>
                <w:sz w:val="16"/>
                <w:szCs w:val="16"/>
              </w:rPr>
              <w:t>Etapas fundamentales</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T4</w:t>
            </w:r>
          </w:p>
        </w:tc>
      </w:tr>
      <w:tr w:rsidR="00C91295" w:rsidRPr="00526311" w:rsidTr="00F1387F">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 xml:space="preserve">Compartimentación del edificio PCT </w:t>
            </w:r>
          </w:p>
          <w:p w:rsidR="00C91295" w:rsidRPr="00526311" w:rsidRDefault="00C91295" w:rsidP="00D65430">
            <w:pPr>
              <w:keepNext/>
              <w:jc w:val="center"/>
              <w:rPr>
                <w:sz w:val="16"/>
                <w:szCs w:val="16"/>
              </w:rPr>
            </w:pPr>
            <w:r w:rsidRPr="00526311">
              <w:rPr>
                <w:sz w:val="16"/>
                <w:szCs w:val="16"/>
              </w:rPr>
              <w:t>Finalización de las obras</w:t>
            </w:r>
          </w:p>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r>
      <w:tr w:rsidR="00C91295" w:rsidRPr="00526311" w:rsidTr="00F1387F">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Compartimentación del segundo subsuelo del edificio AB: creación de un vestíbulo de independencia</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r>
      <w:tr w:rsidR="00C91295" w:rsidRPr="00526311" w:rsidTr="00F1387F">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C91295" w:rsidRPr="00526311" w:rsidRDefault="00C91295" w:rsidP="00D65430">
            <w:pPr>
              <w:keepNext/>
              <w:jc w:val="center"/>
              <w:rPr>
                <w:sz w:val="16"/>
                <w:szCs w:val="16"/>
              </w:rPr>
            </w:pPr>
            <w:r w:rsidRPr="00526311">
              <w:rPr>
                <w:sz w:val="16"/>
                <w:szCs w:val="16"/>
              </w:rPr>
              <w:t>Estudio y proyecto relacionados con la compartimentación entre los edificios GBI y AB</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r>
      <w:tr w:rsidR="00C91295" w:rsidRPr="00526311" w:rsidTr="00F1387F">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C91295" w:rsidRPr="00526311" w:rsidRDefault="00C91295" w:rsidP="00D65430">
            <w:pPr>
              <w:keepNext/>
              <w:jc w:val="center"/>
              <w:rPr>
                <w:sz w:val="16"/>
                <w:szCs w:val="16"/>
              </w:rPr>
            </w:pPr>
            <w:r w:rsidRPr="00526311">
              <w:rPr>
                <w:sz w:val="16"/>
                <w:szCs w:val="16"/>
              </w:rPr>
              <w:t>Proyecto relacionado con la compartimentación entre los edificios GBI y GBII (todos los niveles, con excepción del primer subsuelo)</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r>
      <w:tr w:rsidR="00C91295" w:rsidRPr="00526311" w:rsidTr="00F1387F">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C91295" w:rsidRPr="00526311" w:rsidRDefault="00C91295" w:rsidP="00D65430">
            <w:pPr>
              <w:keepNext/>
              <w:jc w:val="center"/>
              <w:rPr>
                <w:sz w:val="16"/>
                <w:szCs w:val="16"/>
              </w:rPr>
            </w:pPr>
            <w:r w:rsidRPr="00526311">
              <w:rPr>
                <w:sz w:val="16"/>
                <w:szCs w:val="16"/>
              </w:rPr>
              <w:t>Proyecto relacionado con la compartimentación del edificio AB (con excepción del segundo subsuelo)</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r>
    </w:tbl>
    <w:p w:rsidR="00C91295" w:rsidRPr="00526311" w:rsidRDefault="00C91295" w:rsidP="00D65430">
      <w:pPr>
        <w:keepNext/>
        <w:jc w:val="both"/>
      </w:pPr>
    </w:p>
    <w:p w:rsidR="00C91295" w:rsidRPr="00526311" w:rsidRDefault="00C91295" w:rsidP="00D65430">
      <w:pPr>
        <w:keepNext/>
        <w:autoSpaceDE w:val="0"/>
        <w:autoSpaceDN w:val="0"/>
        <w:jc w:val="both"/>
        <w:rPr>
          <w:bCs/>
        </w:rPr>
      </w:pPr>
    </w:p>
    <w:p w:rsidR="00C91295" w:rsidRPr="00526311" w:rsidRDefault="00C91295" w:rsidP="00F1387F">
      <w:pPr>
        <w:autoSpaceDE w:val="0"/>
        <w:autoSpaceDN w:val="0"/>
        <w:jc w:val="both"/>
        <w:rPr>
          <w:bCs/>
        </w:rPr>
      </w:pPr>
    </w:p>
    <w:p w:rsidR="00C91295" w:rsidRPr="00526311" w:rsidRDefault="00C91295" w:rsidP="00F1387F">
      <w:pPr>
        <w:autoSpaceDE w:val="0"/>
        <w:autoSpaceDN w:val="0"/>
        <w:ind w:left="5529"/>
        <w:jc w:val="both"/>
        <w:rPr>
          <w:sz w:val="20"/>
        </w:rPr>
      </w:pPr>
      <w:r w:rsidRPr="00526311">
        <w:rPr>
          <w:sz w:val="20"/>
        </w:rPr>
        <w:t>[Sigue el Apéndice IV]</w:t>
      </w:r>
    </w:p>
    <w:p w:rsidR="00AE235A" w:rsidRPr="00526311" w:rsidRDefault="00AE235A">
      <w:pPr>
        <w:rPr>
          <w:iCs/>
          <w:caps/>
          <w:szCs w:val="22"/>
        </w:rPr>
      </w:pPr>
      <w:bookmarkStart w:id="112" w:name="_Toc422210530"/>
      <w:r w:rsidRPr="00526311">
        <w:rPr>
          <w:bCs/>
          <w:szCs w:val="22"/>
        </w:rPr>
        <w:br w:type="page"/>
      </w:r>
    </w:p>
    <w:p w:rsidR="00C91295" w:rsidRPr="00526311" w:rsidRDefault="00C91295" w:rsidP="00F1387F">
      <w:pPr>
        <w:pStyle w:val="Heading2"/>
        <w:rPr>
          <w:b/>
          <w:i/>
        </w:rPr>
      </w:pPr>
      <w:bookmarkStart w:id="113" w:name="_Toc422927455"/>
      <w:r w:rsidRPr="00526311">
        <w:rPr>
          <w:b/>
          <w:bCs w:val="0"/>
          <w:szCs w:val="22"/>
        </w:rPr>
        <w:lastRenderedPageBreak/>
        <w:t>APÉNDICE IV</w:t>
      </w:r>
      <w:r w:rsidRPr="00526311">
        <w:rPr>
          <w:b/>
          <w:bCs w:val="0"/>
          <w:szCs w:val="22"/>
        </w:rPr>
        <w:br/>
      </w:r>
      <w:bookmarkStart w:id="114" w:name="_Toc293334854"/>
      <w:bookmarkStart w:id="115" w:name="_Toc298920436"/>
      <w:bookmarkStart w:id="116" w:name="_Toc310950817"/>
      <w:bookmarkStart w:id="117" w:name="_Toc356567803"/>
      <w:bookmarkStart w:id="118" w:name="_Toc367350629"/>
      <w:bookmarkStart w:id="119" w:name="_Toc392610068"/>
      <w:r w:rsidRPr="00526311">
        <w:br/>
      </w:r>
      <w:r w:rsidRPr="00526311">
        <w:rPr>
          <w:b/>
        </w:rPr>
        <w:t>SIGLAS Y ABREVIATURAS EMPLEADAS EN EL PRESENTE DOCUMENT</w:t>
      </w:r>
      <w:bookmarkEnd w:id="112"/>
      <w:bookmarkEnd w:id="114"/>
      <w:bookmarkEnd w:id="115"/>
      <w:bookmarkEnd w:id="116"/>
      <w:bookmarkEnd w:id="117"/>
      <w:bookmarkEnd w:id="118"/>
      <w:bookmarkEnd w:id="119"/>
      <w:r w:rsidRPr="00526311">
        <w:rPr>
          <w:b/>
        </w:rPr>
        <w:t>O</w:t>
      </w:r>
      <w:bookmarkEnd w:id="113"/>
    </w:p>
    <w:p w:rsidR="00C91295" w:rsidRPr="00526311" w:rsidRDefault="00C91295" w:rsidP="00F1387F">
      <w:pPr>
        <w:tabs>
          <w:tab w:val="left" w:pos="1980"/>
          <w:tab w:val="left" w:pos="3261"/>
        </w:tabs>
        <w:ind w:left="2268" w:hanging="2268"/>
        <w:jc w:val="both"/>
        <w:rPr>
          <w:sz w:val="16"/>
          <w:szCs w:val="16"/>
        </w:rPr>
      </w:pPr>
    </w:p>
    <w:p w:rsidR="00C91295" w:rsidRPr="00526311" w:rsidRDefault="00C91295" w:rsidP="00F1387F">
      <w:pPr>
        <w:tabs>
          <w:tab w:val="left" w:pos="1980"/>
          <w:tab w:val="left" w:pos="3261"/>
        </w:tabs>
        <w:ind w:left="2268" w:hanging="2268"/>
        <w:jc w:val="both"/>
        <w:rPr>
          <w:sz w:val="16"/>
          <w:szCs w:val="16"/>
        </w:rPr>
      </w:pPr>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498"/>
      </w:tblGrid>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A</w:t>
            </w:r>
            <w:r w:rsidRPr="00526311">
              <w:rPr>
                <w:sz w:val="20"/>
              </w:rPr>
              <w:t>.D.</w:t>
            </w:r>
            <w:r w:rsidRPr="00526311">
              <w:rPr>
                <w:sz w:val="20"/>
              </w:rPr>
              <w:tab/>
              <w:t>Agenda para el Desarrollo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ACE</w:t>
            </w:r>
            <w:r w:rsidRPr="00526311">
              <w:rPr>
                <w:sz w:val="20"/>
              </w:rPr>
              <w:tab/>
              <w:t xml:space="preserve">Comité Asesor sobre Observancia </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AGICOA</w:t>
            </w:r>
            <w:r w:rsidRPr="00526311">
              <w:rPr>
                <w:sz w:val="20"/>
              </w:rPr>
              <w:tab/>
              <w:t>Asociación para la Gestión Internacional Colectiva de Obras Audiovisuales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AIPMS</w:t>
            </w:r>
            <w:r w:rsidRPr="00526311">
              <w:rPr>
                <w:sz w:val="20"/>
              </w:rPr>
              <w:tab/>
              <w:t>Sistema de Gestión de la Propiedad Intelectual en Árabe</w:t>
            </w:r>
          </w:p>
        </w:tc>
      </w:tr>
      <w:tr w:rsidR="00C91295" w:rsidRPr="008A516A" w:rsidTr="00F1387F">
        <w:tc>
          <w:tcPr>
            <w:tcW w:w="9498" w:type="dxa"/>
          </w:tcPr>
          <w:p w:rsidR="00C91295" w:rsidRPr="00485CF4" w:rsidRDefault="00C91295" w:rsidP="00F1387F">
            <w:pPr>
              <w:spacing w:after="40"/>
              <w:ind w:left="1735" w:hanging="1735"/>
              <w:rPr>
                <w:sz w:val="20"/>
                <w:lang w:val="fr-FR"/>
              </w:rPr>
            </w:pPr>
            <w:r w:rsidRPr="00485CF4">
              <w:rPr>
                <w:sz w:val="20"/>
                <w:lang w:val="fr-FR"/>
              </w:rPr>
              <w:t>AMFIE</w:t>
            </w:r>
            <w:r w:rsidRPr="00485CF4">
              <w:rPr>
                <w:sz w:val="20"/>
                <w:lang w:val="fr-FR"/>
              </w:rPr>
              <w:tab/>
            </w:r>
            <w:r w:rsidRPr="00485CF4">
              <w:rPr>
                <w:i/>
                <w:sz w:val="20"/>
                <w:lang w:val="fr-FR"/>
              </w:rPr>
              <w:t>Association Coopérative Financière des Fonctionnaires Internationaux</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ANPEI</w:t>
            </w:r>
            <w:r w:rsidRPr="00526311">
              <w:rPr>
                <w:sz w:val="20"/>
              </w:rPr>
              <w:tab/>
              <w:t>Asociación Nacional de Investigación y Desarrollo de las Empresas Industriales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APEC</w:t>
            </w:r>
            <w:r w:rsidRPr="00526311">
              <w:rPr>
                <w:sz w:val="20"/>
              </w:rPr>
              <w:tab/>
              <w:t xml:space="preserve">Cooperación Económica de Asia y el Pacífico </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aRDi</w:t>
            </w:r>
            <w:r w:rsidRPr="00526311">
              <w:rPr>
                <w:sz w:val="20"/>
              </w:rPr>
              <w:tab/>
              <w:t>Acceso a la Investigación para el Desarrollo y la Innovación</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ARIPO</w:t>
            </w:r>
            <w:r w:rsidRPr="00526311">
              <w:rPr>
                <w:sz w:val="20"/>
              </w:rPr>
              <w:tab/>
              <w:t>Organización Regional Africana de la Propiedad Intelectual</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ASE</w:t>
            </w:r>
            <w:r w:rsidRPr="00526311">
              <w:rPr>
                <w:sz w:val="20"/>
              </w:rPr>
              <w:tab/>
              <w:t>Acuerdo de servicios especiales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ASEAN</w:t>
            </w:r>
            <w:r w:rsidRPr="00526311">
              <w:rPr>
                <w:sz w:val="20"/>
              </w:rPr>
              <w:tab/>
              <w:t>Asociación de Naciones del Asia Sudoriental</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ASEF</w:t>
            </w:r>
            <w:r w:rsidRPr="00526311">
              <w:rPr>
                <w:sz w:val="20"/>
              </w:rPr>
              <w:tab/>
            </w:r>
            <w:r w:rsidRPr="00526311">
              <w:rPr>
                <w:i/>
                <w:sz w:val="20"/>
              </w:rPr>
              <w:t>Asia-Europe Foundation</w:t>
            </w:r>
            <w:r w:rsidRPr="00526311">
              <w:rPr>
                <w:sz w:val="20"/>
              </w:rPr>
              <w:t xml:space="preserve"> </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ASPI</w:t>
            </w:r>
            <w:r w:rsidRPr="00526311">
              <w:rPr>
                <w:sz w:val="20"/>
              </w:rPr>
              <w:tab/>
              <w:t>Acceso a la Información Especializada sobre Patentes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ATRIP</w:t>
            </w:r>
            <w:r w:rsidRPr="00526311">
              <w:rPr>
                <w:sz w:val="20"/>
              </w:rPr>
              <w:tab/>
              <w:t>Asociación Internacional para el Progreso de la Enseñanza y la Investigación de la Propiedad Intelectual</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C</w:t>
            </w:r>
            <w:r w:rsidRPr="00526311">
              <w:rPr>
                <w:sz w:val="20"/>
              </w:rPr>
              <w:t>API</w:t>
            </w:r>
            <w:r w:rsidRPr="00526311">
              <w:rPr>
                <w:sz w:val="20"/>
              </w:rPr>
              <w:tab/>
              <w:t xml:space="preserve">Comisión de Administración Pública Internacional </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CASE</w:t>
            </w:r>
            <w:r w:rsidRPr="00526311">
              <w:rPr>
                <w:sz w:val="20"/>
              </w:rPr>
              <w:tab/>
              <w:t xml:space="preserve">Acceso Centralizado a la Búsqueda y el Examen </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CATI</w:t>
            </w:r>
            <w:r w:rsidRPr="00526311">
              <w:rPr>
                <w:sz w:val="20"/>
              </w:rPr>
              <w:tab/>
              <w:t>Centro(s) de Apoyo a la Tecnología y la Innovación</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CCIS</w:t>
            </w:r>
            <w:r w:rsidRPr="00526311">
              <w:rPr>
                <w:sz w:val="20"/>
              </w:rPr>
              <w:tab/>
              <w:t>Comisión Consultiva Independiente de Supervisión</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ccTLD</w:t>
            </w:r>
            <w:r w:rsidRPr="00526311">
              <w:rPr>
                <w:sz w:val="20"/>
              </w:rPr>
              <w:tab/>
              <w:t>Dominios de nivel superior correspondientes a códigos de países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CC.TT.</w:t>
            </w:r>
            <w:r w:rsidRPr="00526311">
              <w:rPr>
                <w:sz w:val="20"/>
              </w:rPr>
              <w:tab/>
              <w:t>Conocimientos tradicionales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CDB</w:t>
            </w:r>
            <w:r w:rsidRPr="00526311">
              <w:rPr>
                <w:sz w:val="20"/>
              </w:rPr>
              <w:tab/>
              <w:t>Convenio sobre la Diversidad Biológica</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CDIP</w:t>
            </w:r>
            <w:r w:rsidRPr="00526311">
              <w:rPr>
                <w:sz w:val="20"/>
              </w:rPr>
              <w:tab/>
              <w:t>Comité de Desarrollo y Propiedad Intelectual</w:t>
            </w:r>
          </w:p>
        </w:tc>
      </w:tr>
      <w:tr w:rsidR="00C91295" w:rsidRPr="008A516A" w:rsidTr="00F1387F">
        <w:tc>
          <w:tcPr>
            <w:tcW w:w="9498" w:type="dxa"/>
          </w:tcPr>
          <w:p w:rsidR="00C91295" w:rsidRPr="00485CF4" w:rsidRDefault="00C91295" w:rsidP="00F1387F">
            <w:pPr>
              <w:spacing w:after="40"/>
              <w:ind w:left="1735" w:hanging="1735"/>
              <w:rPr>
                <w:sz w:val="20"/>
                <w:lang w:val="fr-FR"/>
              </w:rPr>
            </w:pPr>
            <w:r w:rsidRPr="00485CF4">
              <w:rPr>
                <w:sz w:val="20"/>
                <w:lang w:val="fr-FR"/>
              </w:rPr>
              <w:t>CEIPI</w:t>
            </w:r>
            <w:r w:rsidRPr="00485CF4">
              <w:rPr>
                <w:sz w:val="20"/>
                <w:lang w:val="fr-FR"/>
              </w:rPr>
              <w:tab/>
            </w:r>
            <w:r w:rsidRPr="00485CF4">
              <w:rPr>
                <w:i/>
                <w:sz w:val="20"/>
                <w:lang w:val="fr-FR"/>
              </w:rPr>
              <w:t>Centre d’Études Internationales de la Propriété Intellectuelle</w:t>
            </w:r>
            <w:r w:rsidRPr="00485CF4">
              <w:rPr>
                <w:sz w:val="20"/>
                <w:lang w:val="fr-FR"/>
              </w:rPr>
              <w:t xml:space="preserve"> </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CERN</w:t>
            </w:r>
            <w:r w:rsidRPr="00526311">
              <w:rPr>
                <w:sz w:val="20"/>
              </w:rPr>
              <w:tab/>
              <w:t>Organización Europea de Investigación Nuclear</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CICE</w:t>
            </w:r>
            <w:r w:rsidRPr="00526311">
              <w:rPr>
                <w:sz w:val="20"/>
              </w:rPr>
              <w:tab/>
              <w:t>Centro Internacional de Cálculos Electrónicos de las Naciones Unidas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CIG</w:t>
            </w:r>
            <w:r w:rsidRPr="00526311">
              <w:rPr>
                <w:sz w:val="20"/>
              </w:rPr>
              <w:tab/>
              <w:t>Comité Intergubernamental sobre Propiedad Intelectual y Recursos Genéticos, Conocimientos Tradicionales y Folclore</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CIP</w:t>
            </w:r>
            <w:r w:rsidRPr="00526311">
              <w:rPr>
                <w:sz w:val="20"/>
              </w:rPr>
              <w:tab/>
              <w:t>Clasificación Internacional de Patentes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CISAC</w:t>
            </w:r>
            <w:r w:rsidRPr="00526311">
              <w:rPr>
                <w:sz w:val="20"/>
              </w:rPr>
              <w:tab/>
              <w:t>Confederación Internacional de Sociedades de Autores y Compositores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CLIR</w:t>
            </w:r>
            <w:r w:rsidRPr="00526311">
              <w:rPr>
                <w:sz w:val="20"/>
              </w:rPr>
              <w:tab/>
            </w:r>
            <w:r w:rsidRPr="00526311">
              <w:rPr>
                <w:i/>
                <w:sz w:val="20"/>
              </w:rPr>
              <w:t>Cross Lingual Information Retrieval</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CMG</w:t>
            </w:r>
            <w:r w:rsidRPr="00526311">
              <w:rPr>
                <w:sz w:val="20"/>
              </w:rPr>
              <w:tab/>
              <w:t>Grupo de Gestión de Crisis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CMNUCC</w:t>
            </w:r>
            <w:r w:rsidRPr="00526311">
              <w:rPr>
                <w:sz w:val="20"/>
              </w:rPr>
              <w:tab/>
              <w:t>Convención Marco de las Naciones Unidas sobre el Cambio Climático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CMSI</w:t>
            </w:r>
            <w:r w:rsidRPr="00526311">
              <w:rPr>
                <w:sz w:val="20"/>
              </w:rPr>
              <w:tab/>
              <w:t>Cumbre Mundial sobre la Sociedad de la Información</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CRTC</w:t>
            </w:r>
            <w:r w:rsidRPr="00526311">
              <w:rPr>
                <w:sz w:val="20"/>
              </w:rPr>
              <w:tab/>
              <w:t>Centro y Red de Tecnología del Clima</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CWS</w:t>
            </w:r>
            <w:r w:rsidRPr="00526311">
              <w:rPr>
                <w:sz w:val="20"/>
              </w:rPr>
              <w:tab/>
              <w:t>Comité de Normas Técnicas de la OMPI</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D</w:t>
            </w:r>
            <w:r w:rsidRPr="00526311">
              <w:rPr>
                <w:sz w:val="20"/>
              </w:rPr>
              <w:t>AG</w:t>
            </w:r>
            <w:r w:rsidRPr="00526311">
              <w:rPr>
                <w:sz w:val="20"/>
              </w:rPr>
              <w:tab/>
              <w:t>Grupo de la Agenda para el Desarrollo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DAS</w:t>
            </w:r>
            <w:r w:rsidRPr="00526311">
              <w:rPr>
                <w:sz w:val="20"/>
              </w:rPr>
              <w:tab/>
              <w:t>Servicio de Acceso Digital a los Documentos de Prioridad</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DGRRHH</w:t>
            </w:r>
            <w:r w:rsidRPr="00526311">
              <w:rPr>
                <w:sz w:val="20"/>
              </w:rPr>
              <w:tab/>
              <w:t>Departamento de Gestión de los Recursos Humanos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DIGEPIH</w:t>
            </w:r>
            <w:r w:rsidRPr="00526311">
              <w:rPr>
                <w:sz w:val="20"/>
              </w:rPr>
              <w:tab/>
              <w:t xml:space="preserve">Dirección General de Propiedad Intelectual de Honduras </w:t>
            </w:r>
          </w:p>
        </w:tc>
      </w:tr>
      <w:tr w:rsidR="00AA0C32" w:rsidRPr="00526311" w:rsidTr="003D3C62">
        <w:tc>
          <w:tcPr>
            <w:tcW w:w="9498" w:type="dxa"/>
          </w:tcPr>
          <w:p w:rsidR="00AA0C32" w:rsidRPr="00526311" w:rsidRDefault="00AA0C32" w:rsidP="003D3C62">
            <w:pPr>
              <w:spacing w:after="40"/>
              <w:ind w:left="1735" w:hanging="1735"/>
              <w:rPr>
                <w:sz w:val="20"/>
              </w:rPr>
            </w:pPr>
            <w:r w:rsidRPr="00526311">
              <w:rPr>
                <w:sz w:val="20"/>
              </w:rPr>
              <w:t>documento PPR</w:t>
            </w:r>
            <w:r w:rsidRPr="00526311">
              <w:rPr>
                <w:sz w:val="20"/>
              </w:rPr>
              <w:tab/>
              <w:t>Informe sobre el Rendimiento de los Programas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DPI</w:t>
            </w:r>
            <w:r w:rsidRPr="00526311">
              <w:rPr>
                <w:sz w:val="20"/>
              </w:rPr>
              <w:tab/>
              <w:t>Derechos de propiedad intelectual</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DSI</w:t>
            </w:r>
            <w:r w:rsidRPr="00526311">
              <w:rPr>
                <w:sz w:val="20"/>
              </w:rPr>
              <w:tab/>
              <w:t>División de Supervisión Interna</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E</w:t>
            </w:r>
            <w:r w:rsidRPr="00526311">
              <w:rPr>
                <w:sz w:val="20"/>
              </w:rPr>
              <w:t>COSOC</w:t>
            </w:r>
            <w:r w:rsidRPr="00526311">
              <w:rPr>
                <w:sz w:val="20"/>
              </w:rPr>
              <w:tab/>
              <w:t xml:space="preserve">Consejo Económico y Social </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ECT</w:t>
            </w:r>
            <w:r w:rsidRPr="00526311">
              <w:rPr>
                <w:sz w:val="20"/>
              </w:rPr>
              <w:tab/>
              <w:t>Expresiones culturales tradicionales / Folclore</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EDMS</w:t>
            </w:r>
            <w:r w:rsidRPr="00526311">
              <w:rPr>
                <w:sz w:val="20"/>
              </w:rPr>
              <w:tab/>
              <w:t>Sistema de Gestión Electrónica de Documentos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lastRenderedPageBreak/>
              <w:t>EGEDA</w:t>
            </w:r>
            <w:r w:rsidRPr="00526311">
              <w:rPr>
                <w:sz w:val="20"/>
              </w:rPr>
              <w:tab/>
              <w:t>Entidad de Gestión de Derechos de los Productores Audiovisuales</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F</w:t>
            </w:r>
            <w:r w:rsidRPr="00526311">
              <w:rPr>
                <w:sz w:val="20"/>
              </w:rPr>
              <w:t>AO</w:t>
            </w:r>
            <w:r w:rsidRPr="00526311">
              <w:rPr>
                <w:sz w:val="20"/>
              </w:rPr>
              <w:tab/>
              <w:t>Organización de las Naciones Unidas para la Alimentación y la Agricultura</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FIT</w:t>
            </w:r>
            <w:r w:rsidRPr="00526311">
              <w:rPr>
                <w:sz w:val="20"/>
              </w:rPr>
              <w:tab/>
              <w:t>Fondo fiduciario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FNUDC</w:t>
            </w:r>
            <w:r w:rsidRPr="00526311">
              <w:rPr>
                <w:sz w:val="20"/>
              </w:rPr>
              <w:tab/>
              <w:t>Fondo de las Naciones Unidas para el Desarrollo de la Capitalización</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G</w:t>
            </w:r>
            <w:r w:rsidRPr="00526311">
              <w:rPr>
                <w:sz w:val="20"/>
              </w:rPr>
              <w:t>CC</w:t>
            </w:r>
            <w:r w:rsidRPr="00526311">
              <w:rPr>
                <w:sz w:val="20"/>
              </w:rPr>
              <w:tab/>
              <w:t>Consejo de Cooperación de los Estados Árabes del Golfo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GDA</w:t>
            </w:r>
            <w:r w:rsidRPr="00526311">
              <w:rPr>
                <w:sz w:val="20"/>
              </w:rPr>
              <w:tab/>
              <w:t>Sistema de gestión colectiva del derecho de autor y los derechos conexos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GII</w:t>
            </w:r>
            <w:r w:rsidRPr="00526311">
              <w:rPr>
                <w:sz w:val="20"/>
              </w:rPr>
              <w:tab/>
              <w:t>Índice Mundial de la Innovación</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GIR</w:t>
            </w:r>
            <w:r w:rsidRPr="00526311">
              <w:rPr>
                <w:sz w:val="20"/>
              </w:rPr>
              <w:tab/>
              <w:t>Gestión del rendimiento institucional</w:t>
            </w:r>
          </w:p>
        </w:tc>
      </w:tr>
      <w:tr w:rsidR="00C91295" w:rsidRPr="008A516A" w:rsidTr="00F1387F">
        <w:tc>
          <w:tcPr>
            <w:tcW w:w="9498" w:type="dxa"/>
          </w:tcPr>
          <w:p w:rsidR="00C91295" w:rsidRPr="00485CF4" w:rsidRDefault="00C91295" w:rsidP="00F1387F">
            <w:pPr>
              <w:spacing w:after="40"/>
              <w:ind w:left="1735" w:hanging="1735"/>
              <w:rPr>
                <w:sz w:val="20"/>
                <w:lang w:val="en-US"/>
              </w:rPr>
            </w:pPr>
            <w:r w:rsidRPr="00485CF4">
              <w:rPr>
                <w:sz w:val="20"/>
                <w:lang w:val="en-US"/>
              </w:rPr>
              <w:t>GNIPA</w:t>
            </w:r>
            <w:r w:rsidRPr="00485CF4">
              <w:rPr>
                <w:sz w:val="20"/>
                <w:lang w:val="en-US"/>
              </w:rPr>
              <w:tab/>
            </w:r>
            <w:r w:rsidRPr="00485CF4">
              <w:rPr>
                <w:i/>
                <w:sz w:val="20"/>
                <w:lang w:val="en-US"/>
              </w:rPr>
              <w:t>Global Network of IP Academies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gTLD</w:t>
            </w:r>
            <w:r w:rsidRPr="00526311">
              <w:rPr>
                <w:sz w:val="20"/>
              </w:rPr>
              <w:tab/>
              <w:t>Dominios genéricos de nivel superior</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H</w:t>
            </w:r>
            <w:r w:rsidRPr="00526311">
              <w:rPr>
                <w:sz w:val="20"/>
              </w:rPr>
              <w:t>LCM</w:t>
            </w:r>
            <w:r w:rsidRPr="00526311">
              <w:rPr>
                <w:sz w:val="20"/>
              </w:rPr>
              <w:tab/>
              <w:t>Comité de Alto Nivel sobre Gestión</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I</w:t>
            </w:r>
            <w:r w:rsidRPr="00526311">
              <w:rPr>
                <w:sz w:val="20"/>
              </w:rPr>
              <w:t>B</w:t>
            </w:r>
            <w:r w:rsidRPr="00526311">
              <w:rPr>
                <w:sz w:val="20"/>
              </w:rPr>
              <w:tab/>
              <w:t>Oficina Internacional</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ICANN</w:t>
            </w:r>
            <w:r w:rsidRPr="00526311">
              <w:rPr>
                <w:sz w:val="20"/>
              </w:rPr>
              <w:tab/>
              <w:t>Corporación para la Asignación de Nombres y Números en Internet</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ICS</w:t>
            </w:r>
            <w:r w:rsidRPr="00526311">
              <w:rPr>
                <w:sz w:val="20"/>
              </w:rPr>
              <w:tab/>
              <w:t>Servicios contractuales individuales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ICSEI</w:t>
            </w:r>
            <w:r w:rsidRPr="00526311">
              <w:rPr>
                <w:sz w:val="20"/>
              </w:rPr>
              <w:tab/>
              <w:t>Cooperación Internacional para la Búsqueda y el Examen de Invenciones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IGF</w:t>
            </w:r>
            <w:r w:rsidRPr="00526311">
              <w:rPr>
                <w:sz w:val="20"/>
              </w:rPr>
              <w:tab/>
              <w:t>Foro de Gobernanza de Internet</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IIA</w:t>
            </w:r>
            <w:r w:rsidRPr="00526311">
              <w:rPr>
                <w:sz w:val="20"/>
              </w:rPr>
              <w:tab/>
              <w:t>Instituto de Auditores Internos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IPAS</w:t>
            </w:r>
            <w:r w:rsidRPr="00526311">
              <w:rPr>
                <w:sz w:val="20"/>
              </w:rPr>
              <w:tab/>
              <w:t>Sistema de Automatización para las Oficinas de P.I.</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IPSAS</w:t>
            </w:r>
            <w:r w:rsidRPr="00526311">
              <w:rPr>
                <w:sz w:val="20"/>
              </w:rPr>
              <w:tab/>
              <w:t>Normas Internacionales de Contabilidad del Sector Público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T.I.</w:t>
            </w:r>
            <w:r w:rsidRPr="00526311">
              <w:rPr>
                <w:sz w:val="20"/>
              </w:rPr>
              <w:tab/>
              <w:t>Tecnologías de la información</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ITIL</w:t>
            </w:r>
            <w:r w:rsidRPr="00526311">
              <w:rPr>
                <w:sz w:val="20"/>
              </w:rPr>
              <w:tab/>
              <w:t>Biblioteca de infraestructura de T.I.</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I+D</w:t>
            </w:r>
            <w:r w:rsidRPr="00526311">
              <w:rPr>
                <w:sz w:val="20"/>
              </w:rPr>
              <w:tab/>
              <w:t>Investigación y desarrollo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IP-TAD</w:t>
            </w:r>
            <w:r w:rsidRPr="00526311">
              <w:rPr>
                <w:sz w:val="20"/>
              </w:rPr>
              <w:tab/>
              <w:t xml:space="preserve">Base de datos de asistencia técnica en materia de P.I. </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J</w:t>
            </w:r>
            <w:r w:rsidRPr="00526311">
              <w:rPr>
                <w:sz w:val="20"/>
              </w:rPr>
              <w:t>JE</w:t>
            </w:r>
            <w:r w:rsidRPr="00526311">
              <w:rPr>
                <w:sz w:val="20"/>
              </w:rPr>
              <w:tab/>
              <w:t>Junta de los Jefes Ejecutivos del Sistema de las Naciones Unidas para la Coordinación</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M</w:t>
            </w:r>
            <w:r w:rsidRPr="00526311">
              <w:rPr>
                <w:sz w:val="20"/>
              </w:rPr>
              <w:t>GS</w:t>
            </w:r>
            <w:r w:rsidRPr="00526311">
              <w:rPr>
                <w:sz w:val="20"/>
              </w:rPr>
              <w:tab/>
              <w:t>Gestor de Productos y Servicios de Madrid</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N</w:t>
            </w:r>
            <w:r w:rsidRPr="00526311">
              <w:rPr>
                <w:sz w:val="20"/>
              </w:rPr>
              <w:t>N.UU.</w:t>
            </w:r>
            <w:r w:rsidRPr="00526311">
              <w:rPr>
                <w:sz w:val="20"/>
              </w:rPr>
              <w:tab/>
              <w:t>Naciones Unidas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NPO</w:t>
            </w:r>
            <w:r w:rsidRPr="00526311">
              <w:rPr>
                <w:sz w:val="20"/>
              </w:rPr>
              <w:tab/>
              <w:t xml:space="preserve">Funcionario nacional profesional </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O</w:t>
            </w:r>
            <w:r w:rsidRPr="00526311">
              <w:rPr>
                <w:sz w:val="20"/>
              </w:rPr>
              <w:t>AMI</w:t>
            </w:r>
            <w:r w:rsidRPr="00526311">
              <w:rPr>
                <w:sz w:val="20"/>
              </w:rPr>
              <w:tab/>
              <w:t>Oficina de Armonización del Mercado Interior (Marca Comunitaria)</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OAPI</w:t>
            </w:r>
            <w:r w:rsidRPr="00526311">
              <w:rPr>
                <w:sz w:val="20"/>
              </w:rPr>
              <w:tab/>
              <w:t>Organización Africana de la Propiedad Intelectual</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OCDE</w:t>
            </w:r>
            <w:r w:rsidRPr="00526311">
              <w:rPr>
                <w:sz w:val="20"/>
              </w:rPr>
              <w:tab/>
              <w:t>Organización de Cooperación y Desarrollo Económicos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ODM</w:t>
            </w:r>
            <w:r w:rsidRPr="00526311">
              <w:rPr>
                <w:sz w:val="20"/>
              </w:rPr>
              <w:tab/>
              <w:t>Objetivos de Desarrollo del Milenio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OEP</w:t>
            </w:r>
            <w:r w:rsidRPr="00526311">
              <w:rPr>
                <w:sz w:val="20"/>
              </w:rPr>
              <w:tab/>
              <w:t>Oficina Europea de Patentes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OGC</w:t>
            </w:r>
            <w:r w:rsidRPr="00526311">
              <w:rPr>
                <w:sz w:val="20"/>
              </w:rPr>
              <w:tab/>
              <w:t>Organismos de gestión colectiva</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OIG</w:t>
            </w:r>
            <w:r w:rsidRPr="00526311">
              <w:rPr>
                <w:sz w:val="20"/>
              </w:rPr>
              <w:tab/>
              <w:t>Organizaciones intergubernamentales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OIC</w:t>
            </w:r>
            <w:r w:rsidRPr="00526311">
              <w:rPr>
                <w:sz w:val="20"/>
              </w:rPr>
              <w:tab/>
              <w:t>Organización de Cooperación Islámica</w:t>
            </w:r>
          </w:p>
        </w:tc>
      </w:tr>
      <w:tr w:rsidR="00C91295" w:rsidRPr="008A516A" w:rsidTr="00F1387F">
        <w:tc>
          <w:tcPr>
            <w:tcW w:w="9498" w:type="dxa"/>
          </w:tcPr>
          <w:p w:rsidR="00C91295" w:rsidRPr="00485CF4" w:rsidRDefault="00C91295" w:rsidP="00F1387F">
            <w:pPr>
              <w:spacing w:after="40"/>
              <w:ind w:left="1735" w:hanging="1735"/>
              <w:rPr>
                <w:sz w:val="20"/>
                <w:lang w:val="fr-FR"/>
              </w:rPr>
            </w:pPr>
            <w:r w:rsidRPr="00485CF4">
              <w:rPr>
                <w:sz w:val="20"/>
                <w:lang w:val="fr-FR"/>
              </w:rPr>
              <w:t>OIF</w:t>
            </w:r>
            <w:r w:rsidRPr="00485CF4">
              <w:rPr>
                <w:sz w:val="20"/>
                <w:lang w:val="fr-FR"/>
              </w:rPr>
              <w:tab/>
            </w:r>
            <w:r w:rsidRPr="00485CF4">
              <w:rPr>
                <w:i/>
                <w:sz w:val="20"/>
                <w:lang w:val="fr-FR"/>
              </w:rPr>
              <w:t>Organisation Internationale de la Francophonie</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OIT</w:t>
            </w:r>
            <w:r w:rsidRPr="00526311">
              <w:rPr>
                <w:sz w:val="20"/>
              </w:rPr>
              <w:tab/>
              <w:t>Organización Internacional del Trabajo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OMC</w:t>
            </w:r>
            <w:r w:rsidRPr="00526311">
              <w:rPr>
                <w:sz w:val="20"/>
              </w:rPr>
              <w:tab/>
              <w:t xml:space="preserve">Organización Mundial del Comercio </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OMS</w:t>
            </w:r>
            <w:r w:rsidRPr="00526311">
              <w:rPr>
                <w:sz w:val="20"/>
              </w:rPr>
              <w:tab/>
              <w:t>Organización Mundial de la Salud</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ONG</w:t>
            </w:r>
            <w:r w:rsidRPr="00526311">
              <w:rPr>
                <w:sz w:val="20"/>
              </w:rPr>
              <w:tab/>
              <w:t>Organizaciones no gubernamentales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ONUDI</w:t>
            </w:r>
            <w:r w:rsidRPr="00526311">
              <w:rPr>
                <w:sz w:val="20"/>
              </w:rPr>
              <w:tab/>
              <w:t>Organización de las Naciones Unidas para el Desarrollo Industrial</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OOB</w:t>
            </w:r>
            <w:r w:rsidRPr="00526311">
              <w:rPr>
                <w:sz w:val="20"/>
              </w:rPr>
              <w:tab/>
              <w:t>Oficina de la OMPI en el Brasil</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OOJ</w:t>
            </w:r>
            <w:r w:rsidRPr="00526311">
              <w:rPr>
                <w:sz w:val="20"/>
              </w:rPr>
              <w:tab/>
              <w:t>Oficina de la OMPI en el Japón</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OOS</w:t>
            </w:r>
            <w:r w:rsidRPr="00526311">
              <w:rPr>
                <w:sz w:val="20"/>
              </w:rPr>
              <w:tab/>
              <w:t>Oficina de la OMPI en Singapur</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lastRenderedPageBreak/>
              <w:t>OPD</w:t>
            </w:r>
            <w:r w:rsidRPr="00526311">
              <w:rPr>
                <w:sz w:val="20"/>
              </w:rPr>
              <w:tab/>
              <w:t xml:space="preserve">Sistema </w:t>
            </w:r>
            <w:r w:rsidRPr="00526311">
              <w:rPr>
                <w:i/>
                <w:sz w:val="20"/>
              </w:rPr>
              <w:t>One Portal Dossier</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OPI</w:t>
            </w:r>
            <w:r w:rsidRPr="00526311">
              <w:rPr>
                <w:sz w:val="20"/>
              </w:rPr>
              <w:tab/>
              <w:t>Oficina(s) de propiedad intelectual</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OTT</w:t>
            </w:r>
            <w:r w:rsidRPr="00526311">
              <w:rPr>
                <w:sz w:val="20"/>
              </w:rPr>
              <w:tab/>
              <w:t>Oficina de transferencia de tecnología</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P</w:t>
            </w:r>
            <w:r w:rsidRPr="00526311">
              <w:rPr>
                <w:sz w:val="20"/>
              </w:rPr>
              <w:t>AE</w:t>
            </w:r>
            <w:r w:rsidRPr="00526311">
              <w:rPr>
                <w:sz w:val="20"/>
              </w:rPr>
              <w:tab/>
              <w:t>Programa de Alineación Estratégica</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P.I.</w:t>
            </w:r>
            <w:r w:rsidRPr="00526311">
              <w:rPr>
                <w:sz w:val="20"/>
              </w:rPr>
              <w:tab/>
              <w:t>Propiedad intelectual</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PCT</w:t>
            </w:r>
            <w:r w:rsidRPr="00526311">
              <w:rPr>
                <w:sz w:val="20"/>
              </w:rPr>
              <w:tab/>
              <w:t>Tratado de Cooperación en materia de Patentes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PEMP</w:t>
            </w:r>
            <w:r w:rsidRPr="00526311">
              <w:rPr>
                <w:sz w:val="20"/>
              </w:rPr>
              <w:tab/>
              <w:t>Plan Estratégico a Mediano Plazo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PLT</w:t>
            </w:r>
            <w:r w:rsidRPr="00526311">
              <w:rPr>
                <w:sz w:val="20"/>
              </w:rPr>
              <w:tab/>
              <w:t>Tratado sobre el Derecho de Patentes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PMA</w:t>
            </w:r>
            <w:r w:rsidRPr="00526311">
              <w:rPr>
                <w:sz w:val="20"/>
              </w:rPr>
              <w:tab/>
              <w:t>País menos adelantado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PMSDS</w:t>
            </w:r>
            <w:r w:rsidRPr="00526311">
              <w:rPr>
                <w:sz w:val="20"/>
              </w:rPr>
              <w:tab/>
              <w:t>Sistema de Gestión del Desempeño y el Perfeccionamiento del Personal</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noProof/>
                <w:sz w:val="20"/>
                <w:lang w:val="en-US" w:eastAsia="en-US"/>
              </w:rPr>
              <mc:AlternateContent>
                <mc:Choice Requires="wps">
                  <w:drawing>
                    <wp:anchor distT="0" distB="0" distL="114300" distR="114300" simplePos="0" relativeHeight="251659264" behindDoc="0" locked="0" layoutInCell="0" allowOverlap="1" wp14:anchorId="75C23007" wp14:editId="35B96F1C">
                      <wp:simplePos x="0" y="0"/>
                      <wp:positionH relativeFrom="column">
                        <wp:posOffset>-2118995</wp:posOffset>
                      </wp:positionH>
                      <wp:positionV relativeFrom="paragraph">
                        <wp:posOffset>83185</wp:posOffset>
                      </wp:positionV>
                      <wp:extent cx="731520" cy="1097280"/>
                      <wp:effectExtent l="10160" t="10795" r="10795" b="6350"/>
                      <wp:wrapNone/>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BE1A45" w:rsidRDefault="00BE1A45" w:rsidP="00F1387F">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026" type="#_x0000_t202" style="position:absolute;left:0;text-align:left;margin-left:-166.85pt;margin-top:6.55pt;width:57.6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aKwIAAFQEAAAOAAAAZHJzL2Uyb0RvYy54bWysVNuO0zAQfUfiHyy/06SlpW3UdLV0KUJa&#10;LtIuH+A4TmJhe4ztNilfz9jplmqBF0QeLNszPjNzzkw2N4NW5Cicl2BKOp3klAjDoZamLenXx/2r&#10;FSU+MFMzBUaU9CQ8vdm+fLHpbSFm0IGqhSMIYnzR25J2IdgiyzzvhGZ+AlYYNDbgNAt4dG1WO9Yj&#10;ulbZLM/fZD242jrgwnu8vRuNdJvwm0bw8LlpvAhElRRzC2l1aa3imm03rGgds53k5zTYP2ShmTQY&#10;9AJ1xwIjByd/g9KSO/DQhAkHnUHTSC5SDVjNNH9WzUPHrEi1IDneXmjy/w+Wfzp+cUTWJV3N55QY&#10;plGkRzEE8hYGEu+Qod76Ah0fLLqGAQ2odKrW23vg3zwxsOuYacWtc9B3gtWY4TS+zK6ejjg+glT9&#10;R6gxEDsESEBD43SkDwkhiI5KnS7qxGQ4Xi5fTxcztHA0TfP1crZK8mWseHptnQ/vBWgSNyV1qH5C&#10;Z8d7H2I2rHhyicE8KFnvpVLp4Npqpxw5MuyUffpSAc/clCF9SdeL2WIk4K8Qefr+BKFlwJZXUiPn&#10;FydWRNremTo1ZGBSjXtMWZkzj5G6kcQwVMNZlwrqEzLqYGxtHEXcdOB+UNJjW5fUfz8wJyhRHwyq&#10;sp7O53EO0mG+WEZC3bWlurYwwxGqpIGScbsL4+wcrJNth5HGPjBwi0o2MpEcJR+zOueNrZu4P49Z&#10;nI3rc/L69TPY/gQAAP//AwBQSwMEFAAGAAgAAAAhACRR+MjiAAAADAEAAA8AAABkcnMvZG93bnJl&#10;di54bWxMj8tOwzAQRfdI/IM1SGxQ6qSmbRriVAgJBDsoVdm6yTSJ8CPYbhr+nmEFy5l7dOdMuZmM&#10;ZiP60DsrIZulwNDWrultK2H3/pjkwEJUtlHaWZTwjQE21eVFqYrGne0bjtvYMiqxoVASuhiHgvNQ&#10;d2hUmLkBLWVH542KNPqWN16dqdxoPk/TJTeqt3ShUwM+dFh/bk9GQn77PH6EF/G6r5dHvY43q/Hp&#10;y0t5fTXd3wGLOMU/GH71SR0qcjq4k20C0xISIcSKWEpEBoyIZJ7lC2AH2uSLNfCq5P+fqH4AAAD/&#10;/wMAUEsBAi0AFAAGAAgAAAAhALaDOJL+AAAA4QEAABMAAAAAAAAAAAAAAAAAAAAAAFtDb250ZW50&#10;X1R5cGVzXS54bWxQSwECLQAUAAYACAAAACEAOP0h/9YAAACUAQAACwAAAAAAAAAAAAAAAAAvAQAA&#10;X3JlbHMvLnJlbHNQSwECLQAUAAYACAAAACEAH1/6misCAABUBAAADgAAAAAAAAAAAAAAAAAuAgAA&#10;ZHJzL2Uyb0RvYy54bWxQSwECLQAUAAYACAAAACEAJFH4yOIAAAAMAQAADwAAAAAAAAAAAAAAAACF&#10;BAAAZHJzL2Rvd25yZXYueG1sUEsFBgAAAAAEAAQA8wAAAJQFAAAAAA==&#10;" o:allowincell="f">
                      <v:textbox>
                        <w:txbxContent>
                          <w:p w:rsidR="00BE1A45" w:rsidRDefault="00BE1A45" w:rsidP="00F1387F">
                            <w:pPr>
                              <w:pStyle w:val="BodyText2"/>
                            </w:pPr>
                          </w:p>
                        </w:txbxContent>
                      </v:textbox>
                    </v:shape>
                  </w:pict>
                </mc:Fallback>
              </mc:AlternateContent>
            </w:r>
            <w:r w:rsidRPr="00526311">
              <w:rPr>
                <w:sz w:val="20"/>
              </w:rPr>
              <w:t>PNUMA</w:t>
            </w:r>
            <w:r w:rsidRPr="00526311">
              <w:rPr>
                <w:sz w:val="20"/>
              </w:rPr>
              <w:tab/>
              <w:t>Programa de las Naciones Unidas para el Medio Ambiente</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Política Uniforme</w:t>
            </w:r>
            <w:r w:rsidRPr="00526311">
              <w:rPr>
                <w:sz w:val="20"/>
              </w:rPr>
              <w:tab/>
              <w:t>Política Uniforme de Solución de Controversias en materia de Nombres de Dominio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PRI</w:t>
            </w:r>
            <w:r w:rsidRPr="00526311">
              <w:rPr>
                <w:sz w:val="20"/>
              </w:rPr>
              <w:tab/>
              <w:t>Planificación de los recursos institucionales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Pymes</w:t>
            </w:r>
            <w:r w:rsidRPr="00526311">
              <w:rPr>
                <w:sz w:val="20"/>
              </w:rPr>
              <w:tab/>
              <w:t>Pequeñas y medianas empresas</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R</w:t>
            </w:r>
            <w:r w:rsidRPr="00526311">
              <w:rPr>
                <w:sz w:val="20"/>
              </w:rPr>
              <w:t>O</w:t>
            </w:r>
            <w:r w:rsidRPr="00526311">
              <w:rPr>
                <w:sz w:val="20"/>
              </w:rPr>
              <w:tab/>
              <w:t>Oficina receptora</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RR.GG.</w:t>
            </w:r>
            <w:r w:rsidRPr="00526311">
              <w:rPr>
                <w:sz w:val="20"/>
              </w:rPr>
              <w:tab/>
              <w:t>Recursos genéticos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RR.HH.</w:t>
            </w:r>
            <w:r w:rsidRPr="00526311">
              <w:rPr>
                <w:sz w:val="20"/>
              </w:rPr>
              <w:tab/>
              <w:t>Recursos humanos</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S</w:t>
            </w:r>
            <w:r w:rsidRPr="00526311">
              <w:rPr>
                <w:sz w:val="20"/>
              </w:rPr>
              <w:t>CCR</w:t>
            </w:r>
            <w:r w:rsidRPr="00526311">
              <w:rPr>
                <w:sz w:val="20"/>
              </w:rPr>
              <w:tab/>
              <w:t>Comité Permanente de Derecho de Autor y Derechos Conexos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SCP</w:t>
            </w:r>
            <w:r w:rsidRPr="00526311">
              <w:rPr>
                <w:sz w:val="20"/>
              </w:rPr>
              <w:tab/>
              <w:t>Comité Permanente sobre el Derecho de Patentes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SCT</w:t>
            </w:r>
            <w:r w:rsidRPr="00526311">
              <w:rPr>
                <w:sz w:val="20"/>
              </w:rPr>
              <w:tab/>
              <w:t>Comité Permanente sobre el Derecho Marcas, Diseños Industriales e Indicaciones Geográficas</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T</w:t>
            </w:r>
            <w:r w:rsidRPr="00526311">
              <w:rPr>
                <w:sz w:val="20"/>
              </w:rPr>
              <w:t>A</w:t>
            </w:r>
            <w:r w:rsidRPr="00526311">
              <w:rPr>
                <w:sz w:val="20"/>
              </w:rPr>
              <w:tab/>
              <w:t>Autorización de viaje (formulario)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TAPTA</w:t>
            </w:r>
            <w:r w:rsidRPr="00526311">
              <w:rPr>
                <w:sz w:val="20"/>
              </w:rPr>
              <w:tab/>
              <w:t xml:space="preserve">Auxiliar para la traducción de títulos y resúmenes de patentes (siglas del inglés </w:t>
            </w:r>
            <w:r w:rsidRPr="00526311">
              <w:rPr>
                <w:i/>
                <w:sz w:val="20"/>
              </w:rPr>
              <w:t>Translation Assistant for Patent Titles and Abstracts</w:t>
            </w:r>
            <w:r w:rsidRPr="00526311">
              <w:rPr>
                <w:sz w:val="20"/>
              </w:rPr>
              <w:t xml:space="preserve">) </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TIC</w:t>
            </w:r>
            <w:r w:rsidRPr="00526311">
              <w:rPr>
                <w:sz w:val="20"/>
              </w:rPr>
              <w:tab/>
              <w:t xml:space="preserve">Tecnologías de la Información y las Comunicaciones </w:t>
            </w:r>
          </w:p>
        </w:tc>
      </w:tr>
      <w:tr w:rsidR="00C91295" w:rsidRPr="008A516A" w:rsidTr="00F1387F">
        <w:tc>
          <w:tcPr>
            <w:tcW w:w="9498" w:type="dxa"/>
          </w:tcPr>
          <w:p w:rsidR="00C91295" w:rsidRPr="00485CF4" w:rsidRDefault="00C91295" w:rsidP="00F1387F">
            <w:pPr>
              <w:spacing w:after="40"/>
              <w:ind w:left="1735" w:hanging="1735"/>
              <w:rPr>
                <w:sz w:val="20"/>
                <w:lang w:val="en-US"/>
              </w:rPr>
            </w:pPr>
            <w:r w:rsidRPr="00485CF4">
              <w:rPr>
                <w:sz w:val="20"/>
                <w:lang w:val="en-US"/>
              </w:rPr>
              <w:t>TIGAR</w:t>
            </w:r>
            <w:r w:rsidRPr="00485CF4">
              <w:rPr>
                <w:sz w:val="20"/>
                <w:lang w:val="en-US"/>
              </w:rPr>
              <w:tab/>
            </w:r>
            <w:r w:rsidRPr="00485CF4">
              <w:rPr>
                <w:i/>
                <w:sz w:val="20"/>
                <w:lang w:val="en-US"/>
              </w:rPr>
              <w:t>Trusted Intermediary Global Accessible Resources</w:t>
            </w:r>
          </w:p>
        </w:tc>
      </w:tr>
      <w:tr w:rsidR="00C91295" w:rsidRPr="008A516A" w:rsidTr="00F1387F">
        <w:tc>
          <w:tcPr>
            <w:tcW w:w="9498" w:type="dxa"/>
          </w:tcPr>
          <w:p w:rsidR="00C91295" w:rsidRPr="00485CF4" w:rsidRDefault="00C91295" w:rsidP="00F1387F">
            <w:pPr>
              <w:spacing w:after="40"/>
              <w:ind w:left="1735" w:hanging="1735"/>
              <w:rPr>
                <w:sz w:val="20"/>
                <w:lang w:val="en-US"/>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U</w:t>
            </w:r>
            <w:r w:rsidRPr="00526311">
              <w:rPr>
                <w:sz w:val="20"/>
              </w:rPr>
              <w:t>E</w:t>
            </w:r>
            <w:r w:rsidRPr="00526311">
              <w:rPr>
                <w:sz w:val="20"/>
              </w:rPr>
              <w:tab/>
              <w:t xml:space="preserve">Unión Europea </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UIT</w:t>
            </w:r>
            <w:r w:rsidRPr="00526311">
              <w:rPr>
                <w:sz w:val="20"/>
              </w:rPr>
              <w:tab/>
              <w:t>Unión Internacional de Telecomunicaciones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UNAH</w:t>
            </w:r>
            <w:r w:rsidRPr="00526311">
              <w:rPr>
                <w:sz w:val="20"/>
              </w:rPr>
              <w:tab/>
              <w:t xml:space="preserve">Universidad Nacional Autónoma de Honduras </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UNCTAD</w:t>
            </w:r>
            <w:r w:rsidRPr="00526311">
              <w:rPr>
                <w:sz w:val="20"/>
              </w:rPr>
              <w:tab/>
              <w:t>Conferencia de las Naciones Unidas sobre Comercio y Desarrollo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UNESCO</w:t>
            </w:r>
            <w:r w:rsidRPr="00526311">
              <w:rPr>
                <w:sz w:val="20"/>
              </w:rPr>
              <w:tab/>
              <w:t>Organización de las Naciones Unidas para la Educación, la Ciencia y la Cultura</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USPTO</w:t>
            </w:r>
            <w:r w:rsidRPr="00526311">
              <w:rPr>
                <w:sz w:val="20"/>
              </w:rPr>
              <w:tab/>
              <w:t>Oficina de Patentes y Marcas de los Estados Unidos de América</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W</w:t>
            </w:r>
            <w:r w:rsidRPr="00526311">
              <w:rPr>
                <w:sz w:val="20"/>
              </w:rPr>
              <w:t>CC</w:t>
            </w:r>
            <w:r w:rsidRPr="00526311">
              <w:rPr>
                <w:sz w:val="20"/>
              </w:rPr>
              <w:tab/>
            </w:r>
            <w:r w:rsidRPr="00526311">
              <w:rPr>
                <w:i/>
                <w:sz w:val="20"/>
              </w:rPr>
              <w:t>WIPO Copyright Connection</w:t>
            </w:r>
            <w:r w:rsidRPr="00526311">
              <w:rPr>
                <w:sz w:val="20"/>
              </w:rPr>
              <w:t xml:space="preserve"> (Conexión de Derecho de Autor de la OMPI)</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WCT</w:t>
            </w:r>
            <w:r w:rsidRPr="00526311">
              <w:rPr>
                <w:sz w:val="20"/>
              </w:rPr>
              <w:tab/>
              <w:t>Tratado de la OMPI sobre Derecho de Autor</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WINS</w:t>
            </w:r>
            <w:r w:rsidRPr="00526311">
              <w:rPr>
                <w:sz w:val="20"/>
              </w:rPr>
              <w:tab/>
              <w:t>Sistema de la OMPI de notificación de consultas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WIPOCOS</w:t>
            </w:r>
            <w:r w:rsidRPr="00526311">
              <w:rPr>
                <w:sz w:val="20"/>
              </w:rPr>
              <w:tab/>
              <w:t>Programa informático de la OMPI para la gestión colectiva del derecho de autor y los derechos conexos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WPIS</w:t>
            </w:r>
            <w:r w:rsidRPr="00526311">
              <w:rPr>
                <w:sz w:val="20"/>
              </w:rPr>
              <w:tab/>
              <w:t>Servicios de la OMPI de Información en materia de Patentes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WPPT</w:t>
            </w:r>
            <w:r w:rsidRPr="00526311">
              <w:rPr>
                <w:sz w:val="20"/>
              </w:rPr>
              <w:tab/>
              <w:t>Tratado de la OMPI sobre Interpretación o Ejecución y Fonogramas</w:t>
            </w:r>
          </w:p>
        </w:tc>
      </w:tr>
    </w:tbl>
    <w:p w:rsidR="00C91295" w:rsidRPr="00526311" w:rsidRDefault="00C91295" w:rsidP="00F1387F">
      <w:pPr>
        <w:pStyle w:val="BodyText"/>
        <w:rPr>
          <w:sz w:val="20"/>
        </w:rPr>
      </w:pPr>
    </w:p>
    <w:p w:rsidR="00C91295" w:rsidRPr="00526311" w:rsidRDefault="00C91295" w:rsidP="00F1387F">
      <w:pPr>
        <w:pStyle w:val="BodyText"/>
        <w:rPr>
          <w:sz w:val="20"/>
        </w:rPr>
      </w:pPr>
    </w:p>
    <w:p w:rsidR="00C91295" w:rsidRPr="00526311" w:rsidRDefault="00C91295" w:rsidP="00F1387F">
      <w:pPr>
        <w:ind w:left="4253"/>
        <w:jc w:val="center"/>
        <w:rPr>
          <w:sz w:val="20"/>
        </w:rPr>
      </w:pPr>
      <w:r w:rsidRPr="00526311">
        <w:rPr>
          <w:color w:val="000000"/>
          <w:sz w:val="20"/>
        </w:rPr>
        <w:t>[Fin del Apéndice IV y del documento]</w:t>
      </w:r>
    </w:p>
    <w:p w:rsidR="004A0B71" w:rsidRPr="00526311" w:rsidRDefault="004A0B71" w:rsidP="0063039A">
      <w:pPr>
        <w:autoSpaceDE w:val="0"/>
        <w:autoSpaceDN w:val="0"/>
        <w:jc w:val="both"/>
        <w:rPr>
          <w:sz w:val="20"/>
        </w:rPr>
      </w:pPr>
    </w:p>
    <w:sectPr w:rsidR="004A0B71" w:rsidRPr="00526311" w:rsidSect="006B0BFE">
      <w:headerReference w:type="even" r:id="rId170"/>
      <w:headerReference w:type="first" r:id="rId171"/>
      <w:pgSz w:w="11907" w:h="16840" w:code="9"/>
      <w:pgMar w:top="567" w:right="1134" w:bottom="1247"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A45" w:rsidRDefault="00BE1A45">
      <w:r>
        <w:separator/>
      </w:r>
    </w:p>
  </w:endnote>
  <w:endnote w:type="continuationSeparator" w:id="0">
    <w:p w:rsidR="00BE1A45" w:rsidRPr="009D30E6" w:rsidRDefault="00BE1A45" w:rsidP="007E663E">
      <w:pPr>
        <w:rPr>
          <w:sz w:val="17"/>
          <w:szCs w:val="17"/>
        </w:rPr>
      </w:pPr>
      <w:r w:rsidRPr="009D30E6">
        <w:rPr>
          <w:sz w:val="17"/>
          <w:szCs w:val="17"/>
        </w:rPr>
        <w:separator/>
      </w:r>
    </w:p>
    <w:p w:rsidR="00BE1A45" w:rsidRPr="007E663E" w:rsidRDefault="00BE1A45" w:rsidP="007E663E">
      <w:pPr>
        <w:spacing w:after="60"/>
        <w:rPr>
          <w:sz w:val="17"/>
          <w:szCs w:val="17"/>
        </w:rPr>
      </w:pPr>
      <w:r>
        <w:rPr>
          <w:sz w:val="17"/>
        </w:rPr>
        <w:t>[Continuación de la nota de la página anterior]</w:t>
      </w:r>
    </w:p>
  </w:endnote>
  <w:endnote w:type="continuationNotice" w:id="1">
    <w:p w:rsidR="00BE1A45" w:rsidRPr="007E663E" w:rsidRDefault="00BE1A45"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A45" w:rsidRPr="000B2192" w:rsidRDefault="00BE1A45" w:rsidP="006E07F1">
    <w:pPr>
      <w:pStyle w:val="Footer"/>
      <w:jc w:val="center"/>
      <w:rPr>
        <w:sz w:val="20"/>
      </w:rPr>
    </w:pPr>
    <w:r w:rsidRPr="000B2192">
      <w:rPr>
        <w:sz w:val="20"/>
      </w:rPr>
      <w:fldChar w:fldCharType="begin"/>
    </w:r>
    <w:r w:rsidRPr="000B2192">
      <w:rPr>
        <w:sz w:val="20"/>
      </w:rPr>
      <w:instrText xml:space="preserve"> PAGE   \* MERGEFORMAT </w:instrText>
    </w:r>
    <w:r w:rsidRPr="000B2192">
      <w:rPr>
        <w:sz w:val="20"/>
      </w:rPr>
      <w:fldChar w:fldCharType="separate"/>
    </w:r>
    <w:r w:rsidR="00EE6BCA">
      <w:rPr>
        <w:noProof/>
        <w:sz w:val="20"/>
      </w:rPr>
      <w:t>3</w:t>
    </w:r>
    <w:r w:rsidRPr="000B2192">
      <w:rPr>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A45" w:rsidRPr="00E24BD2" w:rsidRDefault="00BE1A45" w:rsidP="00A37F74">
    <w:pPr>
      <w:pStyle w:val="Footer"/>
      <w:jc w:val="center"/>
      <w:rPr>
        <w:sz w:val="20"/>
      </w:rPr>
    </w:pPr>
    <w:r w:rsidRPr="00E24BD2">
      <w:rPr>
        <w:sz w:val="20"/>
      </w:rPr>
      <w:fldChar w:fldCharType="begin"/>
    </w:r>
    <w:r w:rsidRPr="00E24BD2">
      <w:rPr>
        <w:sz w:val="20"/>
      </w:rPr>
      <w:instrText xml:space="preserve"> PAGE   \* MERGEFORMAT </w:instrText>
    </w:r>
    <w:r w:rsidRPr="00E24BD2">
      <w:rPr>
        <w:sz w:val="20"/>
      </w:rPr>
      <w:fldChar w:fldCharType="separate"/>
    </w:r>
    <w:r w:rsidR="00EE6BCA">
      <w:rPr>
        <w:noProof/>
        <w:sz w:val="20"/>
      </w:rPr>
      <w:t>20</w:t>
    </w:r>
    <w:r w:rsidRPr="00E24BD2">
      <w:rPr>
        <w:noProof/>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A45" w:rsidRDefault="00BE1A45" w:rsidP="00A37F74">
    <w:pPr>
      <w:pStyle w:val="Footer"/>
      <w:jc w:val="center"/>
    </w:pPr>
    <w:r>
      <w:fldChar w:fldCharType="begin"/>
    </w:r>
    <w:r>
      <w:instrText xml:space="preserve"> PAGE   \* MERGEFORMAT </w:instrText>
    </w:r>
    <w:r>
      <w:fldChar w:fldCharType="separate"/>
    </w:r>
    <w:r w:rsidR="00EE6BCA">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A45" w:rsidRDefault="00BE1A45">
      <w:r>
        <w:separator/>
      </w:r>
    </w:p>
  </w:footnote>
  <w:footnote w:type="continuationSeparator" w:id="0">
    <w:p w:rsidR="00BE1A45" w:rsidRPr="009D30E6" w:rsidRDefault="00BE1A45" w:rsidP="007E663E">
      <w:pPr>
        <w:rPr>
          <w:sz w:val="17"/>
          <w:szCs w:val="17"/>
        </w:rPr>
      </w:pPr>
      <w:r w:rsidRPr="009D30E6">
        <w:rPr>
          <w:sz w:val="17"/>
          <w:szCs w:val="17"/>
        </w:rPr>
        <w:separator/>
      </w:r>
    </w:p>
    <w:p w:rsidR="00BE1A45" w:rsidRPr="007E663E" w:rsidRDefault="00BE1A45" w:rsidP="007E663E">
      <w:pPr>
        <w:spacing w:after="60"/>
        <w:rPr>
          <w:sz w:val="17"/>
          <w:szCs w:val="17"/>
        </w:rPr>
      </w:pPr>
      <w:r>
        <w:rPr>
          <w:sz w:val="17"/>
        </w:rPr>
        <w:t>[Continuación de la nota de la página anterior]</w:t>
      </w:r>
    </w:p>
  </w:footnote>
  <w:footnote w:type="continuationNotice" w:id="1">
    <w:p w:rsidR="00BE1A45" w:rsidRPr="007E663E" w:rsidRDefault="00BE1A45" w:rsidP="007E663E">
      <w:pPr>
        <w:spacing w:before="60"/>
        <w:jc w:val="right"/>
        <w:rPr>
          <w:sz w:val="17"/>
          <w:szCs w:val="17"/>
        </w:rPr>
      </w:pPr>
      <w:r w:rsidRPr="007E663E">
        <w:rPr>
          <w:sz w:val="17"/>
          <w:szCs w:val="17"/>
        </w:rPr>
        <w:t>[Sigue la nota en la página siguiente]</w:t>
      </w:r>
    </w:p>
  </w:footnote>
  <w:footnote w:id="2">
    <w:p w:rsidR="00BE1A45" w:rsidRPr="007B2775" w:rsidRDefault="00BE1A45"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color w:val="000000"/>
          <w:sz w:val="16"/>
          <w:szCs w:val="16"/>
          <w:lang w:val="es-ES_tradnl"/>
        </w:rPr>
        <w:t xml:space="preserve">En respuesta a la solicitud formulada por los Estados miembros, en el marco de los programas, se pudieron definir objetivos que no habían sido definidos en el presupuesto por programas de 2014/15, es decir, </w:t>
      </w:r>
      <w:r w:rsidRPr="007B2775">
        <w:rPr>
          <w:sz w:val="16"/>
          <w:szCs w:val="16"/>
        </w:rPr>
        <w:t>objetivos "por determinar",</w:t>
      </w:r>
      <w:r w:rsidRPr="007B2775">
        <w:rPr>
          <w:sz w:val="16"/>
          <w:szCs w:val="16"/>
          <w:lang w:val="es-ES_tradnl"/>
        </w:rPr>
        <w:t xml:space="preserve"> </w:t>
      </w:r>
      <w:r w:rsidRPr="007B2775">
        <w:rPr>
          <w:sz w:val="16"/>
          <w:szCs w:val="16"/>
        </w:rPr>
        <w:t xml:space="preserve">durante el ejercicio de actualización de las referencias (iniciado el 1 de julio de 2014), utilizando como base los datos de fines de 2013.  Los objetivos no definidos durante ese proceso siguen sin definirse, por consiguiente, los datos sobre el rendimiento figuran como "no mensurables".  </w:t>
      </w:r>
      <w:r w:rsidRPr="007B2775">
        <w:rPr>
          <w:sz w:val="16"/>
          <w:szCs w:val="16"/>
          <w:lang w:val="es-ES_tradnl"/>
        </w:rPr>
        <w:t xml:space="preserve">  </w:t>
      </w:r>
    </w:p>
  </w:footnote>
  <w:footnote w:id="3">
    <w:p w:rsidR="00BE1A45" w:rsidRPr="007B2775" w:rsidRDefault="00BE1A45"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Denominada ahora </w:t>
      </w:r>
      <w:r w:rsidRPr="007B2775">
        <w:rPr>
          <w:i/>
          <w:sz w:val="16"/>
          <w:szCs w:val="16"/>
          <w:lang w:val="es-ES_tradnl"/>
        </w:rPr>
        <w:t>WIPO Translate</w:t>
      </w:r>
      <w:r w:rsidRPr="007B2775">
        <w:rPr>
          <w:sz w:val="16"/>
          <w:szCs w:val="16"/>
          <w:lang w:val="es-ES_tradnl"/>
        </w:rPr>
        <w:t>.</w:t>
      </w:r>
    </w:p>
  </w:footnote>
  <w:footnote w:id="4">
    <w:p w:rsidR="00BE1A45" w:rsidRPr="007B2775" w:rsidRDefault="00BE1A45"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color w:val="000000"/>
          <w:sz w:val="16"/>
          <w:szCs w:val="16"/>
          <w:lang w:val="es-ES_tradnl"/>
        </w:rPr>
        <w:t xml:space="preserve">En el documento </w:t>
      </w:r>
      <w:r w:rsidRPr="007B2775">
        <w:rPr>
          <w:sz w:val="16"/>
          <w:szCs w:val="16"/>
          <w:lang w:val="es-ES_tradnl"/>
        </w:rPr>
        <w:t>PPR</w:t>
      </w:r>
      <w:r w:rsidRPr="007B2775">
        <w:rPr>
          <w:color w:val="0000FF"/>
          <w:sz w:val="16"/>
          <w:szCs w:val="16"/>
          <w:lang w:val="es-ES_tradnl"/>
        </w:rPr>
        <w:t xml:space="preserve"> </w:t>
      </w:r>
      <w:r w:rsidRPr="007B2775">
        <w:rPr>
          <w:color w:val="000000"/>
          <w:sz w:val="16"/>
          <w:szCs w:val="16"/>
          <w:lang w:val="es-ES_tradnl"/>
        </w:rPr>
        <w:t xml:space="preserve">de 2012/13 se señaló que 89 países informaron de la celebración de eventos con motivo del </w:t>
      </w:r>
      <w:r w:rsidRPr="007B2775">
        <w:rPr>
          <w:sz w:val="16"/>
          <w:szCs w:val="16"/>
          <w:lang w:val="es-ES_tradnl"/>
        </w:rPr>
        <w:t>Día Mundial de la P.I</w:t>
      </w:r>
      <w:r w:rsidRPr="007B2775">
        <w:rPr>
          <w:color w:val="0000FF"/>
          <w:sz w:val="16"/>
          <w:szCs w:val="16"/>
          <w:lang w:val="es-ES_tradnl"/>
        </w:rPr>
        <w:t>.</w:t>
      </w:r>
      <w:r w:rsidRPr="007B2775">
        <w:rPr>
          <w:sz w:val="16"/>
          <w:szCs w:val="16"/>
          <w:lang w:val="es-ES_tradnl"/>
        </w:rPr>
        <w:t xml:space="preserve">  </w:t>
      </w:r>
      <w:r w:rsidRPr="007B2775">
        <w:rPr>
          <w:color w:val="000000"/>
          <w:sz w:val="16"/>
          <w:szCs w:val="16"/>
          <w:lang w:val="es-ES_tradnl"/>
        </w:rPr>
        <w:t>El número real fue de 93.</w:t>
      </w:r>
    </w:p>
  </w:footnote>
  <w:footnote w:id="5">
    <w:p w:rsidR="00BE1A45" w:rsidRPr="007B2775" w:rsidRDefault="00BE1A45"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Corrección:  el número de peticiones de comunicación en virtud del Artículo 6</w:t>
      </w:r>
      <w:r w:rsidRPr="007B2775">
        <w:rPr>
          <w:i/>
          <w:sz w:val="16"/>
          <w:szCs w:val="16"/>
          <w:lang w:val="es-ES_tradnl"/>
        </w:rPr>
        <w:t>ter</w:t>
      </w:r>
      <w:r w:rsidRPr="007B2775">
        <w:rPr>
          <w:sz w:val="16"/>
          <w:szCs w:val="16"/>
          <w:lang w:val="es-ES_tradnl"/>
        </w:rPr>
        <w:t xml:space="preserve"> tramitadas en 2012 se elevó a 69, en realidad, tal como se informa en el documento PPR 2012/13.</w:t>
      </w:r>
    </w:p>
  </w:footnote>
  <w:footnote w:id="6">
    <w:p w:rsidR="00BE1A45" w:rsidRPr="007B2775" w:rsidRDefault="00BE1A45"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Corrección:  El número de signos publicados en la base de base de datos sobre el Artículo 6</w:t>
      </w:r>
      <w:r w:rsidRPr="007B2775">
        <w:rPr>
          <w:i/>
          <w:sz w:val="16"/>
          <w:szCs w:val="16"/>
          <w:lang w:val="es-ES_tradnl"/>
        </w:rPr>
        <w:t>ter</w:t>
      </w:r>
      <w:r w:rsidRPr="007B2775">
        <w:rPr>
          <w:sz w:val="16"/>
          <w:szCs w:val="16"/>
          <w:lang w:val="es-ES_tradnl"/>
        </w:rPr>
        <w:t xml:space="preserve"> a finales de 2012 se elevó a 84, en realidad, tal como se informa en el documento PPR 2012/13.</w:t>
      </w:r>
    </w:p>
  </w:footnote>
  <w:footnote w:id="7">
    <w:p w:rsidR="00BE1A45" w:rsidRPr="007B2775" w:rsidRDefault="00BE1A45"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El objetivo se refiere al número de signos publicados durante el bienio 2014/15.</w:t>
      </w:r>
    </w:p>
  </w:footnote>
  <w:footnote w:id="8">
    <w:p w:rsidR="00BE1A45" w:rsidRPr="007B2775" w:rsidRDefault="00BE1A45">
      <w:pPr>
        <w:pStyle w:val="FootnoteText"/>
        <w:rPr>
          <w:sz w:val="16"/>
          <w:szCs w:val="16"/>
        </w:rPr>
      </w:pPr>
      <w:r w:rsidRPr="007B2775">
        <w:rPr>
          <w:rStyle w:val="FootnoteReference"/>
          <w:sz w:val="16"/>
          <w:szCs w:val="16"/>
        </w:rPr>
        <w:footnoteRef/>
      </w:r>
      <w:r w:rsidRPr="007B2775">
        <w:rPr>
          <w:sz w:val="16"/>
          <w:szCs w:val="16"/>
        </w:rPr>
        <w:t xml:space="preserve"> Corrección:  </w:t>
      </w:r>
      <w:r>
        <w:rPr>
          <w:sz w:val="16"/>
          <w:szCs w:val="16"/>
        </w:rPr>
        <w:t>Se había señalado</w:t>
      </w:r>
      <w:r w:rsidRPr="007B2775">
        <w:rPr>
          <w:sz w:val="16"/>
          <w:szCs w:val="16"/>
        </w:rPr>
        <w:t xml:space="preserve"> que </w:t>
      </w:r>
      <w:r>
        <w:rPr>
          <w:sz w:val="16"/>
          <w:szCs w:val="16"/>
        </w:rPr>
        <w:t>había</w:t>
      </w:r>
      <w:r w:rsidRPr="007B2775">
        <w:rPr>
          <w:sz w:val="16"/>
          <w:szCs w:val="16"/>
        </w:rPr>
        <w:t xml:space="preserve"> 18 oficinas de derecho de autor que utilizaban el sistema GDA a fines de 2013.  El número correcto de oficinas </w:t>
      </w:r>
      <w:r>
        <w:rPr>
          <w:sz w:val="16"/>
          <w:szCs w:val="16"/>
        </w:rPr>
        <w:t>era de</w:t>
      </w:r>
      <w:r w:rsidRPr="007B2775">
        <w:rPr>
          <w:sz w:val="16"/>
          <w:szCs w:val="16"/>
        </w:rPr>
        <w:t xml:space="preserve"> 15, </w:t>
      </w:r>
      <w:r>
        <w:rPr>
          <w:sz w:val="16"/>
          <w:szCs w:val="16"/>
        </w:rPr>
        <w:t>lo cual</w:t>
      </w:r>
      <w:r w:rsidRPr="007B2775">
        <w:rPr>
          <w:sz w:val="16"/>
          <w:szCs w:val="16"/>
        </w:rPr>
        <w:t xml:space="preserve"> se ajustaba al objetivo</w:t>
      </w:r>
      <w:r>
        <w:rPr>
          <w:sz w:val="16"/>
          <w:szCs w:val="16"/>
        </w:rPr>
        <w:t xml:space="preserve"> de 15 oficinas</w:t>
      </w:r>
      <w:r w:rsidRPr="007B2775">
        <w:rPr>
          <w:sz w:val="16"/>
          <w:szCs w:val="16"/>
        </w:rPr>
        <w:t xml:space="preserve"> que se había fijado para el bienio 2012/13.</w:t>
      </w:r>
    </w:p>
  </w:footnote>
  <w:footnote w:id="9">
    <w:p w:rsidR="00BE1A45" w:rsidRPr="007B2775" w:rsidRDefault="00BE1A45">
      <w:pPr>
        <w:pStyle w:val="FootnoteText"/>
        <w:rPr>
          <w:sz w:val="16"/>
          <w:szCs w:val="16"/>
        </w:rPr>
      </w:pPr>
      <w:r w:rsidRPr="007B2775">
        <w:rPr>
          <w:rStyle w:val="FootnoteReference"/>
          <w:sz w:val="16"/>
          <w:szCs w:val="16"/>
        </w:rPr>
        <w:footnoteRef/>
      </w:r>
      <w:r w:rsidRPr="007B2775">
        <w:rPr>
          <w:sz w:val="16"/>
          <w:szCs w:val="16"/>
        </w:rPr>
        <w:t xml:space="preserve"> </w:t>
      </w:r>
      <w:hyperlink r:id="rId1" w:history="1">
        <w:r w:rsidRPr="007B2775">
          <w:rPr>
            <w:rStyle w:val="Hyperlink"/>
            <w:sz w:val="16"/>
            <w:szCs w:val="16"/>
          </w:rPr>
          <w:t>http://www.wipo.int/edocs/pubdocs/en/wipo_pub_1043.pdf</w:t>
        </w:r>
      </w:hyperlink>
      <w:r w:rsidRPr="007B2775">
        <w:rPr>
          <w:sz w:val="16"/>
          <w:szCs w:val="16"/>
        </w:rPr>
        <w:t>.</w:t>
      </w:r>
    </w:p>
  </w:footnote>
  <w:footnote w:id="10">
    <w:p w:rsidR="00BE1A45" w:rsidRPr="007B2775" w:rsidRDefault="00BE1A45">
      <w:pPr>
        <w:pStyle w:val="FootnoteText"/>
        <w:rPr>
          <w:sz w:val="16"/>
          <w:szCs w:val="16"/>
        </w:rPr>
      </w:pPr>
      <w:r w:rsidRPr="00084BC1">
        <w:rPr>
          <w:rStyle w:val="FootnoteReference"/>
          <w:sz w:val="16"/>
          <w:szCs w:val="16"/>
        </w:rPr>
        <w:footnoteRef/>
      </w:r>
      <w:r w:rsidRPr="00084BC1">
        <w:rPr>
          <w:sz w:val="16"/>
          <w:szCs w:val="16"/>
        </w:rPr>
        <w:t xml:space="preserve"> Excepcionalmente</w:t>
      </w:r>
      <w:r w:rsidRPr="007B2775">
        <w:rPr>
          <w:sz w:val="16"/>
          <w:szCs w:val="16"/>
        </w:rPr>
        <w:t>, el objetivo original “Decisiones de los órganos pertinentes del PCT hasta el final de 2015” ha sido modificado para facilitar la evaluación de los progresos realizados en el desarrollo del Sistema del PCT, en sintonía con las recomendaciones de la hoja de ruta del PCT.</w:t>
      </w:r>
    </w:p>
  </w:footnote>
  <w:footnote w:id="11">
    <w:p w:rsidR="00BE1A45" w:rsidRPr="007B2775" w:rsidRDefault="00BE1A45" w:rsidP="0063039A">
      <w:pPr>
        <w:tabs>
          <w:tab w:val="left" w:pos="330"/>
        </w:tabs>
        <w:spacing w:after="120"/>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sz w:val="16"/>
          <w:szCs w:val="16"/>
          <w:lang w:val="es-ES_tradnl"/>
        </w:rPr>
        <w:tab/>
        <w:t>Se entiende por ejemplar original una solicitud PCT que, una vez presentada ante una Oficina receptora, es tramitada y remitida por ésta a la Oficina Internacional.  Puesto que los ejemplares originales son remitidos a la Oficina Internacional una vez que fueron tramitados por una Oficina receptora, los plazos de tramitación aplicados por dichas oficinas tendrán una marcada incidencia en las estadísticas.  Por ello, si bien las tendencias relativas a la recepción de ejemplares originales son indicadores válidos del volumen de trabajo de la Oficina Internacional, no se ajustan fielmente a las tendencias relativas a la presentación de solicitudes PCT.</w:t>
      </w:r>
    </w:p>
  </w:footnote>
  <w:footnote w:id="12">
    <w:p w:rsidR="00BE1A45" w:rsidRPr="007B2775" w:rsidRDefault="00BE1A45" w:rsidP="0063039A">
      <w:pPr>
        <w:rPr>
          <w:sz w:val="16"/>
          <w:szCs w:val="16"/>
          <w:lang w:val="es-ES_tradnl"/>
        </w:rPr>
      </w:pPr>
      <w:r w:rsidRPr="007B2775">
        <w:rPr>
          <w:rStyle w:val="FootnoteReference"/>
          <w:sz w:val="16"/>
          <w:szCs w:val="16"/>
        </w:rPr>
        <w:footnoteRef/>
      </w:r>
      <w:r w:rsidRPr="007B2775">
        <w:rPr>
          <w:sz w:val="16"/>
          <w:szCs w:val="16"/>
          <w:lang w:val="es-ES_tradnl"/>
        </w:rPr>
        <w:t xml:space="preserve"> Tras una revisión independiente de los parámetros de rendimiento del Servicio de Sistemas de Información del PCT, su definición se modificó ligeramente con respecto a la que se describe en el presupuesto por programas de </w:t>
      </w:r>
      <w:r w:rsidRPr="007B2775">
        <w:rPr>
          <w:sz w:val="16"/>
          <w:szCs w:val="16"/>
          <w:highlight w:val="white"/>
          <w:lang w:val="es-ES_tradnl"/>
        </w:rPr>
        <w:t>2014/15</w:t>
      </w:r>
    </w:p>
  </w:footnote>
  <w:footnote w:id="13">
    <w:p w:rsidR="00BE1A45" w:rsidRDefault="00BE1A45">
      <w:pPr>
        <w:pStyle w:val="FootnoteText"/>
      </w:pPr>
      <w:r>
        <w:rPr>
          <w:rStyle w:val="FootnoteReference"/>
        </w:rPr>
        <w:footnoteRef/>
      </w:r>
      <w:r>
        <w:t xml:space="preserve"> </w:t>
      </w:r>
      <w:r>
        <w:tab/>
        <w:t>La escala empleada en 2012 manejaba un conjunto diferente de criterios.  Se volvió a afinar el conjunto de criterios para 2013 considerando factores más pertinentes.  Esta modificación explica las diferentes clasificaciones obtenidas para 2013 y 2014 (por ejemplo, 38 y 39 respectivamente) en comparación con 2012 (79).</w:t>
      </w:r>
    </w:p>
  </w:footnote>
  <w:footnote w:id="14">
    <w:p w:rsidR="00BE1A45" w:rsidRPr="007B2775" w:rsidRDefault="00BE1A45" w:rsidP="0063039A">
      <w:pPr>
        <w:pStyle w:val="FootnoteText"/>
        <w:rPr>
          <w:sz w:val="16"/>
          <w:szCs w:val="16"/>
        </w:rPr>
      </w:pPr>
      <w:r w:rsidRPr="007B2775">
        <w:rPr>
          <w:rStyle w:val="FootnoteReference"/>
          <w:sz w:val="16"/>
          <w:szCs w:val="16"/>
        </w:rPr>
        <w:footnoteRef/>
      </w:r>
      <w:r w:rsidRPr="007B2775">
        <w:rPr>
          <w:sz w:val="16"/>
          <w:szCs w:val="16"/>
        </w:rPr>
        <w:t xml:space="preserve">  Véase el “Volumen total de trabajo” más arriba.</w:t>
      </w:r>
    </w:p>
  </w:footnote>
  <w:footnote w:id="15">
    <w:p w:rsidR="00BE1A45" w:rsidRPr="007B2775" w:rsidRDefault="00BE1A45" w:rsidP="0063039A">
      <w:pPr>
        <w:pStyle w:val="FootnoteText"/>
        <w:rPr>
          <w:sz w:val="16"/>
          <w:szCs w:val="16"/>
        </w:rPr>
      </w:pPr>
      <w:r w:rsidRPr="007B2775">
        <w:rPr>
          <w:rStyle w:val="FootnoteReference"/>
          <w:sz w:val="16"/>
          <w:szCs w:val="16"/>
        </w:rPr>
        <w:footnoteRef/>
      </w:r>
      <w:r w:rsidRPr="007B2775">
        <w:rPr>
          <w:sz w:val="16"/>
          <w:szCs w:val="16"/>
        </w:rPr>
        <w:t xml:space="preserve">  Véase “Volumen total de trabajo” más arriba.</w:t>
      </w:r>
    </w:p>
  </w:footnote>
  <w:footnote w:id="16">
    <w:p w:rsidR="00BE1A45" w:rsidRPr="007B2775" w:rsidRDefault="00BE1A45"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Corrección: el número real de dibujos y modelos contenidos en 2012 fue de 12.454, y no 12.506 como figura en el presupuesto por programas de 2014/15</w:t>
      </w:r>
      <w:r w:rsidRPr="007B2775">
        <w:rPr>
          <w:color w:val="000000"/>
          <w:sz w:val="16"/>
          <w:szCs w:val="16"/>
          <w:lang w:val="es-ES_tradnl"/>
        </w:rPr>
        <w:t xml:space="preserve">, ni 11.971 (número de registros internacionales en 2012), como figura  en el PPR de 2012/13. </w:t>
      </w:r>
    </w:p>
  </w:footnote>
  <w:footnote w:id="17">
    <w:p w:rsidR="00BE1A45" w:rsidRPr="007B2775" w:rsidRDefault="00BE1A45"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Corrección</w:t>
      </w:r>
      <w:r w:rsidRPr="007B2775">
        <w:rPr>
          <w:color w:val="000000"/>
          <w:sz w:val="16"/>
          <w:szCs w:val="16"/>
          <w:lang w:val="es-ES_tradnl"/>
        </w:rPr>
        <w:t xml:space="preserve">:  En el PPR de 2012/13 figuran la renovación y la concesión de protección como dos de los procesos automatizados. </w:t>
      </w:r>
      <w:r w:rsidRPr="007B2775">
        <w:rPr>
          <w:sz w:val="16"/>
          <w:szCs w:val="16"/>
          <w:lang w:val="es-ES_tradnl"/>
        </w:rPr>
        <w:t xml:space="preserve"> </w:t>
      </w:r>
      <w:r w:rsidRPr="007B2775">
        <w:rPr>
          <w:color w:val="000000"/>
          <w:sz w:val="16"/>
          <w:szCs w:val="16"/>
          <w:lang w:val="es-ES_tradnl"/>
        </w:rPr>
        <w:t>El proceso de concesión de protección no fue automatizado hasta fines de 2013.</w:t>
      </w:r>
    </w:p>
  </w:footnote>
  <w:footnote w:id="18">
    <w:p w:rsidR="00BE1A45" w:rsidRPr="007B2775" w:rsidRDefault="00BE1A45"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El Sistema de Madrid brinda apoyo al Sistema de La Haya, en particular en tareas de traducción y actividades de T.I.  En este método no se tienen en cuenta esos costos.</w:t>
      </w:r>
    </w:p>
  </w:footnote>
  <w:footnote w:id="19">
    <w:p w:rsidR="00BE1A45" w:rsidRPr="007B2775" w:rsidRDefault="00BE1A45"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Véase “Volumen total de trabajo” </w:t>
      </w:r>
      <w:r w:rsidRPr="007B2775">
        <w:rPr>
          <w:i/>
          <w:sz w:val="16"/>
          <w:szCs w:val="16"/>
          <w:lang w:val="es-ES_tradnl"/>
        </w:rPr>
        <w:t>supra</w:t>
      </w:r>
      <w:r w:rsidRPr="007B2775">
        <w:rPr>
          <w:sz w:val="16"/>
          <w:szCs w:val="16"/>
          <w:lang w:val="es-ES_tradnl"/>
        </w:rPr>
        <w:t>.</w:t>
      </w:r>
    </w:p>
  </w:footnote>
  <w:footnote w:id="20">
    <w:p w:rsidR="00BE1A45" w:rsidRPr="007B2775" w:rsidRDefault="00BE1A45"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Véase la relación entre solicitudes y renovaciones en “Volumen total de trabajo”, </w:t>
      </w:r>
      <w:r w:rsidRPr="007B2775">
        <w:rPr>
          <w:i/>
          <w:sz w:val="16"/>
          <w:szCs w:val="16"/>
          <w:lang w:val="es-ES_tradnl"/>
        </w:rPr>
        <w:t>supra</w:t>
      </w:r>
      <w:r w:rsidRPr="007B2775">
        <w:rPr>
          <w:sz w:val="16"/>
          <w:szCs w:val="16"/>
          <w:lang w:val="es-ES_tradnl"/>
        </w:rPr>
        <w:t>.</w:t>
      </w:r>
    </w:p>
  </w:footnote>
  <w:footnote w:id="21">
    <w:p w:rsidR="00BE1A45" w:rsidRPr="007B2775" w:rsidRDefault="00BE1A45">
      <w:pPr>
        <w:pStyle w:val="FootnoteText"/>
        <w:rPr>
          <w:sz w:val="16"/>
          <w:szCs w:val="16"/>
        </w:rPr>
      </w:pPr>
      <w:r w:rsidRPr="007B2775">
        <w:rPr>
          <w:rStyle w:val="FootnoteReference"/>
          <w:sz w:val="16"/>
          <w:szCs w:val="16"/>
        </w:rPr>
        <w:footnoteRef/>
      </w:r>
      <w:r w:rsidRPr="007B2775">
        <w:rPr>
          <w:sz w:val="16"/>
          <w:szCs w:val="16"/>
        </w:rPr>
        <w:t xml:space="preserve"> http://www.wipo.int/amc/en/rules/newrules.html</w:t>
      </w:r>
    </w:p>
  </w:footnote>
  <w:footnote w:id="22">
    <w:p w:rsidR="00BE1A45" w:rsidRPr="007B2775" w:rsidRDefault="00BE1A45" w:rsidP="0063039A">
      <w:pPr>
        <w:pStyle w:val="FootnoteText"/>
        <w:tabs>
          <w:tab w:val="left" w:pos="284"/>
        </w:tabs>
        <w:rPr>
          <w:sz w:val="16"/>
          <w:szCs w:val="16"/>
        </w:rPr>
      </w:pPr>
      <w:r w:rsidRPr="007B2775">
        <w:rPr>
          <w:rStyle w:val="FootnoteReference"/>
          <w:sz w:val="16"/>
          <w:szCs w:val="16"/>
        </w:rPr>
        <w:footnoteRef/>
      </w:r>
      <w:r w:rsidRPr="007B2775">
        <w:rPr>
          <w:sz w:val="16"/>
          <w:szCs w:val="16"/>
        </w:rPr>
        <w:tab/>
      </w:r>
      <w:hyperlink r:id="rId2" w:tooltip="http://www.wipo.int/meetings/en/doc_details.jsp?doc_id=208882" w:history="1">
        <w:r w:rsidRPr="007B2775">
          <w:rPr>
            <w:rStyle w:val="Hyperlink"/>
            <w:sz w:val="16"/>
            <w:szCs w:val="16"/>
          </w:rPr>
          <w:t>http://www.wipo.int/meetings/es/doc_details.jsp?doc_id=208882</w:t>
        </w:r>
      </w:hyperlink>
      <w:r w:rsidRPr="007B2775">
        <w:rPr>
          <w:sz w:val="16"/>
          <w:szCs w:val="16"/>
        </w:rPr>
        <w:t xml:space="preserve">  y</w:t>
      </w:r>
    </w:p>
    <w:p w:rsidR="00BE1A45" w:rsidRPr="007B2775" w:rsidRDefault="00BE1A45" w:rsidP="0063039A">
      <w:pPr>
        <w:pStyle w:val="FootnoteText"/>
        <w:tabs>
          <w:tab w:val="left" w:pos="284"/>
        </w:tabs>
        <w:rPr>
          <w:sz w:val="16"/>
          <w:szCs w:val="16"/>
        </w:rPr>
      </w:pPr>
      <w:r w:rsidRPr="007B2775">
        <w:rPr>
          <w:sz w:val="16"/>
          <w:szCs w:val="16"/>
        </w:rPr>
        <w:tab/>
      </w:r>
      <w:hyperlink r:id="rId3" w:history="1">
        <w:r w:rsidRPr="007B2775">
          <w:rPr>
            <w:rStyle w:val="Hyperlink"/>
            <w:sz w:val="16"/>
            <w:szCs w:val="16"/>
          </w:rPr>
          <w:t>http://www.wipo.int/meetings/es/doc_details.jsp?doc_id=239806</w:t>
        </w:r>
      </w:hyperlink>
      <w:r w:rsidRPr="007B2775">
        <w:rPr>
          <w:sz w:val="16"/>
          <w:szCs w:val="16"/>
        </w:rPr>
        <w:t xml:space="preserve"> </w:t>
      </w:r>
    </w:p>
  </w:footnote>
  <w:footnote w:id="23">
    <w:p w:rsidR="00BE1A45" w:rsidRPr="007B2775" w:rsidRDefault="00BE1A45" w:rsidP="0063039A">
      <w:pPr>
        <w:pStyle w:val="FootnoteText"/>
        <w:rPr>
          <w:sz w:val="16"/>
          <w:szCs w:val="16"/>
        </w:rPr>
      </w:pPr>
      <w:r w:rsidRPr="007B2775">
        <w:rPr>
          <w:rStyle w:val="FootnoteReference"/>
          <w:sz w:val="16"/>
          <w:szCs w:val="16"/>
        </w:rPr>
        <w:footnoteRef/>
      </w:r>
      <w:r w:rsidRPr="007B2775">
        <w:rPr>
          <w:sz w:val="16"/>
          <w:szCs w:val="16"/>
        </w:rPr>
        <w:t xml:space="preserve"> http://www.wipo.int/export/sites/www/cooperation/es/pdf/ta_manual.pdf</w:t>
      </w:r>
    </w:p>
  </w:footnote>
  <w:footnote w:id="24">
    <w:p w:rsidR="00BE1A45" w:rsidRPr="007B2775" w:rsidRDefault="00BE1A45" w:rsidP="0063039A">
      <w:pPr>
        <w:pStyle w:val="FootnoteText"/>
        <w:rPr>
          <w:sz w:val="16"/>
          <w:szCs w:val="16"/>
        </w:rPr>
      </w:pPr>
      <w:r w:rsidRPr="007B2775">
        <w:rPr>
          <w:rStyle w:val="FootnoteReference"/>
          <w:sz w:val="16"/>
          <w:szCs w:val="16"/>
        </w:rPr>
        <w:footnoteRef/>
      </w:r>
      <w:r w:rsidRPr="007B2775">
        <w:rPr>
          <w:sz w:val="16"/>
          <w:szCs w:val="16"/>
        </w:rPr>
        <w:t xml:space="preserve"> http://www.wipo.int/cooperation/es/south_south </w:t>
      </w:r>
    </w:p>
  </w:footnote>
  <w:footnote w:id="25">
    <w:p w:rsidR="00BE1A45" w:rsidRPr="007B2775" w:rsidRDefault="00BE1A45" w:rsidP="0063039A">
      <w:pPr>
        <w:pStyle w:val="FootnoteText"/>
        <w:rPr>
          <w:sz w:val="16"/>
          <w:szCs w:val="16"/>
        </w:rPr>
      </w:pPr>
      <w:r w:rsidRPr="007B2775">
        <w:rPr>
          <w:rStyle w:val="FootnoteReference"/>
          <w:sz w:val="16"/>
          <w:szCs w:val="16"/>
        </w:rPr>
        <w:footnoteRef/>
      </w:r>
      <w:r w:rsidRPr="007B2775">
        <w:rPr>
          <w:sz w:val="16"/>
          <w:szCs w:val="16"/>
        </w:rPr>
        <w:t xml:space="preserve"> En el informe PPR de 2012/13, se señalaba que la base de datos NIPS-D podría empezar a utilizarse finales de 2013, una vez finalizada la fase de su elaboración.  En la práctica, la base de datos no empezó a funcionar hasta 2014.</w:t>
      </w:r>
    </w:p>
  </w:footnote>
  <w:footnote w:id="26">
    <w:p w:rsidR="00BE1A45" w:rsidRPr="007B2775" w:rsidRDefault="00BE1A45" w:rsidP="0063039A">
      <w:pPr>
        <w:pStyle w:val="FootnoteText"/>
        <w:rPr>
          <w:sz w:val="16"/>
          <w:szCs w:val="16"/>
        </w:rPr>
      </w:pPr>
      <w:r w:rsidRPr="007B2775">
        <w:rPr>
          <w:rStyle w:val="FootnoteReference"/>
          <w:sz w:val="16"/>
          <w:szCs w:val="16"/>
        </w:rPr>
        <w:footnoteRef/>
      </w:r>
      <w:r w:rsidRPr="007B2775">
        <w:rPr>
          <w:sz w:val="16"/>
          <w:szCs w:val="16"/>
        </w:rPr>
        <w:t xml:space="preserve"> Corrección:  En el informe PPR de 2012/13, se señaló que Etiopía había adoptado una política de P.I. en 2012/13.  En la práctica, la política de P.I. quedó ultimada en 2014 para su examen y aprobación en el plano nacional.  </w:t>
      </w:r>
    </w:p>
  </w:footnote>
  <w:footnote w:id="27">
    <w:p w:rsidR="00BE1A45" w:rsidRPr="007B2775" w:rsidRDefault="00BE1A45" w:rsidP="0063039A">
      <w:pPr>
        <w:pStyle w:val="FootnoteText"/>
        <w:rPr>
          <w:sz w:val="16"/>
          <w:szCs w:val="16"/>
        </w:rPr>
      </w:pPr>
      <w:r w:rsidRPr="007B2775">
        <w:rPr>
          <w:rStyle w:val="FootnoteReference"/>
          <w:sz w:val="16"/>
          <w:szCs w:val="16"/>
        </w:rPr>
        <w:footnoteRef/>
      </w:r>
      <w:r w:rsidRPr="007B2775">
        <w:rPr>
          <w:sz w:val="16"/>
          <w:szCs w:val="16"/>
        </w:rPr>
        <w:t xml:space="preserve"> Corrección:  En el informe PPR de 2012/13, se señaló que Túnez estaba en vías de elaborar una estrategia nacional de P.I. e innovación.  En la práctica, en 2014 Túnez emprendió los debates sobre la posibilidad de elaborar dicha estrategia. </w:t>
      </w:r>
    </w:p>
  </w:footnote>
  <w:footnote w:id="28">
    <w:p w:rsidR="00BE1A45" w:rsidRPr="007B2775" w:rsidRDefault="00BE1A45" w:rsidP="0063039A">
      <w:pPr>
        <w:pStyle w:val="FootnoteText"/>
        <w:rPr>
          <w:sz w:val="16"/>
          <w:szCs w:val="16"/>
        </w:rPr>
      </w:pPr>
      <w:r w:rsidRPr="007B2775">
        <w:rPr>
          <w:rStyle w:val="FootnoteReference"/>
          <w:sz w:val="16"/>
          <w:szCs w:val="16"/>
        </w:rPr>
        <w:footnoteRef/>
      </w:r>
      <w:r w:rsidRPr="007B2775">
        <w:rPr>
          <w:sz w:val="16"/>
          <w:szCs w:val="16"/>
        </w:rPr>
        <w:t xml:space="preserve"> Corrección:   En el informe PPR de 2012/13, se señaló que Argelia estaba en vías de adoptar una estrategia nacional de P.I. en 2012/13.  En la práctica, a finales de 2014 Argelia estaba en vías de reformular una estrategia nacional de P.I.   </w:t>
      </w:r>
    </w:p>
  </w:footnote>
  <w:footnote w:id="29">
    <w:p w:rsidR="00BE1A45" w:rsidRPr="007B2775" w:rsidRDefault="00BE1A45" w:rsidP="0063039A">
      <w:pPr>
        <w:pStyle w:val="FootnoteText"/>
        <w:rPr>
          <w:sz w:val="16"/>
          <w:szCs w:val="16"/>
        </w:rPr>
      </w:pPr>
      <w:r w:rsidRPr="007B2775">
        <w:rPr>
          <w:rStyle w:val="FootnoteReference"/>
          <w:sz w:val="16"/>
          <w:szCs w:val="16"/>
        </w:rPr>
        <w:footnoteRef/>
      </w:r>
      <w:r w:rsidRPr="007B2775">
        <w:rPr>
          <w:sz w:val="16"/>
          <w:szCs w:val="16"/>
        </w:rPr>
        <w:t xml:space="preserve">  El proceso se aplazó debido a cambios estructurales en el Gobierno.</w:t>
      </w:r>
    </w:p>
  </w:footnote>
  <w:footnote w:id="30">
    <w:p w:rsidR="00BE1A45" w:rsidRPr="007B2775" w:rsidRDefault="00BE1A45" w:rsidP="0063039A">
      <w:pPr>
        <w:pStyle w:val="FootnoteText"/>
        <w:rPr>
          <w:sz w:val="16"/>
          <w:szCs w:val="16"/>
        </w:rPr>
      </w:pPr>
      <w:r w:rsidRPr="007B2775">
        <w:rPr>
          <w:rStyle w:val="FootnoteReference"/>
          <w:sz w:val="16"/>
          <w:szCs w:val="16"/>
        </w:rPr>
        <w:footnoteRef/>
      </w:r>
      <w:r w:rsidRPr="007B2775">
        <w:rPr>
          <w:sz w:val="16"/>
          <w:szCs w:val="16"/>
        </w:rPr>
        <w:t xml:space="preserve"> El proceso se atascó en 2011.  En 2014 se reanudó un proceso consultivo.</w:t>
      </w:r>
    </w:p>
  </w:footnote>
  <w:footnote w:id="31">
    <w:p w:rsidR="00BE1A45" w:rsidRPr="007B2775" w:rsidRDefault="00BE1A45" w:rsidP="0063039A">
      <w:pPr>
        <w:pStyle w:val="FootnoteText"/>
        <w:rPr>
          <w:sz w:val="16"/>
          <w:szCs w:val="16"/>
        </w:rPr>
      </w:pPr>
      <w:r w:rsidRPr="007B2775">
        <w:rPr>
          <w:rStyle w:val="FootnoteReference"/>
          <w:sz w:val="16"/>
          <w:szCs w:val="16"/>
        </w:rPr>
        <w:footnoteRef/>
      </w:r>
      <w:r w:rsidRPr="007B2775">
        <w:rPr>
          <w:sz w:val="16"/>
          <w:szCs w:val="16"/>
        </w:rPr>
        <w:t xml:space="preserve"> La estrategia de P.I. era una estrategia dirigida por el país.  En 2014, la OMPI prestó asistencia en lo que respecta al componente de innovación de la estrategia.</w:t>
      </w:r>
    </w:p>
  </w:footnote>
  <w:footnote w:id="32">
    <w:p w:rsidR="00BE1A45" w:rsidRPr="007B2775" w:rsidRDefault="00BE1A45" w:rsidP="0063039A">
      <w:pPr>
        <w:pStyle w:val="FootnoteText"/>
        <w:rPr>
          <w:sz w:val="16"/>
          <w:szCs w:val="16"/>
        </w:rPr>
      </w:pPr>
      <w:r w:rsidRPr="007B2775">
        <w:rPr>
          <w:rStyle w:val="FootnoteReference"/>
          <w:sz w:val="16"/>
          <w:szCs w:val="16"/>
        </w:rPr>
        <w:footnoteRef/>
      </w:r>
      <w:r w:rsidRPr="007B2775">
        <w:rPr>
          <w:sz w:val="16"/>
          <w:szCs w:val="16"/>
        </w:rPr>
        <w:t xml:space="preserve"> Ídem.</w:t>
      </w:r>
    </w:p>
  </w:footnote>
  <w:footnote w:id="33">
    <w:p w:rsidR="00BE1A45" w:rsidRPr="007B2775" w:rsidRDefault="00BE1A45" w:rsidP="0063039A">
      <w:pPr>
        <w:pStyle w:val="FootnoteText"/>
        <w:rPr>
          <w:sz w:val="16"/>
          <w:szCs w:val="16"/>
        </w:rPr>
      </w:pPr>
      <w:r w:rsidRPr="007B2775">
        <w:rPr>
          <w:rStyle w:val="FootnoteReference"/>
          <w:sz w:val="16"/>
          <w:szCs w:val="16"/>
        </w:rPr>
        <w:footnoteRef/>
      </w:r>
      <w:r w:rsidRPr="007B2775">
        <w:rPr>
          <w:sz w:val="16"/>
          <w:szCs w:val="16"/>
        </w:rPr>
        <w:t xml:space="preserve"> El número de solicitudes se basa en el país de origen.  Las cifras de 2014 son estimaciones. El porcentaje de aumento/disminución se ha obtenido con respecto a 2013. </w:t>
      </w:r>
    </w:p>
  </w:footnote>
  <w:footnote w:id="34">
    <w:p w:rsidR="00BE1A45" w:rsidRPr="007B2775" w:rsidRDefault="00BE1A45">
      <w:pPr>
        <w:pStyle w:val="FootnoteText"/>
        <w:rPr>
          <w:sz w:val="16"/>
          <w:szCs w:val="16"/>
        </w:rPr>
      </w:pPr>
      <w:r w:rsidRPr="007B2775">
        <w:rPr>
          <w:rStyle w:val="FootnoteReference"/>
          <w:sz w:val="16"/>
          <w:szCs w:val="16"/>
        </w:rPr>
        <w:footnoteRef/>
      </w:r>
      <w:r w:rsidRPr="007B2775">
        <w:rPr>
          <w:sz w:val="16"/>
          <w:szCs w:val="16"/>
        </w:rPr>
        <w:t xml:space="preserve"> Ídem.</w:t>
      </w:r>
    </w:p>
  </w:footnote>
  <w:footnote w:id="35">
    <w:p w:rsidR="00BE1A45" w:rsidRPr="007B2775" w:rsidRDefault="00BE1A45" w:rsidP="0063039A">
      <w:pPr>
        <w:pStyle w:val="FootnoteText"/>
        <w:rPr>
          <w:sz w:val="16"/>
          <w:szCs w:val="16"/>
        </w:rPr>
      </w:pPr>
      <w:r w:rsidRPr="007B2775">
        <w:rPr>
          <w:rStyle w:val="FootnoteReference"/>
          <w:sz w:val="16"/>
          <w:szCs w:val="16"/>
        </w:rPr>
        <w:footnoteRef/>
      </w:r>
      <w:r w:rsidRPr="007B2775">
        <w:rPr>
          <w:sz w:val="16"/>
          <w:szCs w:val="16"/>
        </w:rPr>
        <w:t xml:space="preserve"> Ídem.</w:t>
      </w:r>
    </w:p>
  </w:footnote>
  <w:footnote w:id="36">
    <w:p w:rsidR="00BE1A45" w:rsidRPr="007B2775" w:rsidRDefault="00BE1A45">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El mayor nivel de participación de países de América Latina y el Caribe se debe principalmente a las versiones adaptadas del Curso general sobre P.I. (DL101) en español y portugués.</w:t>
      </w:r>
    </w:p>
  </w:footnote>
  <w:footnote w:id="37">
    <w:p w:rsidR="00BE1A45" w:rsidRPr="007B2775" w:rsidRDefault="00BE1A45"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Se entenderá por “disponible” que ha sido traducido al idioma y que está en condiciones de ser ofrecido a las oficinas de P.I. asociadas.  Cabe observar que en un año determinado no todos los cursos se ofrecen en todas las versiones en distintos idiomas, en función del momento del año en que una nueva versión pasa a estar disponible y/o del nivel de preparación de la oficina de P.I. asociada con la que se imparten los cursos.</w:t>
      </w:r>
    </w:p>
  </w:footnote>
  <w:footnote w:id="38">
    <w:p w:rsidR="00BE1A45" w:rsidRPr="007B2775" w:rsidRDefault="00BE1A45" w:rsidP="0063039A">
      <w:pPr>
        <w:pStyle w:val="FootnoteText"/>
        <w:rPr>
          <w:sz w:val="16"/>
          <w:szCs w:val="16"/>
        </w:rPr>
      </w:pPr>
      <w:r w:rsidRPr="007B2775">
        <w:rPr>
          <w:rStyle w:val="FootnoteReference"/>
          <w:sz w:val="16"/>
          <w:szCs w:val="16"/>
        </w:rPr>
        <w:footnoteRef/>
      </w:r>
      <w:r w:rsidRPr="007B2775">
        <w:rPr>
          <w:sz w:val="16"/>
          <w:szCs w:val="16"/>
        </w:rPr>
        <w:t xml:space="preserve"> La contribución a esta publicación se llevó a cabo en el marco del fondo fiduciario de los EE.UU. para las pymes, que se cerró en el primer trimestre de 2015. </w:t>
      </w:r>
    </w:p>
  </w:footnote>
  <w:footnote w:id="39">
    <w:p w:rsidR="00BE1A45" w:rsidRPr="007B2775" w:rsidRDefault="00BE1A45" w:rsidP="0063039A">
      <w:pPr>
        <w:pStyle w:val="FootnoteText"/>
        <w:rPr>
          <w:sz w:val="16"/>
          <w:szCs w:val="16"/>
        </w:rPr>
      </w:pPr>
      <w:r w:rsidRPr="007B2775">
        <w:rPr>
          <w:rStyle w:val="FootnoteReference"/>
          <w:sz w:val="16"/>
          <w:szCs w:val="16"/>
        </w:rPr>
        <w:footnoteRef/>
      </w:r>
      <w:r w:rsidRPr="007B2775">
        <w:rPr>
          <w:sz w:val="16"/>
          <w:szCs w:val="16"/>
        </w:rPr>
        <w:t xml:space="preserve"> </w:t>
      </w:r>
      <w:r w:rsidRPr="007B2775">
        <w:rPr>
          <w:sz w:val="16"/>
          <w:szCs w:val="16"/>
          <w:lang w:val="es-ES_tradnl"/>
        </w:rPr>
        <w:t>Véase el programa 10.</w:t>
      </w:r>
    </w:p>
  </w:footnote>
  <w:footnote w:id="40">
    <w:p w:rsidR="00BE1A45" w:rsidRPr="007B2775" w:rsidRDefault="00BE1A45">
      <w:pPr>
        <w:pStyle w:val="FootnoteText"/>
        <w:rPr>
          <w:sz w:val="16"/>
          <w:szCs w:val="16"/>
        </w:rPr>
      </w:pPr>
      <w:r w:rsidRPr="007B2775">
        <w:rPr>
          <w:rStyle w:val="FootnoteReference"/>
          <w:sz w:val="16"/>
          <w:szCs w:val="16"/>
        </w:rPr>
        <w:footnoteRef/>
      </w:r>
      <w:r w:rsidRPr="007B2775">
        <w:rPr>
          <w:sz w:val="16"/>
          <w:szCs w:val="16"/>
        </w:rPr>
        <w:t xml:space="preserve"> Denominada ahora </w:t>
      </w:r>
      <w:r w:rsidRPr="007B2775">
        <w:rPr>
          <w:i/>
          <w:sz w:val="16"/>
          <w:szCs w:val="16"/>
        </w:rPr>
        <w:t>WIPO Translate</w:t>
      </w:r>
      <w:r w:rsidRPr="007B2775">
        <w:rPr>
          <w:sz w:val="16"/>
          <w:szCs w:val="16"/>
        </w:rPr>
        <w:t>.</w:t>
      </w:r>
    </w:p>
  </w:footnote>
  <w:footnote w:id="41">
    <w:p w:rsidR="00BE1A45" w:rsidRPr="00EC2E15" w:rsidRDefault="00BE1A45" w:rsidP="007B2775">
      <w:pPr>
        <w:pStyle w:val="FootnoteText"/>
        <w:rPr>
          <w:sz w:val="16"/>
          <w:szCs w:val="16"/>
        </w:rPr>
      </w:pPr>
      <w:r w:rsidRPr="00EC2E15">
        <w:rPr>
          <w:rStyle w:val="FootnoteReference"/>
          <w:sz w:val="16"/>
          <w:szCs w:val="16"/>
        </w:rPr>
        <w:footnoteRef/>
      </w:r>
      <w:r w:rsidRPr="00EC2E15">
        <w:rPr>
          <w:sz w:val="16"/>
          <w:szCs w:val="16"/>
        </w:rPr>
        <w:t xml:space="preserve">  El número de usuarios hace referencia a “usuarios” únicos y no a “visitantes” únicos, es decir que no se toman en consideración los visitantes que solo miran la página y no efectúan búsquedas, </w:t>
      </w:r>
      <w:r>
        <w:rPr>
          <w:sz w:val="16"/>
          <w:szCs w:val="16"/>
        </w:rPr>
        <w:t>obteniéndose</w:t>
      </w:r>
      <w:r w:rsidRPr="00EC2E15">
        <w:rPr>
          <w:sz w:val="16"/>
          <w:szCs w:val="16"/>
        </w:rPr>
        <w:t xml:space="preserve"> de esta forma una representación más precisa del uso que se hace de la base de datos. </w:t>
      </w:r>
    </w:p>
  </w:footnote>
  <w:footnote w:id="42">
    <w:p w:rsidR="00BE1A45" w:rsidRPr="00F24AC7" w:rsidRDefault="00BE1A45" w:rsidP="007B2775">
      <w:pPr>
        <w:pStyle w:val="FootnoteText"/>
        <w:rPr>
          <w:sz w:val="16"/>
          <w:szCs w:val="16"/>
        </w:rPr>
      </w:pPr>
      <w:r w:rsidRPr="00EC2E15">
        <w:rPr>
          <w:rStyle w:val="FootnoteReference"/>
          <w:sz w:val="16"/>
          <w:szCs w:val="16"/>
        </w:rPr>
        <w:footnoteRef/>
      </w:r>
      <w:r w:rsidRPr="00EC2E15">
        <w:rPr>
          <w:sz w:val="16"/>
          <w:szCs w:val="16"/>
        </w:rPr>
        <w:t xml:space="preserve"> Ídem</w:t>
      </w:r>
      <w:r w:rsidRPr="00F24AC7">
        <w:rPr>
          <w:sz w:val="16"/>
          <w:szCs w:val="16"/>
        </w:rPr>
        <w:t>.</w:t>
      </w:r>
    </w:p>
  </w:footnote>
  <w:footnote w:id="43">
    <w:p w:rsidR="00BE1A45" w:rsidRPr="00F24AC7" w:rsidRDefault="00BE1A45" w:rsidP="0063039A">
      <w:pPr>
        <w:pStyle w:val="FootnoteText"/>
        <w:rPr>
          <w:sz w:val="16"/>
          <w:szCs w:val="16"/>
        </w:rPr>
      </w:pPr>
      <w:r w:rsidRPr="007B2775">
        <w:rPr>
          <w:rStyle w:val="FootnoteReference"/>
          <w:sz w:val="16"/>
          <w:szCs w:val="16"/>
        </w:rPr>
        <w:footnoteRef/>
      </w:r>
      <w:r w:rsidRPr="00F24AC7">
        <w:rPr>
          <w:sz w:val="16"/>
          <w:szCs w:val="16"/>
        </w:rPr>
        <w:t xml:space="preserve"> http://etisc.wipo.org/ </w:t>
      </w:r>
    </w:p>
  </w:footnote>
  <w:footnote w:id="44">
    <w:p w:rsidR="00BE1A45" w:rsidRPr="00F24AC7" w:rsidRDefault="00BE1A45" w:rsidP="0063039A">
      <w:pPr>
        <w:pStyle w:val="FootnoteText"/>
        <w:rPr>
          <w:sz w:val="16"/>
          <w:szCs w:val="16"/>
        </w:rPr>
      </w:pPr>
      <w:r w:rsidRPr="007B2775">
        <w:rPr>
          <w:rStyle w:val="FootnoteReference"/>
          <w:sz w:val="16"/>
          <w:szCs w:val="16"/>
        </w:rPr>
        <w:footnoteRef/>
      </w:r>
      <w:r w:rsidRPr="00F24AC7">
        <w:rPr>
          <w:sz w:val="16"/>
          <w:szCs w:val="16"/>
        </w:rPr>
        <w:t xml:space="preserve"> http://www.wipo.int/tisc/en/etutorial.html</w:t>
      </w:r>
    </w:p>
  </w:footnote>
  <w:footnote w:id="45">
    <w:p w:rsidR="00BE1A45" w:rsidRPr="00F24AC7" w:rsidRDefault="00BE1A45">
      <w:pPr>
        <w:pStyle w:val="FootnoteText"/>
        <w:rPr>
          <w:sz w:val="16"/>
          <w:szCs w:val="16"/>
        </w:rPr>
      </w:pPr>
      <w:r w:rsidRPr="007B2775">
        <w:rPr>
          <w:rStyle w:val="FootnoteReference"/>
          <w:sz w:val="16"/>
          <w:szCs w:val="16"/>
        </w:rPr>
        <w:footnoteRef/>
      </w:r>
      <w:r w:rsidRPr="00F24AC7">
        <w:rPr>
          <w:sz w:val="16"/>
          <w:szCs w:val="16"/>
        </w:rPr>
        <w:t xml:space="preserve"> http://www.wipo.int/tisc/fr/etutorial.html</w:t>
      </w:r>
    </w:p>
  </w:footnote>
  <w:footnote w:id="46">
    <w:p w:rsidR="00BE1A45" w:rsidRPr="007B2775" w:rsidRDefault="00BE1A45" w:rsidP="0063039A">
      <w:pPr>
        <w:pStyle w:val="FootnoteText"/>
        <w:rPr>
          <w:sz w:val="16"/>
          <w:szCs w:val="16"/>
        </w:rPr>
      </w:pPr>
      <w:r w:rsidRPr="007B2775">
        <w:rPr>
          <w:rStyle w:val="FootnoteReference"/>
          <w:sz w:val="16"/>
          <w:szCs w:val="16"/>
        </w:rPr>
        <w:footnoteRef/>
      </w:r>
      <w:r w:rsidRPr="007B2775">
        <w:rPr>
          <w:sz w:val="16"/>
          <w:szCs w:val="16"/>
        </w:rPr>
        <w:t xml:space="preserve"> Corrección:  En el PPR de 2012/13 se señaló que, a fines de 2013 había siete oficinas utilizando el sistema </w:t>
      </w:r>
      <w:r w:rsidRPr="007B2775">
        <w:rPr>
          <w:i/>
          <w:sz w:val="16"/>
          <w:szCs w:val="16"/>
        </w:rPr>
        <w:t>WIPO CASE</w:t>
      </w:r>
      <w:r w:rsidRPr="007B2775">
        <w:rPr>
          <w:sz w:val="16"/>
          <w:szCs w:val="16"/>
        </w:rPr>
        <w:t xml:space="preserve">.  A fines de 2013 eran 9 las oficinas que utilizaban la plataforma </w:t>
      </w:r>
      <w:r w:rsidRPr="007B2775">
        <w:rPr>
          <w:i/>
          <w:sz w:val="16"/>
          <w:szCs w:val="16"/>
        </w:rPr>
        <w:t>WIPO CASE</w:t>
      </w:r>
      <w:r w:rsidRPr="007B2775">
        <w:rPr>
          <w:sz w:val="16"/>
          <w:szCs w:val="16"/>
        </w:rPr>
        <w:t>.</w:t>
      </w:r>
    </w:p>
  </w:footnote>
  <w:footnote w:id="47">
    <w:p w:rsidR="00BE1A45" w:rsidRPr="007B2775" w:rsidRDefault="00BE1A45">
      <w:pPr>
        <w:pStyle w:val="FootnoteText"/>
        <w:rPr>
          <w:sz w:val="16"/>
          <w:szCs w:val="16"/>
        </w:rPr>
      </w:pPr>
      <w:r w:rsidRPr="007B2775">
        <w:rPr>
          <w:rStyle w:val="FootnoteReference"/>
          <w:sz w:val="16"/>
          <w:szCs w:val="16"/>
        </w:rPr>
        <w:footnoteRef/>
      </w:r>
      <w:r w:rsidRPr="007B2775">
        <w:rPr>
          <w:sz w:val="16"/>
          <w:szCs w:val="16"/>
        </w:rPr>
        <w:t xml:space="preserve"> La media mensual se extrapola a partir de los datos que van de enero a mayo de 2014.  En junio de 2014, se puso en marcha una nueva versión del Centro de datos de estadísticas de P.I., por lo que no fue posible rastrear los datos del segundo semestre del año. </w:t>
      </w:r>
    </w:p>
  </w:footnote>
  <w:footnote w:id="48">
    <w:p w:rsidR="00BE1A45" w:rsidRPr="007B2775" w:rsidRDefault="00BE1A45">
      <w:pPr>
        <w:pStyle w:val="FootnoteText"/>
        <w:rPr>
          <w:sz w:val="16"/>
          <w:szCs w:val="16"/>
        </w:rPr>
      </w:pPr>
      <w:r w:rsidRPr="007B2775">
        <w:rPr>
          <w:rStyle w:val="FootnoteReference"/>
          <w:sz w:val="16"/>
          <w:szCs w:val="16"/>
        </w:rPr>
        <w:footnoteRef/>
      </w:r>
      <w:r w:rsidRPr="007B2775">
        <w:rPr>
          <w:sz w:val="16"/>
          <w:szCs w:val="16"/>
        </w:rPr>
        <w:t xml:space="preserve"> Corrección: el número real de asociados y aportaciones a fines de 2013 fue 36 y 820, respectivamente, frente a 37 y 800, respectivamente, en el PPR de 2012/13.</w:t>
      </w:r>
    </w:p>
  </w:footnote>
  <w:footnote w:id="49">
    <w:p w:rsidR="00BE1A45" w:rsidRPr="007B2775" w:rsidRDefault="00BE1A45"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color w:val="000000"/>
          <w:sz w:val="16"/>
          <w:szCs w:val="16"/>
          <w:lang w:val="es-ES_tradnl"/>
        </w:rPr>
        <w:t xml:space="preserve">En el </w:t>
      </w:r>
      <w:r w:rsidRPr="007B2775">
        <w:rPr>
          <w:sz w:val="16"/>
          <w:szCs w:val="16"/>
          <w:lang w:val="es-ES_tradnl"/>
        </w:rPr>
        <w:t>PPR</w:t>
      </w:r>
      <w:r w:rsidRPr="007B2775">
        <w:rPr>
          <w:color w:val="0000FF"/>
          <w:sz w:val="16"/>
          <w:szCs w:val="16"/>
          <w:lang w:val="es-ES_tradnl"/>
        </w:rPr>
        <w:t xml:space="preserve"> </w:t>
      </w:r>
      <w:r w:rsidRPr="007B2775">
        <w:rPr>
          <w:color w:val="000000"/>
          <w:sz w:val="16"/>
          <w:szCs w:val="16"/>
          <w:lang w:val="es-ES_tradnl"/>
        </w:rPr>
        <w:t xml:space="preserve">de 2012/13 se señaló que 89 países informaron de la celebración de eventos con motivo del </w:t>
      </w:r>
      <w:r w:rsidRPr="007B2775">
        <w:rPr>
          <w:sz w:val="16"/>
          <w:szCs w:val="16"/>
          <w:lang w:val="es-ES_tradnl"/>
        </w:rPr>
        <w:t>Día Mundial de la P.I</w:t>
      </w:r>
      <w:r w:rsidRPr="007B2775">
        <w:rPr>
          <w:color w:val="0000FF"/>
          <w:sz w:val="16"/>
          <w:szCs w:val="16"/>
          <w:lang w:val="es-ES_tradnl"/>
        </w:rPr>
        <w:t>.</w:t>
      </w:r>
      <w:r w:rsidRPr="007B2775">
        <w:rPr>
          <w:sz w:val="16"/>
          <w:szCs w:val="16"/>
          <w:lang w:val="es-ES_tradnl"/>
        </w:rPr>
        <w:t xml:space="preserve">  </w:t>
      </w:r>
      <w:r w:rsidRPr="007B2775">
        <w:rPr>
          <w:color w:val="000000"/>
          <w:sz w:val="16"/>
          <w:szCs w:val="16"/>
          <w:lang w:val="es-ES_tradnl"/>
        </w:rPr>
        <w:t>El número real fue de 93.</w:t>
      </w:r>
    </w:p>
  </w:footnote>
  <w:footnote w:id="50">
    <w:p w:rsidR="00BE1A45" w:rsidRPr="007B2775" w:rsidRDefault="00BE1A45"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color w:val="000000"/>
          <w:sz w:val="16"/>
          <w:szCs w:val="16"/>
          <w:lang w:val="es-ES_tradnl"/>
        </w:rPr>
        <w:t xml:space="preserve">Como en 2013 no se realizó una encuesta sobre la impresión que tienen las partes interesadas acerca de la OMPI, los datos que figuran en el PPR de 2012/13 fueron extrapolados de la encuesta de </w:t>
      </w:r>
      <w:r w:rsidRPr="007B2775">
        <w:rPr>
          <w:sz w:val="16"/>
          <w:szCs w:val="16"/>
          <w:lang w:val="es-ES_tradnl"/>
        </w:rPr>
        <w:t xml:space="preserve">prestación óptima de servicios </w:t>
      </w:r>
      <w:r w:rsidRPr="007B2775">
        <w:rPr>
          <w:color w:val="000000"/>
          <w:sz w:val="16"/>
          <w:szCs w:val="16"/>
          <w:lang w:val="es-ES_tradnl"/>
        </w:rPr>
        <w:t xml:space="preserve">de la OMPI, que utiliza una metodología diferente y se envía a otro grupo de partes interesadas. </w:t>
      </w:r>
      <w:r w:rsidRPr="007B2775">
        <w:rPr>
          <w:sz w:val="16"/>
          <w:szCs w:val="16"/>
          <w:lang w:val="es-ES_tradnl"/>
        </w:rPr>
        <w:t xml:space="preserve">  </w:t>
      </w:r>
      <w:r w:rsidRPr="007B2775">
        <w:rPr>
          <w:color w:val="000000"/>
          <w:sz w:val="16"/>
          <w:szCs w:val="16"/>
          <w:lang w:val="es-ES_tradnl"/>
        </w:rPr>
        <w:t xml:space="preserve">Por lo tanto, la referencia de base no se puede comparar con los datos de 2014. </w:t>
      </w:r>
      <w:r w:rsidRPr="007B2775">
        <w:rPr>
          <w:sz w:val="16"/>
          <w:szCs w:val="16"/>
          <w:lang w:val="es-ES_tradnl"/>
        </w:rPr>
        <w:t xml:space="preserve"> </w:t>
      </w:r>
    </w:p>
  </w:footnote>
  <w:footnote w:id="51">
    <w:p w:rsidR="00BE1A45" w:rsidRPr="007B2775" w:rsidRDefault="00BE1A45"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color w:val="000000"/>
          <w:sz w:val="16"/>
          <w:szCs w:val="16"/>
          <w:lang w:val="es-ES_tradnl"/>
        </w:rPr>
        <w:t xml:space="preserve">Los datos de rendimiento de 2014 son comparables con la  referencia original en el presupuesto por programas de 2014/15, es decir el 65%, que se basa en la encuesta sobre la impresión que tienen las partes interesadas acerca de la OMPI, de 2012. </w:t>
      </w:r>
      <w:r w:rsidRPr="007B2775">
        <w:rPr>
          <w:sz w:val="16"/>
          <w:szCs w:val="16"/>
          <w:lang w:val="es-ES_tradnl"/>
        </w:rPr>
        <w:t xml:space="preserve"> </w:t>
      </w:r>
    </w:p>
  </w:footnote>
  <w:footnote w:id="52">
    <w:p w:rsidR="00BE1A45" w:rsidRPr="007B2775" w:rsidRDefault="00BE1A45"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color w:val="000000"/>
          <w:sz w:val="16"/>
          <w:szCs w:val="16"/>
          <w:lang w:val="es-ES_tradnl"/>
        </w:rPr>
        <w:t xml:space="preserve">En el PPR de 2012/13, se informó que eran 226 vídeos.  El número real de vídeos a fines de 2013 fue de 228. </w:t>
      </w:r>
      <w:r w:rsidRPr="007B2775">
        <w:rPr>
          <w:sz w:val="16"/>
          <w:szCs w:val="16"/>
          <w:lang w:val="es-ES_tradnl"/>
        </w:rPr>
        <w:t xml:space="preserve"> </w:t>
      </w:r>
      <w:r w:rsidRPr="007B2775">
        <w:rPr>
          <w:color w:val="000000"/>
          <w:sz w:val="16"/>
          <w:szCs w:val="16"/>
          <w:lang w:val="es-ES_tradnl"/>
        </w:rPr>
        <w:t xml:space="preserve">El número medio de visualizaciones se actualizó en consecuencia. </w:t>
      </w:r>
    </w:p>
  </w:footnote>
  <w:footnote w:id="53">
    <w:p w:rsidR="00BE1A45" w:rsidRPr="007B2775" w:rsidRDefault="00BE1A45"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Pr>
          <w:color w:val="000000"/>
          <w:sz w:val="16"/>
          <w:szCs w:val="16"/>
          <w:lang w:val="es-ES_tradnl"/>
        </w:rPr>
        <w:t>L</w:t>
      </w:r>
      <w:r w:rsidRPr="007B2775">
        <w:rPr>
          <w:color w:val="000000"/>
          <w:sz w:val="16"/>
          <w:szCs w:val="16"/>
          <w:lang w:val="es-ES_tradnl"/>
        </w:rPr>
        <w:t xml:space="preserve">a referencia original del presupuesto por programas de 2014/15 </w:t>
      </w:r>
      <w:r>
        <w:rPr>
          <w:color w:val="000000"/>
          <w:sz w:val="16"/>
          <w:szCs w:val="16"/>
          <w:lang w:val="es-ES_tradnl"/>
        </w:rPr>
        <w:t>fue calculada con cifras estimativas correspondientes a mediados de 2013.  Esas cifras han sido ahora actualizadas</w:t>
      </w:r>
      <w:r w:rsidRPr="007B2775">
        <w:rPr>
          <w:color w:val="000000"/>
          <w:sz w:val="16"/>
          <w:szCs w:val="16"/>
          <w:lang w:val="es-ES_tradnl"/>
        </w:rPr>
        <w:t>.</w:t>
      </w:r>
    </w:p>
  </w:footnote>
  <w:footnote w:id="54">
    <w:p w:rsidR="00BE1A45" w:rsidRPr="007B2775" w:rsidRDefault="00BE1A45"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color w:val="000000"/>
          <w:sz w:val="16"/>
          <w:szCs w:val="16"/>
          <w:lang w:val="es-ES_tradnl"/>
        </w:rPr>
        <w:t>La información sobre la encuesta de las Asambleas de la OMPI de 2014 se encuentra disponible en la siguiente dirección: http://www.wipo.int/export/sites/www/about-wipo/es/assemblies/pdf/survey_2014.pdf</w:t>
      </w:r>
    </w:p>
  </w:footnote>
  <w:footnote w:id="55">
    <w:p w:rsidR="00BE1A45" w:rsidRPr="007B2775" w:rsidRDefault="00BE1A45"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color w:val="000000"/>
          <w:sz w:val="16"/>
          <w:szCs w:val="16"/>
          <w:lang w:val="es-ES_tradnl"/>
        </w:rPr>
        <w:t xml:space="preserve">Véase también el documento WO/PBC/22/12 sobre el marco de rendición de cuentas de la OMPI. </w:t>
      </w:r>
    </w:p>
  </w:footnote>
  <w:footnote w:id="56">
    <w:p w:rsidR="00BE1A45" w:rsidRPr="007B2775" w:rsidRDefault="00BE1A45"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Corrección</w:t>
      </w:r>
      <w:r w:rsidRPr="007B2775">
        <w:rPr>
          <w:color w:val="000000"/>
          <w:sz w:val="16"/>
          <w:szCs w:val="16"/>
          <w:lang w:val="es-ES_tradnl"/>
        </w:rPr>
        <w:t>: En el PPR de 2012/13, se informó de que el 53% de los programas estaban utilizando datos sobre el rendimiento para gestionar el rendimiento del programa.</w:t>
      </w:r>
    </w:p>
  </w:footnote>
  <w:footnote w:id="57">
    <w:p w:rsidR="00BE1A45" w:rsidRPr="007B2775" w:rsidRDefault="00BE1A45"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color w:val="000000"/>
          <w:sz w:val="16"/>
          <w:szCs w:val="16"/>
          <w:lang w:val="es-ES_tradnl"/>
        </w:rPr>
        <w:t xml:space="preserve">Datos disponibles únicamente sobre una base bienal. </w:t>
      </w:r>
    </w:p>
  </w:footnote>
  <w:footnote w:id="58">
    <w:p w:rsidR="00BE1A45" w:rsidRPr="008D349D" w:rsidRDefault="00BE1A45" w:rsidP="003814EE">
      <w:pPr>
        <w:pStyle w:val="FootnoteText"/>
      </w:pPr>
      <w:r w:rsidRPr="008D349D">
        <w:rPr>
          <w:rStyle w:val="FootnoteReference"/>
        </w:rPr>
        <w:footnoteRef/>
      </w:r>
      <w:r w:rsidRPr="00F24AC7">
        <w:t xml:space="preserve"> </w:t>
      </w:r>
      <w:r w:rsidRPr="008D349D">
        <w:t>En relación únicamente con los miembros del personal en las categorías profesional y superiores</w:t>
      </w:r>
      <w:r w:rsidRPr="008D349D">
        <w:rPr>
          <w:sz w:val="16"/>
          <w:szCs w:val="16"/>
        </w:rPr>
        <w:t>.</w:t>
      </w:r>
    </w:p>
  </w:footnote>
  <w:footnote w:id="59">
    <w:p w:rsidR="00BE1A45" w:rsidRPr="007B2775" w:rsidRDefault="00BE1A45">
      <w:pPr>
        <w:pStyle w:val="FootnoteText"/>
        <w:rPr>
          <w:sz w:val="16"/>
          <w:szCs w:val="16"/>
        </w:rPr>
      </w:pPr>
      <w:r w:rsidRPr="008D349D">
        <w:rPr>
          <w:rStyle w:val="FootnoteReference"/>
        </w:rPr>
        <w:footnoteRef/>
      </w:r>
      <w:r>
        <w:rPr>
          <w:sz w:val="16"/>
          <w:szCs w:val="16"/>
        </w:rPr>
        <w:t xml:space="preserve"> El Comité de Coordinación aún debe llegar a una conclusión respecto de si un sistema oficial debe o no sustituir el acuerdo logrado en 1975 sobre di</w:t>
      </w:r>
      <w:r w:rsidRPr="007B2775">
        <w:rPr>
          <w:sz w:val="16"/>
          <w:szCs w:val="16"/>
        </w:rPr>
        <w:t>stribución geográfica.</w:t>
      </w:r>
    </w:p>
  </w:footnote>
  <w:footnote w:id="60">
    <w:p w:rsidR="00BE1A45" w:rsidRPr="007B2775" w:rsidRDefault="00BE1A45" w:rsidP="0063039A">
      <w:pPr>
        <w:tabs>
          <w:tab w:val="left" w:pos="709"/>
        </w:tabs>
        <w:jc w:val="both"/>
        <w:rPr>
          <w:sz w:val="16"/>
          <w:szCs w:val="16"/>
        </w:rPr>
      </w:pPr>
      <w:r w:rsidRPr="007B2775">
        <w:rPr>
          <w:rStyle w:val="FootnoteReference"/>
          <w:sz w:val="16"/>
          <w:szCs w:val="16"/>
        </w:rPr>
        <w:footnoteRef/>
      </w:r>
      <w:r w:rsidRPr="007B2775">
        <w:rPr>
          <w:sz w:val="16"/>
          <w:szCs w:val="16"/>
        </w:rPr>
        <w:t xml:space="preserve"> En el Apéndice III se expone un pan</w:t>
      </w:r>
      <w:r>
        <w:rPr>
          <w:sz w:val="16"/>
          <w:szCs w:val="16"/>
        </w:rPr>
        <w:t xml:space="preserve">orama general de los progresos logrados </w:t>
      </w:r>
      <w:r w:rsidRPr="007B2775">
        <w:rPr>
          <w:sz w:val="16"/>
          <w:szCs w:val="16"/>
        </w:rPr>
        <w:t>e</w:t>
      </w:r>
      <w:r>
        <w:rPr>
          <w:sz w:val="16"/>
          <w:szCs w:val="16"/>
        </w:rPr>
        <w:t>n</w:t>
      </w:r>
      <w:r w:rsidRPr="007B2775">
        <w:rPr>
          <w:sz w:val="16"/>
          <w:szCs w:val="16"/>
        </w:rPr>
        <w:t xml:space="preserve"> 2014 en los cuatro proyectos del plan maestro de mejoras de infraestructura que se han llevado a cabo como parte de la gestión de locales.</w:t>
      </w:r>
    </w:p>
  </w:footnote>
  <w:footnote w:id="61">
    <w:p w:rsidR="00BE1A45" w:rsidRPr="007B2775" w:rsidRDefault="00BE1A45">
      <w:pPr>
        <w:pStyle w:val="FootnoteText"/>
        <w:rPr>
          <w:sz w:val="16"/>
          <w:szCs w:val="16"/>
        </w:rPr>
      </w:pPr>
      <w:r w:rsidRPr="007B2775">
        <w:rPr>
          <w:rStyle w:val="FootnoteReference"/>
          <w:sz w:val="16"/>
          <w:szCs w:val="16"/>
        </w:rPr>
        <w:footnoteRef/>
      </w:r>
      <w:r w:rsidRPr="007B2775">
        <w:rPr>
          <w:sz w:val="16"/>
          <w:szCs w:val="16"/>
        </w:rPr>
        <w:t xml:space="preserve"> Corrección:  en el presupuesto por programas </w:t>
      </w:r>
      <w:r>
        <w:rPr>
          <w:sz w:val="16"/>
          <w:szCs w:val="16"/>
        </w:rPr>
        <w:t xml:space="preserve">de </w:t>
      </w:r>
      <w:r w:rsidRPr="007B2775">
        <w:rPr>
          <w:sz w:val="16"/>
          <w:szCs w:val="16"/>
        </w:rPr>
        <w:t>2014/15 se publicó por error la fecha 31 de diciembre de 2013 en lugar de 31 de diciembre de 2015.</w:t>
      </w:r>
    </w:p>
  </w:footnote>
  <w:footnote w:id="62">
    <w:p w:rsidR="00BE1A45" w:rsidRPr="007B2775" w:rsidRDefault="00BE1A45">
      <w:pPr>
        <w:pStyle w:val="FootnoteText"/>
        <w:rPr>
          <w:sz w:val="16"/>
          <w:szCs w:val="16"/>
        </w:rPr>
      </w:pPr>
      <w:r w:rsidRPr="007B2775">
        <w:rPr>
          <w:rStyle w:val="FootnoteReference"/>
          <w:sz w:val="16"/>
          <w:szCs w:val="16"/>
        </w:rPr>
        <w:footnoteRef/>
      </w:r>
      <w:r w:rsidRPr="007B2775">
        <w:rPr>
          <w:sz w:val="16"/>
          <w:szCs w:val="16"/>
        </w:rPr>
        <w:t xml:space="preserve"> http://www.wipo.int/about-wipo/es/oversight/iaod/</w:t>
      </w:r>
    </w:p>
  </w:footnote>
  <w:footnote w:id="63">
    <w:p w:rsidR="00BE1A45" w:rsidRPr="007B2775" w:rsidRDefault="00BE1A45">
      <w:pPr>
        <w:pStyle w:val="FootnoteText"/>
        <w:rPr>
          <w:sz w:val="16"/>
          <w:szCs w:val="16"/>
        </w:rPr>
      </w:pPr>
      <w:r w:rsidRPr="007B2775">
        <w:rPr>
          <w:rStyle w:val="FootnoteReference"/>
          <w:sz w:val="16"/>
          <w:szCs w:val="16"/>
        </w:rPr>
        <w:footnoteRef/>
      </w:r>
      <w:r w:rsidRPr="007B2775">
        <w:rPr>
          <w:sz w:val="16"/>
          <w:szCs w:val="16"/>
        </w:rPr>
        <w:t xml:space="preserve"> </w:t>
      </w:r>
      <w:hyperlink r:id="rId4" w:history="1">
        <w:r w:rsidRPr="007B2775">
          <w:rPr>
            <w:rStyle w:val="Hyperlink"/>
            <w:sz w:val="16"/>
            <w:szCs w:val="16"/>
          </w:rPr>
          <w:t>http://www.wipo.int/about-wipo/es/oversight/iaod/audit/</w:t>
        </w:r>
      </w:hyperlink>
    </w:p>
  </w:footnote>
  <w:footnote w:id="64">
    <w:p w:rsidR="00BE1A45" w:rsidRPr="007B2775" w:rsidRDefault="00BE1A45">
      <w:pPr>
        <w:pStyle w:val="FootnoteText"/>
        <w:rPr>
          <w:sz w:val="16"/>
          <w:szCs w:val="16"/>
        </w:rPr>
      </w:pPr>
      <w:r w:rsidRPr="007B2775">
        <w:rPr>
          <w:rStyle w:val="FootnoteReference"/>
          <w:sz w:val="16"/>
          <w:szCs w:val="16"/>
        </w:rPr>
        <w:footnoteRef/>
      </w:r>
      <w:r w:rsidRPr="007B2775">
        <w:rPr>
          <w:sz w:val="16"/>
          <w:szCs w:val="16"/>
        </w:rPr>
        <w:t xml:space="preserve"> </w:t>
      </w:r>
      <w:hyperlink r:id="rId5" w:history="1">
        <w:r w:rsidRPr="007B2775">
          <w:rPr>
            <w:rStyle w:val="Hyperlink"/>
            <w:sz w:val="16"/>
            <w:szCs w:val="16"/>
          </w:rPr>
          <w:t>http://www.wipo.int/about-wipo/es/oversight/iaod/evaluation</w:t>
        </w:r>
      </w:hyperlink>
    </w:p>
  </w:footnote>
  <w:footnote w:id="65">
    <w:p w:rsidR="00BE1A45" w:rsidRPr="007B2775" w:rsidRDefault="00BE1A45">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sz w:val="16"/>
          <w:szCs w:val="16"/>
        </w:rPr>
        <w:t>Examen del proceso presupuestario aplicado a los proyectos propuestos por el Comité de Desarrollo y Propiedad Intelectual (CDIP) para dar aplicación a las recomendaciones de la Agenda para el Desarrollo (A/48/5 Rev.)</w:t>
      </w:r>
      <w:r w:rsidRPr="007B2775">
        <w:rPr>
          <w:sz w:val="16"/>
          <w:szCs w:val="16"/>
          <w:lang w:val="es-ES_tradnl"/>
        </w:rPr>
        <w:t>.</w:t>
      </w:r>
    </w:p>
  </w:footnote>
  <w:footnote w:id="66">
    <w:p w:rsidR="00BE1A45" w:rsidRPr="007B2775" w:rsidRDefault="00BE1A45" w:rsidP="00F1387F">
      <w:pPr>
        <w:rPr>
          <w:sz w:val="16"/>
          <w:szCs w:val="16"/>
        </w:rPr>
      </w:pPr>
      <w:r w:rsidRPr="007B2775">
        <w:rPr>
          <w:rStyle w:val="FootnoteReference"/>
          <w:sz w:val="16"/>
          <w:szCs w:val="16"/>
        </w:rPr>
        <w:footnoteRef/>
      </w:r>
      <w:r w:rsidRPr="007B2775">
        <w:rPr>
          <w:sz w:val="16"/>
          <w:szCs w:val="16"/>
          <w:vertAlign w:val="superscript"/>
        </w:rPr>
        <w:t xml:space="preserve"> </w:t>
      </w:r>
      <w:r w:rsidRPr="007B2775">
        <w:rPr>
          <w:sz w:val="16"/>
          <w:szCs w:val="16"/>
        </w:rPr>
        <w:t>A fin de agilizar la gestión financiera de los diversos fondos fiduciarios del Gobierno de Finlandia, que se recibieron en varias divisas, en 2014 los fondos se consolidaron en un único fondo, el Fondo fiduciario de Finlandia (CHF), basado en francos suizos.</w:t>
      </w:r>
    </w:p>
  </w:footnote>
  <w:footnote w:id="67">
    <w:p w:rsidR="00BE1A45" w:rsidRPr="007B2775" w:rsidRDefault="00BE1A45" w:rsidP="00F1387F">
      <w:pPr>
        <w:rPr>
          <w:sz w:val="16"/>
          <w:szCs w:val="16"/>
        </w:rPr>
      </w:pPr>
      <w:r w:rsidRPr="007B2775">
        <w:rPr>
          <w:sz w:val="16"/>
          <w:szCs w:val="16"/>
          <w:vertAlign w:val="superscript"/>
        </w:rPr>
        <w:footnoteRef/>
      </w:r>
      <w:r w:rsidRPr="007B2775">
        <w:rPr>
          <w:sz w:val="16"/>
          <w:szCs w:val="16"/>
        </w:rPr>
        <w:t xml:space="preserve"> Finlandia – Derecho de autor I</w:t>
      </w:r>
    </w:p>
  </w:footnote>
  <w:footnote w:id="68">
    <w:p w:rsidR="00BE1A45" w:rsidRPr="007B2775" w:rsidRDefault="00BE1A45" w:rsidP="00F1387F">
      <w:pPr>
        <w:rPr>
          <w:sz w:val="16"/>
          <w:szCs w:val="16"/>
        </w:rPr>
      </w:pPr>
      <w:r w:rsidRPr="007B2775">
        <w:rPr>
          <w:sz w:val="16"/>
          <w:szCs w:val="16"/>
          <w:vertAlign w:val="superscript"/>
        </w:rPr>
        <w:footnoteRef/>
      </w:r>
      <w:r w:rsidRPr="007B2775">
        <w:rPr>
          <w:sz w:val="16"/>
          <w:szCs w:val="16"/>
        </w:rPr>
        <w:t xml:space="preserve"> Finlandia – Derecho de autor II</w:t>
      </w:r>
    </w:p>
  </w:footnote>
  <w:footnote w:id="69">
    <w:p w:rsidR="00BE1A45" w:rsidRPr="007B2775" w:rsidRDefault="00BE1A45" w:rsidP="00F1387F">
      <w:pPr>
        <w:rPr>
          <w:sz w:val="16"/>
          <w:szCs w:val="16"/>
        </w:rPr>
      </w:pPr>
      <w:r w:rsidRPr="007B2775">
        <w:rPr>
          <w:sz w:val="16"/>
          <w:szCs w:val="16"/>
          <w:vertAlign w:val="superscript"/>
        </w:rPr>
        <w:footnoteRef/>
      </w:r>
      <w:r w:rsidRPr="007B2775">
        <w:rPr>
          <w:sz w:val="16"/>
          <w:szCs w:val="16"/>
          <w:vertAlign w:val="superscript"/>
        </w:rPr>
        <w:t xml:space="preserve"> </w:t>
      </w:r>
      <w:r w:rsidRPr="007B2775">
        <w:rPr>
          <w:sz w:val="16"/>
          <w:szCs w:val="16"/>
        </w:rPr>
        <w:t>Finlandia – Derecho de autor III</w:t>
      </w:r>
    </w:p>
  </w:footnote>
  <w:footnote w:id="70">
    <w:p w:rsidR="00BE1A45" w:rsidRPr="007B2775" w:rsidRDefault="00BE1A45" w:rsidP="00F1387F">
      <w:pPr>
        <w:pStyle w:val="FootnoteText"/>
        <w:rPr>
          <w:sz w:val="16"/>
          <w:szCs w:val="16"/>
        </w:rPr>
      </w:pPr>
      <w:r w:rsidRPr="007B2775">
        <w:rPr>
          <w:rStyle w:val="FootnoteReference"/>
          <w:sz w:val="16"/>
          <w:szCs w:val="16"/>
        </w:rPr>
        <w:footnoteRef/>
      </w:r>
      <w:r w:rsidRPr="007B2775">
        <w:rPr>
          <w:sz w:val="16"/>
          <w:szCs w:val="16"/>
        </w:rPr>
        <w:t xml:space="preserve"> En octubre de 2012, se firmó un memorando mediante el que se creaba el Fondo fiduciario / IBERO como instrumento financiero  del Programa Iberoamericano de propiedad industrial.</w:t>
      </w:r>
    </w:p>
  </w:footnote>
  <w:footnote w:id="71">
    <w:p w:rsidR="00BE1A45" w:rsidRPr="007B2775" w:rsidRDefault="00BE1A45" w:rsidP="00F1387F">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Fecha prevista de finalización:  mayo de 2016.</w:t>
      </w:r>
    </w:p>
  </w:footnote>
  <w:footnote w:id="72">
    <w:p w:rsidR="00BE1A45" w:rsidRPr="007B2775" w:rsidRDefault="00BE1A45" w:rsidP="00F1387F">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Debido a la oscilación del tipo de cambio de la moneda extranjera, la cuantía de 20.935 francos suizos ha sido absorbida por la OMPI en 2014, lo que dio como resultado un balance cero.</w:t>
      </w:r>
    </w:p>
  </w:footnote>
  <w:footnote w:id="73">
    <w:p w:rsidR="00BE1A45" w:rsidRPr="007B2775" w:rsidRDefault="00BE1A45" w:rsidP="00F1387F">
      <w:pPr>
        <w:pStyle w:val="FootnoteText"/>
        <w:rPr>
          <w:sz w:val="16"/>
          <w:szCs w:val="16"/>
        </w:rPr>
      </w:pPr>
      <w:r w:rsidRPr="007B2775">
        <w:rPr>
          <w:rStyle w:val="FootnoteReference"/>
          <w:sz w:val="16"/>
          <w:szCs w:val="16"/>
        </w:rPr>
        <w:footnoteRef/>
      </w:r>
      <w:r w:rsidRPr="007B2775">
        <w:rPr>
          <w:sz w:val="16"/>
          <w:szCs w:val="16"/>
        </w:rPr>
        <w:t xml:space="preserve"> http://www.wipo.int/edocs/mdocs/govbody/es/a_51/a_51_16.pdf</w:t>
      </w:r>
    </w:p>
  </w:footnote>
  <w:footnote w:id="74">
    <w:p w:rsidR="00BE1A45" w:rsidRPr="007B2775" w:rsidRDefault="00BE1A45" w:rsidP="00F1387F">
      <w:pPr>
        <w:pStyle w:val="FootnoteText"/>
        <w:rPr>
          <w:sz w:val="16"/>
          <w:szCs w:val="16"/>
        </w:rPr>
      </w:pPr>
      <w:r w:rsidRPr="007B2775">
        <w:rPr>
          <w:rStyle w:val="FootnoteReference"/>
          <w:sz w:val="16"/>
          <w:szCs w:val="16"/>
        </w:rPr>
        <w:footnoteRef/>
      </w:r>
      <w:r w:rsidRPr="007B2775">
        <w:rPr>
          <w:sz w:val="16"/>
          <w:szCs w:val="16"/>
        </w:rPr>
        <w:t xml:space="preserve"> http://www.wipo.int/edocs/mdocs/govbody/es/wo_pbc_22/wo_pbc_22_21.pdf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A45" w:rsidRPr="009D3BE5" w:rsidRDefault="00BE1A45" w:rsidP="00A37F74">
    <w:pPr>
      <w:jc w:val="right"/>
    </w:pPr>
    <w:r w:rsidRPr="009D3BE5">
      <w:rPr>
        <w:lang w:val="es-ES_tradnl"/>
      </w:rPr>
      <w:t>WO/PBC/23/2</w:t>
    </w:r>
  </w:p>
  <w:p w:rsidR="00BE1A45" w:rsidRPr="009D3BE5" w:rsidRDefault="00BE1A45" w:rsidP="00A37F74">
    <w:pPr>
      <w:jc w:val="right"/>
    </w:pPr>
    <w:r w:rsidRPr="009D3BE5">
      <w:t xml:space="preserve">página </w:t>
    </w:r>
    <w:r w:rsidRPr="009D3BE5">
      <w:fldChar w:fldCharType="begin"/>
    </w:r>
    <w:r w:rsidRPr="009D3BE5">
      <w:instrText xml:space="preserve"> PAGE  \* MERGEFORMAT </w:instrText>
    </w:r>
    <w:r w:rsidRPr="009D3BE5">
      <w:fldChar w:fldCharType="separate"/>
    </w:r>
    <w:r w:rsidR="00EE6BCA">
      <w:rPr>
        <w:noProof/>
      </w:rPr>
      <w:t>2</w:t>
    </w:r>
    <w:r w:rsidRPr="009D3BE5">
      <w:fldChar w:fldCharType="end"/>
    </w:r>
  </w:p>
  <w:p w:rsidR="00BE1A45" w:rsidRPr="009D3BE5" w:rsidRDefault="00BE1A45" w:rsidP="00A37F74">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A45" w:rsidRDefault="00BE1A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A45" w:rsidRPr="009D3BE5" w:rsidRDefault="00BE1A45" w:rsidP="00F7421C">
    <w:pPr>
      <w:jc w:val="right"/>
    </w:pPr>
    <w:r w:rsidRPr="009D3BE5">
      <w:rPr>
        <w:lang w:val="es-ES_tradnl"/>
      </w:rPr>
      <w:t>WO/PBC/23/2</w:t>
    </w:r>
  </w:p>
  <w:p w:rsidR="00BE1A45" w:rsidRPr="009D3BE5" w:rsidRDefault="00BE1A45" w:rsidP="00477D6B">
    <w:pPr>
      <w:jc w:val="right"/>
    </w:pPr>
    <w:r w:rsidRPr="009D3BE5">
      <w:t xml:space="preserve">página </w:t>
    </w:r>
    <w:r w:rsidRPr="009D3BE5">
      <w:fldChar w:fldCharType="begin"/>
    </w:r>
    <w:r w:rsidRPr="009D3BE5">
      <w:instrText xml:space="preserve"> PAGE  \* MERGEFORMAT </w:instrText>
    </w:r>
    <w:r w:rsidRPr="009D3BE5">
      <w:fldChar w:fldCharType="separate"/>
    </w:r>
    <w:r w:rsidR="004B4857">
      <w:rPr>
        <w:noProof/>
      </w:rPr>
      <w:t>3</w:t>
    </w:r>
    <w:r w:rsidRPr="009D3BE5">
      <w:fldChar w:fldCharType="end"/>
    </w:r>
  </w:p>
  <w:p w:rsidR="00BE1A45" w:rsidRPr="009D3BE5" w:rsidRDefault="00BE1A45"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A45" w:rsidRPr="00A37F74" w:rsidRDefault="00BE1A45" w:rsidP="00A37F74">
    <w:pPr>
      <w:pStyle w:val="Header"/>
      <w:rPr>
        <w:b/>
        <w:sz w:val="18"/>
        <w:szCs w:val="18"/>
        <w:lang w:val="es-ES_tradnl"/>
      </w:rPr>
    </w:pPr>
    <w:r w:rsidRPr="009869B4">
      <w:rPr>
        <w:b/>
        <w:sz w:val="18"/>
        <w:szCs w:val="18"/>
        <w:lang w:val="es-ES_tradnl"/>
      </w:rPr>
      <w:t xml:space="preserve">Informe sobre el rendimiento de los programas en </w:t>
    </w:r>
    <w:r w:rsidRPr="00A37F74">
      <w:rPr>
        <w:b/>
        <w:sz w:val="18"/>
        <w:szCs w:val="18"/>
        <w:lang w:val="es-ES_tradnl"/>
      </w:rPr>
      <w:t>2014</w:t>
    </w:r>
  </w:p>
  <w:p w:rsidR="00BE1A45" w:rsidRPr="00A37F74" w:rsidRDefault="00BE1A45" w:rsidP="00A37F74">
    <w:pPr>
      <w:pStyle w:val="Header"/>
      <w:rPr>
        <w:sz w:val="18"/>
        <w:szCs w:val="18"/>
        <w:lang w:val="es-ES_tradnl"/>
      </w:rPr>
    </w:pPr>
  </w:p>
  <w:p w:rsidR="00BE1A45" w:rsidRPr="00A37F74" w:rsidRDefault="00BE1A45" w:rsidP="00A37F74">
    <w:pPr>
      <w:pStyle w:val="Header"/>
      <w:rPr>
        <w:sz w:val="18"/>
        <w:szCs w:val="18"/>
        <w:lang w:val="es-ES_tradn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A45" w:rsidRPr="00A37F74" w:rsidRDefault="00BE1A45" w:rsidP="00A37F74">
    <w:pPr>
      <w:pStyle w:val="Header"/>
      <w:jc w:val="right"/>
      <w:rPr>
        <w:b/>
        <w:sz w:val="18"/>
        <w:szCs w:val="18"/>
        <w:lang w:val="es-ES_tradnl"/>
      </w:rPr>
    </w:pPr>
    <w:r w:rsidRPr="00A37F74">
      <w:rPr>
        <w:b/>
        <w:sz w:val="18"/>
        <w:szCs w:val="18"/>
        <w:lang w:val="es-ES_tradnl"/>
      </w:rPr>
      <w:t>Informe sobre el rendimiento de los programas en 2014</w:t>
    </w:r>
  </w:p>
  <w:p w:rsidR="00BE1A45" w:rsidRPr="00A37F74" w:rsidRDefault="00BE1A45" w:rsidP="00A37F74">
    <w:pPr>
      <w:pStyle w:val="Header"/>
      <w:jc w:val="right"/>
      <w:rPr>
        <w:sz w:val="18"/>
        <w:szCs w:val="18"/>
        <w:lang w:val="es-ES_tradnl"/>
      </w:rPr>
    </w:pPr>
  </w:p>
  <w:p w:rsidR="00BE1A45" w:rsidRPr="00A37F74" w:rsidRDefault="00BE1A45" w:rsidP="00A37F74">
    <w:pPr>
      <w:pStyle w:val="Header"/>
      <w:jc w:val="right"/>
      <w:rPr>
        <w:sz w:val="18"/>
        <w:szCs w:val="18"/>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A45" w:rsidRDefault="00BE1A4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A45" w:rsidRPr="00D339EC" w:rsidRDefault="00BE1A45" w:rsidP="00F1387F">
    <w:pPr>
      <w:pStyle w:val="Header"/>
      <w:rPr>
        <w:b/>
        <w:sz w:val="18"/>
      </w:rPr>
    </w:pPr>
    <w:r w:rsidRPr="009869B4">
      <w:rPr>
        <w:b/>
        <w:sz w:val="18"/>
        <w:szCs w:val="18"/>
        <w:lang w:val="es-ES_tradnl"/>
      </w:rPr>
      <w:t xml:space="preserve">Informe sobre el rendimiento de los programas en </w:t>
    </w:r>
    <w:r w:rsidRPr="00A37F74">
      <w:rPr>
        <w:b/>
        <w:sz w:val="18"/>
        <w:szCs w:val="18"/>
        <w:lang w:val="es-ES_tradnl"/>
      </w:rPr>
      <w:t>2014</w:t>
    </w:r>
  </w:p>
  <w:p w:rsidR="00BE1A45" w:rsidRPr="00A13DDD" w:rsidRDefault="00BE1A45" w:rsidP="00F1387F">
    <w:pPr>
      <w:pStyle w:val="Header"/>
      <w:rPr>
        <w:b/>
        <w:sz w:val="18"/>
        <w:szCs w:val="18"/>
      </w:rPr>
    </w:pPr>
    <w:r>
      <w:rPr>
        <w:b/>
        <w:sz w:val="18"/>
        <w:szCs w:val="18"/>
      </w:rPr>
      <w:t>Apéndices</w:t>
    </w:r>
  </w:p>
  <w:p w:rsidR="00BE1A45" w:rsidRPr="00101F3F" w:rsidRDefault="00BE1A45" w:rsidP="00F1387F">
    <w:pPr>
      <w:pStyle w:val="Header"/>
      <w:rPr>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A45" w:rsidRPr="009869B4" w:rsidRDefault="00BE1A45" w:rsidP="00F1387F">
    <w:pPr>
      <w:pStyle w:val="Header"/>
      <w:jc w:val="right"/>
      <w:rPr>
        <w:b/>
        <w:sz w:val="18"/>
        <w:szCs w:val="18"/>
        <w:lang w:val="es-ES_tradnl"/>
      </w:rPr>
    </w:pPr>
    <w:r w:rsidRPr="009869B4">
      <w:rPr>
        <w:b/>
        <w:sz w:val="18"/>
        <w:szCs w:val="18"/>
        <w:lang w:val="es-ES_tradnl"/>
      </w:rPr>
      <w:t>Informe sobre el rendimiento de los programas en 2014</w:t>
    </w:r>
  </w:p>
  <w:p w:rsidR="00BE1A45" w:rsidRPr="002370D3" w:rsidRDefault="00BE1A45" w:rsidP="00F1387F">
    <w:pPr>
      <w:pStyle w:val="Header"/>
      <w:jc w:val="right"/>
      <w:rPr>
        <w:b/>
        <w:sz w:val="18"/>
        <w:szCs w:val="18"/>
      </w:rPr>
    </w:pPr>
    <w:r w:rsidRPr="002370D3">
      <w:rPr>
        <w:b/>
        <w:sz w:val="18"/>
        <w:szCs w:val="18"/>
        <w:lang w:val="es-ES_tradnl"/>
      </w:rPr>
      <w:t>Apéndices</w:t>
    </w:r>
  </w:p>
  <w:p w:rsidR="00BE1A45" w:rsidRPr="002370D3" w:rsidRDefault="00BE1A45" w:rsidP="00F1387F">
    <w:pPr>
      <w:pStyle w:val="Header"/>
      <w:jc w:val="right"/>
      <w:rPr>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A45" w:rsidRDefault="00BE1A4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A45" w:rsidRPr="00A37F74" w:rsidRDefault="00BE1A45" w:rsidP="00A37F74">
    <w:pPr>
      <w:pStyle w:val="Header"/>
      <w:rPr>
        <w:b/>
        <w:sz w:val="18"/>
        <w:szCs w:val="18"/>
        <w:lang w:val="es-ES_tradnl"/>
      </w:rPr>
    </w:pPr>
    <w:r w:rsidRPr="009869B4">
      <w:rPr>
        <w:b/>
        <w:sz w:val="18"/>
        <w:szCs w:val="18"/>
        <w:lang w:val="es-ES_tradnl"/>
      </w:rPr>
      <w:t xml:space="preserve">Informe sobre el rendimiento de los programas en </w:t>
    </w:r>
    <w:r w:rsidRPr="00A37F74">
      <w:rPr>
        <w:b/>
        <w:sz w:val="18"/>
        <w:szCs w:val="18"/>
        <w:lang w:val="es-ES_tradnl"/>
      </w:rPr>
      <w:t>2014</w:t>
    </w:r>
  </w:p>
  <w:p w:rsidR="00BE1A45" w:rsidRPr="00A37F74" w:rsidRDefault="00BE1A45" w:rsidP="00A37F74">
    <w:pPr>
      <w:pStyle w:val="Header"/>
      <w:rPr>
        <w:sz w:val="18"/>
        <w:szCs w:val="18"/>
        <w:lang w:val="es-ES_tradnl"/>
      </w:rPr>
    </w:pPr>
  </w:p>
  <w:p w:rsidR="00BE1A45" w:rsidRPr="00A37F74" w:rsidRDefault="00BE1A45" w:rsidP="00A37F74">
    <w:pPr>
      <w:pStyle w:val="Header"/>
      <w:rPr>
        <w:sz w:val="18"/>
        <w:szCs w:val="18"/>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A5AC2"/>
    <w:multiLevelType w:val="hybridMultilevel"/>
    <w:tmpl w:val="C05AE734"/>
    <w:lvl w:ilvl="0" w:tplc="E60881F2">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91860"/>
    <w:multiLevelType w:val="hybridMultilevel"/>
    <w:tmpl w:val="C2142F62"/>
    <w:lvl w:ilvl="0" w:tplc="BC2EDDF6">
      <w:start w:val="1"/>
      <w:numFmt w:val="bullet"/>
      <w:lvlText w:val="-"/>
      <w:lvlJc w:val="left"/>
      <w:pPr>
        <w:ind w:left="360" w:hanging="360"/>
      </w:pPr>
      <w:rPr>
        <w:rFonts w:ascii="Arial" w:eastAsia="Times New Roman" w:hAnsi="Ari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454746"/>
    <w:multiLevelType w:val="hybridMultilevel"/>
    <w:tmpl w:val="307C764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79B6BCD"/>
    <w:multiLevelType w:val="hybridMultilevel"/>
    <w:tmpl w:val="E32E1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F20D78"/>
    <w:multiLevelType w:val="hybridMultilevel"/>
    <w:tmpl w:val="53287F90"/>
    <w:lvl w:ilvl="0" w:tplc="223EE79E">
      <w:start w:val="1"/>
      <w:numFmt w:val="decimal"/>
      <w:lvlText w:val="29.%1"/>
      <w:lvlJc w:val="left"/>
      <w:pPr>
        <w:ind w:left="4613" w:hanging="360"/>
      </w:pPr>
      <w:rPr>
        <w:rFonts w:hint="default"/>
      </w:rPr>
    </w:lvl>
    <w:lvl w:ilvl="1" w:tplc="04090019" w:tentative="1">
      <w:start w:val="1"/>
      <w:numFmt w:val="lowerLetter"/>
      <w:lvlText w:val="%2."/>
      <w:lvlJc w:val="left"/>
      <w:pPr>
        <w:ind w:left="5333" w:hanging="360"/>
      </w:pPr>
    </w:lvl>
    <w:lvl w:ilvl="2" w:tplc="0409001B" w:tentative="1">
      <w:start w:val="1"/>
      <w:numFmt w:val="lowerRoman"/>
      <w:lvlText w:val="%3."/>
      <w:lvlJc w:val="right"/>
      <w:pPr>
        <w:ind w:left="6053" w:hanging="180"/>
      </w:pPr>
    </w:lvl>
    <w:lvl w:ilvl="3" w:tplc="0409000F" w:tentative="1">
      <w:start w:val="1"/>
      <w:numFmt w:val="decimal"/>
      <w:lvlText w:val="%4."/>
      <w:lvlJc w:val="left"/>
      <w:pPr>
        <w:ind w:left="6773" w:hanging="360"/>
      </w:pPr>
    </w:lvl>
    <w:lvl w:ilvl="4" w:tplc="04090019" w:tentative="1">
      <w:start w:val="1"/>
      <w:numFmt w:val="lowerLetter"/>
      <w:lvlText w:val="%5."/>
      <w:lvlJc w:val="left"/>
      <w:pPr>
        <w:ind w:left="7493" w:hanging="360"/>
      </w:pPr>
    </w:lvl>
    <w:lvl w:ilvl="5" w:tplc="0409001B" w:tentative="1">
      <w:start w:val="1"/>
      <w:numFmt w:val="lowerRoman"/>
      <w:lvlText w:val="%6."/>
      <w:lvlJc w:val="right"/>
      <w:pPr>
        <w:ind w:left="8213" w:hanging="180"/>
      </w:pPr>
    </w:lvl>
    <w:lvl w:ilvl="6" w:tplc="0409000F" w:tentative="1">
      <w:start w:val="1"/>
      <w:numFmt w:val="decimal"/>
      <w:lvlText w:val="%7."/>
      <w:lvlJc w:val="left"/>
      <w:pPr>
        <w:ind w:left="8933" w:hanging="360"/>
      </w:pPr>
    </w:lvl>
    <w:lvl w:ilvl="7" w:tplc="04090019" w:tentative="1">
      <w:start w:val="1"/>
      <w:numFmt w:val="lowerLetter"/>
      <w:lvlText w:val="%8."/>
      <w:lvlJc w:val="left"/>
      <w:pPr>
        <w:ind w:left="9653" w:hanging="360"/>
      </w:pPr>
    </w:lvl>
    <w:lvl w:ilvl="8" w:tplc="0409001B" w:tentative="1">
      <w:start w:val="1"/>
      <w:numFmt w:val="lowerRoman"/>
      <w:lvlText w:val="%9."/>
      <w:lvlJc w:val="right"/>
      <w:pPr>
        <w:ind w:left="10373" w:hanging="180"/>
      </w:pPr>
    </w:lvl>
  </w:abstractNum>
  <w:abstractNum w:abstractNumId="6">
    <w:nsid w:val="080F48ED"/>
    <w:multiLevelType w:val="hybridMultilevel"/>
    <w:tmpl w:val="D71499C0"/>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8">
    <w:nsid w:val="0BD223AE"/>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AE16DF"/>
    <w:multiLevelType w:val="hybridMultilevel"/>
    <w:tmpl w:val="FF78476A"/>
    <w:lvl w:ilvl="0" w:tplc="B5843246">
      <w:start w:val="1"/>
      <w:numFmt w:val="bullet"/>
      <w:lvlText w:val="-"/>
      <w:lvlJc w:val="left"/>
      <w:pPr>
        <w:ind w:left="480" w:hanging="360"/>
      </w:pPr>
      <w:rPr>
        <w:rFonts w:ascii="Arial" w:eastAsia="Times New Roman" w:hAnsi="Arial"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0">
    <w:nsid w:val="0CC040EF"/>
    <w:multiLevelType w:val="hybridMultilevel"/>
    <w:tmpl w:val="962A2DD4"/>
    <w:lvl w:ilvl="0" w:tplc="982C6F9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192F6F"/>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23368C"/>
    <w:multiLevelType w:val="hybridMultilevel"/>
    <w:tmpl w:val="90E4190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22B2A50"/>
    <w:multiLevelType w:val="hybridMultilevel"/>
    <w:tmpl w:val="649E93AE"/>
    <w:lvl w:ilvl="0" w:tplc="88408418">
      <w:start w:val="1"/>
      <w:numFmt w:val="decimal"/>
      <w:lvlText w:val="%1."/>
      <w:lvlJc w:val="left"/>
      <w:pPr>
        <w:tabs>
          <w:tab w:val="num" w:pos="709"/>
        </w:tabs>
        <w:ind w:left="142"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29A5F6B"/>
    <w:multiLevelType w:val="hybridMultilevel"/>
    <w:tmpl w:val="ED5EB35A"/>
    <w:lvl w:ilvl="0" w:tplc="9B6628FE">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5">
    <w:nsid w:val="13612524"/>
    <w:multiLevelType w:val="hybridMultilevel"/>
    <w:tmpl w:val="C030AAB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3E272F6"/>
    <w:multiLevelType w:val="hybridMultilevel"/>
    <w:tmpl w:val="59DCCBC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41F0DE2"/>
    <w:multiLevelType w:val="hybridMultilevel"/>
    <w:tmpl w:val="F094F3CA"/>
    <w:lvl w:ilvl="0" w:tplc="48ECDDD2">
      <w:start w:val="1"/>
      <w:numFmt w:val="decimal"/>
      <w:lvlText w:val="23.%1."/>
      <w:lvlJc w:val="left"/>
      <w:pPr>
        <w:ind w:left="720" w:hanging="360"/>
      </w:pPr>
      <w:rPr>
        <w:rFonts w:ascii="Arial" w:hAnsi="Arial" w:cs="Arial"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AE7A95"/>
    <w:multiLevelType w:val="hybridMultilevel"/>
    <w:tmpl w:val="CD4430F2"/>
    <w:lvl w:ilvl="0" w:tplc="3D8C94B4">
      <w:start w:val="1"/>
      <w:numFmt w:val="decimal"/>
      <w:lvlText w:val="1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3A10EF"/>
    <w:multiLevelType w:val="hybridMultilevel"/>
    <w:tmpl w:val="91783D60"/>
    <w:lvl w:ilvl="0" w:tplc="2D4AE1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1E2E61"/>
    <w:multiLevelType w:val="hybridMultilevel"/>
    <w:tmpl w:val="F098835C"/>
    <w:lvl w:ilvl="0" w:tplc="8CB4571C">
      <w:start w:val="1"/>
      <w:numFmt w:val="upperRoman"/>
      <w:lvlText w:val="%1."/>
      <w:lvlJc w:val="right"/>
      <w:pPr>
        <w:tabs>
          <w:tab w:val="num" w:pos="284"/>
        </w:tabs>
        <w:ind w:left="720" w:hanging="720"/>
      </w:pPr>
      <w:rPr>
        <w:rFonts w:ascii="Arial" w:hAnsi="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65E4F2D"/>
    <w:multiLevelType w:val="hybridMultilevel"/>
    <w:tmpl w:val="78A4B29A"/>
    <w:lvl w:ilvl="0" w:tplc="A086E5EE">
      <w:start w:val="1"/>
      <w:numFmt w:val="upperLetter"/>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3B7367"/>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920F3B"/>
    <w:multiLevelType w:val="hybridMultilevel"/>
    <w:tmpl w:val="1560413E"/>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4">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C3C58AA"/>
    <w:multiLevelType w:val="hybridMultilevel"/>
    <w:tmpl w:val="8E24605C"/>
    <w:lvl w:ilvl="0" w:tplc="3D985CDC">
      <w:start w:val="1"/>
      <w:numFmt w:val="decimal"/>
      <w:lvlText w:val="22.%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CA7633C"/>
    <w:multiLevelType w:val="hybridMultilevel"/>
    <w:tmpl w:val="732484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EA37FE0"/>
    <w:multiLevelType w:val="hybridMultilevel"/>
    <w:tmpl w:val="1B1C566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ED221A1"/>
    <w:multiLevelType w:val="hybridMultilevel"/>
    <w:tmpl w:val="967A47A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F153255"/>
    <w:multiLevelType w:val="hybridMultilevel"/>
    <w:tmpl w:val="83666B14"/>
    <w:lvl w:ilvl="0" w:tplc="4F04C3B6">
      <w:numFmt w:val="bullet"/>
      <w:lvlText w:val="-"/>
      <w:lvlJc w:val="left"/>
      <w:pPr>
        <w:ind w:left="720" w:hanging="360"/>
      </w:pPr>
      <w:rPr>
        <w:rFonts w:ascii="Arial" w:eastAsia="Times New Roman" w:hAnsi="Arial" w:cs="Arial" w:hint="default"/>
        <w:lang w:val="es-ES_trad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D44917"/>
    <w:multiLevelType w:val="hybridMultilevel"/>
    <w:tmpl w:val="7F8CC5BE"/>
    <w:lvl w:ilvl="0" w:tplc="17A42F20">
      <w:start w:val="1"/>
      <w:numFmt w:val="decimal"/>
      <w:lvlRestart w:val="0"/>
      <w:lvlText w:val="2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2">
    <w:nsid w:val="201213CE"/>
    <w:multiLevelType w:val="hybridMultilevel"/>
    <w:tmpl w:val="6D0E47EC"/>
    <w:lvl w:ilvl="0" w:tplc="97763274">
      <w:start w:val="1"/>
      <w:numFmt w:val="decimal"/>
      <w:lvlText w:val="28.%1"/>
      <w:lvlJc w:val="left"/>
      <w:pPr>
        <w:ind w:left="36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1207CBF"/>
    <w:multiLevelType w:val="hybridMultilevel"/>
    <w:tmpl w:val="E5D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21948C6"/>
    <w:multiLevelType w:val="hybridMultilevel"/>
    <w:tmpl w:val="77C8CEBA"/>
    <w:lvl w:ilvl="0" w:tplc="6D6AF868">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2916058"/>
    <w:multiLevelType w:val="hybridMultilevel"/>
    <w:tmpl w:val="870670C6"/>
    <w:lvl w:ilvl="0" w:tplc="6438198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64A1B91"/>
    <w:multiLevelType w:val="hybridMultilevel"/>
    <w:tmpl w:val="4B4CF0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67F2243"/>
    <w:multiLevelType w:val="hybridMultilevel"/>
    <w:tmpl w:val="3EA232B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26815950"/>
    <w:multiLevelType w:val="hybridMultilevel"/>
    <w:tmpl w:val="807EC6B4"/>
    <w:lvl w:ilvl="0" w:tplc="74043A8E">
      <w:start w:val="1"/>
      <w:numFmt w:val="decimal"/>
      <w:lvlText w:val="18.%1."/>
      <w:lvlJc w:val="left"/>
      <w:pPr>
        <w:ind w:left="36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6885FCA"/>
    <w:multiLevelType w:val="hybridMultilevel"/>
    <w:tmpl w:val="EE0CC2BC"/>
    <w:lvl w:ilvl="0" w:tplc="1AB84846">
      <w:start w:val="1"/>
      <w:numFmt w:val="decimal"/>
      <w:lvlText w:val="12.%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D20EFF"/>
    <w:multiLevelType w:val="hybridMultilevel"/>
    <w:tmpl w:val="2194868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A467875"/>
    <w:multiLevelType w:val="hybridMultilevel"/>
    <w:tmpl w:val="50B0D0D8"/>
    <w:lvl w:ilvl="0" w:tplc="712AC2B6">
      <w:start w:val="1"/>
      <w:numFmt w:val="decimal"/>
      <w:lvlText w:val="2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A6D4D63"/>
    <w:multiLevelType w:val="hybridMultilevel"/>
    <w:tmpl w:val="7C0AEBB4"/>
    <w:lvl w:ilvl="0" w:tplc="D61C95E2">
      <w:start w:val="1"/>
      <w:numFmt w:val="decimal"/>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B022C2D"/>
    <w:multiLevelType w:val="hybridMultilevel"/>
    <w:tmpl w:val="B5200226"/>
    <w:lvl w:ilvl="0" w:tplc="D92AB576">
      <w:start w:val="1"/>
      <w:numFmt w:val="decimal"/>
      <w:lvlText w:val="16.%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B1A31DD"/>
    <w:multiLevelType w:val="hybridMultilevel"/>
    <w:tmpl w:val="0B202FC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6">
    <w:nsid w:val="2C64387E"/>
    <w:multiLevelType w:val="hybridMultilevel"/>
    <w:tmpl w:val="8252F564"/>
    <w:lvl w:ilvl="0" w:tplc="01E86E6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D7D5DCC"/>
    <w:multiLevelType w:val="hybridMultilevel"/>
    <w:tmpl w:val="88AEEE08"/>
    <w:lvl w:ilvl="0" w:tplc="1AA0ABC2">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F5B64AE"/>
    <w:multiLevelType w:val="hybridMultilevel"/>
    <w:tmpl w:val="FB465BA4"/>
    <w:lvl w:ilvl="0" w:tplc="17FC7604">
      <w:start w:val="1"/>
      <w:numFmt w:val="bullet"/>
      <w:lvlText w:val=""/>
      <w:lvlJc w:val="left"/>
      <w:pPr>
        <w:tabs>
          <w:tab w:val="num" w:pos="720"/>
        </w:tabs>
        <w:ind w:left="720" w:hanging="360"/>
      </w:pPr>
      <w:rPr>
        <w:rFonts w:ascii="Symbol" w:hAnsi="Symbol" w:hint="default"/>
        <w:lang w:val="es-ES"/>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1E25AB5"/>
    <w:multiLevelType w:val="hybridMultilevel"/>
    <w:tmpl w:val="0382E77A"/>
    <w:lvl w:ilvl="0" w:tplc="1AA0ABC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2BE5653"/>
    <w:multiLevelType w:val="hybridMultilevel"/>
    <w:tmpl w:val="E3803D4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34043C20"/>
    <w:multiLevelType w:val="hybridMultilevel"/>
    <w:tmpl w:val="D0422B68"/>
    <w:lvl w:ilvl="0" w:tplc="B1F6C150">
      <w:start w:val="1"/>
      <w:numFmt w:val="decimal"/>
      <w:lvlText w:val="24.%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55F43FD"/>
    <w:multiLevelType w:val="hybridMultilevel"/>
    <w:tmpl w:val="2542DE42"/>
    <w:lvl w:ilvl="0" w:tplc="8FA8A862">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3">
    <w:nsid w:val="35D26F74"/>
    <w:multiLevelType w:val="hybridMultilevel"/>
    <w:tmpl w:val="F8580234"/>
    <w:lvl w:ilvl="0" w:tplc="0409000B">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37A273F1"/>
    <w:multiLevelType w:val="hybridMultilevel"/>
    <w:tmpl w:val="FA04EF44"/>
    <w:lvl w:ilvl="0" w:tplc="9378DB7C">
      <w:start w:val="1"/>
      <w:numFmt w:val="bullet"/>
      <w:lvlText w:val="-"/>
      <w:lvlJc w:val="left"/>
      <w:pPr>
        <w:ind w:left="720" w:hanging="360"/>
      </w:pPr>
      <w:rPr>
        <w:rFonts w:ascii="Arial" w:eastAsia="Times New Roman" w:hAnsi="Arial" w:cs="Arial" w:hint="default"/>
        <w:lang w:val="es-ES_trad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8F41C59"/>
    <w:multiLevelType w:val="hybridMultilevel"/>
    <w:tmpl w:val="A0C2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A9C377A"/>
    <w:multiLevelType w:val="hybridMultilevel"/>
    <w:tmpl w:val="24EE0FCE"/>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3B8233E1"/>
    <w:multiLevelType w:val="hybridMultilevel"/>
    <w:tmpl w:val="6ED68DFE"/>
    <w:lvl w:ilvl="0" w:tplc="3552032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FE03A0F"/>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00958DF"/>
    <w:multiLevelType w:val="hybridMultilevel"/>
    <w:tmpl w:val="A6162532"/>
    <w:lvl w:ilvl="0" w:tplc="58947DBC">
      <w:start w:val="1"/>
      <w:numFmt w:val="decimal"/>
      <w:lvlText w:val="26.%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0E7156C"/>
    <w:multiLevelType w:val="hybridMultilevel"/>
    <w:tmpl w:val="224E844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43B93FDC"/>
    <w:multiLevelType w:val="hybridMultilevel"/>
    <w:tmpl w:val="B43628BA"/>
    <w:lvl w:ilvl="0" w:tplc="EECA573C">
      <w:start w:val="1"/>
      <w:numFmt w:val="decimal"/>
      <w:lvlText w:val="1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4954827"/>
    <w:multiLevelType w:val="hybridMultilevel"/>
    <w:tmpl w:val="A3C2D49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50F0827"/>
    <w:multiLevelType w:val="hybridMultilevel"/>
    <w:tmpl w:val="4B58F35E"/>
    <w:lvl w:ilvl="0" w:tplc="01F67F9A">
      <w:start w:val="1"/>
      <w:numFmt w:val="decimal"/>
      <w:lvlText w:val="5.%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5FE5BD4"/>
    <w:multiLevelType w:val="hybridMultilevel"/>
    <w:tmpl w:val="A836D00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4908699F"/>
    <w:multiLevelType w:val="hybridMultilevel"/>
    <w:tmpl w:val="B4E0A58A"/>
    <w:lvl w:ilvl="0" w:tplc="0DB42CE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90C2843"/>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AB66C92"/>
    <w:multiLevelType w:val="hybridMultilevel"/>
    <w:tmpl w:val="BC1C1A5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4B6479D4"/>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B9548F6"/>
    <w:multiLevelType w:val="hybridMultilevel"/>
    <w:tmpl w:val="AF32AE5C"/>
    <w:lvl w:ilvl="0" w:tplc="82DA63D8">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CED5FCF"/>
    <w:multiLevelType w:val="hybridMultilevel"/>
    <w:tmpl w:val="6ED6956C"/>
    <w:lvl w:ilvl="0" w:tplc="D22C8A48">
      <w:start w:val="1"/>
      <w:numFmt w:val="decimal"/>
      <w:lvlText w:val="11.%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18A6B9D"/>
    <w:multiLevelType w:val="hybridMultilevel"/>
    <w:tmpl w:val="6BBCA6FA"/>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524569DD"/>
    <w:multiLevelType w:val="hybridMultilevel"/>
    <w:tmpl w:val="07A20B7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5A02C9F"/>
    <w:multiLevelType w:val="hybridMultilevel"/>
    <w:tmpl w:val="21CCFEF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55E7548C"/>
    <w:multiLevelType w:val="hybridMultilevel"/>
    <w:tmpl w:val="33E2E7AC"/>
    <w:lvl w:ilvl="0" w:tplc="1AA0ABC2">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641547C"/>
    <w:multiLevelType w:val="hybridMultilevel"/>
    <w:tmpl w:val="939C39E4"/>
    <w:lvl w:ilvl="0" w:tplc="E4FC18EC">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8370B29"/>
    <w:multiLevelType w:val="hybridMultilevel"/>
    <w:tmpl w:val="208604A8"/>
    <w:lvl w:ilvl="0" w:tplc="9FF03A6E">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8E51CD9"/>
    <w:multiLevelType w:val="hybridMultilevel"/>
    <w:tmpl w:val="D588848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5A232C8B"/>
    <w:multiLevelType w:val="hybridMultilevel"/>
    <w:tmpl w:val="0276A39C"/>
    <w:lvl w:ilvl="0" w:tplc="75FA65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AE41D5E"/>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E274D19"/>
    <w:multiLevelType w:val="hybridMultilevel"/>
    <w:tmpl w:val="42C60096"/>
    <w:lvl w:ilvl="0" w:tplc="2A984D40">
      <w:start w:val="1"/>
      <w:numFmt w:val="decimal"/>
      <w:lvlText w:val="4.%1."/>
      <w:lvlJc w:val="left"/>
      <w:pPr>
        <w:tabs>
          <w:tab w:val="num" w:pos="680"/>
        </w:tabs>
        <w:ind w:left="0" w:firstLine="0"/>
      </w:pPr>
      <w:rPr>
        <w:rFonts w:ascii="Arial" w:hAnsi="Arial" w:cs="Arial" w:hint="default"/>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6">
    <w:nsid w:val="5EA93457"/>
    <w:multiLevelType w:val="hybridMultilevel"/>
    <w:tmpl w:val="93FEE796"/>
    <w:lvl w:ilvl="0" w:tplc="F5DC98CA">
      <w:start w:val="1"/>
      <w:numFmt w:val="bullet"/>
      <w:lvlText w:val=""/>
      <w:lvlJc w:val="left"/>
      <w:pPr>
        <w:ind w:left="360" w:hanging="360"/>
      </w:pPr>
      <w:rPr>
        <w:rFonts w:ascii="Symbol" w:hAnsi="Symbol" w:hint="default"/>
        <w:lang w:val="es-ES_tradn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60E16150"/>
    <w:multiLevelType w:val="hybridMultilevel"/>
    <w:tmpl w:val="FEB0664A"/>
    <w:lvl w:ilvl="0" w:tplc="81F2B8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4DC190A"/>
    <w:multiLevelType w:val="hybridMultilevel"/>
    <w:tmpl w:val="DBD071DA"/>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675156A7"/>
    <w:multiLevelType w:val="hybridMultilevel"/>
    <w:tmpl w:val="A50C53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68321D13"/>
    <w:multiLevelType w:val="hybridMultilevel"/>
    <w:tmpl w:val="C0CCE232"/>
    <w:lvl w:ilvl="0" w:tplc="A250513C">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6BAE3F18"/>
    <w:multiLevelType w:val="hybridMultilevel"/>
    <w:tmpl w:val="180A8A3A"/>
    <w:lvl w:ilvl="0" w:tplc="3342BADC">
      <w:start w:val="1"/>
      <w:numFmt w:val="decimal"/>
      <w:lvlText w:val="25.%1"/>
      <w:lvlJc w:val="left"/>
      <w:pPr>
        <w:ind w:left="107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BEE66E5"/>
    <w:multiLevelType w:val="hybridMultilevel"/>
    <w:tmpl w:val="19067108"/>
    <w:lvl w:ilvl="0" w:tplc="1AA0ABC2">
      <w:start w:val="1"/>
      <w:numFmt w:val="bullet"/>
      <w:lvlText w:val=""/>
      <w:lvlJc w:val="left"/>
      <w:pPr>
        <w:ind w:left="780" w:hanging="360"/>
      </w:pPr>
      <w:rPr>
        <w:rFonts w:ascii="Symbol" w:hAnsi="Symbol" w:hint="default"/>
      </w:rPr>
    </w:lvl>
    <w:lvl w:ilvl="1" w:tplc="04090001">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6">
    <w:nsid w:val="6DD97BF7"/>
    <w:multiLevelType w:val="hybridMultilevel"/>
    <w:tmpl w:val="3034C6D6"/>
    <w:lvl w:ilvl="0" w:tplc="A760BC98">
      <w:start w:val="1"/>
      <w:numFmt w:val="decimal"/>
      <w:lvlText w:val="30.%1."/>
      <w:lvlJc w:val="left"/>
      <w:pPr>
        <w:ind w:left="720" w:hanging="360"/>
      </w:pPr>
      <w:rPr>
        <w:rFonts w:hint="default"/>
        <w:b w:val="0"/>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7">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nsid w:val="73222A77"/>
    <w:multiLevelType w:val="hybridMultilevel"/>
    <w:tmpl w:val="BD700530"/>
    <w:lvl w:ilvl="0" w:tplc="1AA0ABC2">
      <w:start w:val="1"/>
      <w:numFmt w:val="bullet"/>
      <w:lvlText w:val=""/>
      <w:lvlJc w:val="left"/>
      <w:pPr>
        <w:tabs>
          <w:tab w:val="num" w:pos="794"/>
        </w:tabs>
        <w:ind w:left="794" w:hanging="397"/>
      </w:pPr>
      <w:rPr>
        <w:rFonts w:ascii="Symbol" w:hAnsi="Symbol" w:hint="default"/>
      </w:rPr>
    </w:lvl>
    <w:lvl w:ilvl="1" w:tplc="EA88E58A">
      <w:start w:val="1"/>
      <w:numFmt w:val="bullet"/>
      <w:lvlText w:val=""/>
      <w:lvlJc w:val="left"/>
      <w:pPr>
        <w:tabs>
          <w:tab w:val="num" w:pos="1990"/>
        </w:tabs>
        <w:ind w:left="1990" w:hanging="360"/>
      </w:pPr>
      <w:rPr>
        <w:rFonts w:ascii="Symbol" w:hAnsi="Symbol" w:hint="default"/>
        <w:color w:val="auto"/>
      </w:rPr>
    </w:lvl>
    <w:lvl w:ilvl="2" w:tplc="0409001B" w:tentative="1">
      <w:start w:val="1"/>
      <w:numFmt w:val="lowerRoman"/>
      <w:lvlText w:val="%3."/>
      <w:lvlJc w:val="right"/>
      <w:pPr>
        <w:tabs>
          <w:tab w:val="num" w:pos="2710"/>
        </w:tabs>
        <w:ind w:left="2710" w:hanging="180"/>
      </w:pPr>
    </w:lvl>
    <w:lvl w:ilvl="3" w:tplc="0409000F">
      <w:start w:val="1"/>
      <w:numFmt w:val="decimal"/>
      <w:lvlText w:val="%4."/>
      <w:lvlJc w:val="left"/>
      <w:pPr>
        <w:tabs>
          <w:tab w:val="num" w:pos="3430"/>
        </w:tabs>
        <w:ind w:left="3430" w:hanging="360"/>
      </w:pPr>
      <w:rPr>
        <w:rFonts w:hint="default"/>
      </w:rPr>
    </w:lvl>
    <w:lvl w:ilvl="4" w:tplc="04090019" w:tentative="1">
      <w:start w:val="1"/>
      <w:numFmt w:val="lowerLetter"/>
      <w:lvlText w:val="%5."/>
      <w:lvlJc w:val="left"/>
      <w:pPr>
        <w:tabs>
          <w:tab w:val="num" w:pos="4150"/>
        </w:tabs>
        <w:ind w:left="4150" w:hanging="360"/>
      </w:pPr>
    </w:lvl>
    <w:lvl w:ilvl="5" w:tplc="0409001B" w:tentative="1">
      <w:start w:val="1"/>
      <w:numFmt w:val="lowerRoman"/>
      <w:lvlText w:val="%6."/>
      <w:lvlJc w:val="right"/>
      <w:pPr>
        <w:tabs>
          <w:tab w:val="num" w:pos="4870"/>
        </w:tabs>
        <w:ind w:left="4870" w:hanging="180"/>
      </w:pPr>
    </w:lvl>
    <w:lvl w:ilvl="6" w:tplc="0409000F" w:tentative="1">
      <w:start w:val="1"/>
      <w:numFmt w:val="decimal"/>
      <w:lvlText w:val="%7."/>
      <w:lvlJc w:val="left"/>
      <w:pPr>
        <w:tabs>
          <w:tab w:val="num" w:pos="5590"/>
        </w:tabs>
        <w:ind w:left="5590" w:hanging="360"/>
      </w:pPr>
    </w:lvl>
    <w:lvl w:ilvl="7" w:tplc="04090019" w:tentative="1">
      <w:start w:val="1"/>
      <w:numFmt w:val="lowerLetter"/>
      <w:lvlText w:val="%8."/>
      <w:lvlJc w:val="left"/>
      <w:pPr>
        <w:tabs>
          <w:tab w:val="num" w:pos="6310"/>
        </w:tabs>
        <w:ind w:left="6310" w:hanging="360"/>
      </w:pPr>
    </w:lvl>
    <w:lvl w:ilvl="8" w:tplc="0409001B" w:tentative="1">
      <w:start w:val="1"/>
      <w:numFmt w:val="lowerRoman"/>
      <w:lvlText w:val="%9."/>
      <w:lvlJc w:val="right"/>
      <w:pPr>
        <w:tabs>
          <w:tab w:val="num" w:pos="7030"/>
        </w:tabs>
        <w:ind w:left="7030" w:hanging="180"/>
      </w:pPr>
    </w:lvl>
  </w:abstractNum>
  <w:abstractNum w:abstractNumId="100">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4397032"/>
    <w:multiLevelType w:val="hybridMultilevel"/>
    <w:tmpl w:val="11EA95E8"/>
    <w:lvl w:ilvl="0" w:tplc="DCF076FC">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5D11C28"/>
    <w:multiLevelType w:val="multilevel"/>
    <w:tmpl w:val="A48C41F4"/>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04">
    <w:nsid w:val="769221F0"/>
    <w:multiLevelType w:val="hybridMultilevel"/>
    <w:tmpl w:val="7D6E639C"/>
    <w:lvl w:ilvl="0" w:tplc="C108D220">
      <w:start w:val="1"/>
      <w:numFmt w:val="decimal"/>
      <w:lvlText w:val="2.%1."/>
      <w:lvlJc w:val="left"/>
      <w:pPr>
        <w:ind w:left="720" w:hanging="360"/>
      </w:pPr>
      <w:rPr>
        <w:rFonts w:hint="default"/>
        <w:lang w:val="es-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7054D63"/>
    <w:multiLevelType w:val="hybridMultilevel"/>
    <w:tmpl w:val="0002C35E"/>
    <w:lvl w:ilvl="0" w:tplc="717C3A64">
      <w:start w:val="1"/>
      <w:numFmt w:val="decimal"/>
      <w:lvlText w:val="27.%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B9F54BC"/>
    <w:multiLevelType w:val="hybridMultilevel"/>
    <w:tmpl w:val="79AA0386"/>
    <w:lvl w:ilvl="0" w:tplc="24621A76">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C2F76DB"/>
    <w:multiLevelType w:val="hybridMultilevel"/>
    <w:tmpl w:val="16CE3452"/>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CB87600"/>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DA6301D"/>
    <w:multiLevelType w:val="hybridMultilevel"/>
    <w:tmpl w:val="8DBCD8C6"/>
    <w:lvl w:ilvl="0" w:tplc="CCF0CE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E5268ED"/>
    <w:multiLevelType w:val="hybridMultilevel"/>
    <w:tmpl w:val="284C3468"/>
    <w:lvl w:ilvl="0" w:tplc="887EB1F8">
      <w:start w:val="9"/>
      <w:numFmt w:val="decimal"/>
      <w:lvlText w:val="26.%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E5A0FB5"/>
    <w:multiLevelType w:val="hybridMultilevel"/>
    <w:tmpl w:val="7094802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4">
    <w:nsid w:val="7FC21B01"/>
    <w:multiLevelType w:val="hybridMultilevel"/>
    <w:tmpl w:val="82E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3"/>
  </w:num>
  <w:num w:numId="2">
    <w:abstractNumId w:val="3"/>
  </w:num>
  <w:num w:numId="3">
    <w:abstractNumId w:val="31"/>
  </w:num>
  <w:num w:numId="4">
    <w:abstractNumId w:val="20"/>
  </w:num>
  <w:num w:numId="5">
    <w:abstractNumId w:val="88"/>
  </w:num>
  <w:num w:numId="6">
    <w:abstractNumId w:val="99"/>
  </w:num>
  <w:num w:numId="7">
    <w:abstractNumId w:val="68"/>
  </w:num>
  <w:num w:numId="8">
    <w:abstractNumId w:val="98"/>
  </w:num>
  <w:num w:numId="9">
    <w:abstractNumId w:val="46"/>
  </w:num>
  <w:num w:numId="10">
    <w:abstractNumId w:val="45"/>
  </w:num>
  <w:num w:numId="11">
    <w:abstractNumId w:val="104"/>
  </w:num>
  <w:num w:numId="12">
    <w:abstractNumId w:val="19"/>
  </w:num>
  <w:num w:numId="13">
    <w:abstractNumId w:val="50"/>
  </w:num>
  <w:num w:numId="14">
    <w:abstractNumId w:val="10"/>
  </w:num>
  <w:num w:numId="1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53"/>
  </w:num>
  <w:num w:numId="18">
    <w:abstractNumId w:val="87"/>
  </w:num>
  <w:num w:numId="19">
    <w:abstractNumId w:val="13"/>
  </w:num>
  <w:num w:numId="20">
    <w:abstractNumId w:val="109"/>
  </w:num>
  <w:num w:numId="21">
    <w:abstractNumId w:val="66"/>
  </w:num>
  <w:num w:numId="22">
    <w:abstractNumId w:val="93"/>
  </w:num>
  <w:num w:numId="23">
    <w:abstractNumId w:val="7"/>
  </w:num>
  <w:num w:numId="24">
    <w:abstractNumId w:val="36"/>
  </w:num>
  <w:num w:numId="25">
    <w:abstractNumId w:val="26"/>
  </w:num>
  <w:num w:numId="26">
    <w:abstractNumId w:val="28"/>
  </w:num>
  <w:num w:numId="27">
    <w:abstractNumId w:val="101"/>
  </w:num>
  <w:num w:numId="28">
    <w:abstractNumId w:val="24"/>
  </w:num>
  <w:num w:numId="29">
    <w:abstractNumId w:val="48"/>
  </w:num>
  <w:num w:numId="30">
    <w:abstractNumId w:val="97"/>
  </w:num>
  <w:num w:numId="31">
    <w:abstractNumId w:val="56"/>
  </w:num>
  <w:num w:numId="32">
    <w:abstractNumId w:val="55"/>
  </w:num>
  <w:num w:numId="33">
    <w:abstractNumId w:val="100"/>
  </w:num>
  <w:num w:numId="34">
    <w:abstractNumId w:val="114"/>
  </w:num>
  <w:num w:numId="35">
    <w:abstractNumId w:val="83"/>
  </w:num>
  <w:num w:numId="36">
    <w:abstractNumId w:val="23"/>
  </w:num>
  <w:num w:numId="37">
    <w:abstractNumId w:val="92"/>
  </w:num>
  <w:num w:numId="38">
    <w:abstractNumId w:val="108"/>
  </w:num>
  <w:num w:numId="39">
    <w:abstractNumId w:val="40"/>
  </w:num>
  <w:num w:numId="40">
    <w:abstractNumId w:val="59"/>
  </w:num>
  <w:num w:numId="41">
    <w:abstractNumId w:val="89"/>
  </w:num>
  <w:num w:numId="42">
    <w:abstractNumId w:val="80"/>
  </w:num>
  <w:num w:numId="43">
    <w:abstractNumId w:val="106"/>
  </w:num>
  <w:num w:numId="44">
    <w:abstractNumId w:val="65"/>
  </w:num>
  <w:num w:numId="45">
    <w:abstractNumId w:val="33"/>
  </w:num>
  <w:num w:numId="46">
    <w:abstractNumId w:val="4"/>
  </w:num>
  <w:num w:numId="47">
    <w:abstractNumId w:val="34"/>
  </w:num>
  <w:num w:numId="48">
    <w:abstractNumId w:val="91"/>
  </w:num>
  <w:num w:numId="49">
    <w:abstractNumId w:val="72"/>
  </w:num>
  <w:num w:numId="50">
    <w:abstractNumId w:val="90"/>
  </w:num>
  <w:num w:numId="51">
    <w:abstractNumId w:val="57"/>
  </w:num>
  <w:num w:numId="52">
    <w:abstractNumId w:val="12"/>
  </w:num>
  <w:num w:numId="53">
    <w:abstractNumId w:val="0"/>
  </w:num>
  <w:num w:numId="54">
    <w:abstractNumId w:val="27"/>
  </w:num>
  <w:num w:numId="55">
    <w:abstractNumId w:val="63"/>
  </w:num>
  <w:num w:numId="56">
    <w:abstractNumId w:val="15"/>
  </w:num>
  <w:num w:numId="57">
    <w:abstractNumId w:val="86"/>
  </w:num>
  <w:num w:numId="58">
    <w:abstractNumId w:val="70"/>
  </w:num>
  <w:num w:numId="59">
    <w:abstractNumId w:val="74"/>
  </w:num>
  <w:num w:numId="60">
    <w:abstractNumId w:val="96"/>
  </w:num>
  <w:num w:numId="61">
    <w:abstractNumId w:val="64"/>
  </w:num>
  <w:num w:numId="62">
    <w:abstractNumId w:val="39"/>
  </w:num>
  <w:num w:numId="63">
    <w:abstractNumId w:val="102"/>
  </w:num>
  <w:num w:numId="64">
    <w:abstractNumId w:val="43"/>
  </w:num>
  <w:num w:numId="65">
    <w:abstractNumId w:val="81"/>
  </w:num>
  <w:num w:numId="66">
    <w:abstractNumId w:val="107"/>
  </w:num>
  <w:num w:numId="67">
    <w:abstractNumId w:val="44"/>
  </w:num>
  <w:num w:numId="68">
    <w:abstractNumId w:val="18"/>
  </w:num>
  <w:num w:numId="69">
    <w:abstractNumId w:val="77"/>
  </w:num>
  <w:num w:numId="70">
    <w:abstractNumId w:val="82"/>
  </w:num>
  <w:num w:numId="71">
    <w:abstractNumId w:val="38"/>
  </w:num>
  <w:num w:numId="72">
    <w:abstractNumId w:val="79"/>
  </w:num>
  <w:num w:numId="73">
    <w:abstractNumId w:val="2"/>
  </w:num>
  <w:num w:numId="74">
    <w:abstractNumId w:val="67"/>
  </w:num>
  <w:num w:numId="75">
    <w:abstractNumId w:val="41"/>
  </w:num>
  <w:num w:numId="76">
    <w:abstractNumId w:val="62"/>
  </w:num>
  <w:num w:numId="77">
    <w:abstractNumId w:val="76"/>
  </w:num>
  <w:num w:numId="78">
    <w:abstractNumId w:val="37"/>
  </w:num>
  <w:num w:numId="79">
    <w:abstractNumId w:val="113"/>
  </w:num>
  <w:num w:numId="80">
    <w:abstractNumId w:val="6"/>
  </w:num>
  <w:num w:numId="81">
    <w:abstractNumId w:val="42"/>
  </w:num>
  <w:num w:numId="82">
    <w:abstractNumId w:val="21"/>
  </w:num>
  <w:num w:numId="83">
    <w:abstractNumId w:val="30"/>
  </w:num>
  <w:num w:numId="84">
    <w:abstractNumId w:val="49"/>
  </w:num>
  <w:num w:numId="85">
    <w:abstractNumId w:val="16"/>
  </w:num>
  <w:num w:numId="86">
    <w:abstractNumId w:val="25"/>
  </w:num>
  <w:num w:numId="87">
    <w:abstractNumId w:val="75"/>
  </w:num>
  <w:num w:numId="88">
    <w:abstractNumId w:val="17"/>
  </w:num>
  <w:num w:numId="89">
    <w:abstractNumId w:val="51"/>
  </w:num>
  <w:num w:numId="90">
    <w:abstractNumId w:val="1"/>
  </w:num>
  <w:num w:numId="91">
    <w:abstractNumId w:val="94"/>
  </w:num>
  <w:num w:numId="92">
    <w:abstractNumId w:val="61"/>
  </w:num>
  <w:num w:numId="93">
    <w:abstractNumId w:val="112"/>
  </w:num>
  <w:num w:numId="94">
    <w:abstractNumId w:val="105"/>
  </w:num>
  <w:num w:numId="95">
    <w:abstractNumId w:val="32"/>
  </w:num>
  <w:num w:numId="96">
    <w:abstractNumId w:val="5"/>
  </w:num>
  <w:num w:numId="97">
    <w:abstractNumId w:val="103"/>
  </w:num>
  <w:num w:numId="98">
    <w:abstractNumId w:val="103"/>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3"/>
    <w:lvlOverride w:ilvl="0">
      <w:startOverride w:val="2"/>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4"/>
  </w:num>
  <w:num w:numId="101">
    <w:abstractNumId w:val="47"/>
  </w:num>
  <w:num w:numId="102">
    <w:abstractNumId w:val="78"/>
  </w:num>
  <w:num w:numId="103">
    <w:abstractNumId w:val="35"/>
  </w:num>
  <w:num w:numId="104">
    <w:abstractNumId w:val="29"/>
  </w:num>
  <w:num w:numId="105">
    <w:abstractNumId w:val="58"/>
  </w:num>
  <w:num w:numId="106">
    <w:abstractNumId w:val="52"/>
  </w:num>
  <w:num w:numId="107">
    <w:abstractNumId w:val="14"/>
  </w:num>
  <w:num w:numId="108">
    <w:abstractNumId w:val="111"/>
  </w:num>
  <w:num w:numId="109">
    <w:abstractNumId w:val="95"/>
  </w:num>
  <w:num w:numId="110">
    <w:abstractNumId w:val="69"/>
  </w:num>
  <w:num w:numId="111">
    <w:abstractNumId w:val="60"/>
  </w:num>
  <w:num w:numId="112">
    <w:abstractNumId w:val="22"/>
  </w:num>
  <w:num w:numId="113">
    <w:abstractNumId w:val="8"/>
  </w:num>
  <w:num w:numId="114">
    <w:abstractNumId w:val="84"/>
  </w:num>
  <w:num w:numId="115">
    <w:abstractNumId w:val="11"/>
  </w:num>
  <w:num w:numId="116">
    <w:abstractNumId w:val="71"/>
  </w:num>
  <w:num w:numId="117">
    <w:abstractNumId w:val="11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Budget and Finance\Publications|Budget and Finance\Meetings"/>
    <w:docVar w:name="TextBaseURL" w:val="empty"/>
    <w:docVar w:name="UILng" w:val="en"/>
  </w:docVars>
  <w:rsids>
    <w:rsidRoot w:val="00C9105A"/>
    <w:rsid w:val="00004E1F"/>
    <w:rsid w:val="00010686"/>
    <w:rsid w:val="00011632"/>
    <w:rsid w:val="00011744"/>
    <w:rsid w:val="00015BAA"/>
    <w:rsid w:val="00040286"/>
    <w:rsid w:val="00044F15"/>
    <w:rsid w:val="0005163D"/>
    <w:rsid w:val="00052915"/>
    <w:rsid w:val="00053635"/>
    <w:rsid w:val="0005441D"/>
    <w:rsid w:val="0005618E"/>
    <w:rsid w:val="000616FB"/>
    <w:rsid w:val="00084BC1"/>
    <w:rsid w:val="00087DDA"/>
    <w:rsid w:val="000916EB"/>
    <w:rsid w:val="0009498A"/>
    <w:rsid w:val="000A3534"/>
    <w:rsid w:val="000A37AD"/>
    <w:rsid w:val="000B2192"/>
    <w:rsid w:val="000B32E2"/>
    <w:rsid w:val="000C2507"/>
    <w:rsid w:val="000E3BB3"/>
    <w:rsid w:val="000F21FC"/>
    <w:rsid w:val="000F5E56"/>
    <w:rsid w:val="00104F93"/>
    <w:rsid w:val="00106D35"/>
    <w:rsid w:val="0012207E"/>
    <w:rsid w:val="001362EE"/>
    <w:rsid w:val="00142313"/>
    <w:rsid w:val="00145F85"/>
    <w:rsid w:val="00152CEA"/>
    <w:rsid w:val="001557E1"/>
    <w:rsid w:val="0015655A"/>
    <w:rsid w:val="00157F84"/>
    <w:rsid w:val="00160F6F"/>
    <w:rsid w:val="00163E34"/>
    <w:rsid w:val="00166E5A"/>
    <w:rsid w:val="00172EF1"/>
    <w:rsid w:val="00173D9F"/>
    <w:rsid w:val="00177F26"/>
    <w:rsid w:val="001832A6"/>
    <w:rsid w:val="0019082E"/>
    <w:rsid w:val="00194EE9"/>
    <w:rsid w:val="001A028B"/>
    <w:rsid w:val="001A0CDD"/>
    <w:rsid w:val="001A4898"/>
    <w:rsid w:val="001A4F69"/>
    <w:rsid w:val="001B1F46"/>
    <w:rsid w:val="001C64E1"/>
    <w:rsid w:val="002064EA"/>
    <w:rsid w:val="00223BD9"/>
    <w:rsid w:val="002332F1"/>
    <w:rsid w:val="002632B4"/>
    <w:rsid w:val="002634C4"/>
    <w:rsid w:val="00290C00"/>
    <w:rsid w:val="002941EA"/>
    <w:rsid w:val="002A05A1"/>
    <w:rsid w:val="002A0BDF"/>
    <w:rsid w:val="002A4C15"/>
    <w:rsid w:val="002B55A2"/>
    <w:rsid w:val="002C0072"/>
    <w:rsid w:val="002C519F"/>
    <w:rsid w:val="002C550C"/>
    <w:rsid w:val="002E0F47"/>
    <w:rsid w:val="002F4E68"/>
    <w:rsid w:val="003042B5"/>
    <w:rsid w:val="0031060D"/>
    <w:rsid w:val="00321EB6"/>
    <w:rsid w:val="003276F6"/>
    <w:rsid w:val="00334A85"/>
    <w:rsid w:val="00342A0F"/>
    <w:rsid w:val="003454DE"/>
    <w:rsid w:val="00345563"/>
    <w:rsid w:val="003512F5"/>
    <w:rsid w:val="00353744"/>
    <w:rsid w:val="00354647"/>
    <w:rsid w:val="00377273"/>
    <w:rsid w:val="00380375"/>
    <w:rsid w:val="003814EE"/>
    <w:rsid w:val="003845C1"/>
    <w:rsid w:val="00387287"/>
    <w:rsid w:val="00387A70"/>
    <w:rsid w:val="0039270A"/>
    <w:rsid w:val="00397161"/>
    <w:rsid w:val="003C2005"/>
    <w:rsid w:val="003C4158"/>
    <w:rsid w:val="003D3C62"/>
    <w:rsid w:val="003D3ED5"/>
    <w:rsid w:val="003D4D07"/>
    <w:rsid w:val="003E48F1"/>
    <w:rsid w:val="003F08BC"/>
    <w:rsid w:val="003F157A"/>
    <w:rsid w:val="003F347A"/>
    <w:rsid w:val="003F7D40"/>
    <w:rsid w:val="0040159A"/>
    <w:rsid w:val="004129D6"/>
    <w:rsid w:val="00415A81"/>
    <w:rsid w:val="00416BA4"/>
    <w:rsid w:val="00420172"/>
    <w:rsid w:val="00423E3E"/>
    <w:rsid w:val="00425743"/>
    <w:rsid w:val="00425C2C"/>
    <w:rsid w:val="00427AF4"/>
    <w:rsid w:val="00443595"/>
    <w:rsid w:val="0045231F"/>
    <w:rsid w:val="004647DA"/>
    <w:rsid w:val="00466D38"/>
    <w:rsid w:val="00477808"/>
    <w:rsid w:val="00477D6B"/>
    <w:rsid w:val="00480C52"/>
    <w:rsid w:val="00485CF4"/>
    <w:rsid w:val="00487484"/>
    <w:rsid w:val="00491B18"/>
    <w:rsid w:val="00492B4A"/>
    <w:rsid w:val="004A0B71"/>
    <w:rsid w:val="004A6C37"/>
    <w:rsid w:val="004B0FA4"/>
    <w:rsid w:val="004B4857"/>
    <w:rsid w:val="004C5880"/>
    <w:rsid w:val="004C5BCD"/>
    <w:rsid w:val="004D00F9"/>
    <w:rsid w:val="004D358A"/>
    <w:rsid w:val="004E297D"/>
    <w:rsid w:val="004E5C92"/>
    <w:rsid w:val="004F0379"/>
    <w:rsid w:val="004F0454"/>
    <w:rsid w:val="004F37E5"/>
    <w:rsid w:val="004F5393"/>
    <w:rsid w:val="004F7C21"/>
    <w:rsid w:val="00514AED"/>
    <w:rsid w:val="00515BF6"/>
    <w:rsid w:val="00522335"/>
    <w:rsid w:val="0052400D"/>
    <w:rsid w:val="0052554C"/>
    <w:rsid w:val="00526311"/>
    <w:rsid w:val="005332F0"/>
    <w:rsid w:val="00534121"/>
    <w:rsid w:val="00542D75"/>
    <w:rsid w:val="00547FB1"/>
    <w:rsid w:val="0055013B"/>
    <w:rsid w:val="005502F5"/>
    <w:rsid w:val="00554DC6"/>
    <w:rsid w:val="00571B99"/>
    <w:rsid w:val="00572814"/>
    <w:rsid w:val="005763A1"/>
    <w:rsid w:val="00581419"/>
    <w:rsid w:val="005837F3"/>
    <w:rsid w:val="0058481A"/>
    <w:rsid w:val="005C46C4"/>
    <w:rsid w:val="005D293E"/>
    <w:rsid w:val="005E67A3"/>
    <w:rsid w:val="005F0DF3"/>
    <w:rsid w:val="006054D4"/>
    <w:rsid w:val="00605827"/>
    <w:rsid w:val="006147F4"/>
    <w:rsid w:val="0062029A"/>
    <w:rsid w:val="00621E7F"/>
    <w:rsid w:val="00623CF8"/>
    <w:rsid w:val="0063039A"/>
    <w:rsid w:val="00652653"/>
    <w:rsid w:val="0066395C"/>
    <w:rsid w:val="006672FB"/>
    <w:rsid w:val="00675021"/>
    <w:rsid w:val="006764B5"/>
    <w:rsid w:val="00681E0B"/>
    <w:rsid w:val="006A06C6"/>
    <w:rsid w:val="006B0BFE"/>
    <w:rsid w:val="006C3168"/>
    <w:rsid w:val="006D3F16"/>
    <w:rsid w:val="006E07F1"/>
    <w:rsid w:val="006F545B"/>
    <w:rsid w:val="00712BD0"/>
    <w:rsid w:val="007224C8"/>
    <w:rsid w:val="00730171"/>
    <w:rsid w:val="00742F92"/>
    <w:rsid w:val="00743840"/>
    <w:rsid w:val="007624F4"/>
    <w:rsid w:val="007722BB"/>
    <w:rsid w:val="007811DF"/>
    <w:rsid w:val="00782027"/>
    <w:rsid w:val="00785374"/>
    <w:rsid w:val="00787D5F"/>
    <w:rsid w:val="00794BE2"/>
    <w:rsid w:val="00794E04"/>
    <w:rsid w:val="00797FA7"/>
    <w:rsid w:val="007A11D8"/>
    <w:rsid w:val="007A3200"/>
    <w:rsid w:val="007B2775"/>
    <w:rsid w:val="007B705E"/>
    <w:rsid w:val="007B71FE"/>
    <w:rsid w:val="007D396F"/>
    <w:rsid w:val="007D4926"/>
    <w:rsid w:val="007D781E"/>
    <w:rsid w:val="007E2E3C"/>
    <w:rsid w:val="007E663E"/>
    <w:rsid w:val="007F1D9D"/>
    <w:rsid w:val="007F428B"/>
    <w:rsid w:val="0080113E"/>
    <w:rsid w:val="00815082"/>
    <w:rsid w:val="008168B5"/>
    <w:rsid w:val="00816F0F"/>
    <w:rsid w:val="00820455"/>
    <w:rsid w:val="00841DB0"/>
    <w:rsid w:val="00845622"/>
    <w:rsid w:val="00853E22"/>
    <w:rsid w:val="00861A11"/>
    <w:rsid w:val="008729FC"/>
    <w:rsid w:val="008761B9"/>
    <w:rsid w:val="0088395E"/>
    <w:rsid w:val="00883C84"/>
    <w:rsid w:val="008879C5"/>
    <w:rsid w:val="008902F3"/>
    <w:rsid w:val="0089486F"/>
    <w:rsid w:val="00894FAD"/>
    <w:rsid w:val="008A516A"/>
    <w:rsid w:val="008B2537"/>
    <w:rsid w:val="008B2CC1"/>
    <w:rsid w:val="008B5E87"/>
    <w:rsid w:val="008C05DD"/>
    <w:rsid w:val="008C1C44"/>
    <w:rsid w:val="008C4F7E"/>
    <w:rsid w:val="008C7A75"/>
    <w:rsid w:val="008D349D"/>
    <w:rsid w:val="008E4DE1"/>
    <w:rsid w:val="008E6BD6"/>
    <w:rsid w:val="008F5325"/>
    <w:rsid w:val="0090731E"/>
    <w:rsid w:val="00912A5E"/>
    <w:rsid w:val="009140D7"/>
    <w:rsid w:val="009301C3"/>
    <w:rsid w:val="00930400"/>
    <w:rsid w:val="009379F4"/>
    <w:rsid w:val="00940D07"/>
    <w:rsid w:val="009534ED"/>
    <w:rsid w:val="0096688B"/>
    <w:rsid w:val="00966A22"/>
    <w:rsid w:val="00970131"/>
    <w:rsid w:val="00970543"/>
    <w:rsid w:val="009724D3"/>
    <w:rsid w:val="00972F03"/>
    <w:rsid w:val="00976B19"/>
    <w:rsid w:val="009A0C8B"/>
    <w:rsid w:val="009A436F"/>
    <w:rsid w:val="009A5995"/>
    <w:rsid w:val="009B5FF9"/>
    <w:rsid w:val="009B6241"/>
    <w:rsid w:val="009C17AE"/>
    <w:rsid w:val="009D3BE5"/>
    <w:rsid w:val="009E050C"/>
    <w:rsid w:val="009E2737"/>
    <w:rsid w:val="009F2002"/>
    <w:rsid w:val="00A06E08"/>
    <w:rsid w:val="00A1461F"/>
    <w:rsid w:val="00A16FC0"/>
    <w:rsid w:val="00A26650"/>
    <w:rsid w:val="00A31611"/>
    <w:rsid w:val="00A32BA7"/>
    <w:rsid w:val="00A32C9E"/>
    <w:rsid w:val="00A37F74"/>
    <w:rsid w:val="00A54CE8"/>
    <w:rsid w:val="00A55668"/>
    <w:rsid w:val="00A56479"/>
    <w:rsid w:val="00A72DCF"/>
    <w:rsid w:val="00A84C7B"/>
    <w:rsid w:val="00AA0C32"/>
    <w:rsid w:val="00AA43B6"/>
    <w:rsid w:val="00AB37E3"/>
    <w:rsid w:val="00AB613D"/>
    <w:rsid w:val="00AC67B6"/>
    <w:rsid w:val="00AE0F76"/>
    <w:rsid w:val="00AE235A"/>
    <w:rsid w:val="00AE7F20"/>
    <w:rsid w:val="00AF7CAD"/>
    <w:rsid w:val="00B23396"/>
    <w:rsid w:val="00B3058C"/>
    <w:rsid w:val="00B34035"/>
    <w:rsid w:val="00B353A9"/>
    <w:rsid w:val="00B365D5"/>
    <w:rsid w:val="00B45FC3"/>
    <w:rsid w:val="00B54004"/>
    <w:rsid w:val="00B56D3B"/>
    <w:rsid w:val="00B65A0A"/>
    <w:rsid w:val="00B67CDC"/>
    <w:rsid w:val="00B72D36"/>
    <w:rsid w:val="00B87061"/>
    <w:rsid w:val="00BA1DF7"/>
    <w:rsid w:val="00BA23FA"/>
    <w:rsid w:val="00BA3347"/>
    <w:rsid w:val="00BA448B"/>
    <w:rsid w:val="00BC4164"/>
    <w:rsid w:val="00BC43CB"/>
    <w:rsid w:val="00BD04FC"/>
    <w:rsid w:val="00BD2DCC"/>
    <w:rsid w:val="00BD7510"/>
    <w:rsid w:val="00BE0BD5"/>
    <w:rsid w:val="00BE1A45"/>
    <w:rsid w:val="00BE5A96"/>
    <w:rsid w:val="00BF19B9"/>
    <w:rsid w:val="00BF460F"/>
    <w:rsid w:val="00C12F15"/>
    <w:rsid w:val="00C34F3C"/>
    <w:rsid w:val="00C459C4"/>
    <w:rsid w:val="00C523D2"/>
    <w:rsid w:val="00C56C0F"/>
    <w:rsid w:val="00C63E3D"/>
    <w:rsid w:val="00C72703"/>
    <w:rsid w:val="00C818AC"/>
    <w:rsid w:val="00C823C1"/>
    <w:rsid w:val="00C90559"/>
    <w:rsid w:val="00C9105A"/>
    <w:rsid w:val="00C91295"/>
    <w:rsid w:val="00C938C8"/>
    <w:rsid w:val="00CA2251"/>
    <w:rsid w:val="00CA3D12"/>
    <w:rsid w:val="00CA51AE"/>
    <w:rsid w:val="00CB4436"/>
    <w:rsid w:val="00CC3305"/>
    <w:rsid w:val="00CD437C"/>
    <w:rsid w:val="00CD61AA"/>
    <w:rsid w:val="00CE0A16"/>
    <w:rsid w:val="00CE1D07"/>
    <w:rsid w:val="00CE63AA"/>
    <w:rsid w:val="00CE7F12"/>
    <w:rsid w:val="00D01620"/>
    <w:rsid w:val="00D03E8E"/>
    <w:rsid w:val="00D1197C"/>
    <w:rsid w:val="00D47325"/>
    <w:rsid w:val="00D56C7C"/>
    <w:rsid w:val="00D61CFB"/>
    <w:rsid w:val="00D65430"/>
    <w:rsid w:val="00D66387"/>
    <w:rsid w:val="00D71B4D"/>
    <w:rsid w:val="00D73DDD"/>
    <w:rsid w:val="00D7483A"/>
    <w:rsid w:val="00D77025"/>
    <w:rsid w:val="00D77AF3"/>
    <w:rsid w:val="00D90289"/>
    <w:rsid w:val="00D90832"/>
    <w:rsid w:val="00D9212D"/>
    <w:rsid w:val="00D93D55"/>
    <w:rsid w:val="00D94D73"/>
    <w:rsid w:val="00DB52A7"/>
    <w:rsid w:val="00DC4C60"/>
    <w:rsid w:val="00DD13E3"/>
    <w:rsid w:val="00DD542D"/>
    <w:rsid w:val="00DD7B62"/>
    <w:rsid w:val="00DE1CA6"/>
    <w:rsid w:val="00DF7826"/>
    <w:rsid w:val="00E0079A"/>
    <w:rsid w:val="00E13393"/>
    <w:rsid w:val="00E143F5"/>
    <w:rsid w:val="00E22129"/>
    <w:rsid w:val="00E24BD2"/>
    <w:rsid w:val="00E444DA"/>
    <w:rsid w:val="00E45C84"/>
    <w:rsid w:val="00E47B20"/>
    <w:rsid w:val="00E504E5"/>
    <w:rsid w:val="00E50524"/>
    <w:rsid w:val="00E5391B"/>
    <w:rsid w:val="00E63F99"/>
    <w:rsid w:val="00E76747"/>
    <w:rsid w:val="00E827F2"/>
    <w:rsid w:val="00E85F30"/>
    <w:rsid w:val="00EB0A80"/>
    <w:rsid w:val="00EB714D"/>
    <w:rsid w:val="00EB7A3E"/>
    <w:rsid w:val="00EC2E15"/>
    <w:rsid w:val="00EC401A"/>
    <w:rsid w:val="00EC5630"/>
    <w:rsid w:val="00ED1C79"/>
    <w:rsid w:val="00ED2E11"/>
    <w:rsid w:val="00EE14A2"/>
    <w:rsid w:val="00EE6BCA"/>
    <w:rsid w:val="00EF039A"/>
    <w:rsid w:val="00EF530A"/>
    <w:rsid w:val="00EF6622"/>
    <w:rsid w:val="00F1387F"/>
    <w:rsid w:val="00F1485F"/>
    <w:rsid w:val="00F247DC"/>
    <w:rsid w:val="00F24AC7"/>
    <w:rsid w:val="00F2789A"/>
    <w:rsid w:val="00F4227B"/>
    <w:rsid w:val="00F42E75"/>
    <w:rsid w:val="00F435AD"/>
    <w:rsid w:val="00F44646"/>
    <w:rsid w:val="00F52B24"/>
    <w:rsid w:val="00F55408"/>
    <w:rsid w:val="00F66152"/>
    <w:rsid w:val="00F7421C"/>
    <w:rsid w:val="00F777B4"/>
    <w:rsid w:val="00F80845"/>
    <w:rsid w:val="00F84474"/>
    <w:rsid w:val="00F9237A"/>
    <w:rsid w:val="00F92E1D"/>
    <w:rsid w:val="00F93F84"/>
    <w:rsid w:val="00FA0F0D"/>
    <w:rsid w:val="00FA6CED"/>
    <w:rsid w:val="00FB2F60"/>
    <w:rsid w:val="00FB6D48"/>
    <w:rsid w:val="00FC4432"/>
    <w:rsid w:val="00FC5682"/>
    <w:rsid w:val="00FD59D1"/>
    <w:rsid w:val="00FF4835"/>
    <w:rsid w:val="00FF5FE7"/>
    <w:rsid w:val="00FF6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08BC"/>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rsid w:val="00A32C9E"/>
    <w:rPr>
      <w:sz w:val="18"/>
    </w:rPr>
  </w:style>
  <w:style w:type="paragraph" w:styleId="EndnoteText">
    <w:name w:val="endnote text"/>
    <w:basedOn w:val="Normal"/>
    <w:link w:val="EndnoteTextChar"/>
    <w:rsid w:val="00A32C9E"/>
    <w:rPr>
      <w:sz w:val="18"/>
    </w:rPr>
  </w:style>
  <w:style w:type="paragraph" w:styleId="Footer">
    <w:name w:val="footer"/>
    <w:basedOn w:val="Normal"/>
    <w:link w:val="FooterChar"/>
    <w:rsid w:val="00A32C9E"/>
    <w:pPr>
      <w:tabs>
        <w:tab w:val="center" w:pos="4320"/>
        <w:tab w:val="right" w:pos="8640"/>
      </w:tabs>
    </w:pPr>
  </w:style>
  <w:style w:type="paragraph" w:styleId="FootnoteText">
    <w:name w:val="footnote text"/>
    <w:basedOn w:val="Normal"/>
    <w:link w:val="FootnoteTextChar"/>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rsid w:val="00A32C9E"/>
    <w:pPr>
      <w:numPr>
        <w:numId w:val="1"/>
      </w:numPr>
    </w:pPr>
  </w:style>
  <w:style w:type="paragraph" w:customStyle="1" w:styleId="ONUME">
    <w:name w:val="ONUM E"/>
    <w:basedOn w:val="BodyText"/>
    <w:link w:val="ONUMEChar"/>
    <w:rsid w:val="00A32C9E"/>
    <w:pPr>
      <w:numPr>
        <w:numId w:val="2"/>
      </w:numPr>
    </w:pPr>
  </w:style>
  <w:style w:type="paragraph" w:customStyle="1" w:styleId="ONUMFS">
    <w:name w:val="ONUM FS"/>
    <w:basedOn w:val="BodyText"/>
    <w:rsid w:val="00A32C9E"/>
    <w:pPr>
      <w:numPr>
        <w:numId w:val="3"/>
      </w:numPr>
    </w:pPr>
  </w:style>
  <w:style w:type="paragraph" w:styleId="Salutation">
    <w:name w:val="Salutation"/>
    <w:basedOn w:val="Normal"/>
    <w:next w:val="Normal"/>
    <w:link w:val="SalutationChar"/>
    <w:rsid w:val="00A32C9E"/>
  </w:style>
  <w:style w:type="paragraph" w:styleId="Signature">
    <w:name w:val="Signature"/>
    <w:basedOn w:val="Normal"/>
    <w:link w:val="SignatureChar"/>
    <w:rsid w:val="00A32C9E"/>
    <w:pPr>
      <w:ind w:left="5250"/>
    </w:pPr>
  </w:style>
  <w:style w:type="paragraph" w:styleId="BalloonText">
    <w:name w:val="Balloon Text"/>
    <w:basedOn w:val="Normal"/>
    <w:link w:val="BalloonTextChar"/>
    <w:rsid w:val="00743840"/>
    <w:rPr>
      <w:rFonts w:ascii="Tahoma" w:hAnsi="Tahoma" w:cs="Tahoma"/>
      <w:sz w:val="16"/>
      <w:szCs w:val="16"/>
    </w:rPr>
  </w:style>
  <w:style w:type="character" w:customStyle="1" w:styleId="BalloonTextChar">
    <w:name w:val="Balloon Text Char"/>
    <w:basedOn w:val="DefaultParagraphFont"/>
    <w:link w:val="BalloonText"/>
    <w:rsid w:val="00743840"/>
    <w:rPr>
      <w:rFonts w:ascii="Tahoma" w:eastAsia="SimSun" w:hAnsi="Tahoma" w:cs="Tahoma"/>
      <w:sz w:val="16"/>
      <w:szCs w:val="16"/>
      <w:lang w:val="es-ES" w:eastAsia="zh-CN"/>
    </w:rPr>
  </w:style>
  <w:style w:type="paragraph" w:customStyle="1" w:styleId="DecisionInvitingPara">
    <w:name w:val="Decision Inviting Para."/>
    <w:basedOn w:val="Normal"/>
    <w:link w:val="DecisionInvitingParaChar"/>
    <w:rsid w:val="00816F0F"/>
    <w:pPr>
      <w:spacing w:after="120" w:line="260" w:lineRule="exact"/>
      <w:ind w:left="5534"/>
    </w:pPr>
    <w:rPr>
      <w:rFonts w:eastAsia="Times New Roman" w:cs="Times New Roman"/>
      <w:i/>
      <w:sz w:val="20"/>
      <w:lang w:val="en-US" w:eastAsia="en-US"/>
    </w:rPr>
  </w:style>
  <w:style w:type="paragraph" w:styleId="ListParagraph">
    <w:name w:val="List Paragraph"/>
    <w:basedOn w:val="Normal"/>
    <w:uiPriority w:val="34"/>
    <w:qFormat/>
    <w:rsid w:val="00816F0F"/>
    <w:pPr>
      <w:ind w:left="720"/>
    </w:pPr>
    <w:rPr>
      <w:rFonts w:eastAsia="Times New Roman" w:cs="Times New Roman"/>
      <w:sz w:val="20"/>
      <w:lang w:val="en-US" w:eastAsia="en-US"/>
    </w:rPr>
  </w:style>
  <w:style w:type="character" w:customStyle="1" w:styleId="DecisionInvitingParaChar">
    <w:name w:val="Decision Inviting Para. Char"/>
    <w:link w:val="DecisionInvitingPara"/>
    <w:locked/>
    <w:rsid w:val="00816F0F"/>
    <w:rPr>
      <w:rFonts w:ascii="Arial" w:hAnsi="Arial"/>
      <w:i/>
    </w:rPr>
  </w:style>
  <w:style w:type="character" w:customStyle="1" w:styleId="HeaderChar">
    <w:name w:val="Header Char"/>
    <w:basedOn w:val="DefaultParagraphFont"/>
    <w:link w:val="Header"/>
    <w:rsid w:val="00A37F74"/>
    <w:rPr>
      <w:rFonts w:ascii="Arial" w:eastAsia="SimSun" w:hAnsi="Arial" w:cs="Arial"/>
      <w:sz w:val="22"/>
      <w:lang w:val="es-ES" w:eastAsia="zh-CN"/>
    </w:rPr>
  </w:style>
  <w:style w:type="character" w:customStyle="1" w:styleId="BodyTextChar">
    <w:name w:val="Body Text Char"/>
    <w:link w:val="BodyText"/>
    <w:rsid w:val="00F777B4"/>
    <w:rPr>
      <w:rFonts w:ascii="Arial" w:eastAsia="SimSun" w:hAnsi="Arial" w:cs="Arial"/>
      <w:sz w:val="22"/>
      <w:lang w:val="es-ES" w:eastAsia="zh-CN"/>
    </w:rPr>
  </w:style>
  <w:style w:type="character" w:styleId="FootnoteReference">
    <w:name w:val="footnote reference"/>
    <w:aliases w:val="Footnote"/>
    <w:rsid w:val="00F777B4"/>
    <w:rPr>
      <w:vertAlign w:val="superscript"/>
    </w:rPr>
  </w:style>
  <w:style w:type="character" w:customStyle="1" w:styleId="FootnoteTextChar">
    <w:name w:val="Footnote Text Char"/>
    <w:link w:val="FootnoteText"/>
    <w:locked/>
    <w:rsid w:val="00F777B4"/>
    <w:rPr>
      <w:rFonts w:ascii="Arial" w:eastAsia="SimSun" w:hAnsi="Arial" w:cs="Arial"/>
      <w:sz w:val="18"/>
      <w:lang w:val="es-ES" w:eastAsia="zh-CN"/>
    </w:rPr>
  </w:style>
  <w:style w:type="paragraph" w:customStyle="1" w:styleId="Test">
    <w:name w:val="Test"/>
    <w:basedOn w:val="Normal"/>
    <w:qFormat/>
    <w:rsid w:val="00F777B4"/>
    <w:pPr>
      <w:numPr>
        <w:numId w:val="8"/>
      </w:numPr>
    </w:pPr>
    <w:rPr>
      <w:rFonts w:eastAsiaTheme="minorHAnsi"/>
      <w:szCs w:val="22"/>
      <w:lang w:val="en-US" w:eastAsia="en-US"/>
    </w:rPr>
  </w:style>
  <w:style w:type="paragraph" w:customStyle="1" w:styleId="StyleHeading214ptAuto">
    <w:name w:val="Style Heading 2 + 14 pt Auto"/>
    <w:basedOn w:val="Heading2"/>
    <w:rsid w:val="00F777B4"/>
    <w:pPr>
      <w:keepNext w:val="0"/>
      <w:widowControl w:val="0"/>
      <w:tabs>
        <w:tab w:val="num" w:pos="567"/>
      </w:tabs>
      <w:spacing w:before="0" w:after="0" w:line="300" w:lineRule="atLeast"/>
      <w:ind w:left="567" w:hanging="567"/>
      <w:jc w:val="center"/>
    </w:pPr>
    <w:rPr>
      <w:rFonts w:ascii="Arial Bold" w:eastAsia="Times New Roman" w:hAnsi="Arial Bold" w:cs="Times New Roman"/>
      <w:b/>
      <w:sz w:val="24"/>
      <w:lang w:val="en-GB" w:eastAsia="da-DK"/>
    </w:rPr>
  </w:style>
  <w:style w:type="paragraph" w:styleId="NormalWeb">
    <w:name w:val="Normal (Web)"/>
    <w:basedOn w:val="Normal"/>
    <w:uiPriority w:val="99"/>
    <w:rsid w:val="00F777B4"/>
    <w:pPr>
      <w:spacing w:before="100" w:beforeAutospacing="1" w:after="100" w:afterAutospacing="1"/>
    </w:pPr>
    <w:rPr>
      <w:rFonts w:eastAsia="Times New Roman"/>
      <w:sz w:val="18"/>
      <w:szCs w:val="18"/>
      <w:lang w:val="en-US" w:eastAsia="en-US"/>
    </w:rPr>
  </w:style>
  <w:style w:type="character" w:customStyle="1" w:styleId="Heading2Char">
    <w:name w:val="Heading 2 Char"/>
    <w:basedOn w:val="DefaultParagraphFont"/>
    <w:link w:val="Heading2"/>
    <w:rsid w:val="00F777B4"/>
    <w:rPr>
      <w:rFonts w:ascii="Arial" w:eastAsia="SimSun" w:hAnsi="Arial" w:cs="Arial"/>
      <w:bCs/>
      <w:iCs/>
      <w:caps/>
      <w:sz w:val="22"/>
      <w:szCs w:val="28"/>
      <w:lang w:val="es-ES" w:eastAsia="zh-CN"/>
    </w:rPr>
  </w:style>
  <w:style w:type="table" w:styleId="TableGrid">
    <w:name w:val="Table Grid"/>
    <w:basedOn w:val="TableNormal"/>
    <w:rsid w:val="00F77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F777B4"/>
    <w:pPr>
      <w:spacing w:after="160" w:line="240" w:lineRule="exact"/>
    </w:pPr>
    <w:rPr>
      <w:rFonts w:ascii="Verdana" w:eastAsia="Times New Roman" w:hAnsi="Verdana" w:cs="Times New Roman"/>
      <w:sz w:val="20"/>
      <w:lang w:val="en-GB" w:eastAsia="en-US"/>
    </w:rPr>
  </w:style>
  <w:style w:type="paragraph" w:styleId="BodyTextIndent">
    <w:name w:val="Body Text Indent"/>
    <w:basedOn w:val="Normal"/>
    <w:link w:val="BodyTextIndentChar"/>
    <w:rsid w:val="00F777B4"/>
    <w:pPr>
      <w:ind w:left="567"/>
    </w:pPr>
    <w:rPr>
      <w:rFonts w:eastAsia="Times New Roman" w:cs="Times New Roman"/>
      <w:sz w:val="20"/>
      <w:lang w:val="en-US" w:eastAsia="en-US"/>
    </w:rPr>
  </w:style>
  <w:style w:type="character" w:customStyle="1" w:styleId="BodyTextIndentChar">
    <w:name w:val="Body Text Indent Char"/>
    <w:basedOn w:val="DefaultParagraphFont"/>
    <w:link w:val="BodyTextIndent"/>
    <w:rsid w:val="00F777B4"/>
    <w:rPr>
      <w:rFonts w:ascii="Arial" w:hAnsi="Arial"/>
    </w:rPr>
  </w:style>
  <w:style w:type="character" w:styleId="PageNumber">
    <w:name w:val="page number"/>
    <w:basedOn w:val="DefaultParagraphFont"/>
    <w:rsid w:val="00F777B4"/>
  </w:style>
  <w:style w:type="character" w:customStyle="1" w:styleId="CharChar">
    <w:name w:val="Char Char"/>
    <w:locked/>
    <w:rsid w:val="00F777B4"/>
    <w:rPr>
      <w:rFonts w:ascii="Arial" w:hAnsi="Arial" w:cs="Times New Roman"/>
      <w:lang w:val="en-US" w:eastAsia="en-US" w:bidi="ar-SA"/>
    </w:rPr>
  </w:style>
  <w:style w:type="character" w:styleId="Hyperlink">
    <w:name w:val="Hyperlink"/>
    <w:uiPriority w:val="99"/>
    <w:rsid w:val="00F777B4"/>
    <w:rPr>
      <w:color w:val="000099"/>
      <w:u w:val="single"/>
    </w:rPr>
  </w:style>
  <w:style w:type="paragraph" w:customStyle="1" w:styleId="CarCar">
    <w:name w:val="Car Car"/>
    <w:basedOn w:val="Normal"/>
    <w:rsid w:val="00F777B4"/>
    <w:pPr>
      <w:spacing w:after="160" w:line="240" w:lineRule="exact"/>
    </w:pPr>
    <w:rPr>
      <w:rFonts w:ascii="Verdana" w:eastAsia="Times New Roman" w:hAnsi="Verdana" w:cs="Times New Roman"/>
      <w:sz w:val="20"/>
      <w:lang w:val="en-GB" w:eastAsia="en-US"/>
    </w:rPr>
  </w:style>
  <w:style w:type="character" w:styleId="CommentReference">
    <w:name w:val="annotation reference"/>
    <w:rsid w:val="00F777B4"/>
    <w:rPr>
      <w:sz w:val="16"/>
      <w:szCs w:val="16"/>
    </w:rPr>
  </w:style>
  <w:style w:type="paragraph" w:styleId="CommentSubject">
    <w:name w:val="annotation subject"/>
    <w:basedOn w:val="CommentText"/>
    <w:next w:val="CommentText"/>
    <w:link w:val="CommentSubjectChar"/>
    <w:rsid w:val="00F777B4"/>
    <w:rPr>
      <w:rFonts w:eastAsia="Times New Roman" w:cs="Times New Roman"/>
      <w:b/>
      <w:bCs/>
      <w:sz w:val="20"/>
      <w:lang w:val="en-US" w:eastAsia="en-US"/>
    </w:rPr>
  </w:style>
  <w:style w:type="character" w:customStyle="1" w:styleId="CommentTextChar">
    <w:name w:val="Comment Text Char"/>
    <w:basedOn w:val="DefaultParagraphFont"/>
    <w:link w:val="CommentText"/>
    <w:rsid w:val="00F777B4"/>
    <w:rPr>
      <w:rFonts w:ascii="Arial" w:eastAsia="SimSun" w:hAnsi="Arial" w:cs="Arial"/>
      <w:sz w:val="18"/>
      <w:lang w:val="es-ES" w:eastAsia="zh-CN"/>
    </w:rPr>
  </w:style>
  <w:style w:type="character" w:customStyle="1" w:styleId="CommentSubjectChar">
    <w:name w:val="Comment Subject Char"/>
    <w:basedOn w:val="CommentTextChar"/>
    <w:link w:val="CommentSubject"/>
    <w:rsid w:val="00F777B4"/>
    <w:rPr>
      <w:rFonts w:ascii="Arial" w:eastAsia="SimSun" w:hAnsi="Arial" w:cs="Arial"/>
      <w:b/>
      <w:bCs/>
      <w:sz w:val="18"/>
      <w:lang w:val="es-ES" w:eastAsia="zh-CN"/>
    </w:rPr>
  </w:style>
  <w:style w:type="paragraph" w:customStyle="1" w:styleId="Default">
    <w:name w:val="Default"/>
    <w:rsid w:val="00F777B4"/>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F777B4"/>
    <w:rPr>
      <w:rFonts w:ascii="Arial" w:hAnsi="Arial"/>
      <w:lang w:val="en-US" w:eastAsia="en-US" w:bidi="ar-SA"/>
    </w:rPr>
  </w:style>
  <w:style w:type="paragraph" w:styleId="TOC2">
    <w:name w:val="toc 2"/>
    <w:basedOn w:val="Normal"/>
    <w:next w:val="Normal"/>
    <w:autoRedefine/>
    <w:uiPriority w:val="39"/>
    <w:qFormat/>
    <w:rsid w:val="006C3168"/>
    <w:pPr>
      <w:tabs>
        <w:tab w:val="left" w:pos="1985"/>
        <w:tab w:val="right" w:pos="9072"/>
      </w:tabs>
      <w:ind w:left="1985" w:right="1134" w:hanging="1418"/>
    </w:pPr>
    <w:rPr>
      <w:rFonts w:asciiTheme="minorHAnsi" w:eastAsia="Times New Roman" w:hAnsiTheme="minorHAnsi" w:cs="Times New Roman"/>
      <w:noProof/>
      <w:sz w:val="20"/>
      <w:lang w:val="en-US" w:eastAsia="en-US"/>
    </w:rPr>
  </w:style>
  <w:style w:type="paragraph" w:styleId="TOC1">
    <w:name w:val="toc 1"/>
    <w:basedOn w:val="Normal"/>
    <w:next w:val="Normal"/>
    <w:autoRedefine/>
    <w:uiPriority w:val="39"/>
    <w:qFormat/>
    <w:rsid w:val="00172EF1"/>
    <w:pPr>
      <w:tabs>
        <w:tab w:val="left" w:pos="567"/>
        <w:tab w:val="right" w:leader="dot" w:pos="9071"/>
      </w:tabs>
      <w:spacing w:before="120" w:after="120"/>
    </w:pPr>
    <w:rPr>
      <w:rFonts w:asciiTheme="minorHAnsi" w:eastAsia="Times New Roman" w:hAnsiTheme="minorHAnsi" w:cs="Times New Roman"/>
      <w:b/>
      <w:noProof/>
      <w:sz w:val="20"/>
      <w:lang w:val="es-ES_tradnl" w:eastAsia="en-US"/>
    </w:rPr>
  </w:style>
  <w:style w:type="paragraph" w:customStyle="1" w:styleId="Indicators">
    <w:name w:val="Indicators"/>
    <w:basedOn w:val="Normal"/>
    <w:link w:val="IndicatorsChar"/>
    <w:rsid w:val="00F777B4"/>
    <w:pPr>
      <w:spacing w:before="120"/>
      <w:ind w:left="284" w:right="170"/>
    </w:pPr>
    <w:rPr>
      <w:rFonts w:eastAsia="Times New Roman" w:cs="Times New Roman"/>
      <w:sz w:val="20"/>
      <w:lang w:val="en-US" w:eastAsia="en-US"/>
    </w:rPr>
  </w:style>
  <w:style w:type="character" w:customStyle="1" w:styleId="IndicatorsChar">
    <w:name w:val="Indicators Char"/>
    <w:link w:val="Indicators"/>
    <w:rsid w:val="00F777B4"/>
    <w:rPr>
      <w:rFonts w:ascii="Arial" w:hAnsi="Arial"/>
    </w:rPr>
  </w:style>
  <w:style w:type="paragraph" w:customStyle="1" w:styleId="preparedby">
    <w:name w:val="prepared by"/>
    <w:basedOn w:val="Normal"/>
    <w:next w:val="Normal"/>
    <w:rsid w:val="00F777B4"/>
    <w:pPr>
      <w:spacing w:after="480" w:line="260" w:lineRule="exact"/>
      <w:ind w:left="1021"/>
    </w:pPr>
    <w:rPr>
      <w:rFonts w:eastAsia="Times New Roman" w:cs="Times New Roman"/>
      <w:i/>
      <w:sz w:val="20"/>
      <w:lang w:val="en-US" w:eastAsia="en-US"/>
    </w:rPr>
  </w:style>
  <w:style w:type="paragraph" w:customStyle="1" w:styleId="Documenttitle">
    <w:name w:val="Document title"/>
    <w:basedOn w:val="Normal"/>
    <w:rsid w:val="00F777B4"/>
    <w:pPr>
      <w:spacing w:before="1200" w:after="120" w:line="260" w:lineRule="exact"/>
      <w:ind w:left="1021"/>
    </w:pPr>
    <w:rPr>
      <w:rFonts w:eastAsia="Times New Roman" w:cs="Times New Roman"/>
      <w:b/>
      <w:caps/>
      <w:sz w:val="20"/>
      <w:lang w:val="en-US" w:eastAsia="en-US"/>
    </w:rPr>
  </w:style>
  <w:style w:type="paragraph" w:customStyle="1" w:styleId="MeetinglanguageDate">
    <w:name w:val="Meeting language &amp; Date"/>
    <w:basedOn w:val="Normal"/>
    <w:next w:val="Meetingtitle"/>
    <w:rsid w:val="00F777B4"/>
    <w:pPr>
      <w:spacing w:after="1680" w:line="160" w:lineRule="exact"/>
      <w:ind w:left="1021"/>
      <w:contextualSpacing/>
      <w:jc w:val="right"/>
    </w:pPr>
    <w:rPr>
      <w:rFonts w:ascii="Arial Black" w:eastAsia="Times New Roman" w:hAnsi="Arial Black" w:cs="Times New Roman"/>
      <w:b/>
      <w:caps/>
      <w:sz w:val="15"/>
      <w:lang w:val="fr-FR" w:eastAsia="en-US"/>
    </w:rPr>
  </w:style>
  <w:style w:type="paragraph" w:customStyle="1" w:styleId="Language">
    <w:name w:val="Language"/>
    <w:basedOn w:val="Normal"/>
    <w:next w:val="Normal"/>
    <w:autoRedefine/>
    <w:rsid w:val="00F777B4"/>
    <w:pPr>
      <w:spacing w:after="120" w:line="340" w:lineRule="atLeast"/>
      <w:ind w:left="1021"/>
      <w:jc w:val="right"/>
    </w:pPr>
    <w:rPr>
      <w:rFonts w:eastAsia="Times New Roman" w:cs="Times New Roman"/>
      <w:b/>
      <w:caps/>
      <w:sz w:val="40"/>
      <w:lang w:val="pt-BR" w:eastAsia="en-US"/>
    </w:rPr>
  </w:style>
  <w:style w:type="paragraph" w:customStyle="1" w:styleId="MeetingCode">
    <w:name w:val="Meeting Code"/>
    <w:basedOn w:val="MeetinglanguageDate"/>
    <w:rsid w:val="00F777B4"/>
    <w:pPr>
      <w:spacing w:before="300" w:after="0"/>
    </w:pPr>
  </w:style>
  <w:style w:type="paragraph" w:customStyle="1" w:styleId="Meetingtitle">
    <w:name w:val="Meeting title"/>
    <w:basedOn w:val="Normal"/>
    <w:next w:val="Sessiontitle"/>
    <w:rsid w:val="00F777B4"/>
    <w:pPr>
      <w:spacing w:after="360" w:line="336" w:lineRule="exact"/>
      <w:ind w:left="1021"/>
    </w:pPr>
    <w:rPr>
      <w:rFonts w:eastAsia="Times New Roman" w:cs="Times New Roman"/>
      <w:b/>
      <w:sz w:val="28"/>
      <w:lang w:val="fr-FR" w:eastAsia="en-US"/>
    </w:rPr>
  </w:style>
  <w:style w:type="paragraph" w:customStyle="1" w:styleId="Sessiontitle">
    <w:name w:val="Session title"/>
    <w:basedOn w:val="Meetingtitle"/>
    <w:next w:val="Meetingdateplace"/>
    <w:rsid w:val="00F777B4"/>
    <w:pPr>
      <w:spacing w:after="0"/>
    </w:pPr>
    <w:rPr>
      <w:sz w:val="24"/>
    </w:rPr>
  </w:style>
  <w:style w:type="paragraph" w:customStyle="1" w:styleId="Meetingdateplace">
    <w:name w:val="Meeting date &amp; place"/>
    <w:basedOn w:val="Sessiontitle"/>
    <w:next w:val="Documenttitle"/>
    <w:rsid w:val="00F777B4"/>
    <w:rPr>
      <w:lang w:val="en-US"/>
    </w:rPr>
  </w:style>
  <w:style w:type="character" w:customStyle="1" w:styleId="CharChar3">
    <w:name w:val="Char Char3"/>
    <w:rsid w:val="00F777B4"/>
    <w:rPr>
      <w:rFonts w:ascii="Arial" w:hAnsi="Arial"/>
      <w:lang w:val="en-US" w:eastAsia="en-US" w:bidi="ar-SA"/>
    </w:rPr>
  </w:style>
  <w:style w:type="paragraph" w:styleId="BlockText">
    <w:name w:val="Block Text"/>
    <w:basedOn w:val="Normal"/>
    <w:rsid w:val="00F777B4"/>
    <w:pPr>
      <w:spacing w:before="60" w:after="60"/>
      <w:ind w:left="266" w:right="142"/>
    </w:pPr>
    <w:rPr>
      <w:rFonts w:eastAsia="Times New Roman" w:cs="Times New Roman"/>
      <w:lang w:val="en-US" w:eastAsia="en-US"/>
    </w:rPr>
  </w:style>
  <w:style w:type="paragraph" w:customStyle="1" w:styleId="BoxText1">
    <w:name w:val="Box Text1"/>
    <w:basedOn w:val="Normal"/>
    <w:rsid w:val="00F777B4"/>
    <w:pPr>
      <w:ind w:left="284"/>
    </w:pPr>
    <w:rPr>
      <w:rFonts w:eastAsia="Times New Roman" w:cs="Times New Roman"/>
      <w:snapToGrid w:val="0"/>
      <w:lang w:val="en-US" w:eastAsia="en-US"/>
    </w:rPr>
  </w:style>
  <w:style w:type="paragraph" w:customStyle="1" w:styleId="Normal1">
    <w:name w:val="Normal+1"/>
    <w:basedOn w:val="Normal"/>
    <w:next w:val="Normal"/>
    <w:rsid w:val="00F777B4"/>
    <w:pPr>
      <w:autoSpaceDE w:val="0"/>
      <w:autoSpaceDN w:val="0"/>
      <w:adjustRightInd w:val="0"/>
    </w:pPr>
    <w:rPr>
      <w:rFonts w:eastAsia="Times New Roman" w:cs="Times New Roman"/>
      <w:sz w:val="20"/>
      <w:szCs w:val="24"/>
      <w:lang w:val="en-US" w:eastAsia="en-US"/>
    </w:rPr>
  </w:style>
  <w:style w:type="paragraph" w:styleId="BodyText2">
    <w:name w:val="Body Text 2"/>
    <w:basedOn w:val="Normal"/>
    <w:link w:val="BodyText2Char"/>
    <w:rsid w:val="00F777B4"/>
    <w:pPr>
      <w:spacing w:after="120" w:line="480" w:lineRule="auto"/>
    </w:pPr>
    <w:rPr>
      <w:rFonts w:eastAsia="Times New Roman" w:cs="Times New Roman"/>
      <w:sz w:val="20"/>
      <w:szCs w:val="24"/>
      <w:lang w:val="en-US" w:eastAsia="en-US"/>
    </w:rPr>
  </w:style>
  <w:style w:type="character" w:customStyle="1" w:styleId="BodyText2Char">
    <w:name w:val="Body Text 2 Char"/>
    <w:basedOn w:val="DefaultParagraphFont"/>
    <w:link w:val="BodyText2"/>
    <w:rsid w:val="00F777B4"/>
    <w:rPr>
      <w:rFonts w:ascii="Arial" w:hAnsi="Arial"/>
      <w:szCs w:val="24"/>
    </w:rPr>
  </w:style>
  <w:style w:type="character" w:customStyle="1" w:styleId="CharChar4">
    <w:name w:val="Char Char4"/>
    <w:rsid w:val="00F777B4"/>
    <w:rPr>
      <w:rFonts w:ascii="Arial" w:hAnsi="Arial"/>
      <w:lang w:val="en-US" w:eastAsia="en-US" w:bidi="ar-SA"/>
    </w:rPr>
  </w:style>
  <w:style w:type="character" w:styleId="FollowedHyperlink">
    <w:name w:val="FollowedHyperlink"/>
    <w:rsid w:val="00F777B4"/>
    <w:rPr>
      <w:color w:val="606420"/>
      <w:u w:val="single"/>
    </w:rPr>
  </w:style>
  <w:style w:type="paragraph" w:customStyle="1" w:styleId="Meetingplacedate">
    <w:name w:val="Meeting place &amp; date"/>
    <w:basedOn w:val="Sessiontitle"/>
    <w:next w:val="Documenttitle"/>
    <w:rsid w:val="00F777B4"/>
    <w:rPr>
      <w:lang w:val="en-US"/>
    </w:rPr>
  </w:style>
  <w:style w:type="character" w:customStyle="1" w:styleId="CharChar6">
    <w:name w:val="Char Char6"/>
    <w:rsid w:val="00F777B4"/>
    <w:rPr>
      <w:rFonts w:ascii="Arial" w:hAnsi="Arial"/>
      <w:lang w:val="en-US" w:eastAsia="en-US" w:bidi="ar-SA"/>
    </w:rPr>
  </w:style>
  <w:style w:type="character" w:customStyle="1" w:styleId="Novruzova">
    <w:name w:val="Novruzova"/>
    <w:semiHidden/>
    <w:rsid w:val="00F777B4"/>
    <w:rPr>
      <w:rFonts w:ascii="Arial" w:hAnsi="Arial" w:cs="Arial"/>
      <w:color w:val="000080"/>
      <w:sz w:val="20"/>
      <w:szCs w:val="20"/>
    </w:rPr>
  </w:style>
  <w:style w:type="character" w:customStyle="1" w:styleId="description">
    <w:name w:val="description"/>
    <w:basedOn w:val="DefaultParagraphFont"/>
    <w:rsid w:val="00F777B4"/>
  </w:style>
  <w:style w:type="paragraph" w:customStyle="1" w:styleId="FreeFormA">
    <w:name w:val="Free Form A"/>
    <w:rsid w:val="00F777B4"/>
    <w:rPr>
      <w:rFonts w:ascii="Helvetica" w:eastAsia="ヒラギノ角ゴ Pro W3" w:hAnsi="Helvetica"/>
      <w:color w:val="000000"/>
      <w:sz w:val="24"/>
    </w:rPr>
  </w:style>
  <w:style w:type="paragraph" w:customStyle="1" w:styleId="Char">
    <w:name w:val="Char 字元 字元"/>
    <w:basedOn w:val="Normal"/>
    <w:rsid w:val="00F777B4"/>
    <w:pPr>
      <w:spacing w:after="160" w:line="240" w:lineRule="exact"/>
    </w:pPr>
    <w:rPr>
      <w:rFonts w:ascii="Verdana" w:eastAsia="PMingLiU" w:hAnsi="Verdana" w:cs="Times New Roman"/>
      <w:sz w:val="20"/>
      <w:lang w:val="en-US" w:eastAsia="en-US"/>
    </w:rPr>
  </w:style>
  <w:style w:type="character" w:customStyle="1" w:styleId="underline">
    <w:name w:val="underline"/>
    <w:rsid w:val="00F777B4"/>
    <w:rPr>
      <w:u w:val="single"/>
    </w:rPr>
  </w:style>
  <w:style w:type="paragraph" w:customStyle="1" w:styleId="FreeForm">
    <w:name w:val="Free Form"/>
    <w:rsid w:val="00F777B4"/>
    <w:rPr>
      <w:rFonts w:eastAsia="ヒラギノ角ゴ Pro W3"/>
      <w:color w:val="000000"/>
    </w:rPr>
  </w:style>
  <w:style w:type="paragraph" w:customStyle="1" w:styleId="Heading2A">
    <w:name w:val="Heading 2 A"/>
    <w:next w:val="Normal"/>
    <w:rsid w:val="00F777B4"/>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F777B4"/>
    <w:rPr>
      <w:rFonts w:ascii="Arial" w:hAnsi="Arial"/>
      <w:sz w:val="16"/>
    </w:rPr>
  </w:style>
  <w:style w:type="character" w:styleId="PlaceholderText">
    <w:name w:val="Placeholder Text"/>
    <w:basedOn w:val="DefaultParagraphFont"/>
    <w:uiPriority w:val="99"/>
    <w:semiHidden/>
    <w:rsid w:val="00F777B4"/>
    <w:rPr>
      <w:color w:val="808080"/>
    </w:rPr>
  </w:style>
  <w:style w:type="character" w:customStyle="1" w:styleId="Style5">
    <w:name w:val="Style5"/>
    <w:basedOn w:val="DefaultParagraphFont"/>
    <w:uiPriority w:val="1"/>
    <w:rsid w:val="00F777B4"/>
    <w:rPr>
      <w:rFonts w:asciiTheme="minorHAnsi" w:hAnsiTheme="minorHAnsi"/>
      <w:sz w:val="20"/>
    </w:rPr>
  </w:style>
  <w:style w:type="paragraph" w:styleId="Revision">
    <w:name w:val="Revision"/>
    <w:hidden/>
    <w:uiPriority w:val="99"/>
    <w:semiHidden/>
    <w:rsid w:val="00F777B4"/>
    <w:rPr>
      <w:rFonts w:ascii="Arial" w:hAnsi="Arial"/>
      <w:szCs w:val="24"/>
    </w:rPr>
  </w:style>
  <w:style w:type="character" w:styleId="Emphasis">
    <w:name w:val="Emphasis"/>
    <w:basedOn w:val="DefaultParagraphFont"/>
    <w:uiPriority w:val="20"/>
    <w:qFormat/>
    <w:rsid w:val="00F777B4"/>
    <w:rPr>
      <w:b/>
      <w:bCs/>
      <w:i w:val="0"/>
      <w:iCs w:val="0"/>
    </w:rPr>
  </w:style>
  <w:style w:type="character" w:customStyle="1" w:styleId="st1">
    <w:name w:val="st1"/>
    <w:basedOn w:val="DefaultParagraphFont"/>
    <w:rsid w:val="00F777B4"/>
  </w:style>
  <w:style w:type="paragraph" w:styleId="PlainText">
    <w:name w:val="Plain Text"/>
    <w:basedOn w:val="Normal"/>
    <w:link w:val="PlainTextChar"/>
    <w:uiPriority w:val="99"/>
    <w:rsid w:val="00B45FC3"/>
    <w:rPr>
      <w:rFonts w:ascii="Courier New" w:hAnsi="Courier New" w:cs="Courier New"/>
      <w:color w:val="0000FF"/>
      <w:sz w:val="20"/>
    </w:rPr>
  </w:style>
  <w:style w:type="character" w:customStyle="1" w:styleId="PlainTextChar">
    <w:name w:val="Plain Text Char"/>
    <w:basedOn w:val="DefaultParagraphFont"/>
    <w:link w:val="PlainText"/>
    <w:uiPriority w:val="99"/>
    <w:rsid w:val="00B45FC3"/>
    <w:rPr>
      <w:rFonts w:ascii="Courier New" w:eastAsia="SimSun" w:hAnsi="Courier New" w:cs="Courier New"/>
      <w:color w:val="0000FF"/>
      <w:lang w:val="es-ES" w:eastAsia="zh-CN"/>
    </w:rPr>
  </w:style>
  <w:style w:type="paragraph" w:customStyle="1" w:styleId="StyleHeading3BoldNounderline">
    <w:name w:val="Style Heading 3 + Bold No underline"/>
    <w:basedOn w:val="Heading3"/>
    <w:rsid w:val="00B45FC3"/>
    <w:rPr>
      <w:i/>
      <w:u w:val="none"/>
      <w:lang w:val="en-US" w:eastAsia="en-US"/>
    </w:rPr>
  </w:style>
  <w:style w:type="character" w:customStyle="1" w:styleId="st">
    <w:name w:val="st"/>
    <w:basedOn w:val="DefaultParagraphFont"/>
    <w:rsid w:val="00B45FC3"/>
  </w:style>
  <w:style w:type="paragraph" w:customStyle="1" w:styleId="Style1">
    <w:name w:val="Style1"/>
    <w:basedOn w:val="Normal"/>
    <w:qFormat/>
    <w:rsid w:val="00B45FC3"/>
    <w:pPr>
      <w:numPr>
        <w:numId w:val="63"/>
      </w:numPr>
    </w:pPr>
    <w:rPr>
      <w:rFonts w:eastAsia="Times New Roman" w:cs="Times New Roman"/>
      <w:sz w:val="20"/>
      <w:szCs w:val="24"/>
      <w:lang w:val="en-US" w:eastAsia="en-US"/>
    </w:rPr>
  </w:style>
  <w:style w:type="paragraph" w:customStyle="1" w:styleId="StyleStyleHeading3ComplexItalicLatin12pt">
    <w:name w:val="Style Style Heading 3 + (Complex) Italic + (Latin) 12 pt"/>
    <w:basedOn w:val="Normal"/>
    <w:link w:val="StyleStyleHeading3ComplexItalicLatin12ptChar"/>
    <w:rsid w:val="00B45FC3"/>
    <w:pPr>
      <w:keepNext/>
      <w:tabs>
        <w:tab w:val="left" w:pos="1985"/>
      </w:tabs>
      <w:outlineLvl w:val="2"/>
    </w:pPr>
    <w:rPr>
      <w:rFonts w:eastAsia="Times New Roman" w:cs="Times New Roman"/>
      <w:b/>
      <w:iCs/>
      <w:caps/>
      <w:sz w:val="20"/>
      <w:szCs w:val="22"/>
      <w:lang w:eastAsia="en-US"/>
    </w:rPr>
  </w:style>
  <w:style w:type="character" w:customStyle="1" w:styleId="StyleStyleHeading3ComplexItalicLatin12ptChar">
    <w:name w:val="Style Style Heading 3 + (Complex) Italic + (Latin) 12 pt Char"/>
    <w:basedOn w:val="DefaultParagraphFont"/>
    <w:link w:val="StyleStyleHeading3ComplexItalicLatin12pt"/>
    <w:rsid w:val="00B45FC3"/>
    <w:rPr>
      <w:rFonts w:ascii="Arial" w:hAnsi="Arial"/>
      <w:b/>
      <w:iCs/>
      <w:caps/>
      <w:szCs w:val="22"/>
      <w:lang w:val="es-ES"/>
    </w:rPr>
  </w:style>
  <w:style w:type="character" w:customStyle="1" w:styleId="FooterChar">
    <w:name w:val="Footer Char"/>
    <w:basedOn w:val="DefaultParagraphFont"/>
    <w:link w:val="Footer"/>
    <w:rsid w:val="00794E04"/>
    <w:rPr>
      <w:rFonts w:ascii="Arial" w:eastAsia="SimSun" w:hAnsi="Arial" w:cs="Arial"/>
      <w:sz w:val="22"/>
      <w:lang w:val="es-ES" w:eastAsia="zh-CN"/>
    </w:rPr>
  </w:style>
  <w:style w:type="paragraph" w:styleId="NoSpacing">
    <w:name w:val="No Spacing"/>
    <w:uiPriority w:val="1"/>
    <w:qFormat/>
    <w:rsid w:val="00794E04"/>
    <w:rPr>
      <w:rFonts w:asciiTheme="minorHAnsi" w:eastAsiaTheme="minorHAnsi" w:hAnsiTheme="minorHAnsi" w:cstheme="minorBidi"/>
      <w:sz w:val="22"/>
      <w:szCs w:val="22"/>
    </w:rPr>
  </w:style>
  <w:style w:type="character" w:customStyle="1" w:styleId="Heading1Char">
    <w:name w:val="Heading 1 Char"/>
    <w:basedOn w:val="DefaultParagraphFont"/>
    <w:link w:val="Heading1"/>
    <w:rsid w:val="00C91295"/>
    <w:rPr>
      <w:rFonts w:ascii="Arial" w:eastAsia="SimSun" w:hAnsi="Arial" w:cs="Arial"/>
      <w:b/>
      <w:bCs/>
      <w:caps/>
      <w:kern w:val="32"/>
      <w:sz w:val="22"/>
      <w:szCs w:val="32"/>
      <w:lang w:val="es-ES" w:eastAsia="zh-CN"/>
    </w:rPr>
  </w:style>
  <w:style w:type="character" w:customStyle="1" w:styleId="Heading3Char">
    <w:name w:val="Heading 3 Char"/>
    <w:basedOn w:val="DefaultParagraphFont"/>
    <w:link w:val="Heading3"/>
    <w:rsid w:val="00C91295"/>
    <w:rPr>
      <w:rFonts w:ascii="Arial" w:eastAsia="SimSun" w:hAnsi="Arial" w:cs="Arial"/>
      <w:bCs/>
      <w:sz w:val="22"/>
      <w:szCs w:val="26"/>
      <w:u w:val="single"/>
      <w:lang w:val="es-ES" w:eastAsia="zh-CN"/>
    </w:rPr>
  </w:style>
  <w:style w:type="character" w:customStyle="1" w:styleId="Heading4Char">
    <w:name w:val="Heading 4 Char"/>
    <w:basedOn w:val="DefaultParagraphFont"/>
    <w:link w:val="Heading4"/>
    <w:rsid w:val="00C91295"/>
    <w:rPr>
      <w:rFonts w:ascii="Arial" w:eastAsia="SimSun" w:hAnsi="Arial" w:cs="Arial"/>
      <w:bCs/>
      <w:i/>
      <w:sz w:val="22"/>
      <w:szCs w:val="28"/>
      <w:lang w:val="es-ES" w:eastAsia="zh-CN"/>
    </w:rPr>
  </w:style>
  <w:style w:type="character" w:customStyle="1" w:styleId="SalutationChar">
    <w:name w:val="Salutation Char"/>
    <w:basedOn w:val="DefaultParagraphFont"/>
    <w:link w:val="Salutation"/>
    <w:rsid w:val="00C91295"/>
    <w:rPr>
      <w:rFonts w:ascii="Arial" w:eastAsia="SimSun" w:hAnsi="Arial" w:cs="Arial"/>
      <w:sz w:val="22"/>
      <w:lang w:val="es-ES" w:eastAsia="zh-CN"/>
    </w:rPr>
  </w:style>
  <w:style w:type="character" w:customStyle="1" w:styleId="SignatureChar">
    <w:name w:val="Signature Char"/>
    <w:basedOn w:val="DefaultParagraphFont"/>
    <w:link w:val="Signature"/>
    <w:rsid w:val="00C91295"/>
    <w:rPr>
      <w:rFonts w:ascii="Arial" w:eastAsia="SimSun" w:hAnsi="Arial" w:cs="Arial"/>
      <w:sz w:val="22"/>
      <w:lang w:val="es-ES" w:eastAsia="zh-CN"/>
    </w:rPr>
  </w:style>
  <w:style w:type="character" w:customStyle="1" w:styleId="EndnoteTextChar">
    <w:name w:val="Endnote Text Char"/>
    <w:basedOn w:val="DefaultParagraphFont"/>
    <w:link w:val="EndnoteText"/>
    <w:rsid w:val="00C91295"/>
    <w:rPr>
      <w:rFonts w:ascii="Arial" w:eastAsia="SimSun" w:hAnsi="Arial" w:cs="Arial"/>
      <w:sz w:val="18"/>
      <w:lang w:val="es-ES" w:eastAsia="zh-CN"/>
    </w:rPr>
  </w:style>
  <w:style w:type="paragraph" w:styleId="TOCHeading">
    <w:name w:val="TOC Heading"/>
    <w:basedOn w:val="Heading1"/>
    <w:next w:val="Normal"/>
    <w:uiPriority w:val="39"/>
    <w:semiHidden/>
    <w:unhideWhenUsed/>
    <w:qFormat/>
    <w:rsid w:val="00C91295"/>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3">
    <w:name w:val="toc 3"/>
    <w:basedOn w:val="Normal"/>
    <w:next w:val="Normal"/>
    <w:autoRedefine/>
    <w:uiPriority w:val="39"/>
    <w:unhideWhenUsed/>
    <w:qFormat/>
    <w:rsid w:val="00A54CE8"/>
    <w:pPr>
      <w:tabs>
        <w:tab w:val="right" w:leader="dot" w:pos="9072"/>
      </w:tabs>
      <w:ind w:left="851" w:right="-143"/>
    </w:pPr>
    <w:rPr>
      <w:rFonts w:asciiTheme="minorHAnsi" w:eastAsia="Times New Roman" w:hAnsiTheme="minorHAnsi" w:cs="Times New Roman"/>
      <w:i/>
      <w:iCs/>
      <w:noProof/>
      <w:sz w:val="20"/>
      <w:lang w:val="fr-FR" w:eastAsia="en-US"/>
    </w:rPr>
  </w:style>
  <w:style w:type="paragraph" w:styleId="TOC4">
    <w:name w:val="toc 4"/>
    <w:basedOn w:val="Normal"/>
    <w:next w:val="Normal"/>
    <w:autoRedefine/>
    <w:rsid w:val="00C91295"/>
    <w:pPr>
      <w:ind w:left="600"/>
    </w:pPr>
    <w:rPr>
      <w:rFonts w:asciiTheme="minorHAnsi" w:eastAsia="Times New Roman" w:hAnsiTheme="minorHAnsi" w:cs="Times New Roman"/>
      <w:sz w:val="18"/>
      <w:szCs w:val="18"/>
      <w:lang w:val="en-US" w:eastAsia="en-US"/>
    </w:rPr>
  </w:style>
  <w:style w:type="paragraph" w:styleId="TOC5">
    <w:name w:val="toc 5"/>
    <w:basedOn w:val="Normal"/>
    <w:next w:val="Normal"/>
    <w:autoRedefine/>
    <w:rsid w:val="00C91295"/>
    <w:pPr>
      <w:ind w:left="800"/>
    </w:pPr>
    <w:rPr>
      <w:rFonts w:asciiTheme="minorHAnsi" w:eastAsia="Times New Roman" w:hAnsiTheme="minorHAnsi" w:cs="Times New Roman"/>
      <w:sz w:val="18"/>
      <w:szCs w:val="18"/>
      <w:lang w:val="en-US" w:eastAsia="en-US"/>
    </w:rPr>
  </w:style>
  <w:style w:type="paragraph" w:styleId="TOC6">
    <w:name w:val="toc 6"/>
    <w:basedOn w:val="Normal"/>
    <w:next w:val="Normal"/>
    <w:autoRedefine/>
    <w:rsid w:val="00C91295"/>
    <w:pPr>
      <w:ind w:left="1000"/>
    </w:pPr>
    <w:rPr>
      <w:rFonts w:asciiTheme="minorHAnsi" w:eastAsia="Times New Roman" w:hAnsiTheme="minorHAnsi" w:cs="Times New Roman"/>
      <w:sz w:val="18"/>
      <w:szCs w:val="18"/>
      <w:lang w:val="en-US" w:eastAsia="en-US"/>
    </w:rPr>
  </w:style>
  <w:style w:type="paragraph" w:styleId="TOC7">
    <w:name w:val="toc 7"/>
    <w:basedOn w:val="Normal"/>
    <w:next w:val="Normal"/>
    <w:autoRedefine/>
    <w:rsid w:val="00C91295"/>
    <w:pPr>
      <w:ind w:left="1200"/>
    </w:pPr>
    <w:rPr>
      <w:rFonts w:asciiTheme="minorHAnsi" w:eastAsia="Times New Roman" w:hAnsiTheme="minorHAnsi" w:cs="Times New Roman"/>
      <w:sz w:val="18"/>
      <w:szCs w:val="18"/>
      <w:lang w:val="en-US" w:eastAsia="en-US"/>
    </w:rPr>
  </w:style>
  <w:style w:type="paragraph" w:styleId="TOC8">
    <w:name w:val="toc 8"/>
    <w:basedOn w:val="Normal"/>
    <w:next w:val="Normal"/>
    <w:autoRedefine/>
    <w:rsid w:val="00C91295"/>
    <w:pPr>
      <w:ind w:left="1400"/>
    </w:pPr>
    <w:rPr>
      <w:rFonts w:asciiTheme="minorHAnsi" w:eastAsia="Times New Roman" w:hAnsiTheme="minorHAnsi" w:cs="Times New Roman"/>
      <w:sz w:val="18"/>
      <w:szCs w:val="18"/>
      <w:lang w:val="en-US" w:eastAsia="en-US"/>
    </w:rPr>
  </w:style>
  <w:style w:type="paragraph" w:styleId="TOC9">
    <w:name w:val="toc 9"/>
    <w:basedOn w:val="Normal"/>
    <w:next w:val="Normal"/>
    <w:autoRedefine/>
    <w:rsid w:val="00C91295"/>
    <w:pPr>
      <w:ind w:left="1600"/>
    </w:pPr>
    <w:rPr>
      <w:rFonts w:asciiTheme="minorHAnsi" w:eastAsia="Times New Roman" w:hAnsiTheme="minorHAnsi" w:cs="Times New Roman"/>
      <w:sz w:val="18"/>
      <w:szCs w:val="18"/>
      <w:lang w:val="en-US" w:eastAsia="en-US"/>
    </w:rPr>
  </w:style>
  <w:style w:type="character" w:customStyle="1" w:styleId="ONUMEChar">
    <w:name w:val="ONUM E Char"/>
    <w:link w:val="ONUME"/>
    <w:locked/>
    <w:rsid w:val="00C91295"/>
    <w:rPr>
      <w:rFonts w:ascii="Arial" w:eastAsia="SimSun" w:hAnsi="Arial" w:cs="Arial"/>
      <w:sz w:val="22"/>
      <w:lang w:val="es-E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08BC"/>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rsid w:val="00A32C9E"/>
    <w:rPr>
      <w:sz w:val="18"/>
    </w:rPr>
  </w:style>
  <w:style w:type="paragraph" w:styleId="EndnoteText">
    <w:name w:val="endnote text"/>
    <w:basedOn w:val="Normal"/>
    <w:link w:val="EndnoteTextChar"/>
    <w:rsid w:val="00A32C9E"/>
    <w:rPr>
      <w:sz w:val="18"/>
    </w:rPr>
  </w:style>
  <w:style w:type="paragraph" w:styleId="Footer">
    <w:name w:val="footer"/>
    <w:basedOn w:val="Normal"/>
    <w:link w:val="FooterChar"/>
    <w:rsid w:val="00A32C9E"/>
    <w:pPr>
      <w:tabs>
        <w:tab w:val="center" w:pos="4320"/>
        <w:tab w:val="right" w:pos="8640"/>
      </w:tabs>
    </w:pPr>
  </w:style>
  <w:style w:type="paragraph" w:styleId="FootnoteText">
    <w:name w:val="footnote text"/>
    <w:basedOn w:val="Normal"/>
    <w:link w:val="FootnoteTextChar"/>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rsid w:val="00A32C9E"/>
    <w:pPr>
      <w:numPr>
        <w:numId w:val="1"/>
      </w:numPr>
    </w:pPr>
  </w:style>
  <w:style w:type="paragraph" w:customStyle="1" w:styleId="ONUME">
    <w:name w:val="ONUM E"/>
    <w:basedOn w:val="BodyText"/>
    <w:link w:val="ONUMEChar"/>
    <w:rsid w:val="00A32C9E"/>
    <w:pPr>
      <w:numPr>
        <w:numId w:val="2"/>
      </w:numPr>
    </w:pPr>
  </w:style>
  <w:style w:type="paragraph" w:customStyle="1" w:styleId="ONUMFS">
    <w:name w:val="ONUM FS"/>
    <w:basedOn w:val="BodyText"/>
    <w:rsid w:val="00A32C9E"/>
    <w:pPr>
      <w:numPr>
        <w:numId w:val="3"/>
      </w:numPr>
    </w:pPr>
  </w:style>
  <w:style w:type="paragraph" w:styleId="Salutation">
    <w:name w:val="Salutation"/>
    <w:basedOn w:val="Normal"/>
    <w:next w:val="Normal"/>
    <w:link w:val="SalutationChar"/>
    <w:rsid w:val="00A32C9E"/>
  </w:style>
  <w:style w:type="paragraph" w:styleId="Signature">
    <w:name w:val="Signature"/>
    <w:basedOn w:val="Normal"/>
    <w:link w:val="SignatureChar"/>
    <w:rsid w:val="00A32C9E"/>
    <w:pPr>
      <w:ind w:left="5250"/>
    </w:pPr>
  </w:style>
  <w:style w:type="paragraph" w:styleId="BalloonText">
    <w:name w:val="Balloon Text"/>
    <w:basedOn w:val="Normal"/>
    <w:link w:val="BalloonTextChar"/>
    <w:rsid w:val="00743840"/>
    <w:rPr>
      <w:rFonts w:ascii="Tahoma" w:hAnsi="Tahoma" w:cs="Tahoma"/>
      <w:sz w:val="16"/>
      <w:szCs w:val="16"/>
    </w:rPr>
  </w:style>
  <w:style w:type="character" w:customStyle="1" w:styleId="BalloonTextChar">
    <w:name w:val="Balloon Text Char"/>
    <w:basedOn w:val="DefaultParagraphFont"/>
    <w:link w:val="BalloonText"/>
    <w:rsid w:val="00743840"/>
    <w:rPr>
      <w:rFonts w:ascii="Tahoma" w:eastAsia="SimSun" w:hAnsi="Tahoma" w:cs="Tahoma"/>
      <w:sz w:val="16"/>
      <w:szCs w:val="16"/>
      <w:lang w:val="es-ES" w:eastAsia="zh-CN"/>
    </w:rPr>
  </w:style>
  <w:style w:type="paragraph" w:customStyle="1" w:styleId="DecisionInvitingPara">
    <w:name w:val="Decision Inviting Para."/>
    <w:basedOn w:val="Normal"/>
    <w:link w:val="DecisionInvitingParaChar"/>
    <w:rsid w:val="00816F0F"/>
    <w:pPr>
      <w:spacing w:after="120" w:line="260" w:lineRule="exact"/>
      <w:ind w:left="5534"/>
    </w:pPr>
    <w:rPr>
      <w:rFonts w:eastAsia="Times New Roman" w:cs="Times New Roman"/>
      <w:i/>
      <w:sz w:val="20"/>
      <w:lang w:val="en-US" w:eastAsia="en-US"/>
    </w:rPr>
  </w:style>
  <w:style w:type="paragraph" w:styleId="ListParagraph">
    <w:name w:val="List Paragraph"/>
    <w:basedOn w:val="Normal"/>
    <w:uiPriority w:val="34"/>
    <w:qFormat/>
    <w:rsid w:val="00816F0F"/>
    <w:pPr>
      <w:ind w:left="720"/>
    </w:pPr>
    <w:rPr>
      <w:rFonts w:eastAsia="Times New Roman" w:cs="Times New Roman"/>
      <w:sz w:val="20"/>
      <w:lang w:val="en-US" w:eastAsia="en-US"/>
    </w:rPr>
  </w:style>
  <w:style w:type="character" w:customStyle="1" w:styleId="DecisionInvitingParaChar">
    <w:name w:val="Decision Inviting Para. Char"/>
    <w:link w:val="DecisionInvitingPara"/>
    <w:locked/>
    <w:rsid w:val="00816F0F"/>
    <w:rPr>
      <w:rFonts w:ascii="Arial" w:hAnsi="Arial"/>
      <w:i/>
    </w:rPr>
  </w:style>
  <w:style w:type="character" w:customStyle="1" w:styleId="HeaderChar">
    <w:name w:val="Header Char"/>
    <w:basedOn w:val="DefaultParagraphFont"/>
    <w:link w:val="Header"/>
    <w:rsid w:val="00A37F74"/>
    <w:rPr>
      <w:rFonts w:ascii="Arial" w:eastAsia="SimSun" w:hAnsi="Arial" w:cs="Arial"/>
      <w:sz w:val="22"/>
      <w:lang w:val="es-ES" w:eastAsia="zh-CN"/>
    </w:rPr>
  </w:style>
  <w:style w:type="character" w:customStyle="1" w:styleId="BodyTextChar">
    <w:name w:val="Body Text Char"/>
    <w:link w:val="BodyText"/>
    <w:rsid w:val="00F777B4"/>
    <w:rPr>
      <w:rFonts w:ascii="Arial" w:eastAsia="SimSun" w:hAnsi="Arial" w:cs="Arial"/>
      <w:sz w:val="22"/>
      <w:lang w:val="es-ES" w:eastAsia="zh-CN"/>
    </w:rPr>
  </w:style>
  <w:style w:type="character" w:styleId="FootnoteReference">
    <w:name w:val="footnote reference"/>
    <w:aliases w:val="Footnote"/>
    <w:rsid w:val="00F777B4"/>
    <w:rPr>
      <w:vertAlign w:val="superscript"/>
    </w:rPr>
  </w:style>
  <w:style w:type="character" w:customStyle="1" w:styleId="FootnoteTextChar">
    <w:name w:val="Footnote Text Char"/>
    <w:link w:val="FootnoteText"/>
    <w:locked/>
    <w:rsid w:val="00F777B4"/>
    <w:rPr>
      <w:rFonts w:ascii="Arial" w:eastAsia="SimSun" w:hAnsi="Arial" w:cs="Arial"/>
      <w:sz w:val="18"/>
      <w:lang w:val="es-ES" w:eastAsia="zh-CN"/>
    </w:rPr>
  </w:style>
  <w:style w:type="paragraph" w:customStyle="1" w:styleId="Test">
    <w:name w:val="Test"/>
    <w:basedOn w:val="Normal"/>
    <w:qFormat/>
    <w:rsid w:val="00F777B4"/>
    <w:pPr>
      <w:numPr>
        <w:numId w:val="8"/>
      </w:numPr>
    </w:pPr>
    <w:rPr>
      <w:rFonts w:eastAsiaTheme="minorHAnsi"/>
      <w:szCs w:val="22"/>
      <w:lang w:val="en-US" w:eastAsia="en-US"/>
    </w:rPr>
  </w:style>
  <w:style w:type="paragraph" w:customStyle="1" w:styleId="StyleHeading214ptAuto">
    <w:name w:val="Style Heading 2 + 14 pt Auto"/>
    <w:basedOn w:val="Heading2"/>
    <w:rsid w:val="00F777B4"/>
    <w:pPr>
      <w:keepNext w:val="0"/>
      <w:widowControl w:val="0"/>
      <w:tabs>
        <w:tab w:val="num" w:pos="567"/>
      </w:tabs>
      <w:spacing w:before="0" w:after="0" w:line="300" w:lineRule="atLeast"/>
      <w:ind w:left="567" w:hanging="567"/>
      <w:jc w:val="center"/>
    </w:pPr>
    <w:rPr>
      <w:rFonts w:ascii="Arial Bold" w:eastAsia="Times New Roman" w:hAnsi="Arial Bold" w:cs="Times New Roman"/>
      <w:b/>
      <w:sz w:val="24"/>
      <w:lang w:val="en-GB" w:eastAsia="da-DK"/>
    </w:rPr>
  </w:style>
  <w:style w:type="paragraph" w:styleId="NormalWeb">
    <w:name w:val="Normal (Web)"/>
    <w:basedOn w:val="Normal"/>
    <w:uiPriority w:val="99"/>
    <w:rsid w:val="00F777B4"/>
    <w:pPr>
      <w:spacing w:before="100" w:beforeAutospacing="1" w:after="100" w:afterAutospacing="1"/>
    </w:pPr>
    <w:rPr>
      <w:rFonts w:eastAsia="Times New Roman"/>
      <w:sz w:val="18"/>
      <w:szCs w:val="18"/>
      <w:lang w:val="en-US" w:eastAsia="en-US"/>
    </w:rPr>
  </w:style>
  <w:style w:type="character" w:customStyle="1" w:styleId="Heading2Char">
    <w:name w:val="Heading 2 Char"/>
    <w:basedOn w:val="DefaultParagraphFont"/>
    <w:link w:val="Heading2"/>
    <w:rsid w:val="00F777B4"/>
    <w:rPr>
      <w:rFonts w:ascii="Arial" w:eastAsia="SimSun" w:hAnsi="Arial" w:cs="Arial"/>
      <w:bCs/>
      <w:iCs/>
      <w:caps/>
      <w:sz w:val="22"/>
      <w:szCs w:val="28"/>
      <w:lang w:val="es-ES" w:eastAsia="zh-CN"/>
    </w:rPr>
  </w:style>
  <w:style w:type="table" w:styleId="TableGrid">
    <w:name w:val="Table Grid"/>
    <w:basedOn w:val="TableNormal"/>
    <w:rsid w:val="00F77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F777B4"/>
    <w:pPr>
      <w:spacing w:after="160" w:line="240" w:lineRule="exact"/>
    </w:pPr>
    <w:rPr>
      <w:rFonts w:ascii="Verdana" w:eastAsia="Times New Roman" w:hAnsi="Verdana" w:cs="Times New Roman"/>
      <w:sz w:val="20"/>
      <w:lang w:val="en-GB" w:eastAsia="en-US"/>
    </w:rPr>
  </w:style>
  <w:style w:type="paragraph" w:styleId="BodyTextIndent">
    <w:name w:val="Body Text Indent"/>
    <w:basedOn w:val="Normal"/>
    <w:link w:val="BodyTextIndentChar"/>
    <w:rsid w:val="00F777B4"/>
    <w:pPr>
      <w:ind w:left="567"/>
    </w:pPr>
    <w:rPr>
      <w:rFonts w:eastAsia="Times New Roman" w:cs="Times New Roman"/>
      <w:sz w:val="20"/>
      <w:lang w:val="en-US" w:eastAsia="en-US"/>
    </w:rPr>
  </w:style>
  <w:style w:type="character" w:customStyle="1" w:styleId="BodyTextIndentChar">
    <w:name w:val="Body Text Indent Char"/>
    <w:basedOn w:val="DefaultParagraphFont"/>
    <w:link w:val="BodyTextIndent"/>
    <w:rsid w:val="00F777B4"/>
    <w:rPr>
      <w:rFonts w:ascii="Arial" w:hAnsi="Arial"/>
    </w:rPr>
  </w:style>
  <w:style w:type="character" w:styleId="PageNumber">
    <w:name w:val="page number"/>
    <w:basedOn w:val="DefaultParagraphFont"/>
    <w:rsid w:val="00F777B4"/>
  </w:style>
  <w:style w:type="character" w:customStyle="1" w:styleId="CharChar">
    <w:name w:val="Char Char"/>
    <w:locked/>
    <w:rsid w:val="00F777B4"/>
    <w:rPr>
      <w:rFonts w:ascii="Arial" w:hAnsi="Arial" w:cs="Times New Roman"/>
      <w:lang w:val="en-US" w:eastAsia="en-US" w:bidi="ar-SA"/>
    </w:rPr>
  </w:style>
  <w:style w:type="character" w:styleId="Hyperlink">
    <w:name w:val="Hyperlink"/>
    <w:uiPriority w:val="99"/>
    <w:rsid w:val="00F777B4"/>
    <w:rPr>
      <w:color w:val="000099"/>
      <w:u w:val="single"/>
    </w:rPr>
  </w:style>
  <w:style w:type="paragraph" w:customStyle="1" w:styleId="CarCar">
    <w:name w:val="Car Car"/>
    <w:basedOn w:val="Normal"/>
    <w:rsid w:val="00F777B4"/>
    <w:pPr>
      <w:spacing w:after="160" w:line="240" w:lineRule="exact"/>
    </w:pPr>
    <w:rPr>
      <w:rFonts w:ascii="Verdana" w:eastAsia="Times New Roman" w:hAnsi="Verdana" w:cs="Times New Roman"/>
      <w:sz w:val="20"/>
      <w:lang w:val="en-GB" w:eastAsia="en-US"/>
    </w:rPr>
  </w:style>
  <w:style w:type="character" w:styleId="CommentReference">
    <w:name w:val="annotation reference"/>
    <w:rsid w:val="00F777B4"/>
    <w:rPr>
      <w:sz w:val="16"/>
      <w:szCs w:val="16"/>
    </w:rPr>
  </w:style>
  <w:style w:type="paragraph" w:styleId="CommentSubject">
    <w:name w:val="annotation subject"/>
    <w:basedOn w:val="CommentText"/>
    <w:next w:val="CommentText"/>
    <w:link w:val="CommentSubjectChar"/>
    <w:rsid w:val="00F777B4"/>
    <w:rPr>
      <w:rFonts w:eastAsia="Times New Roman" w:cs="Times New Roman"/>
      <w:b/>
      <w:bCs/>
      <w:sz w:val="20"/>
      <w:lang w:val="en-US" w:eastAsia="en-US"/>
    </w:rPr>
  </w:style>
  <w:style w:type="character" w:customStyle="1" w:styleId="CommentTextChar">
    <w:name w:val="Comment Text Char"/>
    <w:basedOn w:val="DefaultParagraphFont"/>
    <w:link w:val="CommentText"/>
    <w:rsid w:val="00F777B4"/>
    <w:rPr>
      <w:rFonts w:ascii="Arial" w:eastAsia="SimSun" w:hAnsi="Arial" w:cs="Arial"/>
      <w:sz w:val="18"/>
      <w:lang w:val="es-ES" w:eastAsia="zh-CN"/>
    </w:rPr>
  </w:style>
  <w:style w:type="character" w:customStyle="1" w:styleId="CommentSubjectChar">
    <w:name w:val="Comment Subject Char"/>
    <w:basedOn w:val="CommentTextChar"/>
    <w:link w:val="CommentSubject"/>
    <w:rsid w:val="00F777B4"/>
    <w:rPr>
      <w:rFonts w:ascii="Arial" w:eastAsia="SimSun" w:hAnsi="Arial" w:cs="Arial"/>
      <w:b/>
      <w:bCs/>
      <w:sz w:val="18"/>
      <w:lang w:val="es-ES" w:eastAsia="zh-CN"/>
    </w:rPr>
  </w:style>
  <w:style w:type="paragraph" w:customStyle="1" w:styleId="Default">
    <w:name w:val="Default"/>
    <w:rsid w:val="00F777B4"/>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F777B4"/>
    <w:rPr>
      <w:rFonts w:ascii="Arial" w:hAnsi="Arial"/>
      <w:lang w:val="en-US" w:eastAsia="en-US" w:bidi="ar-SA"/>
    </w:rPr>
  </w:style>
  <w:style w:type="paragraph" w:styleId="TOC2">
    <w:name w:val="toc 2"/>
    <w:basedOn w:val="Normal"/>
    <w:next w:val="Normal"/>
    <w:autoRedefine/>
    <w:uiPriority w:val="39"/>
    <w:qFormat/>
    <w:rsid w:val="006C3168"/>
    <w:pPr>
      <w:tabs>
        <w:tab w:val="left" w:pos="1985"/>
        <w:tab w:val="right" w:pos="9072"/>
      </w:tabs>
      <w:ind w:left="1985" w:right="1134" w:hanging="1418"/>
    </w:pPr>
    <w:rPr>
      <w:rFonts w:asciiTheme="minorHAnsi" w:eastAsia="Times New Roman" w:hAnsiTheme="minorHAnsi" w:cs="Times New Roman"/>
      <w:noProof/>
      <w:sz w:val="20"/>
      <w:lang w:val="en-US" w:eastAsia="en-US"/>
    </w:rPr>
  </w:style>
  <w:style w:type="paragraph" w:styleId="TOC1">
    <w:name w:val="toc 1"/>
    <w:basedOn w:val="Normal"/>
    <w:next w:val="Normal"/>
    <w:autoRedefine/>
    <w:uiPriority w:val="39"/>
    <w:qFormat/>
    <w:rsid w:val="00172EF1"/>
    <w:pPr>
      <w:tabs>
        <w:tab w:val="left" w:pos="567"/>
        <w:tab w:val="right" w:leader="dot" w:pos="9071"/>
      </w:tabs>
      <w:spacing w:before="120" w:after="120"/>
    </w:pPr>
    <w:rPr>
      <w:rFonts w:asciiTheme="minorHAnsi" w:eastAsia="Times New Roman" w:hAnsiTheme="minorHAnsi" w:cs="Times New Roman"/>
      <w:b/>
      <w:noProof/>
      <w:sz w:val="20"/>
      <w:lang w:val="es-ES_tradnl" w:eastAsia="en-US"/>
    </w:rPr>
  </w:style>
  <w:style w:type="paragraph" w:customStyle="1" w:styleId="Indicators">
    <w:name w:val="Indicators"/>
    <w:basedOn w:val="Normal"/>
    <w:link w:val="IndicatorsChar"/>
    <w:rsid w:val="00F777B4"/>
    <w:pPr>
      <w:spacing w:before="120"/>
      <w:ind w:left="284" w:right="170"/>
    </w:pPr>
    <w:rPr>
      <w:rFonts w:eastAsia="Times New Roman" w:cs="Times New Roman"/>
      <w:sz w:val="20"/>
      <w:lang w:val="en-US" w:eastAsia="en-US"/>
    </w:rPr>
  </w:style>
  <w:style w:type="character" w:customStyle="1" w:styleId="IndicatorsChar">
    <w:name w:val="Indicators Char"/>
    <w:link w:val="Indicators"/>
    <w:rsid w:val="00F777B4"/>
    <w:rPr>
      <w:rFonts w:ascii="Arial" w:hAnsi="Arial"/>
    </w:rPr>
  </w:style>
  <w:style w:type="paragraph" w:customStyle="1" w:styleId="preparedby">
    <w:name w:val="prepared by"/>
    <w:basedOn w:val="Normal"/>
    <w:next w:val="Normal"/>
    <w:rsid w:val="00F777B4"/>
    <w:pPr>
      <w:spacing w:after="480" w:line="260" w:lineRule="exact"/>
      <w:ind w:left="1021"/>
    </w:pPr>
    <w:rPr>
      <w:rFonts w:eastAsia="Times New Roman" w:cs="Times New Roman"/>
      <w:i/>
      <w:sz w:val="20"/>
      <w:lang w:val="en-US" w:eastAsia="en-US"/>
    </w:rPr>
  </w:style>
  <w:style w:type="paragraph" w:customStyle="1" w:styleId="Documenttitle">
    <w:name w:val="Document title"/>
    <w:basedOn w:val="Normal"/>
    <w:rsid w:val="00F777B4"/>
    <w:pPr>
      <w:spacing w:before="1200" w:after="120" w:line="260" w:lineRule="exact"/>
      <w:ind w:left="1021"/>
    </w:pPr>
    <w:rPr>
      <w:rFonts w:eastAsia="Times New Roman" w:cs="Times New Roman"/>
      <w:b/>
      <w:caps/>
      <w:sz w:val="20"/>
      <w:lang w:val="en-US" w:eastAsia="en-US"/>
    </w:rPr>
  </w:style>
  <w:style w:type="paragraph" w:customStyle="1" w:styleId="MeetinglanguageDate">
    <w:name w:val="Meeting language &amp; Date"/>
    <w:basedOn w:val="Normal"/>
    <w:next w:val="Meetingtitle"/>
    <w:rsid w:val="00F777B4"/>
    <w:pPr>
      <w:spacing w:after="1680" w:line="160" w:lineRule="exact"/>
      <w:ind w:left="1021"/>
      <w:contextualSpacing/>
      <w:jc w:val="right"/>
    </w:pPr>
    <w:rPr>
      <w:rFonts w:ascii="Arial Black" w:eastAsia="Times New Roman" w:hAnsi="Arial Black" w:cs="Times New Roman"/>
      <w:b/>
      <w:caps/>
      <w:sz w:val="15"/>
      <w:lang w:val="fr-FR" w:eastAsia="en-US"/>
    </w:rPr>
  </w:style>
  <w:style w:type="paragraph" w:customStyle="1" w:styleId="Language">
    <w:name w:val="Language"/>
    <w:basedOn w:val="Normal"/>
    <w:next w:val="Normal"/>
    <w:autoRedefine/>
    <w:rsid w:val="00F777B4"/>
    <w:pPr>
      <w:spacing w:after="120" w:line="340" w:lineRule="atLeast"/>
      <w:ind w:left="1021"/>
      <w:jc w:val="right"/>
    </w:pPr>
    <w:rPr>
      <w:rFonts w:eastAsia="Times New Roman" w:cs="Times New Roman"/>
      <w:b/>
      <w:caps/>
      <w:sz w:val="40"/>
      <w:lang w:val="pt-BR" w:eastAsia="en-US"/>
    </w:rPr>
  </w:style>
  <w:style w:type="paragraph" w:customStyle="1" w:styleId="MeetingCode">
    <w:name w:val="Meeting Code"/>
    <w:basedOn w:val="MeetinglanguageDate"/>
    <w:rsid w:val="00F777B4"/>
    <w:pPr>
      <w:spacing w:before="300" w:after="0"/>
    </w:pPr>
  </w:style>
  <w:style w:type="paragraph" w:customStyle="1" w:styleId="Meetingtitle">
    <w:name w:val="Meeting title"/>
    <w:basedOn w:val="Normal"/>
    <w:next w:val="Sessiontitle"/>
    <w:rsid w:val="00F777B4"/>
    <w:pPr>
      <w:spacing w:after="360" w:line="336" w:lineRule="exact"/>
      <w:ind w:left="1021"/>
    </w:pPr>
    <w:rPr>
      <w:rFonts w:eastAsia="Times New Roman" w:cs="Times New Roman"/>
      <w:b/>
      <w:sz w:val="28"/>
      <w:lang w:val="fr-FR" w:eastAsia="en-US"/>
    </w:rPr>
  </w:style>
  <w:style w:type="paragraph" w:customStyle="1" w:styleId="Sessiontitle">
    <w:name w:val="Session title"/>
    <w:basedOn w:val="Meetingtitle"/>
    <w:next w:val="Meetingdateplace"/>
    <w:rsid w:val="00F777B4"/>
    <w:pPr>
      <w:spacing w:after="0"/>
    </w:pPr>
    <w:rPr>
      <w:sz w:val="24"/>
    </w:rPr>
  </w:style>
  <w:style w:type="paragraph" w:customStyle="1" w:styleId="Meetingdateplace">
    <w:name w:val="Meeting date &amp; place"/>
    <w:basedOn w:val="Sessiontitle"/>
    <w:next w:val="Documenttitle"/>
    <w:rsid w:val="00F777B4"/>
    <w:rPr>
      <w:lang w:val="en-US"/>
    </w:rPr>
  </w:style>
  <w:style w:type="character" w:customStyle="1" w:styleId="CharChar3">
    <w:name w:val="Char Char3"/>
    <w:rsid w:val="00F777B4"/>
    <w:rPr>
      <w:rFonts w:ascii="Arial" w:hAnsi="Arial"/>
      <w:lang w:val="en-US" w:eastAsia="en-US" w:bidi="ar-SA"/>
    </w:rPr>
  </w:style>
  <w:style w:type="paragraph" w:styleId="BlockText">
    <w:name w:val="Block Text"/>
    <w:basedOn w:val="Normal"/>
    <w:rsid w:val="00F777B4"/>
    <w:pPr>
      <w:spacing w:before="60" w:after="60"/>
      <w:ind w:left="266" w:right="142"/>
    </w:pPr>
    <w:rPr>
      <w:rFonts w:eastAsia="Times New Roman" w:cs="Times New Roman"/>
      <w:lang w:val="en-US" w:eastAsia="en-US"/>
    </w:rPr>
  </w:style>
  <w:style w:type="paragraph" w:customStyle="1" w:styleId="BoxText1">
    <w:name w:val="Box Text1"/>
    <w:basedOn w:val="Normal"/>
    <w:rsid w:val="00F777B4"/>
    <w:pPr>
      <w:ind w:left="284"/>
    </w:pPr>
    <w:rPr>
      <w:rFonts w:eastAsia="Times New Roman" w:cs="Times New Roman"/>
      <w:snapToGrid w:val="0"/>
      <w:lang w:val="en-US" w:eastAsia="en-US"/>
    </w:rPr>
  </w:style>
  <w:style w:type="paragraph" w:customStyle="1" w:styleId="Normal1">
    <w:name w:val="Normal+1"/>
    <w:basedOn w:val="Normal"/>
    <w:next w:val="Normal"/>
    <w:rsid w:val="00F777B4"/>
    <w:pPr>
      <w:autoSpaceDE w:val="0"/>
      <w:autoSpaceDN w:val="0"/>
      <w:adjustRightInd w:val="0"/>
    </w:pPr>
    <w:rPr>
      <w:rFonts w:eastAsia="Times New Roman" w:cs="Times New Roman"/>
      <w:sz w:val="20"/>
      <w:szCs w:val="24"/>
      <w:lang w:val="en-US" w:eastAsia="en-US"/>
    </w:rPr>
  </w:style>
  <w:style w:type="paragraph" w:styleId="BodyText2">
    <w:name w:val="Body Text 2"/>
    <w:basedOn w:val="Normal"/>
    <w:link w:val="BodyText2Char"/>
    <w:rsid w:val="00F777B4"/>
    <w:pPr>
      <w:spacing w:after="120" w:line="480" w:lineRule="auto"/>
    </w:pPr>
    <w:rPr>
      <w:rFonts w:eastAsia="Times New Roman" w:cs="Times New Roman"/>
      <w:sz w:val="20"/>
      <w:szCs w:val="24"/>
      <w:lang w:val="en-US" w:eastAsia="en-US"/>
    </w:rPr>
  </w:style>
  <w:style w:type="character" w:customStyle="1" w:styleId="BodyText2Char">
    <w:name w:val="Body Text 2 Char"/>
    <w:basedOn w:val="DefaultParagraphFont"/>
    <w:link w:val="BodyText2"/>
    <w:rsid w:val="00F777B4"/>
    <w:rPr>
      <w:rFonts w:ascii="Arial" w:hAnsi="Arial"/>
      <w:szCs w:val="24"/>
    </w:rPr>
  </w:style>
  <w:style w:type="character" w:customStyle="1" w:styleId="CharChar4">
    <w:name w:val="Char Char4"/>
    <w:rsid w:val="00F777B4"/>
    <w:rPr>
      <w:rFonts w:ascii="Arial" w:hAnsi="Arial"/>
      <w:lang w:val="en-US" w:eastAsia="en-US" w:bidi="ar-SA"/>
    </w:rPr>
  </w:style>
  <w:style w:type="character" w:styleId="FollowedHyperlink">
    <w:name w:val="FollowedHyperlink"/>
    <w:rsid w:val="00F777B4"/>
    <w:rPr>
      <w:color w:val="606420"/>
      <w:u w:val="single"/>
    </w:rPr>
  </w:style>
  <w:style w:type="paragraph" w:customStyle="1" w:styleId="Meetingplacedate">
    <w:name w:val="Meeting place &amp; date"/>
    <w:basedOn w:val="Sessiontitle"/>
    <w:next w:val="Documenttitle"/>
    <w:rsid w:val="00F777B4"/>
    <w:rPr>
      <w:lang w:val="en-US"/>
    </w:rPr>
  </w:style>
  <w:style w:type="character" w:customStyle="1" w:styleId="CharChar6">
    <w:name w:val="Char Char6"/>
    <w:rsid w:val="00F777B4"/>
    <w:rPr>
      <w:rFonts w:ascii="Arial" w:hAnsi="Arial"/>
      <w:lang w:val="en-US" w:eastAsia="en-US" w:bidi="ar-SA"/>
    </w:rPr>
  </w:style>
  <w:style w:type="character" w:customStyle="1" w:styleId="Novruzova">
    <w:name w:val="Novruzova"/>
    <w:semiHidden/>
    <w:rsid w:val="00F777B4"/>
    <w:rPr>
      <w:rFonts w:ascii="Arial" w:hAnsi="Arial" w:cs="Arial"/>
      <w:color w:val="000080"/>
      <w:sz w:val="20"/>
      <w:szCs w:val="20"/>
    </w:rPr>
  </w:style>
  <w:style w:type="character" w:customStyle="1" w:styleId="description">
    <w:name w:val="description"/>
    <w:basedOn w:val="DefaultParagraphFont"/>
    <w:rsid w:val="00F777B4"/>
  </w:style>
  <w:style w:type="paragraph" w:customStyle="1" w:styleId="FreeFormA">
    <w:name w:val="Free Form A"/>
    <w:rsid w:val="00F777B4"/>
    <w:rPr>
      <w:rFonts w:ascii="Helvetica" w:eastAsia="ヒラギノ角ゴ Pro W3" w:hAnsi="Helvetica"/>
      <w:color w:val="000000"/>
      <w:sz w:val="24"/>
    </w:rPr>
  </w:style>
  <w:style w:type="paragraph" w:customStyle="1" w:styleId="Char">
    <w:name w:val="Char 字元 字元"/>
    <w:basedOn w:val="Normal"/>
    <w:rsid w:val="00F777B4"/>
    <w:pPr>
      <w:spacing w:after="160" w:line="240" w:lineRule="exact"/>
    </w:pPr>
    <w:rPr>
      <w:rFonts w:ascii="Verdana" w:eastAsia="PMingLiU" w:hAnsi="Verdana" w:cs="Times New Roman"/>
      <w:sz w:val="20"/>
      <w:lang w:val="en-US" w:eastAsia="en-US"/>
    </w:rPr>
  </w:style>
  <w:style w:type="character" w:customStyle="1" w:styleId="underline">
    <w:name w:val="underline"/>
    <w:rsid w:val="00F777B4"/>
    <w:rPr>
      <w:u w:val="single"/>
    </w:rPr>
  </w:style>
  <w:style w:type="paragraph" w:customStyle="1" w:styleId="FreeForm">
    <w:name w:val="Free Form"/>
    <w:rsid w:val="00F777B4"/>
    <w:rPr>
      <w:rFonts w:eastAsia="ヒラギノ角ゴ Pro W3"/>
      <w:color w:val="000000"/>
    </w:rPr>
  </w:style>
  <w:style w:type="paragraph" w:customStyle="1" w:styleId="Heading2A">
    <w:name w:val="Heading 2 A"/>
    <w:next w:val="Normal"/>
    <w:rsid w:val="00F777B4"/>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F777B4"/>
    <w:rPr>
      <w:rFonts w:ascii="Arial" w:hAnsi="Arial"/>
      <w:sz w:val="16"/>
    </w:rPr>
  </w:style>
  <w:style w:type="character" w:styleId="PlaceholderText">
    <w:name w:val="Placeholder Text"/>
    <w:basedOn w:val="DefaultParagraphFont"/>
    <w:uiPriority w:val="99"/>
    <w:semiHidden/>
    <w:rsid w:val="00F777B4"/>
    <w:rPr>
      <w:color w:val="808080"/>
    </w:rPr>
  </w:style>
  <w:style w:type="character" w:customStyle="1" w:styleId="Style5">
    <w:name w:val="Style5"/>
    <w:basedOn w:val="DefaultParagraphFont"/>
    <w:uiPriority w:val="1"/>
    <w:rsid w:val="00F777B4"/>
    <w:rPr>
      <w:rFonts w:asciiTheme="minorHAnsi" w:hAnsiTheme="minorHAnsi"/>
      <w:sz w:val="20"/>
    </w:rPr>
  </w:style>
  <w:style w:type="paragraph" w:styleId="Revision">
    <w:name w:val="Revision"/>
    <w:hidden/>
    <w:uiPriority w:val="99"/>
    <w:semiHidden/>
    <w:rsid w:val="00F777B4"/>
    <w:rPr>
      <w:rFonts w:ascii="Arial" w:hAnsi="Arial"/>
      <w:szCs w:val="24"/>
    </w:rPr>
  </w:style>
  <w:style w:type="character" w:styleId="Emphasis">
    <w:name w:val="Emphasis"/>
    <w:basedOn w:val="DefaultParagraphFont"/>
    <w:uiPriority w:val="20"/>
    <w:qFormat/>
    <w:rsid w:val="00F777B4"/>
    <w:rPr>
      <w:b/>
      <w:bCs/>
      <w:i w:val="0"/>
      <w:iCs w:val="0"/>
    </w:rPr>
  </w:style>
  <w:style w:type="character" w:customStyle="1" w:styleId="st1">
    <w:name w:val="st1"/>
    <w:basedOn w:val="DefaultParagraphFont"/>
    <w:rsid w:val="00F777B4"/>
  </w:style>
  <w:style w:type="paragraph" w:styleId="PlainText">
    <w:name w:val="Plain Text"/>
    <w:basedOn w:val="Normal"/>
    <w:link w:val="PlainTextChar"/>
    <w:uiPriority w:val="99"/>
    <w:rsid w:val="00B45FC3"/>
    <w:rPr>
      <w:rFonts w:ascii="Courier New" w:hAnsi="Courier New" w:cs="Courier New"/>
      <w:color w:val="0000FF"/>
      <w:sz w:val="20"/>
    </w:rPr>
  </w:style>
  <w:style w:type="character" w:customStyle="1" w:styleId="PlainTextChar">
    <w:name w:val="Plain Text Char"/>
    <w:basedOn w:val="DefaultParagraphFont"/>
    <w:link w:val="PlainText"/>
    <w:uiPriority w:val="99"/>
    <w:rsid w:val="00B45FC3"/>
    <w:rPr>
      <w:rFonts w:ascii="Courier New" w:eastAsia="SimSun" w:hAnsi="Courier New" w:cs="Courier New"/>
      <w:color w:val="0000FF"/>
      <w:lang w:val="es-ES" w:eastAsia="zh-CN"/>
    </w:rPr>
  </w:style>
  <w:style w:type="paragraph" w:customStyle="1" w:styleId="StyleHeading3BoldNounderline">
    <w:name w:val="Style Heading 3 + Bold No underline"/>
    <w:basedOn w:val="Heading3"/>
    <w:rsid w:val="00B45FC3"/>
    <w:rPr>
      <w:i/>
      <w:u w:val="none"/>
      <w:lang w:val="en-US" w:eastAsia="en-US"/>
    </w:rPr>
  </w:style>
  <w:style w:type="character" w:customStyle="1" w:styleId="st">
    <w:name w:val="st"/>
    <w:basedOn w:val="DefaultParagraphFont"/>
    <w:rsid w:val="00B45FC3"/>
  </w:style>
  <w:style w:type="paragraph" w:customStyle="1" w:styleId="Style1">
    <w:name w:val="Style1"/>
    <w:basedOn w:val="Normal"/>
    <w:qFormat/>
    <w:rsid w:val="00B45FC3"/>
    <w:pPr>
      <w:numPr>
        <w:numId w:val="63"/>
      </w:numPr>
    </w:pPr>
    <w:rPr>
      <w:rFonts w:eastAsia="Times New Roman" w:cs="Times New Roman"/>
      <w:sz w:val="20"/>
      <w:szCs w:val="24"/>
      <w:lang w:val="en-US" w:eastAsia="en-US"/>
    </w:rPr>
  </w:style>
  <w:style w:type="paragraph" w:customStyle="1" w:styleId="StyleStyleHeading3ComplexItalicLatin12pt">
    <w:name w:val="Style Style Heading 3 + (Complex) Italic + (Latin) 12 pt"/>
    <w:basedOn w:val="Normal"/>
    <w:link w:val="StyleStyleHeading3ComplexItalicLatin12ptChar"/>
    <w:rsid w:val="00B45FC3"/>
    <w:pPr>
      <w:keepNext/>
      <w:tabs>
        <w:tab w:val="left" w:pos="1985"/>
      </w:tabs>
      <w:outlineLvl w:val="2"/>
    </w:pPr>
    <w:rPr>
      <w:rFonts w:eastAsia="Times New Roman" w:cs="Times New Roman"/>
      <w:b/>
      <w:iCs/>
      <w:caps/>
      <w:sz w:val="20"/>
      <w:szCs w:val="22"/>
      <w:lang w:eastAsia="en-US"/>
    </w:rPr>
  </w:style>
  <w:style w:type="character" w:customStyle="1" w:styleId="StyleStyleHeading3ComplexItalicLatin12ptChar">
    <w:name w:val="Style Style Heading 3 + (Complex) Italic + (Latin) 12 pt Char"/>
    <w:basedOn w:val="DefaultParagraphFont"/>
    <w:link w:val="StyleStyleHeading3ComplexItalicLatin12pt"/>
    <w:rsid w:val="00B45FC3"/>
    <w:rPr>
      <w:rFonts w:ascii="Arial" w:hAnsi="Arial"/>
      <w:b/>
      <w:iCs/>
      <w:caps/>
      <w:szCs w:val="22"/>
      <w:lang w:val="es-ES"/>
    </w:rPr>
  </w:style>
  <w:style w:type="character" w:customStyle="1" w:styleId="FooterChar">
    <w:name w:val="Footer Char"/>
    <w:basedOn w:val="DefaultParagraphFont"/>
    <w:link w:val="Footer"/>
    <w:rsid w:val="00794E04"/>
    <w:rPr>
      <w:rFonts w:ascii="Arial" w:eastAsia="SimSun" w:hAnsi="Arial" w:cs="Arial"/>
      <w:sz w:val="22"/>
      <w:lang w:val="es-ES" w:eastAsia="zh-CN"/>
    </w:rPr>
  </w:style>
  <w:style w:type="paragraph" w:styleId="NoSpacing">
    <w:name w:val="No Spacing"/>
    <w:uiPriority w:val="1"/>
    <w:qFormat/>
    <w:rsid w:val="00794E04"/>
    <w:rPr>
      <w:rFonts w:asciiTheme="minorHAnsi" w:eastAsiaTheme="minorHAnsi" w:hAnsiTheme="minorHAnsi" w:cstheme="minorBidi"/>
      <w:sz w:val="22"/>
      <w:szCs w:val="22"/>
    </w:rPr>
  </w:style>
  <w:style w:type="character" w:customStyle="1" w:styleId="Heading1Char">
    <w:name w:val="Heading 1 Char"/>
    <w:basedOn w:val="DefaultParagraphFont"/>
    <w:link w:val="Heading1"/>
    <w:rsid w:val="00C91295"/>
    <w:rPr>
      <w:rFonts w:ascii="Arial" w:eastAsia="SimSun" w:hAnsi="Arial" w:cs="Arial"/>
      <w:b/>
      <w:bCs/>
      <w:caps/>
      <w:kern w:val="32"/>
      <w:sz w:val="22"/>
      <w:szCs w:val="32"/>
      <w:lang w:val="es-ES" w:eastAsia="zh-CN"/>
    </w:rPr>
  </w:style>
  <w:style w:type="character" w:customStyle="1" w:styleId="Heading3Char">
    <w:name w:val="Heading 3 Char"/>
    <w:basedOn w:val="DefaultParagraphFont"/>
    <w:link w:val="Heading3"/>
    <w:rsid w:val="00C91295"/>
    <w:rPr>
      <w:rFonts w:ascii="Arial" w:eastAsia="SimSun" w:hAnsi="Arial" w:cs="Arial"/>
      <w:bCs/>
      <w:sz w:val="22"/>
      <w:szCs w:val="26"/>
      <w:u w:val="single"/>
      <w:lang w:val="es-ES" w:eastAsia="zh-CN"/>
    </w:rPr>
  </w:style>
  <w:style w:type="character" w:customStyle="1" w:styleId="Heading4Char">
    <w:name w:val="Heading 4 Char"/>
    <w:basedOn w:val="DefaultParagraphFont"/>
    <w:link w:val="Heading4"/>
    <w:rsid w:val="00C91295"/>
    <w:rPr>
      <w:rFonts w:ascii="Arial" w:eastAsia="SimSun" w:hAnsi="Arial" w:cs="Arial"/>
      <w:bCs/>
      <w:i/>
      <w:sz w:val="22"/>
      <w:szCs w:val="28"/>
      <w:lang w:val="es-ES" w:eastAsia="zh-CN"/>
    </w:rPr>
  </w:style>
  <w:style w:type="character" w:customStyle="1" w:styleId="SalutationChar">
    <w:name w:val="Salutation Char"/>
    <w:basedOn w:val="DefaultParagraphFont"/>
    <w:link w:val="Salutation"/>
    <w:rsid w:val="00C91295"/>
    <w:rPr>
      <w:rFonts w:ascii="Arial" w:eastAsia="SimSun" w:hAnsi="Arial" w:cs="Arial"/>
      <w:sz w:val="22"/>
      <w:lang w:val="es-ES" w:eastAsia="zh-CN"/>
    </w:rPr>
  </w:style>
  <w:style w:type="character" w:customStyle="1" w:styleId="SignatureChar">
    <w:name w:val="Signature Char"/>
    <w:basedOn w:val="DefaultParagraphFont"/>
    <w:link w:val="Signature"/>
    <w:rsid w:val="00C91295"/>
    <w:rPr>
      <w:rFonts w:ascii="Arial" w:eastAsia="SimSun" w:hAnsi="Arial" w:cs="Arial"/>
      <w:sz w:val="22"/>
      <w:lang w:val="es-ES" w:eastAsia="zh-CN"/>
    </w:rPr>
  </w:style>
  <w:style w:type="character" w:customStyle="1" w:styleId="EndnoteTextChar">
    <w:name w:val="Endnote Text Char"/>
    <w:basedOn w:val="DefaultParagraphFont"/>
    <w:link w:val="EndnoteText"/>
    <w:rsid w:val="00C91295"/>
    <w:rPr>
      <w:rFonts w:ascii="Arial" w:eastAsia="SimSun" w:hAnsi="Arial" w:cs="Arial"/>
      <w:sz w:val="18"/>
      <w:lang w:val="es-ES" w:eastAsia="zh-CN"/>
    </w:rPr>
  </w:style>
  <w:style w:type="paragraph" w:styleId="TOCHeading">
    <w:name w:val="TOC Heading"/>
    <w:basedOn w:val="Heading1"/>
    <w:next w:val="Normal"/>
    <w:uiPriority w:val="39"/>
    <w:semiHidden/>
    <w:unhideWhenUsed/>
    <w:qFormat/>
    <w:rsid w:val="00C91295"/>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3">
    <w:name w:val="toc 3"/>
    <w:basedOn w:val="Normal"/>
    <w:next w:val="Normal"/>
    <w:autoRedefine/>
    <w:uiPriority w:val="39"/>
    <w:unhideWhenUsed/>
    <w:qFormat/>
    <w:rsid w:val="00A54CE8"/>
    <w:pPr>
      <w:tabs>
        <w:tab w:val="right" w:leader="dot" w:pos="9072"/>
      </w:tabs>
      <w:ind w:left="851" w:right="-143"/>
    </w:pPr>
    <w:rPr>
      <w:rFonts w:asciiTheme="minorHAnsi" w:eastAsia="Times New Roman" w:hAnsiTheme="minorHAnsi" w:cs="Times New Roman"/>
      <w:i/>
      <w:iCs/>
      <w:noProof/>
      <w:sz w:val="20"/>
      <w:lang w:val="fr-FR" w:eastAsia="en-US"/>
    </w:rPr>
  </w:style>
  <w:style w:type="paragraph" w:styleId="TOC4">
    <w:name w:val="toc 4"/>
    <w:basedOn w:val="Normal"/>
    <w:next w:val="Normal"/>
    <w:autoRedefine/>
    <w:rsid w:val="00C91295"/>
    <w:pPr>
      <w:ind w:left="600"/>
    </w:pPr>
    <w:rPr>
      <w:rFonts w:asciiTheme="minorHAnsi" w:eastAsia="Times New Roman" w:hAnsiTheme="minorHAnsi" w:cs="Times New Roman"/>
      <w:sz w:val="18"/>
      <w:szCs w:val="18"/>
      <w:lang w:val="en-US" w:eastAsia="en-US"/>
    </w:rPr>
  </w:style>
  <w:style w:type="paragraph" w:styleId="TOC5">
    <w:name w:val="toc 5"/>
    <w:basedOn w:val="Normal"/>
    <w:next w:val="Normal"/>
    <w:autoRedefine/>
    <w:rsid w:val="00C91295"/>
    <w:pPr>
      <w:ind w:left="800"/>
    </w:pPr>
    <w:rPr>
      <w:rFonts w:asciiTheme="minorHAnsi" w:eastAsia="Times New Roman" w:hAnsiTheme="minorHAnsi" w:cs="Times New Roman"/>
      <w:sz w:val="18"/>
      <w:szCs w:val="18"/>
      <w:lang w:val="en-US" w:eastAsia="en-US"/>
    </w:rPr>
  </w:style>
  <w:style w:type="paragraph" w:styleId="TOC6">
    <w:name w:val="toc 6"/>
    <w:basedOn w:val="Normal"/>
    <w:next w:val="Normal"/>
    <w:autoRedefine/>
    <w:rsid w:val="00C91295"/>
    <w:pPr>
      <w:ind w:left="1000"/>
    </w:pPr>
    <w:rPr>
      <w:rFonts w:asciiTheme="minorHAnsi" w:eastAsia="Times New Roman" w:hAnsiTheme="minorHAnsi" w:cs="Times New Roman"/>
      <w:sz w:val="18"/>
      <w:szCs w:val="18"/>
      <w:lang w:val="en-US" w:eastAsia="en-US"/>
    </w:rPr>
  </w:style>
  <w:style w:type="paragraph" w:styleId="TOC7">
    <w:name w:val="toc 7"/>
    <w:basedOn w:val="Normal"/>
    <w:next w:val="Normal"/>
    <w:autoRedefine/>
    <w:rsid w:val="00C91295"/>
    <w:pPr>
      <w:ind w:left="1200"/>
    </w:pPr>
    <w:rPr>
      <w:rFonts w:asciiTheme="minorHAnsi" w:eastAsia="Times New Roman" w:hAnsiTheme="minorHAnsi" w:cs="Times New Roman"/>
      <w:sz w:val="18"/>
      <w:szCs w:val="18"/>
      <w:lang w:val="en-US" w:eastAsia="en-US"/>
    </w:rPr>
  </w:style>
  <w:style w:type="paragraph" w:styleId="TOC8">
    <w:name w:val="toc 8"/>
    <w:basedOn w:val="Normal"/>
    <w:next w:val="Normal"/>
    <w:autoRedefine/>
    <w:rsid w:val="00C91295"/>
    <w:pPr>
      <w:ind w:left="1400"/>
    </w:pPr>
    <w:rPr>
      <w:rFonts w:asciiTheme="minorHAnsi" w:eastAsia="Times New Roman" w:hAnsiTheme="minorHAnsi" w:cs="Times New Roman"/>
      <w:sz w:val="18"/>
      <w:szCs w:val="18"/>
      <w:lang w:val="en-US" w:eastAsia="en-US"/>
    </w:rPr>
  </w:style>
  <w:style w:type="paragraph" w:styleId="TOC9">
    <w:name w:val="toc 9"/>
    <w:basedOn w:val="Normal"/>
    <w:next w:val="Normal"/>
    <w:autoRedefine/>
    <w:rsid w:val="00C91295"/>
    <w:pPr>
      <w:ind w:left="1600"/>
    </w:pPr>
    <w:rPr>
      <w:rFonts w:asciiTheme="minorHAnsi" w:eastAsia="Times New Roman" w:hAnsiTheme="minorHAnsi" w:cs="Times New Roman"/>
      <w:sz w:val="18"/>
      <w:szCs w:val="18"/>
      <w:lang w:val="en-US" w:eastAsia="en-US"/>
    </w:rPr>
  </w:style>
  <w:style w:type="character" w:customStyle="1" w:styleId="ONUMEChar">
    <w:name w:val="ONUM E Char"/>
    <w:link w:val="ONUME"/>
    <w:locked/>
    <w:rsid w:val="00C91295"/>
    <w:rPr>
      <w:rFonts w:ascii="Arial" w:eastAsia="SimSun" w:hAnsi="Arial" w:cs="Arial"/>
      <w:sz w:val="22"/>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105.emf"/><Relationship Id="rId21" Type="http://schemas.openxmlformats.org/officeDocument/2006/relationships/image" Target="media/image10.emf"/><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emf"/><Relationship Id="rId84" Type="http://schemas.openxmlformats.org/officeDocument/2006/relationships/image" Target="media/image72.emf"/><Relationship Id="rId89" Type="http://schemas.openxmlformats.org/officeDocument/2006/relationships/image" Target="media/image77.emf"/><Relationship Id="rId112" Type="http://schemas.openxmlformats.org/officeDocument/2006/relationships/image" Target="media/image100.emf"/><Relationship Id="rId133" Type="http://schemas.openxmlformats.org/officeDocument/2006/relationships/image" Target="media/image121.emf"/><Relationship Id="rId138" Type="http://schemas.openxmlformats.org/officeDocument/2006/relationships/image" Target="media/image125.emf"/><Relationship Id="rId154" Type="http://schemas.openxmlformats.org/officeDocument/2006/relationships/image" Target="media/image141.emf"/><Relationship Id="rId159" Type="http://schemas.openxmlformats.org/officeDocument/2006/relationships/image" Target="media/image146.emf"/><Relationship Id="rId170" Type="http://schemas.openxmlformats.org/officeDocument/2006/relationships/header" Target="header9.xml"/><Relationship Id="rId16" Type="http://schemas.openxmlformats.org/officeDocument/2006/relationships/image" Target="media/image5.emf"/><Relationship Id="rId107" Type="http://schemas.openxmlformats.org/officeDocument/2006/relationships/image" Target="media/image95.emf"/><Relationship Id="rId11" Type="http://schemas.openxmlformats.org/officeDocument/2006/relationships/header" Target="header2.xml"/><Relationship Id="rId32" Type="http://schemas.openxmlformats.org/officeDocument/2006/relationships/image" Target="media/image21.emf"/><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102" Type="http://schemas.openxmlformats.org/officeDocument/2006/relationships/image" Target="media/image90.emf"/><Relationship Id="rId123" Type="http://schemas.openxmlformats.org/officeDocument/2006/relationships/image" Target="media/image111.emf"/><Relationship Id="rId128" Type="http://schemas.openxmlformats.org/officeDocument/2006/relationships/image" Target="media/image116.emf"/><Relationship Id="rId144" Type="http://schemas.openxmlformats.org/officeDocument/2006/relationships/image" Target="media/image131.emf"/><Relationship Id="rId149" Type="http://schemas.openxmlformats.org/officeDocument/2006/relationships/image" Target="media/image136.emf"/><Relationship Id="rId5" Type="http://schemas.openxmlformats.org/officeDocument/2006/relationships/settings" Target="settings.xml"/><Relationship Id="rId90" Type="http://schemas.openxmlformats.org/officeDocument/2006/relationships/image" Target="media/image78.emf"/><Relationship Id="rId95" Type="http://schemas.openxmlformats.org/officeDocument/2006/relationships/image" Target="media/image83.emf"/><Relationship Id="rId160" Type="http://schemas.openxmlformats.org/officeDocument/2006/relationships/image" Target="media/image147.emf"/><Relationship Id="rId165" Type="http://schemas.openxmlformats.org/officeDocument/2006/relationships/header" Target="header5.xml"/><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oleObject" Target="embeddings/oleObject1.bin"/><Relationship Id="rId48" Type="http://schemas.openxmlformats.org/officeDocument/2006/relationships/image" Target="media/image36.png"/><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image" Target="media/image101.emf"/><Relationship Id="rId118" Type="http://schemas.openxmlformats.org/officeDocument/2006/relationships/image" Target="media/image106.emf"/><Relationship Id="rId134" Type="http://schemas.openxmlformats.org/officeDocument/2006/relationships/hyperlink" Target="http://www.wipo.int/meetings/en/details.jsp?meeting_id=35262" TargetMode="External"/><Relationship Id="rId139" Type="http://schemas.openxmlformats.org/officeDocument/2006/relationships/image" Target="media/image126.emf"/><Relationship Id="rId80" Type="http://schemas.openxmlformats.org/officeDocument/2006/relationships/image" Target="media/image68.emf"/><Relationship Id="rId85" Type="http://schemas.openxmlformats.org/officeDocument/2006/relationships/image" Target="media/image73.emf"/><Relationship Id="rId150" Type="http://schemas.openxmlformats.org/officeDocument/2006/relationships/image" Target="media/image137.emf"/><Relationship Id="rId155" Type="http://schemas.openxmlformats.org/officeDocument/2006/relationships/image" Target="media/image142.emf"/><Relationship Id="rId171" Type="http://schemas.openxmlformats.org/officeDocument/2006/relationships/header" Target="header10.xml"/><Relationship Id="rId12" Type="http://schemas.openxmlformats.org/officeDocument/2006/relationships/footer" Target="footer1.xml"/><Relationship Id="rId17" Type="http://schemas.openxmlformats.org/officeDocument/2006/relationships/image" Target="media/image6.emf"/><Relationship Id="rId33" Type="http://schemas.openxmlformats.org/officeDocument/2006/relationships/image" Target="media/image22.emf"/><Relationship Id="rId38" Type="http://schemas.openxmlformats.org/officeDocument/2006/relationships/image" Target="media/image27.emf"/><Relationship Id="rId59" Type="http://schemas.openxmlformats.org/officeDocument/2006/relationships/image" Target="media/image47.emf"/><Relationship Id="rId103" Type="http://schemas.openxmlformats.org/officeDocument/2006/relationships/image" Target="media/image91.emf"/><Relationship Id="rId108" Type="http://schemas.openxmlformats.org/officeDocument/2006/relationships/image" Target="media/image96.emf"/><Relationship Id="rId124" Type="http://schemas.openxmlformats.org/officeDocument/2006/relationships/image" Target="media/image112.png"/><Relationship Id="rId129" Type="http://schemas.openxmlformats.org/officeDocument/2006/relationships/image" Target="media/image117.emf"/><Relationship Id="rId54" Type="http://schemas.openxmlformats.org/officeDocument/2006/relationships/image" Target="media/image42.png"/><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9.emf"/><Relationship Id="rId96" Type="http://schemas.openxmlformats.org/officeDocument/2006/relationships/image" Target="media/image84.emf"/><Relationship Id="rId140" Type="http://schemas.openxmlformats.org/officeDocument/2006/relationships/image" Target="media/image127.emf"/><Relationship Id="rId145" Type="http://schemas.openxmlformats.org/officeDocument/2006/relationships/image" Target="media/image132.emf"/><Relationship Id="rId161" Type="http://schemas.openxmlformats.org/officeDocument/2006/relationships/image" Target="media/image148.emf"/><Relationship Id="rId16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emf"/><Relationship Id="rId106" Type="http://schemas.openxmlformats.org/officeDocument/2006/relationships/image" Target="media/image94.emf"/><Relationship Id="rId114" Type="http://schemas.openxmlformats.org/officeDocument/2006/relationships/image" Target="media/image102.emf"/><Relationship Id="rId119" Type="http://schemas.openxmlformats.org/officeDocument/2006/relationships/image" Target="media/image107.emf"/><Relationship Id="rId127" Type="http://schemas.openxmlformats.org/officeDocument/2006/relationships/image" Target="media/image115.emf"/><Relationship Id="rId10" Type="http://schemas.openxmlformats.org/officeDocument/2006/relationships/header" Target="header1.xml"/><Relationship Id="rId31" Type="http://schemas.openxmlformats.org/officeDocument/2006/relationships/image" Target="media/image20.em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image" Target="media/image89.emf"/><Relationship Id="rId122" Type="http://schemas.openxmlformats.org/officeDocument/2006/relationships/image" Target="media/image110.emf"/><Relationship Id="rId130" Type="http://schemas.openxmlformats.org/officeDocument/2006/relationships/image" Target="media/image118.emf"/><Relationship Id="rId135" Type="http://schemas.openxmlformats.org/officeDocument/2006/relationships/image" Target="media/image122.emf"/><Relationship Id="rId143" Type="http://schemas.openxmlformats.org/officeDocument/2006/relationships/image" Target="media/image130.emf"/><Relationship Id="rId148" Type="http://schemas.openxmlformats.org/officeDocument/2006/relationships/image" Target="media/image135.emf"/><Relationship Id="rId151" Type="http://schemas.openxmlformats.org/officeDocument/2006/relationships/image" Target="media/image138.emf"/><Relationship Id="rId156" Type="http://schemas.openxmlformats.org/officeDocument/2006/relationships/image" Target="media/image143.emf"/><Relationship Id="rId164" Type="http://schemas.openxmlformats.org/officeDocument/2006/relationships/footer" Target="footer2.xml"/><Relationship Id="rId16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fontTable" Target="fontTable.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8.emf"/><Relationship Id="rId109" Type="http://schemas.openxmlformats.org/officeDocument/2006/relationships/image" Target="media/image97.emf"/><Relationship Id="rId34" Type="http://schemas.openxmlformats.org/officeDocument/2006/relationships/image" Target="media/image23.emf"/><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emf"/><Relationship Id="rId97" Type="http://schemas.openxmlformats.org/officeDocument/2006/relationships/image" Target="media/image85.emf"/><Relationship Id="rId104" Type="http://schemas.openxmlformats.org/officeDocument/2006/relationships/image" Target="media/image92.emf"/><Relationship Id="rId120" Type="http://schemas.openxmlformats.org/officeDocument/2006/relationships/image" Target="media/image108.emf"/><Relationship Id="rId125" Type="http://schemas.openxmlformats.org/officeDocument/2006/relationships/image" Target="media/image113.emf"/><Relationship Id="rId141" Type="http://schemas.openxmlformats.org/officeDocument/2006/relationships/image" Target="media/image128.emf"/><Relationship Id="rId146" Type="http://schemas.openxmlformats.org/officeDocument/2006/relationships/image" Target="media/image133.emf"/><Relationship Id="rId167"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59.emf"/><Relationship Id="rId92" Type="http://schemas.openxmlformats.org/officeDocument/2006/relationships/image" Target="media/image80.emf"/><Relationship Id="rId16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image" Target="media/image98.emf"/><Relationship Id="rId115" Type="http://schemas.openxmlformats.org/officeDocument/2006/relationships/image" Target="media/image103.emf"/><Relationship Id="rId131" Type="http://schemas.openxmlformats.org/officeDocument/2006/relationships/image" Target="media/image119.emf"/><Relationship Id="rId136" Type="http://schemas.openxmlformats.org/officeDocument/2006/relationships/image" Target="media/image123.emf"/><Relationship Id="rId157" Type="http://schemas.openxmlformats.org/officeDocument/2006/relationships/image" Target="media/image144.emf"/><Relationship Id="rId61" Type="http://schemas.openxmlformats.org/officeDocument/2006/relationships/image" Target="media/image49.emf"/><Relationship Id="rId82" Type="http://schemas.openxmlformats.org/officeDocument/2006/relationships/image" Target="media/image70.emf"/><Relationship Id="rId152" Type="http://schemas.openxmlformats.org/officeDocument/2006/relationships/image" Target="media/image139.emf"/><Relationship Id="rId173" Type="http://schemas.openxmlformats.org/officeDocument/2006/relationships/theme" Target="theme/theme1.xml"/><Relationship Id="rId19" Type="http://schemas.openxmlformats.org/officeDocument/2006/relationships/image" Target="media/image8.emf"/><Relationship Id="rId14" Type="http://schemas.openxmlformats.org/officeDocument/2006/relationships/image" Target="media/image3.emf"/><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44.emf"/><Relationship Id="rId77" Type="http://schemas.openxmlformats.org/officeDocument/2006/relationships/image" Target="media/image65.png"/><Relationship Id="rId100" Type="http://schemas.openxmlformats.org/officeDocument/2006/relationships/image" Target="media/image88.emf"/><Relationship Id="rId105" Type="http://schemas.openxmlformats.org/officeDocument/2006/relationships/image" Target="media/image93.emf"/><Relationship Id="rId126" Type="http://schemas.openxmlformats.org/officeDocument/2006/relationships/image" Target="media/image114.emf"/><Relationship Id="rId147" Type="http://schemas.openxmlformats.org/officeDocument/2006/relationships/image" Target="media/image134.emf"/><Relationship Id="rId16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image" Target="media/image109.emf"/><Relationship Id="rId142" Type="http://schemas.openxmlformats.org/officeDocument/2006/relationships/image" Target="media/image129.emf"/><Relationship Id="rId163" Type="http://schemas.openxmlformats.org/officeDocument/2006/relationships/header" Target="header4.xml"/><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image" Target="media/image34.png"/><Relationship Id="rId67" Type="http://schemas.openxmlformats.org/officeDocument/2006/relationships/image" Target="media/image55.emf"/><Relationship Id="rId116" Type="http://schemas.openxmlformats.org/officeDocument/2006/relationships/image" Target="media/image104.emf"/><Relationship Id="rId137" Type="http://schemas.openxmlformats.org/officeDocument/2006/relationships/image" Target="media/image124.emf"/><Relationship Id="rId158" Type="http://schemas.openxmlformats.org/officeDocument/2006/relationships/image" Target="media/image145.emf"/><Relationship Id="rId20" Type="http://schemas.openxmlformats.org/officeDocument/2006/relationships/image" Target="media/image9.emf"/><Relationship Id="rId41" Type="http://schemas.openxmlformats.org/officeDocument/2006/relationships/image" Target="media/image30.png"/><Relationship Id="rId62" Type="http://schemas.openxmlformats.org/officeDocument/2006/relationships/image" Target="media/image50.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image" Target="media/image99.emf"/><Relationship Id="rId132" Type="http://schemas.openxmlformats.org/officeDocument/2006/relationships/image" Target="media/image120.emf"/><Relationship Id="rId153" Type="http://schemas.openxmlformats.org/officeDocument/2006/relationships/image" Target="media/image140.emf"/></Relationships>
</file>

<file path=word/_rels/footnotes.xml.rels><?xml version="1.0" encoding="UTF-8" standalone="yes"?>
<Relationships xmlns="http://schemas.openxmlformats.org/package/2006/relationships"><Relationship Id="rId3" Type="http://schemas.openxmlformats.org/officeDocument/2006/relationships/hyperlink" Target="http://www.wipo.int/meetings/es/doc_details.jsp?doc_id=239806" TargetMode="External"/><Relationship Id="rId2" Type="http://schemas.openxmlformats.org/officeDocument/2006/relationships/hyperlink" Target="http://www.wipo.int/meetings/es/doc_details.jsp?doc_id=208882" TargetMode="External"/><Relationship Id="rId1" Type="http://schemas.openxmlformats.org/officeDocument/2006/relationships/hyperlink" Target="http://www.wipo.int/edocs/pubdocs/en/wipo_pub_1043.pdf" TargetMode="External"/><Relationship Id="rId5" Type="http://schemas.openxmlformats.org/officeDocument/2006/relationships/hyperlink" Target="http://www.wipo.int/about-wipo/es/oversight/iaod/evaluation" TargetMode="External"/><Relationship Id="rId4" Type="http://schemas.openxmlformats.org/officeDocument/2006/relationships/hyperlink" Target="http://www.wipo.int/about-wipo/es/oversight/iaod/aud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WO%20PBC%2023%20(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84D74-0972-4DE7-A5D0-6DDBBC04A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 PBC 23 (S)</Template>
  <TotalTime>1</TotalTime>
  <Pages>309</Pages>
  <Words>117000</Words>
  <Characters>666902</Characters>
  <Application>Microsoft Office Word</Application>
  <DocSecurity>4</DocSecurity>
  <Lines>5557</Lines>
  <Paragraphs>1564</Paragraphs>
  <ScaleCrop>false</ScaleCrop>
  <HeadingPairs>
    <vt:vector size="2" baseType="variant">
      <vt:variant>
        <vt:lpstr>Title</vt:lpstr>
      </vt:variant>
      <vt:variant>
        <vt:i4>1</vt:i4>
      </vt:variant>
    </vt:vector>
  </HeadingPairs>
  <TitlesOfParts>
    <vt:vector size="1" baseType="lpstr">
      <vt:lpstr>WO/PBC/23/</vt:lpstr>
    </vt:vector>
  </TitlesOfParts>
  <Company>WIPO</Company>
  <LinksUpToDate>false</LinksUpToDate>
  <CharactersWithSpaces>782338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WO/PBC/23/</dc:title>
  <dc:creator>CEVALLOS DUQUE Nilo</dc:creator>
  <cp:lastModifiedBy>SANCHEZ Maria Margarita</cp:lastModifiedBy>
  <cp:revision>2</cp:revision>
  <cp:lastPrinted>2015-06-26T06:44:00Z</cp:lastPrinted>
  <dcterms:created xsi:type="dcterms:W3CDTF">2015-07-31T12:46:00Z</dcterms:created>
  <dcterms:modified xsi:type="dcterms:W3CDTF">2015-07-31T12:46:00Z</dcterms:modified>
</cp:coreProperties>
</file>