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B079B" w:rsidTr="0088395E">
        <w:tc>
          <w:tcPr>
            <w:tcW w:w="4513" w:type="dxa"/>
            <w:tcBorders>
              <w:bottom w:val="single" w:sz="4" w:space="0" w:color="auto"/>
            </w:tcBorders>
            <w:tcMar>
              <w:bottom w:w="170" w:type="dxa"/>
            </w:tcMar>
          </w:tcPr>
          <w:p w:rsidR="00E504E5" w:rsidRPr="005B079B" w:rsidRDefault="00E504E5" w:rsidP="00AB613D"/>
        </w:tc>
        <w:tc>
          <w:tcPr>
            <w:tcW w:w="4337" w:type="dxa"/>
            <w:tcBorders>
              <w:bottom w:val="single" w:sz="4" w:space="0" w:color="auto"/>
            </w:tcBorders>
            <w:tcMar>
              <w:left w:w="0" w:type="dxa"/>
              <w:right w:w="0" w:type="dxa"/>
            </w:tcMar>
          </w:tcPr>
          <w:p w:rsidR="00E504E5" w:rsidRPr="005B079B" w:rsidRDefault="00A10587" w:rsidP="00AB613D">
            <w:r w:rsidRPr="005B079B">
              <w:rPr>
                <w:noProof/>
                <w:lang w:val="en-US" w:eastAsia="en-US"/>
              </w:rPr>
              <w:drawing>
                <wp:inline distT="0" distB="0" distL="0" distR="0" wp14:anchorId="6BC77935" wp14:editId="5E81D89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B079B" w:rsidRDefault="00E504E5" w:rsidP="00AB613D">
            <w:pPr>
              <w:jc w:val="right"/>
            </w:pPr>
            <w:r w:rsidRPr="005B079B">
              <w:rPr>
                <w:b/>
                <w:sz w:val="40"/>
                <w:szCs w:val="40"/>
              </w:rPr>
              <w:t>S</w:t>
            </w:r>
          </w:p>
        </w:tc>
      </w:tr>
      <w:tr w:rsidR="008B2CC1" w:rsidRPr="005B079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B079B" w:rsidRDefault="00DC3C35" w:rsidP="00AB613D">
            <w:pPr>
              <w:jc w:val="right"/>
              <w:rPr>
                <w:rFonts w:ascii="Arial Black" w:hAnsi="Arial Black"/>
                <w:caps/>
                <w:sz w:val="15"/>
              </w:rPr>
            </w:pPr>
            <w:r w:rsidRPr="005B079B">
              <w:rPr>
                <w:rFonts w:ascii="Arial Black" w:hAnsi="Arial Black"/>
                <w:caps/>
                <w:sz w:val="15"/>
              </w:rPr>
              <w:t>A/52/</w:t>
            </w:r>
            <w:bookmarkStart w:id="0" w:name="Code"/>
            <w:bookmarkEnd w:id="0"/>
            <w:r w:rsidR="00A10587" w:rsidRPr="005B079B">
              <w:rPr>
                <w:rFonts w:ascii="Arial Black" w:hAnsi="Arial Black"/>
                <w:caps/>
                <w:sz w:val="15"/>
              </w:rPr>
              <w:t>4</w:t>
            </w:r>
          </w:p>
        </w:tc>
      </w:tr>
      <w:tr w:rsidR="008B2CC1" w:rsidRPr="005B079B" w:rsidTr="00AB613D">
        <w:trPr>
          <w:trHeight w:hRule="exact" w:val="170"/>
        </w:trPr>
        <w:tc>
          <w:tcPr>
            <w:tcW w:w="9356" w:type="dxa"/>
            <w:gridSpan w:val="3"/>
            <w:noWrap/>
            <w:tcMar>
              <w:left w:w="0" w:type="dxa"/>
              <w:right w:w="0" w:type="dxa"/>
            </w:tcMar>
            <w:vAlign w:val="bottom"/>
          </w:tcPr>
          <w:p w:rsidR="008B2CC1" w:rsidRPr="005B079B" w:rsidRDefault="008B2CC1" w:rsidP="00AB613D">
            <w:pPr>
              <w:jc w:val="right"/>
              <w:rPr>
                <w:rFonts w:ascii="Arial Black" w:hAnsi="Arial Black"/>
                <w:caps/>
                <w:sz w:val="15"/>
              </w:rPr>
            </w:pPr>
            <w:r w:rsidRPr="005B079B">
              <w:rPr>
                <w:rFonts w:ascii="Arial Black" w:hAnsi="Arial Black"/>
                <w:caps/>
                <w:sz w:val="15"/>
              </w:rPr>
              <w:t>ORIGINAL:</w:t>
            </w:r>
            <w:r w:rsidR="00F84474" w:rsidRPr="005B079B">
              <w:rPr>
                <w:rFonts w:ascii="Arial Black" w:hAnsi="Arial Black"/>
                <w:caps/>
                <w:sz w:val="15"/>
              </w:rPr>
              <w:t xml:space="preserve"> </w:t>
            </w:r>
            <w:r w:rsidRPr="005B079B">
              <w:rPr>
                <w:rFonts w:ascii="Arial Black" w:hAnsi="Arial Black"/>
                <w:caps/>
                <w:sz w:val="15"/>
              </w:rPr>
              <w:t xml:space="preserve"> </w:t>
            </w:r>
            <w:bookmarkStart w:id="1" w:name="Original"/>
            <w:bookmarkEnd w:id="1"/>
            <w:r w:rsidR="00A10587" w:rsidRPr="005B079B">
              <w:rPr>
                <w:rFonts w:ascii="Arial Black" w:hAnsi="Arial Black"/>
                <w:caps/>
                <w:sz w:val="15"/>
              </w:rPr>
              <w:t>Inglés</w:t>
            </w:r>
          </w:p>
        </w:tc>
      </w:tr>
      <w:tr w:rsidR="008B2CC1" w:rsidRPr="005B079B" w:rsidTr="00AB613D">
        <w:trPr>
          <w:trHeight w:hRule="exact" w:val="198"/>
        </w:trPr>
        <w:tc>
          <w:tcPr>
            <w:tcW w:w="9356" w:type="dxa"/>
            <w:gridSpan w:val="3"/>
            <w:tcMar>
              <w:left w:w="0" w:type="dxa"/>
              <w:right w:w="0" w:type="dxa"/>
            </w:tcMar>
            <w:vAlign w:val="bottom"/>
          </w:tcPr>
          <w:p w:rsidR="008B2CC1" w:rsidRPr="005B079B" w:rsidRDefault="00675021" w:rsidP="00B55FE4">
            <w:pPr>
              <w:jc w:val="right"/>
              <w:rPr>
                <w:rFonts w:ascii="Arial Black" w:hAnsi="Arial Black"/>
                <w:caps/>
                <w:sz w:val="15"/>
              </w:rPr>
            </w:pPr>
            <w:r w:rsidRPr="005B079B">
              <w:rPr>
                <w:rFonts w:ascii="Arial Black" w:hAnsi="Arial Black"/>
                <w:caps/>
                <w:sz w:val="15"/>
              </w:rPr>
              <w:t>fecha</w:t>
            </w:r>
            <w:r w:rsidR="008B2CC1" w:rsidRPr="005B079B">
              <w:rPr>
                <w:rFonts w:ascii="Arial Black" w:hAnsi="Arial Black"/>
                <w:caps/>
                <w:sz w:val="15"/>
              </w:rPr>
              <w:t>:</w:t>
            </w:r>
            <w:r w:rsidR="00F84474" w:rsidRPr="005B079B">
              <w:rPr>
                <w:rFonts w:ascii="Arial Black" w:hAnsi="Arial Black"/>
                <w:caps/>
                <w:sz w:val="15"/>
              </w:rPr>
              <w:t xml:space="preserve"> </w:t>
            </w:r>
            <w:r w:rsidR="008B2CC1" w:rsidRPr="005B079B">
              <w:rPr>
                <w:rFonts w:ascii="Arial Black" w:hAnsi="Arial Black"/>
                <w:caps/>
                <w:sz w:val="15"/>
              </w:rPr>
              <w:t xml:space="preserve"> </w:t>
            </w:r>
            <w:bookmarkStart w:id="2" w:name="Date"/>
            <w:bookmarkEnd w:id="2"/>
            <w:r w:rsidR="00B55FE4">
              <w:rPr>
                <w:rFonts w:ascii="Arial Black" w:hAnsi="Arial Black"/>
                <w:caps/>
                <w:sz w:val="15"/>
              </w:rPr>
              <w:t>6</w:t>
            </w:r>
            <w:r w:rsidR="00A10587" w:rsidRPr="005B079B">
              <w:rPr>
                <w:rFonts w:ascii="Arial Black" w:hAnsi="Arial Black"/>
                <w:caps/>
                <w:sz w:val="15"/>
              </w:rPr>
              <w:t xml:space="preserve"> de diciembre de 2013</w:t>
            </w:r>
          </w:p>
        </w:tc>
      </w:tr>
    </w:tbl>
    <w:p w:rsidR="008B2CC1" w:rsidRPr="005B079B" w:rsidRDefault="008B2CC1" w:rsidP="008B2CC1"/>
    <w:p w:rsidR="008B2CC1" w:rsidRPr="005B079B" w:rsidRDefault="008B2CC1" w:rsidP="008B2CC1"/>
    <w:p w:rsidR="008B2CC1" w:rsidRPr="005B079B" w:rsidRDefault="008B2CC1" w:rsidP="008B2CC1"/>
    <w:p w:rsidR="008B2CC1" w:rsidRPr="005B079B" w:rsidRDefault="008B2CC1" w:rsidP="008B2CC1"/>
    <w:p w:rsidR="008B2CC1" w:rsidRPr="005B079B" w:rsidRDefault="008B2CC1" w:rsidP="008B2CC1"/>
    <w:p w:rsidR="00DC3C35" w:rsidRPr="005B079B" w:rsidRDefault="00DC3C35" w:rsidP="00DC3C35">
      <w:pPr>
        <w:pStyle w:val="Meetingtitle"/>
        <w:ind w:left="0"/>
        <w:outlineLvl w:val="0"/>
        <w:rPr>
          <w:lang w:val="es-ES"/>
        </w:rPr>
      </w:pPr>
      <w:r w:rsidRPr="005B079B">
        <w:rPr>
          <w:lang w:val="es-ES"/>
        </w:rPr>
        <w:t>Asambleas de los Estados miembros de la OMPI</w:t>
      </w:r>
    </w:p>
    <w:p w:rsidR="003845C1" w:rsidRPr="005B079B" w:rsidRDefault="003845C1" w:rsidP="003845C1"/>
    <w:p w:rsidR="003845C1" w:rsidRPr="005B079B" w:rsidRDefault="003845C1" w:rsidP="003845C1"/>
    <w:p w:rsidR="00DC3C35" w:rsidRPr="005B079B" w:rsidRDefault="00DC3C35" w:rsidP="00B67CDC">
      <w:pPr>
        <w:rPr>
          <w:b/>
          <w:sz w:val="24"/>
          <w:szCs w:val="24"/>
        </w:rPr>
      </w:pPr>
      <w:r w:rsidRPr="005B079B">
        <w:rPr>
          <w:b/>
          <w:sz w:val="24"/>
          <w:szCs w:val="24"/>
        </w:rPr>
        <w:t>Quincuagésima segunda serie de reuniones</w:t>
      </w:r>
    </w:p>
    <w:p w:rsidR="00DC3C35" w:rsidRPr="005B079B" w:rsidRDefault="00246989" w:rsidP="00DC3C35">
      <w:pPr>
        <w:pStyle w:val="Meetingplacedate"/>
        <w:ind w:left="0"/>
        <w:outlineLvl w:val="0"/>
        <w:rPr>
          <w:lang w:val="es-ES"/>
        </w:rPr>
      </w:pPr>
      <w:r w:rsidRPr="005B079B">
        <w:rPr>
          <w:lang w:val="es-ES"/>
        </w:rPr>
        <w:t>Ginebra, 10 a 12</w:t>
      </w:r>
      <w:r w:rsidR="00DC3C35" w:rsidRPr="005B079B">
        <w:rPr>
          <w:lang w:val="es-ES"/>
        </w:rPr>
        <w:t xml:space="preserve"> de diciembre de 2013</w:t>
      </w:r>
    </w:p>
    <w:p w:rsidR="008B2CC1" w:rsidRPr="005B079B" w:rsidRDefault="008B2CC1" w:rsidP="008B2CC1"/>
    <w:p w:rsidR="008B2CC1" w:rsidRPr="005B079B" w:rsidRDefault="008B2CC1" w:rsidP="008B2CC1"/>
    <w:p w:rsidR="00367000" w:rsidRPr="005B079B" w:rsidRDefault="00367000" w:rsidP="008B2CC1"/>
    <w:p w:rsidR="00367000" w:rsidRPr="005B079B" w:rsidRDefault="00367000" w:rsidP="008B2CC1"/>
    <w:p w:rsidR="00A10587" w:rsidRPr="005B079B" w:rsidRDefault="00A10587" w:rsidP="00A10587">
      <w:pPr>
        <w:rPr>
          <w:color w:val="000000"/>
        </w:rPr>
      </w:pPr>
      <w:bookmarkStart w:id="3" w:name="TitleOfDoc"/>
      <w:bookmarkStart w:id="4" w:name="Prepared"/>
      <w:bookmarkEnd w:id="3"/>
      <w:bookmarkEnd w:id="4"/>
      <w:r w:rsidRPr="005B079B">
        <w:rPr>
          <w:caps/>
          <w:color w:val="000000"/>
          <w:sz w:val="24"/>
        </w:rPr>
        <w:t>propUESTA DE LA PRESIDENTA DE LA ASAMBLEA GENERAL SOBRE EL PRESUPUESTO POR PROGRAMAS DEL BIENIO 2014/15</w:t>
      </w:r>
    </w:p>
    <w:p w:rsidR="00A10587" w:rsidRPr="005B079B" w:rsidRDefault="00A10587" w:rsidP="00A10587">
      <w:pPr>
        <w:rPr>
          <w:i/>
          <w:color w:val="000000"/>
        </w:rPr>
      </w:pPr>
    </w:p>
    <w:p w:rsidR="00A10587" w:rsidRPr="005B079B" w:rsidRDefault="00A10587" w:rsidP="00A10587">
      <w:pPr>
        <w:rPr>
          <w:rFonts w:eastAsia="Times New Roman"/>
          <w:i/>
          <w:color w:val="000000"/>
          <w:szCs w:val="22"/>
          <w:lang w:eastAsia="en-US"/>
        </w:rPr>
      </w:pPr>
      <w:proofErr w:type="gramStart"/>
      <w:r w:rsidRPr="005B079B">
        <w:rPr>
          <w:rFonts w:eastAsia="Times New Roman"/>
          <w:i/>
          <w:color w:val="000000"/>
          <w:szCs w:val="22"/>
          <w:lang w:eastAsia="en-US"/>
        </w:rPr>
        <w:t>pre</w:t>
      </w:r>
      <w:r w:rsidR="00367000" w:rsidRPr="005B079B">
        <w:rPr>
          <w:rFonts w:eastAsia="Times New Roman"/>
          <w:i/>
          <w:color w:val="000000"/>
          <w:szCs w:val="22"/>
          <w:lang w:eastAsia="en-US"/>
        </w:rPr>
        <w:t>sent</w:t>
      </w:r>
      <w:r w:rsidRPr="005B079B">
        <w:rPr>
          <w:rFonts w:eastAsia="Times New Roman"/>
          <w:i/>
          <w:color w:val="000000"/>
          <w:szCs w:val="22"/>
          <w:lang w:eastAsia="en-US"/>
        </w:rPr>
        <w:t>ada</w:t>
      </w:r>
      <w:proofErr w:type="gramEnd"/>
      <w:r w:rsidRPr="005B079B">
        <w:rPr>
          <w:rFonts w:eastAsia="Times New Roman"/>
          <w:i/>
          <w:color w:val="000000"/>
          <w:szCs w:val="22"/>
          <w:lang w:eastAsia="en-US"/>
        </w:rPr>
        <w:t xml:space="preserve"> por la Presidenta</w:t>
      </w:r>
      <w:r w:rsidRPr="005B079B">
        <w:rPr>
          <w:rFonts w:eastAsia="Times New Roman"/>
          <w:color w:val="000000"/>
          <w:szCs w:val="22"/>
          <w:lang w:eastAsia="en-US"/>
        </w:rPr>
        <w:t xml:space="preserve"> </w:t>
      </w:r>
      <w:r w:rsidRPr="005B079B">
        <w:rPr>
          <w:rFonts w:eastAsia="Times New Roman"/>
          <w:i/>
          <w:color w:val="000000"/>
          <w:szCs w:val="22"/>
          <w:lang w:eastAsia="en-US"/>
        </w:rPr>
        <w:t xml:space="preserve">de la Asamblea General  </w:t>
      </w:r>
    </w:p>
    <w:p w:rsidR="00A10587" w:rsidRPr="005B079B" w:rsidRDefault="00A10587" w:rsidP="00A10587">
      <w:pPr>
        <w:rPr>
          <w:color w:val="000000"/>
        </w:rPr>
      </w:pPr>
    </w:p>
    <w:p w:rsidR="00A10587" w:rsidRPr="005B079B" w:rsidRDefault="00A10587" w:rsidP="00A10587">
      <w:pPr>
        <w:rPr>
          <w:color w:val="000000"/>
          <w:szCs w:val="22"/>
        </w:rPr>
      </w:pPr>
    </w:p>
    <w:p w:rsidR="00A10587" w:rsidRPr="005B079B" w:rsidRDefault="00A10587" w:rsidP="00A10587">
      <w:pPr>
        <w:contextualSpacing/>
        <w:rPr>
          <w:rFonts w:eastAsia="Calibri"/>
          <w:color w:val="000000"/>
          <w:szCs w:val="22"/>
        </w:rPr>
      </w:pPr>
      <w:r w:rsidRPr="005B079B">
        <w:rPr>
          <w:color w:val="000000"/>
          <w:szCs w:val="22"/>
        </w:rPr>
        <w:fldChar w:fldCharType="begin"/>
      </w:r>
      <w:r w:rsidRPr="005B079B">
        <w:rPr>
          <w:color w:val="000000"/>
          <w:szCs w:val="22"/>
        </w:rPr>
        <w:instrText xml:space="preserve"> AUTONUM  </w:instrText>
      </w:r>
      <w:r w:rsidRPr="005B079B">
        <w:rPr>
          <w:color w:val="000000"/>
          <w:szCs w:val="22"/>
        </w:rPr>
        <w:fldChar w:fldCharType="end"/>
      </w:r>
      <w:r w:rsidRPr="005B079B">
        <w:rPr>
          <w:color w:val="000000"/>
          <w:szCs w:val="22"/>
        </w:rPr>
        <w:tab/>
      </w:r>
      <w:r w:rsidRPr="005B079B">
        <w:rPr>
          <w:rFonts w:eastAsia="Calibri"/>
          <w:color w:val="000000"/>
          <w:szCs w:val="22"/>
        </w:rPr>
        <w:t>Las Asambleas de los Estados miembros de la OMPI y de las Uniones que la OMPI administra, en lo que a cada una le concierne,</w:t>
      </w:r>
    </w:p>
    <w:p w:rsidR="00A10587" w:rsidRPr="005B079B" w:rsidRDefault="00A10587" w:rsidP="00A10587">
      <w:pPr>
        <w:contextualSpacing/>
        <w:rPr>
          <w:rFonts w:eastAsia="Calibri"/>
          <w:i/>
          <w:color w:val="000000"/>
          <w:szCs w:val="22"/>
        </w:rPr>
      </w:pPr>
    </w:p>
    <w:p w:rsidR="00A10587" w:rsidRPr="005B079B" w:rsidRDefault="00367000" w:rsidP="00367000">
      <w:pPr>
        <w:tabs>
          <w:tab w:val="left" w:pos="1134"/>
        </w:tabs>
        <w:ind w:left="567"/>
        <w:contextualSpacing/>
        <w:rPr>
          <w:rFonts w:eastAsia="Calibri"/>
          <w:color w:val="000000"/>
          <w:szCs w:val="22"/>
        </w:rPr>
      </w:pPr>
      <w:r w:rsidRPr="005B079B">
        <w:rPr>
          <w:rFonts w:eastAsia="Calibri"/>
          <w:color w:val="000000"/>
          <w:szCs w:val="22"/>
        </w:rPr>
        <w:t>a)</w:t>
      </w:r>
      <w:r w:rsidRPr="005B079B">
        <w:rPr>
          <w:rFonts w:eastAsia="Calibri"/>
          <w:color w:val="000000"/>
          <w:szCs w:val="22"/>
        </w:rPr>
        <w:tab/>
      </w:r>
      <w:r w:rsidR="00A10587" w:rsidRPr="005B079B">
        <w:rPr>
          <w:rFonts w:eastAsia="Calibri"/>
          <w:color w:val="000000"/>
          <w:szCs w:val="22"/>
        </w:rPr>
        <w:t>aprueban la propuesta de presupuesto por programas para el bienio 2014/15 según consta en el documento A/51/7 Rev., con sujeción a los siguientes cambios que se han acordado con respecto a:</w:t>
      </w:r>
    </w:p>
    <w:p w:rsidR="00A10587" w:rsidRPr="005B079B" w:rsidRDefault="00A10587" w:rsidP="00A10587">
      <w:pPr>
        <w:tabs>
          <w:tab w:val="num" w:pos="720"/>
          <w:tab w:val="left" w:pos="6096"/>
          <w:tab w:val="left" w:pos="6663"/>
        </w:tabs>
        <w:spacing w:after="200"/>
        <w:ind w:left="1418" w:right="-285"/>
        <w:contextualSpacing/>
        <w:rPr>
          <w:rFonts w:eastAsia="Calibri"/>
          <w:color w:val="000000"/>
          <w:szCs w:val="22"/>
        </w:rPr>
      </w:pPr>
    </w:p>
    <w:p w:rsidR="00A10587" w:rsidRPr="005B079B" w:rsidRDefault="00367000" w:rsidP="00367000">
      <w:pPr>
        <w:tabs>
          <w:tab w:val="left" w:pos="1701"/>
          <w:tab w:val="left" w:pos="6663"/>
        </w:tabs>
        <w:spacing w:after="200"/>
        <w:ind w:left="1701" w:right="-285" w:hanging="567"/>
        <w:contextualSpacing/>
        <w:rPr>
          <w:rFonts w:eastAsia="Calibri"/>
          <w:color w:val="000000"/>
          <w:szCs w:val="22"/>
        </w:rPr>
      </w:pPr>
      <w:r w:rsidRPr="005B079B">
        <w:rPr>
          <w:rFonts w:eastAsia="Calibri"/>
          <w:color w:val="000000"/>
          <w:szCs w:val="22"/>
        </w:rPr>
        <w:t>i)</w:t>
      </w:r>
      <w:r w:rsidRPr="005B079B">
        <w:rPr>
          <w:rFonts w:eastAsia="Calibri"/>
          <w:color w:val="000000"/>
          <w:szCs w:val="22"/>
        </w:rPr>
        <w:tab/>
      </w:r>
      <w:proofErr w:type="gramStart"/>
      <w:r w:rsidR="00A10587" w:rsidRPr="005B079B">
        <w:rPr>
          <w:rFonts w:eastAsia="Calibri"/>
          <w:color w:val="000000"/>
          <w:szCs w:val="22"/>
        </w:rPr>
        <w:t>la</w:t>
      </w:r>
      <w:proofErr w:type="gramEnd"/>
      <w:r w:rsidR="00A10587" w:rsidRPr="005B079B">
        <w:rPr>
          <w:rFonts w:eastAsia="Calibri"/>
          <w:color w:val="000000"/>
          <w:szCs w:val="22"/>
        </w:rPr>
        <w:t xml:space="preserve"> formulación de los objetivos en el marco de resultados del programa 2, tal como queda reflejada en el Anexo I;</w:t>
      </w:r>
    </w:p>
    <w:p w:rsidR="00A10587" w:rsidRPr="005B079B" w:rsidRDefault="00A10587" w:rsidP="00367000">
      <w:pPr>
        <w:tabs>
          <w:tab w:val="left" w:pos="1701"/>
          <w:tab w:val="left" w:pos="6663"/>
        </w:tabs>
        <w:spacing w:after="200"/>
        <w:ind w:left="1701" w:right="-285" w:hanging="567"/>
        <w:contextualSpacing/>
        <w:rPr>
          <w:rFonts w:eastAsia="Calibri"/>
          <w:color w:val="000000"/>
          <w:szCs w:val="22"/>
        </w:rPr>
      </w:pPr>
      <w:r w:rsidRPr="005B079B">
        <w:rPr>
          <w:rFonts w:eastAsia="Calibri"/>
          <w:color w:val="000000"/>
          <w:szCs w:val="22"/>
        </w:rPr>
        <w:t>ii)</w:t>
      </w:r>
      <w:r w:rsidR="00367000" w:rsidRPr="005B079B">
        <w:rPr>
          <w:rFonts w:eastAsia="Calibri"/>
          <w:color w:val="000000"/>
          <w:szCs w:val="22"/>
        </w:rPr>
        <w:tab/>
      </w:r>
      <w:r w:rsidRPr="005B079B">
        <w:rPr>
          <w:rFonts w:eastAsia="Calibri"/>
          <w:color w:val="000000"/>
          <w:szCs w:val="22"/>
        </w:rPr>
        <w:t>la formulación de los objetivos en el marco de resultados del programa 4, tal como queda reflejada en el Anexo II;</w:t>
      </w:r>
    </w:p>
    <w:p w:rsidR="00A10587" w:rsidRPr="005B079B" w:rsidRDefault="00A10587" w:rsidP="00367000">
      <w:pPr>
        <w:tabs>
          <w:tab w:val="left" w:pos="1701"/>
          <w:tab w:val="left" w:pos="6663"/>
        </w:tabs>
        <w:spacing w:after="200"/>
        <w:ind w:left="1701" w:right="-285" w:hanging="567"/>
        <w:contextualSpacing/>
        <w:rPr>
          <w:rFonts w:eastAsia="Calibri"/>
          <w:color w:val="000000"/>
          <w:szCs w:val="22"/>
        </w:rPr>
      </w:pPr>
      <w:r w:rsidRPr="005B079B">
        <w:rPr>
          <w:rFonts w:eastAsia="Calibri"/>
          <w:color w:val="000000"/>
          <w:szCs w:val="22"/>
        </w:rPr>
        <w:t>iii)</w:t>
      </w:r>
      <w:r w:rsidR="00367000" w:rsidRPr="005B079B">
        <w:rPr>
          <w:rFonts w:eastAsia="Calibri"/>
          <w:color w:val="000000"/>
          <w:szCs w:val="22"/>
        </w:rPr>
        <w:tab/>
      </w:r>
      <w:r w:rsidRPr="005B079B">
        <w:rPr>
          <w:rFonts w:eastAsia="Calibri"/>
          <w:color w:val="000000"/>
          <w:szCs w:val="22"/>
        </w:rPr>
        <w:t>la supresión del párrafo 20.21 en el programa 20;  y</w:t>
      </w:r>
    </w:p>
    <w:p w:rsidR="00A10587" w:rsidRPr="005B079B" w:rsidRDefault="00A10587" w:rsidP="00367000">
      <w:pPr>
        <w:tabs>
          <w:tab w:val="left" w:pos="1701"/>
          <w:tab w:val="left" w:pos="6663"/>
        </w:tabs>
        <w:spacing w:after="200"/>
        <w:ind w:left="1701" w:right="-285" w:hanging="567"/>
        <w:contextualSpacing/>
        <w:rPr>
          <w:rFonts w:eastAsia="Calibri"/>
          <w:color w:val="000000"/>
          <w:szCs w:val="22"/>
        </w:rPr>
      </w:pPr>
      <w:r w:rsidRPr="005B079B">
        <w:rPr>
          <w:rFonts w:eastAsia="Calibri"/>
          <w:color w:val="000000"/>
          <w:szCs w:val="22"/>
        </w:rPr>
        <w:t>iv)</w:t>
      </w:r>
      <w:r w:rsidR="00367000" w:rsidRPr="005B079B">
        <w:rPr>
          <w:rFonts w:eastAsia="Calibri"/>
          <w:color w:val="000000"/>
          <w:szCs w:val="22"/>
        </w:rPr>
        <w:tab/>
      </w:r>
      <w:r w:rsidRPr="005B079B">
        <w:rPr>
          <w:rFonts w:eastAsia="Calibri"/>
          <w:color w:val="000000"/>
          <w:szCs w:val="22"/>
        </w:rPr>
        <w:t xml:space="preserve">la transferencia de un total de 1.500.000 francos suizos de recursos no relativos al personal en el programa 20 al rubro sin consignar, hasta que no se tome una decisión definitiva al respecto. </w:t>
      </w:r>
    </w:p>
    <w:p w:rsidR="00A10587" w:rsidRPr="005B079B" w:rsidRDefault="00A10587" w:rsidP="00A10587">
      <w:pPr>
        <w:tabs>
          <w:tab w:val="num" w:pos="720"/>
          <w:tab w:val="left" w:pos="6663"/>
        </w:tabs>
        <w:spacing w:after="200"/>
        <w:ind w:left="4253" w:right="-285"/>
        <w:contextualSpacing/>
        <w:rPr>
          <w:rFonts w:eastAsia="Calibri"/>
          <w:color w:val="000000"/>
          <w:sz w:val="16"/>
          <w:szCs w:val="16"/>
        </w:rPr>
      </w:pPr>
    </w:p>
    <w:p w:rsidR="00A10587" w:rsidRPr="005B079B" w:rsidRDefault="00A10587" w:rsidP="00367000">
      <w:pPr>
        <w:tabs>
          <w:tab w:val="left" w:pos="1134"/>
        </w:tabs>
        <w:ind w:left="567"/>
        <w:contextualSpacing/>
        <w:rPr>
          <w:rFonts w:eastAsia="Calibri"/>
          <w:color w:val="000000"/>
          <w:szCs w:val="22"/>
        </w:rPr>
      </w:pPr>
      <w:r w:rsidRPr="005B079B">
        <w:rPr>
          <w:rFonts w:eastAsia="Calibri"/>
          <w:color w:val="000000"/>
          <w:szCs w:val="22"/>
        </w:rPr>
        <w:t>b)</w:t>
      </w:r>
      <w:r w:rsidR="00367000" w:rsidRPr="005B079B">
        <w:rPr>
          <w:rFonts w:eastAsia="Calibri"/>
          <w:color w:val="000000"/>
          <w:szCs w:val="22"/>
        </w:rPr>
        <w:tab/>
      </w:r>
      <w:r w:rsidRPr="005B079B">
        <w:rPr>
          <w:rFonts w:eastAsia="Calibri"/>
          <w:color w:val="000000"/>
          <w:szCs w:val="22"/>
        </w:rPr>
        <w:t>tomaron nota de los comentarios formulados por los Estados miembros sobre el pedido de información adicional en relación con el programa "La P.I. y los desafíos mundiales" (programa 18), y solicitaron al programa que informe a los Estados miembros, en la 20ª sesión del SCP, acerca de los aspectos de sus actividades que están relacionados con las patentes, y que informen a los Estados miembros, en la 13ª sesión del CDIP, acerca de los aspectos de sus actividades que están relacionados con el desarrollo.</w:t>
      </w:r>
    </w:p>
    <w:p w:rsidR="00A10587" w:rsidRPr="005B079B" w:rsidRDefault="00A10587" w:rsidP="00A10587">
      <w:pPr>
        <w:ind w:left="4253"/>
        <w:rPr>
          <w:color w:val="000000"/>
          <w:szCs w:val="22"/>
        </w:rPr>
      </w:pPr>
    </w:p>
    <w:p w:rsidR="00367000" w:rsidRPr="005B079B" w:rsidRDefault="00A10587" w:rsidP="00367000">
      <w:pPr>
        <w:pStyle w:val="Endofdocument-Annex"/>
        <w:rPr>
          <w:lang w:val="es-ES"/>
        </w:rPr>
        <w:sectPr w:rsidR="00367000" w:rsidRPr="005B079B" w:rsidSect="00456A6F">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5B079B">
        <w:rPr>
          <w:lang w:val="es-ES"/>
        </w:rPr>
        <w:t>[Siguen los Anexos]</w:t>
      </w:r>
    </w:p>
    <w:p w:rsidR="00A10587" w:rsidRPr="005B079B" w:rsidRDefault="00A10587" w:rsidP="00A10587">
      <w:pPr>
        <w:jc w:val="center"/>
        <w:rPr>
          <w:b/>
          <w:iCs/>
          <w:caps/>
          <w:color w:val="000000"/>
        </w:rPr>
      </w:pPr>
      <w:bookmarkStart w:id="5" w:name="_Toc363200899"/>
    </w:p>
    <w:p w:rsidR="00A10587" w:rsidRPr="005B079B" w:rsidRDefault="00A10587" w:rsidP="00A10587">
      <w:pPr>
        <w:jc w:val="center"/>
        <w:rPr>
          <w:iCs/>
          <w:caps/>
          <w:color w:val="000000"/>
        </w:rPr>
      </w:pPr>
    </w:p>
    <w:p w:rsidR="00A10587" w:rsidRPr="005B079B" w:rsidRDefault="00A10587" w:rsidP="00A10587">
      <w:pPr>
        <w:tabs>
          <w:tab w:val="left" w:pos="2127"/>
        </w:tabs>
        <w:ind w:left="2127" w:hanging="2127"/>
        <w:rPr>
          <w:b/>
          <w:color w:val="000000"/>
          <w:szCs w:val="22"/>
        </w:rPr>
      </w:pPr>
      <w:r w:rsidRPr="005B079B">
        <w:rPr>
          <w:b/>
          <w:color w:val="000000"/>
          <w:szCs w:val="22"/>
        </w:rPr>
        <w:t>PROGRAMA 2</w:t>
      </w:r>
      <w:r w:rsidR="00585618" w:rsidRPr="005B079B">
        <w:rPr>
          <w:b/>
          <w:color w:val="000000"/>
          <w:szCs w:val="22"/>
        </w:rPr>
        <w:tab/>
      </w:r>
      <w:r w:rsidRPr="005B079B">
        <w:rPr>
          <w:b/>
          <w:color w:val="000000"/>
          <w:szCs w:val="22"/>
        </w:rPr>
        <w:t>MARCAS, DIBUJOS Y MODELOS INDUSTRIALES E INDICACIONES GEOGRÁFICAS</w:t>
      </w:r>
      <w:r w:rsidRPr="005B079B">
        <w:rPr>
          <w:b/>
          <w:caps/>
          <w:color w:val="000000"/>
          <w:szCs w:val="22"/>
        </w:rPr>
        <w:t xml:space="preserve"> </w:t>
      </w:r>
      <w:bookmarkEnd w:id="5"/>
    </w:p>
    <w:p w:rsidR="00A10587" w:rsidRPr="005B079B" w:rsidRDefault="00A10587" w:rsidP="00A10587">
      <w:pPr>
        <w:jc w:val="center"/>
        <w:rPr>
          <w:b/>
          <w:color w:val="000000"/>
          <w:szCs w:val="22"/>
        </w:rPr>
      </w:pPr>
    </w:p>
    <w:p w:rsidR="00A10587" w:rsidRPr="005B079B" w:rsidRDefault="00A10587" w:rsidP="00A10587">
      <w:pPr>
        <w:tabs>
          <w:tab w:val="left" w:pos="2268"/>
        </w:tabs>
        <w:ind w:left="2268" w:hanging="2268"/>
        <w:rPr>
          <w:bCs/>
          <w:color w:val="000000"/>
          <w:sz w:val="20"/>
        </w:rPr>
      </w:pPr>
    </w:p>
    <w:p w:rsidR="00A10587" w:rsidRPr="005B079B" w:rsidRDefault="00585618" w:rsidP="00A10587">
      <w:pPr>
        <w:tabs>
          <w:tab w:val="left" w:pos="567"/>
          <w:tab w:val="left" w:pos="1985"/>
        </w:tabs>
        <w:jc w:val="both"/>
        <w:rPr>
          <w:bCs/>
          <w:color w:val="000000"/>
          <w:sz w:val="20"/>
        </w:rPr>
      </w:pPr>
      <w:r w:rsidRPr="005B079B">
        <w:rPr>
          <w:bCs/>
          <w:color w:val="000000"/>
          <w:szCs w:val="22"/>
        </w:rPr>
        <w:t>MARCO DE RESULTADOS</w:t>
      </w:r>
    </w:p>
    <w:p w:rsidR="00A10587" w:rsidRPr="005B079B" w:rsidRDefault="00A10587" w:rsidP="00A10587">
      <w:pPr>
        <w:tabs>
          <w:tab w:val="left" w:pos="567"/>
          <w:tab w:val="left" w:pos="1985"/>
        </w:tabs>
        <w:jc w:val="both"/>
        <w:rPr>
          <w:bCs/>
          <w:color w:val="000000"/>
          <w:sz w:val="20"/>
        </w:rPr>
      </w:pP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8"/>
        <w:gridCol w:w="2849"/>
        <w:gridCol w:w="2058"/>
        <w:gridCol w:w="2153"/>
      </w:tblGrid>
      <w:tr w:rsidR="00A10587" w:rsidRPr="005B079B" w:rsidTr="006F5B7D">
        <w:trPr>
          <w:cantSplit/>
          <w:trHeight w:val="430"/>
          <w:tblHeader/>
        </w:trPr>
        <w:tc>
          <w:tcPr>
            <w:tcW w:w="1248" w:type="pct"/>
            <w:tcBorders>
              <w:top w:val="single" w:sz="4" w:space="0" w:color="auto"/>
              <w:bottom w:val="single" w:sz="4" w:space="0" w:color="auto"/>
            </w:tcBorders>
            <w:shd w:val="clear" w:color="auto" w:fill="CCFFFF"/>
            <w:vAlign w:val="center"/>
          </w:tcPr>
          <w:p w:rsidR="00A10587" w:rsidRPr="005B079B" w:rsidRDefault="00585618" w:rsidP="006F5B7D">
            <w:pPr>
              <w:spacing w:after="120"/>
              <w:jc w:val="center"/>
              <w:rPr>
                <w:b/>
                <w:bCs/>
                <w:color w:val="000000"/>
                <w:sz w:val="18"/>
                <w:szCs w:val="18"/>
              </w:rPr>
            </w:pPr>
            <w:r w:rsidRPr="005B079B">
              <w:rPr>
                <w:b/>
                <w:bCs/>
                <w:color w:val="000000"/>
                <w:sz w:val="18"/>
                <w:szCs w:val="18"/>
              </w:rPr>
              <w:t xml:space="preserve">Resultados </w:t>
            </w:r>
            <w:r w:rsidR="00A10587" w:rsidRPr="005B079B">
              <w:rPr>
                <w:b/>
                <w:bCs/>
                <w:color w:val="000000"/>
                <w:sz w:val="18"/>
                <w:szCs w:val="18"/>
              </w:rPr>
              <w:t>previstos</w:t>
            </w:r>
          </w:p>
        </w:tc>
        <w:tc>
          <w:tcPr>
            <w:tcW w:w="1514" w:type="pct"/>
            <w:tcBorders>
              <w:top w:val="single" w:sz="4" w:space="0" w:color="auto"/>
              <w:bottom w:val="single" w:sz="4" w:space="0" w:color="auto"/>
            </w:tcBorders>
            <w:shd w:val="clear" w:color="auto" w:fill="CCFFFF"/>
            <w:tcMar>
              <w:top w:w="110" w:type="dxa"/>
            </w:tcMar>
            <w:vAlign w:val="center"/>
          </w:tcPr>
          <w:p w:rsidR="00A10587" w:rsidRPr="005B079B" w:rsidRDefault="00585618" w:rsidP="006F5B7D">
            <w:pPr>
              <w:spacing w:after="120"/>
              <w:jc w:val="center"/>
              <w:rPr>
                <w:b/>
                <w:color w:val="000000"/>
                <w:sz w:val="18"/>
                <w:szCs w:val="18"/>
              </w:rPr>
            </w:pPr>
            <w:r w:rsidRPr="005B079B">
              <w:rPr>
                <w:b/>
                <w:color w:val="000000"/>
                <w:sz w:val="18"/>
                <w:szCs w:val="18"/>
              </w:rPr>
              <w:t xml:space="preserve">Indicadores </w:t>
            </w:r>
            <w:r w:rsidR="00A10587" w:rsidRPr="005B079B">
              <w:rPr>
                <w:b/>
                <w:color w:val="000000"/>
                <w:sz w:val="18"/>
                <w:szCs w:val="18"/>
              </w:rPr>
              <w:t>de rendimiento</w:t>
            </w:r>
          </w:p>
        </w:tc>
        <w:tc>
          <w:tcPr>
            <w:tcW w:w="1094" w:type="pct"/>
            <w:tcBorders>
              <w:top w:val="single" w:sz="4" w:space="0" w:color="auto"/>
              <w:bottom w:val="single" w:sz="4" w:space="0" w:color="auto"/>
            </w:tcBorders>
            <w:shd w:val="clear" w:color="auto" w:fill="CCFFFF"/>
            <w:tcMar>
              <w:top w:w="110" w:type="dxa"/>
            </w:tcMar>
            <w:vAlign w:val="center"/>
          </w:tcPr>
          <w:p w:rsidR="00A10587" w:rsidRPr="005B079B" w:rsidRDefault="00A10587" w:rsidP="006F5B7D">
            <w:pPr>
              <w:spacing w:after="120"/>
              <w:ind w:left="85"/>
              <w:jc w:val="center"/>
              <w:rPr>
                <w:color w:val="000000"/>
                <w:sz w:val="18"/>
                <w:szCs w:val="18"/>
              </w:rPr>
            </w:pPr>
            <w:r w:rsidRPr="005B079B">
              <w:rPr>
                <w:b/>
                <w:bCs/>
                <w:color w:val="000000"/>
                <w:sz w:val="18"/>
                <w:szCs w:val="18"/>
              </w:rPr>
              <w:t>Referencia</w:t>
            </w:r>
          </w:p>
        </w:tc>
        <w:tc>
          <w:tcPr>
            <w:tcW w:w="1144" w:type="pct"/>
            <w:tcBorders>
              <w:top w:val="single" w:sz="4" w:space="0" w:color="auto"/>
              <w:bottom w:val="single" w:sz="4" w:space="0" w:color="auto"/>
            </w:tcBorders>
            <w:shd w:val="clear" w:color="auto" w:fill="CCFFFF"/>
            <w:tcMar>
              <w:top w:w="110" w:type="dxa"/>
            </w:tcMar>
            <w:vAlign w:val="center"/>
          </w:tcPr>
          <w:p w:rsidR="00A10587" w:rsidRPr="005B079B" w:rsidRDefault="00A10587" w:rsidP="006F5B7D">
            <w:pPr>
              <w:keepNext/>
              <w:keepLines/>
              <w:tabs>
                <w:tab w:val="left" w:pos="1649"/>
                <w:tab w:val="left" w:pos="1759"/>
              </w:tabs>
              <w:spacing w:after="120"/>
              <w:ind w:right="1"/>
              <w:jc w:val="center"/>
              <w:rPr>
                <w:b/>
                <w:bCs/>
                <w:color w:val="000000"/>
                <w:sz w:val="18"/>
                <w:szCs w:val="18"/>
              </w:rPr>
            </w:pPr>
            <w:r w:rsidRPr="005B079B">
              <w:rPr>
                <w:b/>
                <w:bCs/>
                <w:color w:val="000000"/>
                <w:sz w:val="18"/>
                <w:szCs w:val="18"/>
              </w:rPr>
              <w:t>Objetivos</w:t>
            </w:r>
          </w:p>
        </w:tc>
      </w:tr>
      <w:tr w:rsidR="00A10587" w:rsidRPr="005B079B" w:rsidTr="006F5B7D">
        <w:trPr>
          <w:cantSplit/>
        </w:trPr>
        <w:tc>
          <w:tcPr>
            <w:tcW w:w="1248" w:type="pct"/>
            <w:tcBorders>
              <w:top w:val="single" w:sz="4" w:space="0" w:color="auto"/>
            </w:tcBorders>
            <w:shd w:val="clear" w:color="auto" w:fill="auto"/>
          </w:tcPr>
          <w:p w:rsidR="00A10587" w:rsidRPr="005B079B" w:rsidRDefault="00A10587" w:rsidP="006F5B7D">
            <w:pPr>
              <w:rPr>
                <w:color w:val="000000"/>
                <w:sz w:val="16"/>
                <w:szCs w:val="16"/>
                <w:lang w:bidi="th-TH"/>
              </w:rPr>
            </w:pPr>
          </w:p>
        </w:tc>
        <w:tc>
          <w:tcPr>
            <w:tcW w:w="1514" w:type="pct"/>
            <w:tcBorders>
              <w:top w:val="single" w:sz="4" w:space="0" w:color="auto"/>
            </w:tcBorders>
            <w:shd w:val="clear" w:color="auto" w:fill="auto"/>
            <w:tcMar>
              <w:top w:w="110" w:type="dxa"/>
              <w:bottom w:w="85" w:type="dxa"/>
            </w:tcMar>
          </w:tcPr>
          <w:p w:rsidR="00A10587" w:rsidRPr="005B079B" w:rsidRDefault="00A10587" w:rsidP="006F5B7D">
            <w:pPr>
              <w:rPr>
                <w:color w:val="000000"/>
                <w:sz w:val="16"/>
                <w:szCs w:val="16"/>
              </w:rPr>
            </w:pPr>
          </w:p>
        </w:tc>
        <w:tc>
          <w:tcPr>
            <w:tcW w:w="1094" w:type="pct"/>
            <w:tcBorders>
              <w:top w:val="single" w:sz="4" w:space="0" w:color="auto"/>
            </w:tcBorders>
            <w:shd w:val="clear" w:color="auto" w:fill="FFFFFF"/>
            <w:tcMar>
              <w:top w:w="110" w:type="dxa"/>
              <w:bottom w:w="85" w:type="dxa"/>
            </w:tcMar>
          </w:tcPr>
          <w:p w:rsidR="00A10587" w:rsidRPr="005B079B" w:rsidRDefault="00A10587" w:rsidP="006F5B7D">
            <w:pPr>
              <w:rPr>
                <w:color w:val="000000"/>
                <w:sz w:val="16"/>
                <w:szCs w:val="16"/>
                <w:lang w:bidi="th-TH"/>
              </w:rPr>
            </w:pPr>
          </w:p>
        </w:tc>
        <w:tc>
          <w:tcPr>
            <w:tcW w:w="1144" w:type="pct"/>
            <w:tcBorders>
              <w:top w:val="single" w:sz="4" w:space="0" w:color="auto"/>
            </w:tcBorders>
            <w:shd w:val="clear" w:color="auto" w:fill="auto"/>
            <w:tcMar>
              <w:top w:w="110" w:type="dxa"/>
              <w:bottom w:w="85" w:type="dxa"/>
            </w:tcMar>
          </w:tcPr>
          <w:p w:rsidR="00A10587" w:rsidRPr="005B079B" w:rsidRDefault="00A10587" w:rsidP="006F5B7D">
            <w:pPr>
              <w:keepNext/>
              <w:keepLines/>
              <w:ind w:right="381"/>
              <w:rPr>
                <w:bCs/>
                <w:color w:val="000000"/>
                <w:sz w:val="16"/>
                <w:szCs w:val="16"/>
              </w:rPr>
            </w:pPr>
          </w:p>
        </w:tc>
      </w:tr>
      <w:tr w:rsidR="00A10587" w:rsidRPr="005B079B" w:rsidTr="006F5B7D">
        <w:trPr>
          <w:cantSplit/>
        </w:trPr>
        <w:tc>
          <w:tcPr>
            <w:tcW w:w="1248" w:type="pct"/>
            <w:vMerge w:val="restart"/>
            <w:shd w:val="clear" w:color="auto" w:fill="auto"/>
          </w:tcPr>
          <w:p w:rsidR="00A10587" w:rsidRPr="005B079B" w:rsidRDefault="00A10587" w:rsidP="006F5B7D">
            <w:pPr>
              <w:rPr>
                <w:color w:val="000000"/>
                <w:sz w:val="16"/>
                <w:szCs w:val="16"/>
              </w:rPr>
            </w:pPr>
            <w:r w:rsidRPr="005B079B">
              <w:rPr>
                <w:color w:val="000000"/>
                <w:sz w:val="16"/>
                <w:szCs w:val="16"/>
                <w:lang w:bidi="th-TH"/>
              </w:rPr>
              <w:t>I.1. Mejor cooperación entre los Estados miembros en lo que atañe a la elaboración de marcos normativos internacionales equilibrados para la P.I. y fomento de acuerdos sobre las cuestiones específicas respecto de las que se acuerdan instrumentos internacionales.</w:t>
            </w:r>
          </w:p>
        </w:tc>
        <w:tc>
          <w:tcPr>
            <w:tcW w:w="1514" w:type="pct"/>
            <w:shd w:val="clear" w:color="auto" w:fill="auto"/>
            <w:tcMar>
              <w:top w:w="110" w:type="dxa"/>
              <w:bottom w:w="85" w:type="dxa"/>
            </w:tcMar>
          </w:tcPr>
          <w:p w:rsidR="00A10587" w:rsidRPr="005B079B" w:rsidRDefault="00A10587" w:rsidP="006F5B7D">
            <w:pPr>
              <w:rPr>
                <w:color w:val="000000"/>
                <w:sz w:val="16"/>
                <w:szCs w:val="16"/>
              </w:rPr>
            </w:pPr>
            <w:r w:rsidRPr="005B079B">
              <w:rPr>
                <w:color w:val="000000"/>
                <w:sz w:val="16"/>
                <w:szCs w:val="16"/>
              </w:rPr>
              <w:t>Acuerdo sobre un marco normativo para los procedimientos de registro y mantenimiento de los diseños industriales.</w:t>
            </w:r>
          </w:p>
        </w:tc>
        <w:tc>
          <w:tcPr>
            <w:tcW w:w="1094" w:type="pct"/>
            <w:shd w:val="clear" w:color="auto" w:fill="FFFFFF"/>
            <w:tcMar>
              <w:top w:w="110" w:type="dxa"/>
              <w:bottom w:w="85" w:type="dxa"/>
            </w:tcMar>
          </w:tcPr>
          <w:p w:rsidR="00A10587" w:rsidRPr="005B079B" w:rsidRDefault="00A10587" w:rsidP="006F5B7D">
            <w:pPr>
              <w:rPr>
                <w:color w:val="000000"/>
                <w:sz w:val="16"/>
                <w:szCs w:val="16"/>
                <w:lang w:bidi="th-TH"/>
              </w:rPr>
            </w:pPr>
            <w:r w:rsidRPr="005B079B">
              <w:rPr>
                <w:color w:val="000000"/>
                <w:sz w:val="16"/>
                <w:szCs w:val="16"/>
                <w:lang w:bidi="th-TH"/>
              </w:rPr>
              <w:t>No existe un marco normativo para los procedimientos de registro y mantenimiento de los diseños industriales.</w:t>
            </w:r>
          </w:p>
          <w:p w:rsidR="00A10587" w:rsidRPr="005B079B" w:rsidRDefault="00A10587" w:rsidP="006F5B7D">
            <w:pPr>
              <w:rPr>
                <w:color w:val="000000"/>
                <w:sz w:val="16"/>
                <w:szCs w:val="16"/>
              </w:rPr>
            </w:pPr>
          </w:p>
        </w:tc>
        <w:tc>
          <w:tcPr>
            <w:tcW w:w="1144" w:type="pct"/>
            <w:shd w:val="clear" w:color="auto" w:fill="auto"/>
            <w:tcMar>
              <w:top w:w="110" w:type="dxa"/>
              <w:bottom w:w="85" w:type="dxa"/>
            </w:tcMar>
          </w:tcPr>
          <w:p w:rsidR="00A10587" w:rsidRPr="005B079B" w:rsidRDefault="00A10587" w:rsidP="006F5B7D">
            <w:pPr>
              <w:keepNext/>
              <w:keepLines/>
              <w:ind w:right="381"/>
              <w:rPr>
                <w:bCs/>
                <w:color w:val="000000"/>
                <w:sz w:val="16"/>
                <w:szCs w:val="16"/>
              </w:rPr>
            </w:pPr>
            <w:r w:rsidRPr="005B079B">
              <w:rPr>
                <w:bCs/>
                <w:color w:val="000000"/>
                <w:sz w:val="16"/>
                <w:szCs w:val="16"/>
              </w:rPr>
              <w:t>Adopción en una eventual conferencia diplomática de un tratado sobre el Derecho de los diseños industriales.</w:t>
            </w:r>
          </w:p>
        </w:tc>
      </w:tr>
      <w:tr w:rsidR="00A10587" w:rsidRPr="005B079B" w:rsidTr="006F5B7D">
        <w:trPr>
          <w:cantSplit/>
          <w:trHeight w:val="557"/>
        </w:trPr>
        <w:tc>
          <w:tcPr>
            <w:tcW w:w="1248" w:type="pct"/>
            <w:vMerge/>
            <w:shd w:val="clear" w:color="auto" w:fill="auto"/>
          </w:tcPr>
          <w:p w:rsidR="00A10587" w:rsidRPr="005B079B" w:rsidRDefault="00A10587" w:rsidP="006F5B7D">
            <w:pPr>
              <w:rPr>
                <w:color w:val="000000"/>
                <w:sz w:val="16"/>
                <w:szCs w:val="16"/>
              </w:rPr>
            </w:pPr>
          </w:p>
        </w:tc>
        <w:tc>
          <w:tcPr>
            <w:tcW w:w="1514" w:type="pct"/>
            <w:shd w:val="clear" w:color="auto" w:fill="auto"/>
            <w:tcMar>
              <w:top w:w="110" w:type="dxa"/>
              <w:bottom w:w="85" w:type="dxa"/>
            </w:tcMar>
          </w:tcPr>
          <w:p w:rsidR="00A10587" w:rsidRPr="005B079B" w:rsidRDefault="00A10587" w:rsidP="006F5B7D">
            <w:pPr>
              <w:rPr>
                <w:color w:val="000000"/>
                <w:sz w:val="16"/>
                <w:szCs w:val="16"/>
              </w:rPr>
            </w:pPr>
            <w:r w:rsidRPr="005B079B">
              <w:rPr>
                <w:color w:val="000000"/>
                <w:sz w:val="16"/>
                <w:szCs w:val="16"/>
                <w:lang w:bidi="th-TH"/>
              </w:rPr>
              <w:t>Avances para llegar a un acuerdo sobre las cuestiones que figuran en el orden del día del SCT.</w:t>
            </w:r>
          </w:p>
        </w:tc>
        <w:tc>
          <w:tcPr>
            <w:tcW w:w="1094" w:type="pct"/>
            <w:shd w:val="clear" w:color="auto" w:fill="FFFFFF"/>
            <w:tcMar>
              <w:top w:w="110" w:type="dxa"/>
              <w:bottom w:w="85" w:type="dxa"/>
            </w:tcMar>
          </w:tcPr>
          <w:p w:rsidR="00A10587" w:rsidRPr="005B079B" w:rsidRDefault="00A10587" w:rsidP="006F5B7D">
            <w:pPr>
              <w:rPr>
                <w:color w:val="000000"/>
                <w:sz w:val="16"/>
                <w:szCs w:val="16"/>
                <w:lang w:bidi="th-TH"/>
              </w:rPr>
            </w:pPr>
            <w:r w:rsidRPr="005B079B">
              <w:rPr>
                <w:color w:val="000000"/>
                <w:sz w:val="16"/>
                <w:szCs w:val="16"/>
                <w:lang w:bidi="th-TH"/>
              </w:rPr>
              <w:t xml:space="preserve">Proyecto de documento de referencia sobre la protección de los nombres de países contra su registro y uso como marcas. </w:t>
            </w:r>
          </w:p>
        </w:tc>
        <w:tc>
          <w:tcPr>
            <w:tcW w:w="1144" w:type="pct"/>
            <w:shd w:val="clear" w:color="auto" w:fill="auto"/>
            <w:tcMar>
              <w:top w:w="110" w:type="dxa"/>
              <w:bottom w:w="85" w:type="dxa"/>
            </w:tcMar>
          </w:tcPr>
          <w:p w:rsidR="00A10587" w:rsidRPr="005B079B" w:rsidRDefault="00A10587" w:rsidP="006F5B7D">
            <w:pPr>
              <w:keepNext/>
              <w:keepLines/>
              <w:ind w:right="161"/>
              <w:rPr>
                <w:bCs/>
                <w:color w:val="000000"/>
                <w:sz w:val="16"/>
                <w:szCs w:val="16"/>
              </w:rPr>
            </w:pPr>
            <w:r w:rsidRPr="005B079B">
              <w:rPr>
                <w:bCs/>
                <w:color w:val="000000"/>
                <w:sz w:val="16"/>
                <w:szCs w:val="16"/>
              </w:rPr>
              <w:t>Resultados acordados en el SCT.</w:t>
            </w:r>
          </w:p>
        </w:tc>
      </w:tr>
      <w:tr w:rsidR="00A10587" w:rsidRPr="005B079B" w:rsidTr="006F5B7D">
        <w:trPr>
          <w:cantSplit/>
          <w:trHeight w:val="557"/>
        </w:trPr>
        <w:tc>
          <w:tcPr>
            <w:tcW w:w="1248" w:type="pct"/>
            <w:shd w:val="clear" w:color="auto" w:fill="auto"/>
          </w:tcPr>
          <w:p w:rsidR="00A10587" w:rsidRPr="005B079B" w:rsidRDefault="00A10587" w:rsidP="006F5B7D">
            <w:pPr>
              <w:rPr>
                <w:color w:val="000000"/>
                <w:sz w:val="16"/>
                <w:szCs w:val="16"/>
              </w:rPr>
            </w:pPr>
          </w:p>
        </w:tc>
        <w:tc>
          <w:tcPr>
            <w:tcW w:w="1514" w:type="pct"/>
            <w:shd w:val="clear" w:color="auto" w:fill="auto"/>
            <w:tcMar>
              <w:top w:w="110" w:type="dxa"/>
              <w:bottom w:w="85" w:type="dxa"/>
            </w:tcMar>
          </w:tcPr>
          <w:p w:rsidR="00A10587" w:rsidRPr="005B079B" w:rsidRDefault="00A10587" w:rsidP="006F5B7D">
            <w:pPr>
              <w:rPr>
                <w:color w:val="000000"/>
                <w:sz w:val="16"/>
                <w:szCs w:val="16"/>
              </w:rPr>
            </w:pPr>
            <w:r w:rsidRPr="005B079B">
              <w:rPr>
                <w:color w:val="000000"/>
                <w:sz w:val="16"/>
                <w:szCs w:val="16"/>
              </w:rPr>
              <w:t>Número de ratificaciones y adhesiones al Tratado de Singapur</w:t>
            </w:r>
          </w:p>
        </w:tc>
        <w:tc>
          <w:tcPr>
            <w:tcW w:w="1094" w:type="pct"/>
            <w:shd w:val="clear" w:color="auto" w:fill="FFFFFF"/>
            <w:tcMar>
              <w:top w:w="110" w:type="dxa"/>
              <w:bottom w:w="85" w:type="dxa"/>
            </w:tcMar>
          </w:tcPr>
          <w:p w:rsidR="00A10587" w:rsidRPr="005B079B" w:rsidRDefault="00A10587" w:rsidP="006F5B7D">
            <w:pPr>
              <w:rPr>
                <w:color w:val="000000"/>
                <w:sz w:val="16"/>
                <w:szCs w:val="16"/>
                <w:lang w:bidi="th-TH"/>
              </w:rPr>
            </w:pPr>
            <w:r w:rsidRPr="005B079B">
              <w:rPr>
                <w:color w:val="000000"/>
                <w:sz w:val="16"/>
                <w:szCs w:val="16"/>
                <w:lang w:bidi="th-TH"/>
              </w:rPr>
              <w:t xml:space="preserve">29 Partes Contratantes (al final de 2012). </w:t>
            </w:r>
          </w:p>
        </w:tc>
        <w:tc>
          <w:tcPr>
            <w:tcW w:w="1144" w:type="pct"/>
            <w:shd w:val="clear" w:color="auto" w:fill="auto"/>
            <w:tcMar>
              <w:top w:w="110" w:type="dxa"/>
              <w:bottom w:w="85" w:type="dxa"/>
            </w:tcMar>
          </w:tcPr>
          <w:p w:rsidR="00A10587" w:rsidRPr="005B079B" w:rsidRDefault="00A10587" w:rsidP="006F5B7D">
            <w:pPr>
              <w:keepNext/>
              <w:keepLines/>
              <w:ind w:right="161"/>
              <w:rPr>
                <w:bCs/>
                <w:color w:val="000000"/>
                <w:sz w:val="16"/>
                <w:szCs w:val="16"/>
              </w:rPr>
            </w:pPr>
            <w:r w:rsidRPr="005B079B">
              <w:rPr>
                <w:bCs/>
                <w:color w:val="000000"/>
                <w:sz w:val="16"/>
                <w:szCs w:val="16"/>
              </w:rPr>
              <w:t>Ocho nuevas ratificaciones / adhesiones.</w:t>
            </w:r>
          </w:p>
        </w:tc>
      </w:tr>
      <w:tr w:rsidR="00A10587" w:rsidRPr="005B079B" w:rsidTr="006F5B7D">
        <w:trPr>
          <w:cantSplit/>
          <w:trHeight w:val="1507"/>
        </w:trPr>
        <w:tc>
          <w:tcPr>
            <w:tcW w:w="1248" w:type="pct"/>
            <w:shd w:val="clear" w:color="auto" w:fill="auto"/>
          </w:tcPr>
          <w:p w:rsidR="00A10587" w:rsidRPr="005B079B" w:rsidRDefault="00A10587" w:rsidP="006F5B7D">
            <w:pPr>
              <w:rPr>
                <w:color w:val="000000"/>
                <w:sz w:val="16"/>
                <w:szCs w:val="16"/>
              </w:rPr>
            </w:pPr>
            <w:r w:rsidRPr="005B079B">
              <w:rPr>
                <w:color w:val="000000"/>
                <w:sz w:val="16"/>
                <w:szCs w:val="16"/>
              </w:rPr>
              <w:t>I.2. Marcos de P.I. adaptados y equilibrados en el ámbito legislativo, reglamentario y de política.</w:t>
            </w:r>
          </w:p>
        </w:tc>
        <w:tc>
          <w:tcPr>
            <w:tcW w:w="1514" w:type="pct"/>
            <w:shd w:val="clear" w:color="auto" w:fill="auto"/>
            <w:tcMar>
              <w:top w:w="110" w:type="dxa"/>
              <w:bottom w:w="85" w:type="dxa"/>
            </w:tcMar>
          </w:tcPr>
          <w:p w:rsidR="00A10587" w:rsidRPr="005B079B" w:rsidRDefault="00A10587" w:rsidP="006F5B7D">
            <w:pPr>
              <w:rPr>
                <w:color w:val="000000"/>
                <w:sz w:val="16"/>
                <w:szCs w:val="16"/>
              </w:rPr>
            </w:pPr>
            <w:r w:rsidRPr="005B079B">
              <w:rPr>
                <w:color w:val="000000"/>
                <w:sz w:val="16"/>
                <w:szCs w:val="16"/>
              </w:rPr>
              <w:t>Número y porcentaje de Estados miembros/organizaciones regionales que han presentado comentarios positivos sobre el asesoramiento legislativo proporcionado en la esfera de las marcas, los diseños industriales y las indicaciones geográficas.</w:t>
            </w:r>
          </w:p>
        </w:tc>
        <w:tc>
          <w:tcPr>
            <w:tcW w:w="1094" w:type="pct"/>
            <w:shd w:val="clear" w:color="auto" w:fill="FFFFFF"/>
            <w:tcMar>
              <w:top w:w="110" w:type="dxa"/>
              <w:bottom w:w="85" w:type="dxa"/>
            </w:tcMar>
          </w:tcPr>
          <w:p w:rsidR="00A10587" w:rsidRPr="005B079B" w:rsidRDefault="00A10587" w:rsidP="006F5B7D">
            <w:pPr>
              <w:rPr>
                <w:color w:val="000000"/>
                <w:sz w:val="16"/>
                <w:szCs w:val="16"/>
                <w:lang w:bidi="th-TH"/>
              </w:rPr>
            </w:pPr>
            <w:r w:rsidRPr="005B079B">
              <w:rPr>
                <w:color w:val="000000"/>
                <w:sz w:val="16"/>
                <w:szCs w:val="16"/>
                <w:lang w:bidi="th-TH"/>
              </w:rPr>
              <w:t>11 Estados miembros</w:t>
            </w:r>
            <w:r w:rsidR="005B079B">
              <w:rPr>
                <w:color w:val="000000"/>
                <w:sz w:val="16"/>
                <w:szCs w:val="16"/>
                <w:lang w:bidi="th-TH"/>
              </w:rPr>
              <w:t xml:space="preserve"> </w:t>
            </w:r>
            <w:r w:rsidRPr="005B079B">
              <w:rPr>
                <w:color w:val="000000"/>
                <w:sz w:val="16"/>
                <w:szCs w:val="16"/>
                <w:lang w:bidi="th-TH"/>
              </w:rPr>
              <w:t>/</w:t>
            </w:r>
            <w:r w:rsidR="005B079B">
              <w:rPr>
                <w:color w:val="000000"/>
                <w:sz w:val="16"/>
                <w:szCs w:val="16"/>
                <w:lang w:bidi="th-TH"/>
              </w:rPr>
              <w:t xml:space="preserve"> </w:t>
            </w:r>
            <w:r w:rsidRPr="005B079B">
              <w:rPr>
                <w:color w:val="000000"/>
                <w:sz w:val="16"/>
                <w:szCs w:val="16"/>
                <w:lang w:bidi="th-TH"/>
              </w:rPr>
              <w:t>organizaciones regionales han recibido asesoramiento legislativo y tres de ellos han formulado comentarios positivos sobre el asesoramiento legislativo recibido en 2012.</w:t>
            </w:r>
          </w:p>
        </w:tc>
        <w:tc>
          <w:tcPr>
            <w:tcW w:w="1144" w:type="pct"/>
            <w:shd w:val="clear" w:color="auto" w:fill="auto"/>
            <w:tcMar>
              <w:top w:w="110" w:type="dxa"/>
              <w:bottom w:w="85" w:type="dxa"/>
            </w:tcMar>
          </w:tcPr>
          <w:p w:rsidR="00A10587" w:rsidRPr="005B079B" w:rsidRDefault="00A10587" w:rsidP="006F5B7D">
            <w:pPr>
              <w:keepNext/>
              <w:keepLines/>
              <w:ind w:right="161"/>
              <w:rPr>
                <w:bCs/>
                <w:color w:val="000000"/>
                <w:sz w:val="16"/>
                <w:szCs w:val="16"/>
              </w:rPr>
            </w:pPr>
            <w:r w:rsidRPr="005B079B">
              <w:rPr>
                <w:bCs/>
                <w:color w:val="000000"/>
                <w:sz w:val="16"/>
                <w:szCs w:val="16"/>
              </w:rPr>
              <w:t xml:space="preserve">Se proporciona asesoramiento legislativo a 10 Estados miembros / organizaciones regionales. 90% de los encuestados expresa satisfacción con el asesoramiento brindado. </w:t>
            </w:r>
          </w:p>
        </w:tc>
      </w:tr>
      <w:tr w:rsidR="00A10587" w:rsidRPr="005B079B" w:rsidTr="006F5B7D">
        <w:trPr>
          <w:cantSplit/>
          <w:trHeight w:val="1013"/>
        </w:trPr>
        <w:tc>
          <w:tcPr>
            <w:tcW w:w="1248" w:type="pct"/>
            <w:shd w:val="clear" w:color="auto" w:fill="auto"/>
          </w:tcPr>
          <w:p w:rsidR="00A10587" w:rsidRPr="005B079B" w:rsidRDefault="00A10587" w:rsidP="006F5B7D">
            <w:pPr>
              <w:rPr>
                <w:color w:val="000000"/>
                <w:sz w:val="16"/>
                <w:szCs w:val="16"/>
              </w:rPr>
            </w:pPr>
            <w:r w:rsidRPr="005B079B">
              <w:rPr>
                <w:color w:val="000000"/>
                <w:sz w:val="16"/>
                <w:szCs w:val="16"/>
              </w:rPr>
              <w:t>I.3. Aumento de la protección de los emblemas de Estado y de los nombres y emblemas de organizaciones intergubernamentales internacionales.</w:t>
            </w:r>
          </w:p>
        </w:tc>
        <w:tc>
          <w:tcPr>
            <w:tcW w:w="1514" w:type="pct"/>
            <w:shd w:val="clear" w:color="auto" w:fill="auto"/>
            <w:tcMar>
              <w:top w:w="110" w:type="dxa"/>
            </w:tcMar>
          </w:tcPr>
          <w:p w:rsidR="00A10587" w:rsidRPr="005B079B" w:rsidRDefault="00A10587" w:rsidP="006F5B7D">
            <w:pPr>
              <w:rPr>
                <w:color w:val="000000"/>
                <w:sz w:val="16"/>
                <w:szCs w:val="16"/>
              </w:rPr>
            </w:pPr>
            <w:r w:rsidRPr="005B079B">
              <w:rPr>
                <w:color w:val="000000"/>
                <w:sz w:val="16"/>
                <w:szCs w:val="16"/>
              </w:rPr>
              <w:t>Número de peticiones de comunicación tramitadas en virtud del artículo 6</w:t>
            </w:r>
            <w:r w:rsidRPr="005B079B">
              <w:rPr>
                <w:i/>
                <w:color w:val="000000"/>
                <w:sz w:val="16"/>
                <w:szCs w:val="16"/>
              </w:rPr>
              <w:t>ter.</w:t>
            </w:r>
          </w:p>
        </w:tc>
        <w:tc>
          <w:tcPr>
            <w:tcW w:w="1094" w:type="pct"/>
            <w:shd w:val="clear" w:color="auto" w:fill="FFFFFF"/>
            <w:tcMar>
              <w:top w:w="110" w:type="dxa"/>
            </w:tcMar>
          </w:tcPr>
          <w:p w:rsidR="00A10587" w:rsidRPr="005B079B" w:rsidRDefault="00A10587" w:rsidP="006F5B7D">
            <w:pPr>
              <w:rPr>
                <w:color w:val="000000"/>
                <w:sz w:val="16"/>
                <w:szCs w:val="16"/>
                <w:lang w:bidi="th-TH"/>
              </w:rPr>
            </w:pPr>
            <w:r w:rsidRPr="005B079B">
              <w:rPr>
                <w:color w:val="000000"/>
                <w:sz w:val="16"/>
                <w:szCs w:val="16"/>
                <w:lang w:bidi="th-TH"/>
              </w:rPr>
              <w:t>70 peticiones de comunicación tramitadas en 2012 en virtud del artículo 6</w:t>
            </w:r>
            <w:r w:rsidRPr="005B079B">
              <w:rPr>
                <w:i/>
                <w:color w:val="000000"/>
                <w:sz w:val="16"/>
                <w:szCs w:val="16"/>
                <w:lang w:bidi="th-TH"/>
              </w:rPr>
              <w:t>ter</w:t>
            </w:r>
            <w:r w:rsidRPr="005B079B">
              <w:rPr>
                <w:color w:val="000000"/>
                <w:sz w:val="16"/>
                <w:szCs w:val="16"/>
                <w:lang w:bidi="th-TH"/>
              </w:rPr>
              <w:t>.</w:t>
            </w:r>
          </w:p>
        </w:tc>
        <w:tc>
          <w:tcPr>
            <w:tcW w:w="1144" w:type="pct"/>
            <w:shd w:val="clear" w:color="auto" w:fill="auto"/>
            <w:tcMar>
              <w:top w:w="110" w:type="dxa"/>
            </w:tcMar>
          </w:tcPr>
          <w:p w:rsidR="00A10587" w:rsidRPr="005B079B" w:rsidRDefault="00A10587" w:rsidP="006F5B7D">
            <w:pPr>
              <w:keepNext/>
              <w:keepLines/>
              <w:ind w:right="161"/>
              <w:rPr>
                <w:bCs/>
                <w:color w:val="000000"/>
                <w:sz w:val="16"/>
                <w:szCs w:val="16"/>
              </w:rPr>
            </w:pPr>
            <w:r w:rsidRPr="005B079B">
              <w:rPr>
                <w:bCs/>
                <w:color w:val="000000"/>
                <w:sz w:val="16"/>
                <w:szCs w:val="16"/>
              </w:rPr>
              <w:t>140  peticiones de comunicación tramitadas en virtud del artículo 6</w:t>
            </w:r>
            <w:r w:rsidRPr="005B079B">
              <w:rPr>
                <w:bCs/>
                <w:i/>
                <w:color w:val="000000"/>
                <w:sz w:val="16"/>
                <w:szCs w:val="16"/>
              </w:rPr>
              <w:t>ter.</w:t>
            </w:r>
          </w:p>
        </w:tc>
      </w:tr>
      <w:tr w:rsidR="00A10587" w:rsidRPr="005B079B" w:rsidTr="006F5B7D">
        <w:trPr>
          <w:cantSplit/>
          <w:trHeight w:val="710"/>
        </w:trPr>
        <w:tc>
          <w:tcPr>
            <w:tcW w:w="1248" w:type="pct"/>
            <w:shd w:val="clear" w:color="auto" w:fill="auto"/>
          </w:tcPr>
          <w:p w:rsidR="00A10587" w:rsidRPr="005B079B" w:rsidRDefault="00A10587" w:rsidP="006F5B7D">
            <w:pPr>
              <w:rPr>
                <w:color w:val="000000"/>
                <w:sz w:val="16"/>
                <w:szCs w:val="16"/>
              </w:rPr>
            </w:pPr>
          </w:p>
        </w:tc>
        <w:tc>
          <w:tcPr>
            <w:tcW w:w="1514" w:type="pct"/>
            <w:shd w:val="clear" w:color="auto" w:fill="auto"/>
            <w:tcMar>
              <w:top w:w="110" w:type="dxa"/>
            </w:tcMar>
          </w:tcPr>
          <w:p w:rsidR="00A10587" w:rsidRPr="005B079B" w:rsidRDefault="00A10587" w:rsidP="006F5B7D">
            <w:pPr>
              <w:rPr>
                <w:color w:val="000000"/>
                <w:sz w:val="16"/>
                <w:szCs w:val="16"/>
              </w:rPr>
            </w:pPr>
            <w:r w:rsidRPr="005B079B">
              <w:rPr>
                <w:color w:val="000000"/>
                <w:sz w:val="16"/>
                <w:szCs w:val="16"/>
              </w:rPr>
              <w:t>Número de signos publicados en la base de datos sobre el artículo 6</w:t>
            </w:r>
            <w:r w:rsidRPr="005B079B">
              <w:rPr>
                <w:i/>
                <w:color w:val="000000"/>
                <w:sz w:val="16"/>
                <w:szCs w:val="16"/>
              </w:rPr>
              <w:t>ter</w:t>
            </w:r>
            <w:r w:rsidRPr="005B079B">
              <w:rPr>
                <w:color w:val="000000"/>
                <w:sz w:val="16"/>
                <w:szCs w:val="16"/>
              </w:rPr>
              <w:t>.</w:t>
            </w:r>
          </w:p>
        </w:tc>
        <w:tc>
          <w:tcPr>
            <w:tcW w:w="1094" w:type="pct"/>
            <w:shd w:val="clear" w:color="auto" w:fill="FFFFFF"/>
            <w:tcMar>
              <w:top w:w="110" w:type="dxa"/>
            </w:tcMar>
          </w:tcPr>
          <w:p w:rsidR="00A10587" w:rsidRPr="005B079B" w:rsidRDefault="00A10587" w:rsidP="006F5B7D">
            <w:pPr>
              <w:rPr>
                <w:color w:val="000000"/>
                <w:sz w:val="16"/>
                <w:szCs w:val="16"/>
                <w:lang w:bidi="th-TH"/>
              </w:rPr>
            </w:pPr>
            <w:r w:rsidRPr="005B079B">
              <w:rPr>
                <w:color w:val="000000"/>
                <w:sz w:val="16"/>
                <w:szCs w:val="16"/>
                <w:lang w:bidi="th-TH"/>
              </w:rPr>
              <w:t>75 signos publicados en 2012 en la base de datos sobre el artículo 6</w:t>
            </w:r>
            <w:r w:rsidRPr="005B079B">
              <w:rPr>
                <w:i/>
                <w:color w:val="000000"/>
                <w:sz w:val="16"/>
                <w:szCs w:val="16"/>
                <w:lang w:bidi="th-TH"/>
              </w:rPr>
              <w:t>ter</w:t>
            </w:r>
            <w:r w:rsidRPr="005B079B">
              <w:rPr>
                <w:color w:val="000000"/>
                <w:sz w:val="16"/>
                <w:szCs w:val="16"/>
                <w:lang w:bidi="th-TH"/>
              </w:rPr>
              <w:t>.</w:t>
            </w:r>
          </w:p>
        </w:tc>
        <w:tc>
          <w:tcPr>
            <w:tcW w:w="1144" w:type="pct"/>
            <w:shd w:val="clear" w:color="auto" w:fill="auto"/>
            <w:tcMar>
              <w:top w:w="110" w:type="dxa"/>
            </w:tcMar>
          </w:tcPr>
          <w:p w:rsidR="00A10587" w:rsidRPr="005B079B" w:rsidRDefault="00A10587" w:rsidP="006F5B7D">
            <w:pPr>
              <w:keepNext/>
              <w:keepLines/>
              <w:ind w:right="161"/>
              <w:rPr>
                <w:bCs/>
                <w:color w:val="000000"/>
                <w:sz w:val="16"/>
                <w:szCs w:val="16"/>
              </w:rPr>
            </w:pPr>
            <w:r w:rsidRPr="005B079B">
              <w:rPr>
                <w:bCs/>
                <w:color w:val="000000"/>
                <w:sz w:val="16"/>
                <w:szCs w:val="16"/>
              </w:rPr>
              <w:t>150 signos publicados en la base de datos sobre el artículo 6</w:t>
            </w:r>
            <w:r w:rsidRPr="005B079B">
              <w:rPr>
                <w:bCs/>
                <w:i/>
                <w:color w:val="000000"/>
                <w:sz w:val="16"/>
                <w:szCs w:val="16"/>
              </w:rPr>
              <w:t>ter</w:t>
            </w:r>
            <w:r w:rsidRPr="005B079B">
              <w:rPr>
                <w:bCs/>
                <w:color w:val="000000"/>
                <w:sz w:val="16"/>
                <w:szCs w:val="16"/>
              </w:rPr>
              <w:t>.</w:t>
            </w:r>
          </w:p>
        </w:tc>
      </w:tr>
    </w:tbl>
    <w:p w:rsidR="00A10587" w:rsidRPr="005B079B" w:rsidRDefault="00A10587" w:rsidP="00A10587">
      <w:pPr>
        <w:rPr>
          <w:color w:val="000000"/>
          <w:szCs w:val="22"/>
        </w:rPr>
      </w:pPr>
    </w:p>
    <w:p w:rsidR="00585618" w:rsidRPr="005B079B" w:rsidRDefault="00585618" w:rsidP="00A10587">
      <w:pPr>
        <w:rPr>
          <w:color w:val="000000"/>
          <w:szCs w:val="22"/>
        </w:rPr>
      </w:pPr>
    </w:p>
    <w:p w:rsidR="00585618" w:rsidRPr="005B079B" w:rsidRDefault="00585618" w:rsidP="00A10587">
      <w:pPr>
        <w:rPr>
          <w:color w:val="000000"/>
          <w:szCs w:val="22"/>
        </w:rPr>
      </w:pPr>
    </w:p>
    <w:p w:rsidR="00585618" w:rsidRPr="005B079B" w:rsidRDefault="00585618" w:rsidP="00585618">
      <w:pPr>
        <w:pStyle w:val="Endofdocument-Annex"/>
        <w:rPr>
          <w:lang w:val="es-ES"/>
        </w:rPr>
      </w:pPr>
      <w:r w:rsidRPr="005B079B">
        <w:rPr>
          <w:lang w:val="es-ES"/>
        </w:rPr>
        <w:t>[Sigue el Anexo II]</w:t>
      </w:r>
    </w:p>
    <w:p w:rsidR="00585618" w:rsidRPr="005B079B" w:rsidRDefault="00585618" w:rsidP="00A10587">
      <w:pPr>
        <w:rPr>
          <w:color w:val="000000"/>
          <w:szCs w:val="22"/>
        </w:rPr>
      </w:pPr>
    </w:p>
    <w:p w:rsidR="00A10587" w:rsidRPr="005B079B" w:rsidRDefault="00A10587" w:rsidP="00A10587">
      <w:pPr>
        <w:rPr>
          <w:color w:val="000000"/>
          <w:szCs w:val="22"/>
        </w:rPr>
        <w:sectPr w:rsidR="00A10587" w:rsidRPr="005B079B" w:rsidSect="00456A6F">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A10587" w:rsidRPr="005B079B" w:rsidRDefault="00A10587" w:rsidP="00A10587">
      <w:pPr>
        <w:jc w:val="center"/>
        <w:rPr>
          <w:b/>
          <w:color w:val="000000"/>
          <w:szCs w:val="22"/>
        </w:rPr>
      </w:pPr>
    </w:p>
    <w:p w:rsidR="00A10587" w:rsidRPr="005B079B" w:rsidRDefault="00A10587" w:rsidP="00585618">
      <w:pPr>
        <w:pStyle w:val="StyleHeading3ComplexItalic"/>
        <w:keepNext w:val="0"/>
        <w:rPr>
          <w:color w:val="000000"/>
          <w:lang w:val="es-ES"/>
        </w:rPr>
      </w:pPr>
      <w:bookmarkStart w:id="6" w:name="_Toc363200901"/>
    </w:p>
    <w:bookmarkEnd w:id="6"/>
    <w:p w:rsidR="00A10587" w:rsidRPr="005B079B" w:rsidRDefault="00A10587" w:rsidP="00585618">
      <w:pPr>
        <w:tabs>
          <w:tab w:val="left" w:pos="2127"/>
        </w:tabs>
        <w:ind w:left="2127" w:hanging="2127"/>
        <w:rPr>
          <w:iCs/>
          <w:caps/>
        </w:rPr>
      </w:pPr>
      <w:r w:rsidRPr="005B079B">
        <w:rPr>
          <w:b/>
          <w:color w:val="000000"/>
          <w:szCs w:val="22"/>
        </w:rPr>
        <w:t>PROGRAMA 4</w:t>
      </w:r>
      <w:r w:rsidR="00585618" w:rsidRPr="005B079B">
        <w:rPr>
          <w:b/>
          <w:color w:val="000000"/>
          <w:szCs w:val="22"/>
        </w:rPr>
        <w:tab/>
      </w:r>
      <w:r w:rsidRPr="005B079B">
        <w:rPr>
          <w:b/>
          <w:color w:val="000000"/>
          <w:szCs w:val="22"/>
        </w:rPr>
        <w:t>CONOCIMIENTOS TRADICIONALES, EXPRESIONES CULTURALES TRADICIONALES Y RECURSOS GENÉTICOS</w:t>
      </w:r>
    </w:p>
    <w:p w:rsidR="00A10587" w:rsidRPr="005B079B" w:rsidRDefault="00A10587" w:rsidP="00A10587">
      <w:pPr>
        <w:tabs>
          <w:tab w:val="left" w:pos="2268"/>
        </w:tabs>
        <w:ind w:left="2268" w:hanging="2268"/>
        <w:rPr>
          <w:bCs/>
          <w:color w:val="000000"/>
          <w:szCs w:val="22"/>
        </w:rPr>
      </w:pPr>
    </w:p>
    <w:p w:rsidR="00A10587" w:rsidRPr="005B079B" w:rsidRDefault="00A10587" w:rsidP="00A10587">
      <w:pPr>
        <w:tabs>
          <w:tab w:val="left" w:pos="2268"/>
        </w:tabs>
        <w:ind w:left="2268" w:hanging="2268"/>
        <w:rPr>
          <w:bCs/>
          <w:color w:val="000000"/>
          <w:szCs w:val="22"/>
        </w:rPr>
      </w:pPr>
    </w:p>
    <w:p w:rsidR="00A10587" w:rsidRPr="005B079B" w:rsidRDefault="00A10587" w:rsidP="00A10587">
      <w:pPr>
        <w:tabs>
          <w:tab w:val="left" w:pos="567"/>
          <w:tab w:val="left" w:pos="1985"/>
        </w:tabs>
        <w:jc w:val="both"/>
        <w:rPr>
          <w:bCs/>
          <w:color w:val="000000"/>
          <w:szCs w:val="22"/>
        </w:rPr>
      </w:pPr>
    </w:p>
    <w:p w:rsidR="00A10587" w:rsidRPr="005B079B" w:rsidRDefault="00585618" w:rsidP="00585618">
      <w:pPr>
        <w:tabs>
          <w:tab w:val="left" w:pos="567"/>
          <w:tab w:val="left" w:pos="1985"/>
        </w:tabs>
        <w:jc w:val="both"/>
        <w:rPr>
          <w:bCs/>
          <w:color w:val="000000"/>
          <w:szCs w:val="22"/>
        </w:rPr>
      </w:pPr>
      <w:r w:rsidRPr="005B079B">
        <w:rPr>
          <w:bCs/>
          <w:color w:val="000000"/>
          <w:szCs w:val="22"/>
        </w:rPr>
        <w:t>MARCO DE RESULTADOS</w:t>
      </w:r>
    </w:p>
    <w:p w:rsidR="00A10587" w:rsidRPr="005B079B" w:rsidRDefault="00A10587" w:rsidP="00585618">
      <w:pPr>
        <w:tabs>
          <w:tab w:val="left" w:pos="567"/>
          <w:tab w:val="left" w:pos="1985"/>
        </w:tabs>
        <w:jc w:val="both"/>
        <w:rPr>
          <w:bCs/>
          <w:color w:val="000000"/>
          <w:szCs w:val="22"/>
        </w:rPr>
      </w:pP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9"/>
        <w:gridCol w:w="2847"/>
        <w:gridCol w:w="2056"/>
        <w:gridCol w:w="2041"/>
      </w:tblGrid>
      <w:tr w:rsidR="00A10587" w:rsidRPr="005B079B" w:rsidTr="006F5B7D">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A10587" w:rsidRPr="005B079B" w:rsidRDefault="00585618" w:rsidP="00585618">
            <w:pPr>
              <w:spacing w:after="120"/>
              <w:jc w:val="center"/>
              <w:rPr>
                <w:b/>
                <w:bCs/>
                <w:color w:val="000000"/>
                <w:sz w:val="18"/>
                <w:szCs w:val="18"/>
              </w:rPr>
            </w:pPr>
            <w:r w:rsidRPr="005B079B">
              <w:rPr>
                <w:b/>
                <w:bCs/>
                <w:color w:val="000000"/>
                <w:sz w:val="18"/>
                <w:szCs w:val="18"/>
              </w:rPr>
              <w:t xml:space="preserve">Resultados </w:t>
            </w:r>
            <w:r w:rsidR="00A10587" w:rsidRPr="005B079B">
              <w:rPr>
                <w:b/>
                <w:bCs/>
                <w:color w:val="000000"/>
                <w:sz w:val="18"/>
                <w:szCs w:val="18"/>
              </w:rPr>
              <w:t>previstos</w:t>
            </w:r>
          </w:p>
        </w:tc>
        <w:tc>
          <w:tcPr>
            <w:tcW w:w="1532" w:type="pct"/>
            <w:tcBorders>
              <w:top w:val="single" w:sz="4" w:space="0" w:color="auto"/>
              <w:bottom w:val="single" w:sz="4" w:space="0" w:color="auto"/>
            </w:tcBorders>
            <w:shd w:val="clear" w:color="auto" w:fill="CCFFFF"/>
            <w:tcMar>
              <w:top w:w="110" w:type="dxa"/>
            </w:tcMar>
            <w:vAlign w:val="center"/>
          </w:tcPr>
          <w:p w:rsidR="00A10587" w:rsidRPr="005B079B" w:rsidRDefault="00585618" w:rsidP="006F5B7D">
            <w:pPr>
              <w:keepNext/>
              <w:keepLines/>
              <w:spacing w:after="120"/>
              <w:jc w:val="center"/>
              <w:rPr>
                <w:b/>
                <w:color w:val="000000"/>
                <w:sz w:val="18"/>
                <w:szCs w:val="18"/>
              </w:rPr>
            </w:pPr>
            <w:r w:rsidRPr="005B079B">
              <w:rPr>
                <w:b/>
                <w:color w:val="000000"/>
                <w:sz w:val="18"/>
                <w:szCs w:val="18"/>
              </w:rPr>
              <w:t xml:space="preserve">Indicadores </w:t>
            </w:r>
            <w:r w:rsidR="00A10587" w:rsidRPr="005B079B">
              <w:rPr>
                <w:b/>
                <w:color w:val="000000"/>
                <w:sz w:val="18"/>
                <w:szCs w:val="18"/>
              </w:rPr>
              <w:t>de rendimiento</w:t>
            </w:r>
          </w:p>
        </w:tc>
        <w:tc>
          <w:tcPr>
            <w:tcW w:w="1106" w:type="pct"/>
            <w:tcBorders>
              <w:top w:val="single" w:sz="4" w:space="0" w:color="auto"/>
              <w:bottom w:val="single" w:sz="4" w:space="0" w:color="auto"/>
            </w:tcBorders>
            <w:shd w:val="clear" w:color="auto" w:fill="CCFFFF"/>
            <w:tcMar>
              <w:top w:w="110" w:type="dxa"/>
            </w:tcMar>
            <w:vAlign w:val="center"/>
          </w:tcPr>
          <w:p w:rsidR="00A10587" w:rsidRPr="005B079B" w:rsidRDefault="00A10587" w:rsidP="006F5B7D">
            <w:pPr>
              <w:keepNext/>
              <w:keepLines/>
              <w:spacing w:after="120"/>
              <w:ind w:left="85"/>
              <w:jc w:val="center"/>
              <w:rPr>
                <w:color w:val="000000"/>
                <w:sz w:val="18"/>
                <w:szCs w:val="18"/>
              </w:rPr>
            </w:pPr>
            <w:r w:rsidRPr="005B079B">
              <w:rPr>
                <w:b/>
                <w:bCs/>
                <w:color w:val="000000"/>
                <w:sz w:val="18"/>
                <w:szCs w:val="18"/>
              </w:rPr>
              <w:t>Referencia</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A10587" w:rsidRPr="005B079B" w:rsidRDefault="00A10587" w:rsidP="006F5B7D">
            <w:pPr>
              <w:keepNext/>
              <w:keepLines/>
              <w:tabs>
                <w:tab w:val="left" w:pos="1433"/>
              </w:tabs>
              <w:spacing w:after="120"/>
              <w:ind w:right="222"/>
              <w:jc w:val="center"/>
              <w:rPr>
                <w:b/>
                <w:bCs/>
                <w:color w:val="000000"/>
                <w:sz w:val="18"/>
                <w:szCs w:val="18"/>
              </w:rPr>
            </w:pPr>
            <w:r w:rsidRPr="005B079B">
              <w:rPr>
                <w:b/>
                <w:bCs/>
                <w:color w:val="000000"/>
                <w:sz w:val="18"/>
                <w:szCs w:val="18"/>
              </w:rPr>
              <w:t>Objetivos</w:t>
            </w:r>
          </w:p>
        </w:tc>
      </w:tr>
      <w:tr w:rsidR="00A10587" w:rsidRPr="005B079B" w:rsidTr="006F5B7D">
        <w:trPr>
          <w:cantSplit/>
        </w:trPr>
        <w:tc>
          <w:tcPr>
            <w:tcW w:w="1264" w:type="pct"/>
            <w:tcBorders>
              <w:top w:val="single" w:sz="4" w:space="0" w:color="auto"/>
            </w:tcBorders>
            <w:shd w:val="clear" w:color="auto" w:fill="auto"/>
            <w:tcMar>
              <w:top w:w="113" w:type="dxa"/>
              <w:bottom w:w="85" w:type="dxa"/>
            </w:tcMar>
          </w:tcPr>
          <w:p w:rsidR="00A10587" w:rsidRPr="005B079B" w:rsidRDefault="00A10587" w:rsidP="00585618">
            <w:pPr>
              <w:rPr>
                <w:color w:val="000000"/>
                <w:sz w:val="16"/>
                <w:szCs w:val="16"/>
              </w:rPr>
            </w:pPr>
            <w:r w:rsidRPr="005B079B">
              <w:rPr>
                <w:color w:val="000000"/>
                <w:sz w:val="16"/>
                <w:szCs w:val="16"/>
              </w:rPr>
              <w:t>I.1. Mejor cooperación entre los Estados miembros en lo que atañe a la elaboración de marcos normativos internacionales equilibrados para la P.I. y fomento de acuerdos sobre las cuestiones específicas respecto de las que se acuerdan instrumentos internacionales.</w:t>
            </w:r>
          </w:p>
        </w:tc>
        <w:tc>
          <w:tcPr>
            <w:tcW w:w="1532" w:type="pct"/>
            <w:tcBorders>
              <w:top w:val="single" w:sz="4" w:space="0" w:color="auto"/>
            </w:tcBorders>
            <w:shd w:val="clear" w:color="auto" w:fill="auto"/>
            <w:tcMar>
              <w:top w:w="113" w:type="dxa"/>
              <w:bottom w:w="85" w:type="dxa"/>
            </w:tcMar>
          </w:tcPr>
          <w:p w:rsidR="00A10587" w:rsidRPr="005B079B" w:rsidRDefault="00A10587" w:rsidP="006F5B7D">
            <w:pPr>
              <w:keepNext/>
              <w:keepLines/>
              <w:rPr>
                <w:color w:val="000000"/>
                <w:sz w:val="16"/>
                <w:szCs w:val="16"/>
              </w:rPr>
            </w:pPr>
            <w:r w:rsidRPr="005B079B">
              <w:rPr>
                <w:color w:val="000000"/>
                <w:sz w:val="16"/>
                <w:szCs w:val="16"/>
              </w:rPr>
              <w:t>Acuerdo en las negociaciones del CIG en torno a uno o varios instrumentos jurídicos internacionales sobre CC.TT., ECT y RR.GG.</w:t>
            </w:r>
          </w:p>
        </w:tc>
        <w:tc>
          <w:tcPr>
            <w:tcW w:w="1106" w:type="pct"/>
            <w:tcBorders>
              <w:top w:val="single" w:sz="4" w:space="0" w:color="auto"/>
            </w:tcBorders>
            <w:shd w:val="clear" w:color="auto" w:fill="FFFFFF"/>
            <w:tcMar>
              <w:top w:w="113" w:type="dxa"/>
              <w:bottom w:w="85" w:type="dxa"/>
            </w:tcMar>
          </w:tcPr>
          <w:p w:rsidR="00A10587" w:rsidRPr="005B079B" w:rsidRDefault="00A10587" w:rsidP="006F5B7D">
            <w:pPr>
              <w:keepNext/>
              <w:keepLines/>
              <w:rPr>
                <w:color w:val="000000"/>
                <w:sz w:val="16"/>
                <w:szCs w:val="16"/>
                <w:lang w:bidi="th-TH"/>
              </w:rPr>
            </w:pPr>
            <w:r w:rsidRPr="005B079B">
              <w:rPr>
                <w:color w:val="000000"/>
                <w:sz w:val="16"/>
                <w:szCs w:val="16"/>
                <w:lang w:bidi="th-TH"/>
              </w:rPr>
              <w:t>Negociaciones en curso en el marco del mandato del CIG correspondiente a 2012-2013 y programa de trabajo de 2013.</w:t>
            </w:r>
          </w:p>
          <w:p w:rsidR="00A10587" w:rsidRPr="005B079B" w:rsidRDefault="00A10587" w:rsidP="006F5B7D">
            <w:pPr>
              <w:keepNext/>
              <w:keepLines/>
              <w:rPr>
                <w:color w:val="000000"/>
                <w:sz w:val="16"/>
                <w:szCs w:val="16"/>
                <w:lang w:bidi="th-TH"/>
              </w:rPr>
            </w:pPr>
          </w:p>
          <w:p w:rsidR="00A10587" w:rsidRPr="005B079B" w:rsidRDefault="00A10587" w:rsidP="006F5B7D">
            <w:pPr>
              <w:keepNext/>
              <w:keepLines/>
              <w:rPr>
                <w:color w:val="000000"/>
                <w:sz w:val="16"/>
                <w:szCs w:val="16"/>
              </w:rPr>
            </w:pPr>
          </w:p>
        </w:tc>
        <w:tc>
          <w:tcPr>
            <w:tcW w:w="1098" w:type="pct"/>
            <w:tcBorders>
              <w:top w:val="single" w:sz="4" w:space="0" w:color="auto"/>
            </w:tcBorders>
            <w:shd w:val="clear" w:color="auto" w:fill="auto"/>
            <w:tcMar>
              <w:top w:w="113" w:type="dxa"/>
              <w:bottom w:w="85" w:type="dxa"/>
            </w:tcMar>
          </w:tcPr>
          <w:p w:rsidR="00A10587" w:rsidRPr="005B079B" w:rsidRDefault="00A10587" w:rsidP="006F5B7D">
            <w:pPr>
              <w:keepNext/>
              <w:keepLines/>
              <w:ind w:right="381"/>
              <w:rPr>
                <w:bCs/>
                <w:color w:val="000000"/>
                <w:sz w:val="16"/>
                <w:szCs w:val="16"/>
              </w:rPr>
            </w:pPr>
            <w:r w:rsidRPr="005B079B">
              <w:rPr>
                <w:bCs/>
                <w:color w:val="000000"/>
                <w:sz w:val="16"/>
                <w:szCs w:val="16"/>
              </w:rPr>
              <w:t>Adopción de uno o varios instrumentos internacionales en una eventual conferencia diplomática.</w:t>
            </w:r>
          </w:p>
        </w:tc>
      </w:tr>
      <w:tr w:rsidR="00A10587" w:rsidRPr="005B079B" w:rsidTr="006F5B7D">
        <w:trPr>
          <w:cantSplit/>
        </w:trPr>
        <w:tc>
          <w:tcPr>
            <w:tcW w:w="1264" w:type="pct"/>
            <w:shd w:val="clear" w:color="auto" w:fill="auto"/>
            <w:tcMar>
              <w:top w:w="113" w:type="dxa"/>
              <w:bottom w:w="85" w:type="dxa"/>
            </w:tcMar>
          </w:tcPr>
          <w:p w:rsidR="00A10587" w:rsidRPr="005B079B" w:rsidRDefault="00A10587" w:rsidP="006F5B7D">
            <w:pPr>
              <w:rPr>
                <w:color w:val="000000"/>
                <w:sz w:val="16"/>
                <w:szCs w:val="16"/>
              </w:rPr>
            </w:pPr>
            <w:r w:rsidRPr="005B079B">
              <w:rPr>
                <w:color w:val="000000"/>
                <w:sz w:val="16"/>
                <w:szCs w:val="16"/>
              </w:rPr>
              <w:t>III.2 Mejora de las capacidades en el ámbito de los recursos humanos para hacer frente al amplio espectro de exigencias que supone la utilización eficaz de la P.I. en aras del desarrollo en los países en desarrollo, PMA y países con economías en transición.</w:t>
            </w:r>
          </w:p>
        </w:tc>
        <w:tc>
          <w:tcPr>
            <w:tcW w:w="1532" w:type="pct"/>
            <w:shd w:val="clear" w:color="auto" w:fill="auto"/>
            <w:tcMar>
              <w:top w:w="113" w:type="dxa"/>
              <w:bottom w:w="85" w:type="dxa"/>
            </w:tcMar>
          </w:tcPr>
          <w:p w:rsidR="00A10587" w:rsidRPr="005B079B" w:rsidRDefault="00A10587" w:rsidP="006F5B7D">
            <w:pPr>
              <w:rPr>
                <w:color w:val="000000"/>
                <w:sz w:val="16"/>
                <w:szCs w:val="16"/>
              </w:rPr>
            </w:pPr>
            <w:r w:rsidRPr="005B079B">
              <w:rPr>
                <w:color w:val="000000"/>
                <w:sz w:val="16"/>
                <w:szCs w:val="16"/>
              </w:rPr>
              <w:t>Porcentaje de participantes en actividades de la OMPI que afirman haber mejorado su capacidad de comprender y utilizar principios, sistemas y herramientas de P.I. para la protección de los CC.TT. y las ECT, y para la gestión de la relación existente entre la P.I. y los RR.GG.</w:t>
            </w:r>
          </w:p>
        </w:tc>
        <w:tc>
          <w:tcPr>
            <w:tcW w:w="1106" w:type="pct"/>
            <w:shd w:val="clear" w:color="auto" w:fill="FFFFFF"/>
            <w:tcMar>
              <w:top w:w="113" w:type="dxa"/>
              <w:bottom w:w="85" w:type="dxa"/>
            </w:tcMar>
          </w:tcPr>
          <w:p w:rsidR="00A10587" w:rsidRPr="005B079B" w:rsidRDefault="00A10587" w:rsidP="006F5B7D">
            <w:pPr>
              <w:rPr>
                <w:color w:val="000000"/>
                <w:sz w:val="16"/>
                <w:szCs w:val="16"/>
                <w:lang w:bidi="th-TH"/>
              </w:rPr>
            </w:pPr>
            <w:r w:rsidRPr="005B079B">
              <w:rPr>
                <w:color w:val="000000"/>
                <w:sz w:val="16"/>
                <w:szCs w:val="16"/>
                <w:lang w:bidi="th-TH"/>
              </w:rPr>
              <w:t>Aún no está disponible.</w:t>
            </w:r>
          </w:p>
          <w:p w:rsidR="00A10587" w:rsidRPr="005B079B" w:rsidRDefault="00A10587" w:rsidP="006F5B7D">
            <w:pPr>
              <w:rPr>
                <w:color w:val="000000"/>
                <w:sz w:val="16"/>
                <w:szCs w:val="16"/>
                <w:lang w:bidi="th-TH"/>
              </w:rPr>
            </w:pPr>
          </w:p>
          <w:p w:rsidR="00A10587" w:rsidRPr="005B079B" w:rsidRDefault="00A10587" w:rsidP="006F5B7D">
            <w:pPr>
              <w:rPr>
                <w:color w:val="000000"/>
                <w:sz w:val="16"/>
                <w:szCs w:val="16"/>
                <w:lang w:bidi="th-TH"/>
              </w:rPr>
            </w:pPr>
          </w:p>
          <w:p w:rsidR="00A10587" w:rsidRPr="005B079B" w:rsidRDefault="00A10587" w:rsidP="006F5B7D">
            <w:pPr>
              <w:rPr>
                <w:color w:val="000000"/>
                <w:sz w:val="16"/>
                <w:szCs w:val="16"/>
              </w:rPr>
            </w:pPr>
          </w:p>
        </w:tc>
        <w:tc>
          <w:tcPr>
            <w:tcW w:w="1098" w:type="pct"/>
            <w:shd w:val="clear" w:color="auto" w:fill="auto"/>
            <w:tcMar>
              <w:top w:w="113" w:type="dxa"/>
              <w:bottom w:w="85" w:type="dxa"/>
            </w:tcMar>
          </w:tcPr>
          <w:p w:rsidR="00A10587" w:rsidRPr="005B079B" w:rsidRDefault="00A10587" w:rsidP="006F5B7D">
            <w:pPr>
              <w:keepNext/>
              <w:keepLines/>
              <w:tabs>
                <w:tab w:val="left" w:pos="2051"/>
              </w:tabs>
              <w:ind w:right="381"/>
              <w:rPr>
                <w:bCs/>
                <w:color w:val="000000"/>
                <w:sz w:val="16"/>
                <w:szCs w:val="16"/>
              </w:rPr>
            </w:pPr>
            <w:r w:rsidRPr="005B079B">
              <w:rPr>
                <w:bCs/>
                <w:color w:val="000000"/>
                <w:sz w:val="16"/>
                <w:szCs w:val="16"/>
              </w:rPr>
              <w:t>80%</w:t>
            </w:r>
          </w:p>
        </w:tc>
      </w:tr>
    </w:tbl>
    <w:p w:rsidR="00A10587" w:rsidRPr="005B079B" w:rsidRDefault="00A10587" w:rsidP="00A10587">
      <w:pPr>
        <w:tabs>
          <w:tab w:val="left" w:pos="567"/>
          <w:tab w:val="left" w:pos="1985"/>
        </w:tabs>
        <w:rPr>
          <w:bCs/>
          <w:color w:val="000000"/>
          <w:szCs w:val="22"/>
        </w:rPr>
      </w:pPr>
    </w:p>
    <w:p w:rsidR="00A10587" w:rsidRPr="005B079B" w:rsidRDefault="00A10587" w:rsidP="00A10587">
      <w:pPr>
        <w:tabs>
          <w:tab w:val="left" w:pos="567"/>
          <w:tab w:val="left" w:pos="1985"/>
        </w:tabs>
        <w:rPr>
          <w:bCs/>
          <w:color w:val="000000"/>
          <w:szCs w:val="22"/>
        </w:rPr>
      </w:pPr>
    </w:p>
    <w:p w:rsidR="00A10587" w:rsidRPr="005B079B" w:rsidRDefault="00A10587" w:rsidP="00A10587">
      <w:pPr>
        <w:tabs>
          <w:tab w:val="left" w:pos="567"/>
          <w:tab w:val="left" w:pos="1985"/>
        </w:tabs>
        <w:rPr>
          <w:bCs/>
          <w:color w:val="000000"/>
          <w:szCs w:val="22"/>
        </w:rPr>
      </w:pPr>
    </w:p>
    <w:p w:rsidR="00A10587" w:rsidRPr="005B079B" w:rsidRDefault="00585618" w:rsidP="00585618">
      <w:pPr>
        <w:pStyle w:val="Endofdocument-Annex"/>
        <w:rPr>
          <w:szCs w:val="22"/>
          <w:lang w:val="es-ES"/>
        </w:rPr>
      </w:pPr>
      <w:r w:rsidRPr="005B079B">
        <w:rPr>
          <w:szCs w:val="22"/>
          <w:lang w:val="es-ES"/>
        </w:rPr>
        <w:t>[</w:t>
      </w:r>
      <w:r w:rsidR="00A10587" w:rsidRPr="005B079B">
        <w:rPr>
          <w:szCs w:val="22"/>
          <w:lang w:val="es-ES"/>
        </w:rPr>
        <w:t>Fin de</w:t>
      </w:r>
      <w:r w:rsidR="00E64AD1">
        <w:rPr>
          <w:szCs w:val="22"/>
          <w:lang w:val="es-ES"/>
        </w:rPr>
        <w:t>l Anexo II</w:t>
      </w:r>
      <w:r w:rsidR="00A10587" w:rsidRPr="005B079B">
        <w:rPr>
          <w:szCs w:val="22"/>
          <w:lang w:val="es-ES"/>
        </w:rPr>
        <w:t xml:space="preserve"> y del documento</w:t>
      </w:r>
      <w:r w:rsidRPr="005B079B">
        <w:rPr>
          <w:szCs w:val="22"/>
          <w:lang w:val="es-ES"/>
        </w:rPr>
        <w:t>]</w:t>
      </w:r>
    </w:p>
    <w:p w:rsidR="00A10587" w:rsidRPr="005B079B" w:rsidRDefault="00A10587" w:rsidP="00A10587">
      <w:pPr>
        <w:tabs>
          <w:tab w:val="left" w:pos="567"/>
          <w:tab w:val="left" w:pos="1985"/>
        </w:tabs>
        <w:rPr>
          <w:bCs/>
          <w:color w:val="000000"/>
          <w:szCs w:val="22"/>
        </w:rPr>
      </w:pPr>
    </w:p>
    <w:p w:rsidR="00A10587" w:rsidRPr="005B079B" w:rsidRDefault="00A10587" w:rsidP="00A10587">
      <w:pPr>
        <w:rPr>
          <w:color w:val="000000"/>
          <w:szCs w:val="22"/>
        </w:rPr>
      </w:pPr>
    </w:p>
    <w:p w:rsidR="00152CEA" w:rsidRPr="005B079B" w:rsidRDefault="00152CEA">
      <w:pPr>
        <w:rPr>
          <w:szCs w:val="22"/>
        </w:rPr>
      </w:pPr>
      <w:bookmarkStart w:id="7" w:name="_GoBack"/>
      <w:bookmarkEnd w:id="7"/>
    </w:p>
    <w:sectPr w:rsidR="00152CEA" w:rsidRPr="005B079B" w:rsidSect="00A10587">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B2" w:rsidRDefault="00854FB2">
      <w:r>
        <w:separator/>
      </w:r>
    </w:p>
  </w:endnote>
  <w:endnote w:type="continuationSeparator" w:id="0">
    <w:p w:rsidR="00854FB2" w:rsidRPr="009D30E6" w:rsidRDefault="00854FB2" w:rsidP="007E663E">
      <w:pPr>
        <w:rPr>
          <w:sz w:val="17"/>
          <w:szCs w:val="17"/>
        </w:rPr>
      </w:pPr>
      <w:r w:rsidRPr="009D30E6">
        <w:rPr>
          <w:sz w:val="17"/>
          <w:szCs w:val="17"/>
        </w:rPr>
        <w:separator/>
      </w:r>
    </w:p>
    <w:p w:rsidR="00854FB2" w:rsidRPr="007E663E" w:rsidRDefault="00854FB2" w:rsidP="007E663E">
      <w:pPr>
        <w:spacing w:after="60"/>
        <w:rPr>
          <w:sz w:val="17"/>
          <w:szCs w:val="17"/>
        </w:rPr>
      </w:pPr>
      <w:r>
        <w:rPr>
          <w:sz w:val="17"/>
        </w:rPr>
        <w:t>[Continuación de la nota de la página anterior]</w:t>
      </w:r>
    </w:p>
  </w:endnote>
  <w:endnote w:type="continuationNotice" w:id="1">
    <w:p w:rsidR="00854FB2" w:rsidRPr="007E663E" w:rsidRDefault="00854F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B2" w:rsidRDefault="00854FB2">
      <w:r>
        <w:separator/>
      </w:r>
    </w:p>
  </w:footnote>
  <w:footnote w:type="continuationSeparator" w:id="0">
    <w:p w:rsidR="00854FB2" w:rsidRPr="009D30E6" w:rsidRDefault="00854FB2" w:rsidP="007E663E">
      <w:pPr>
        <w:rPr>
          <w:sz w:val="17"/>
          <w:szCs w:val="17"/>
        </w:rPr>
      </w:pPr>
      <w:r w:rsidRPr="009D30E6">
        <w:rPr>
          <w:sz w:val="17"/>
          <w:szCs w:val="17"/>
        </w:rPr>
        <w:separator/>
      </w:r>
    </w:p>
    <w:p w:rsidR="00854FB2" w:rsidRPr="007E663E" w:rsidRDefault="00854FB2" w:rsidP="007E663E">
      <w:pPr>
        <w:spacing w:after="60"/>
        <w:rPr>
          <w:sz w:val="17"/>
          <w:szCs w:val="17"/>
        </w:rPr>
      </w:pPr>
      <w:r>
        <w:rPr>
          <w:sz w:val="17"/>
        </w:rPr>
        <w:t>[Continuación de la nota de la página anterior]</w:t>
      </w:r>
    </w:p>
  </w:footnote>
  <w:footnote w:type="continuationNotice" w:id="1">
    <w:p w:rsidR="00854FB2" w:rsidRPr="007E663E" w:rsidRDefault="00854FB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87" w:rsidRDefault="00A10587" w:rsidP="008A4E3C">
    <w:pPr>
      <w:jc w:val="right"/>
    </w:pPr>
    <w:r w:rsidRPr="008A4E3C">
      <w:rPr>
        <w:color w:val="008080"/>
        <w:lang w:val="es-ES_tradnl"/>
      </w:rPr>
      <w:t>A</w:t>
    </w:r>
    <w:r>
      <w:rPr>
        <w:color w:val="008080"/>
        <w:lang w:val="es-ES_tradnl"/>
      </w:rPr>
      <w:t>/52/4</w:t>
    </w:r>
    <w:r w:rsidRPr="008A4E3C">
      <w:rPr>
        <w:color w:val="008080"/>
        <w:lang w:val="es-ES_tradnl"/>
      </w:rPr>
      <w:t>I</w:t>
    </w:r>
  </w:p>
  <w:p w:rsidR="00A10587" w:rsidRPr="0033466C" w:rsidRDefault="00A10587" w:rsidP="008A4E3C">
    <w:pPr>
      <w:jc w:val="right"/>
      <w:rPr>
        <w:highlight w:val="red"/>
      </w:rPr>
    </w:pPr>
    <w:proofErr w:type="gramStart"/>
    <w:r>
      <w:rPr>
        <w:color w:val="000000"/>
        <w:highlight w:val="red"/>
        <w:lang w:val="es-ES_tradnl"/>
      </w:rPr>
      <w:t>página</w:t>
    </w:r>
    <w:proofErr w:type="gramEnd"/>
    <w:r>
      <w:rPr>
        <w:color w:val="000000"/>
        <w:highlight w:val="red"/>
        <w:lang w:val="es-ES_tradnl"/>
      </w:rPr>
      <w:t xml:space="preserve"> </w:t>
    </w:r>
  </w:p>
  <w:p w:rsidR="00A10587" w:rsidRDefault="00A10587" w:rsidP="001853EE">
    <w:pPr>
      <w:jc w:val="right"/>
    </w:pPr>
  </w:p>
  <w:p w:rsidR="00A10587" w:rsidRDefault="00A1058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618" w:rsidRDefault="00585618" w:rsidP="00585618">
    <w:pPr>
      <w:pStyle w:val="Header"/>
      <w:jc w:val="right"/>
    </w:pPr>
    <w:r>
      <w:t>A/52/4</w:t>
    </w:r>
  </w:p>
  <w:p w:rsidR="00585618" w:rsidRDefault="00585618" w:rsidP="00585618">
    <w:pPr>
      <w:pStyle w:val="Header"/>
      <w:jc w:val="right"/>
    </w:pPr>
    <w:r>
      <w:t>ANEXO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10587" w:rsidP="00477D6B">
    <w:pPr>
      <w:jc w:val="right"/>
    </w:pPr>
    <w:bookmarkStart w:id="8" w:name="Code2"/>
    <w:bookmarkEnd w:id="8"/>
    <w:r>
      <w:t>A/52/4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A10587">
      <w:rPr>
        <w:noProof/>
      </w:rPr>
      <w:t>1</w:t>
    </w:r>
    <w:r>
      <w:fldChar w:fldCharType="end"/>
    </w:r>
  </w:p>
  <w:p w:rsidR="00AE7F20" w:rsidRDefault="00AE7F2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618" w:rsidRDefault="00585618" w:rsidP="00585618">
    <w:pPr>
      <w:pStyle w:val="Header"/>
      <w:jc w:val="right"/>
    </w:pPr>
    <w:r>
      <w:t>A/52/4</w:t>
    </w:r>
  </w:p>
  <w:p w:rsidR="00585618" w:rsidRDefault="00585618" w:rsidP="00585618">
    <w:pPr>
      <w:pStyle w:val="Header"/>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87"/>
    <w:rsid w:val="00010686"/>
    <w:rsid w:val="00052915"/>
    <w:rsid w:val="000E3BB3"/>
    <w:rsid w:val="000F5E56"/>
    <w:rsid w:val="001362EE"/>
    <w:rsid w:val="00152CEA"/>
    <w:rsid w:val="001832A6"/>
    <w:rsid w:val="00246989"/>
    <w:rsid w:val="002634C4"/>
    <w:rsid w:val="002E0F47"/>
    <w:rsid w:val="002F4E68"/>
    <w:rsid w:val="00354647"/>
    <w:rsid w:val="00367000"/>
    <w:rsid w:val="00377273"/>
    <w:rsid w:val="003845C1"/>
    <w:rsid w:val="00387287"/>
    <w:rsid w:val="003E48F1"/>
    <w:rsid w:val="003F347A"/>
    <w:rsid w:val="00423E3E"/>
    <w:rsid w:val="00427AF4"/>
    <w:rsid w:val="0045231F"/>
    <w:rsid w:val="00455092"/>
    <w:rsid w:val="004647DA"/>
    <w:rsid w:val="00477808"/>
    <w:rsid w:val="00477D6B"/>
    <w:rsid w:val="00495758"/>
    <w:rsid w:val="004A6C37"/>
    <w:rsid w:val="004E297D"/>
    <w:rsid w:val="0050239A"/>
    <w:rsid w:val="005332F0"/>
    <w:rsid w:val="0055013B"/>
    <w:rsid w:val="00571B99"/>
    <w:rsid w:val="00585618"/>
    <w:rsid w:val="005B079B"/>
    <w:rsid w:val="00605827"/>
    <w:rsid w:val="00675021"/>
    <w:rsid w:val="006A06C6"/>
    <w:rsid w:val="007224C8"/>
    <w:rsid w:val="00783B18"/>
    <w:rsid w:val="00794BE2"/>
    <w:rsid w:val="007B71FE"/>
    <w:rsid w:val="007D7618"/>
    <w:rsid w:val="007D781E"/>
    <w:rsid w:val="007E663E"/>
    <w:rsid w:val="00815082"/>
    <w:rsid w:val="00854FB2"/>
    <w:rsid w:val="0088395E"/>
    <w:rsid w:val="008B2CC1"/>
    <w:rsid w:val="008E6BD6"/>
    <w:rsid w:val="0090731E"/>
    <w:rsid w:val="00966A22"/>
    <w:rsid w:val="00972F03"/>
    <w:rsid w:val="009A0C8B"/>
    <w:rsid w:val="009B6241"/>
    <w:rsid w:val="00A10587"/>
    <w:rsid w:val="00A16FC0"/>
    <w:rsid w:val="00A32C9E"/>
    <w:rsid w:val="00AB613D"/>
    <w:rsid w:val="00AE7F20"/>
    <w:rsid w:val="00B55FE4"/>
    <w:rsid w:val="00B65A0A"/>
    <w:rsid w:val="00B67CDC"/>
    <w:rsid w:val="00B72D36"/>
    <w:rsid w:val="00BC4164"/>
    <w:rsid w:val="00BD2DCC"/>
    <w:rsid w:val="00C90559"/>
    <w:rsid w:val="00CA2251"/>
    <w:rsid w:val="00D56C7C"/>
    <w:rsid w:val="00D71B4D"/>
    <w:rsid w:val="00D90289"/>
    <w:rsid w:val="00D93D55"/>
    <w:rsid w:val="00DC3C35"/>
    <w:rsid w:val="00DC4C60"/>
    <w:rsid w:val="00E0079A"/>
    <w:rsid w:val="00E444DA"/>
    <w:rsid w:val="00E45C84"/>
    <w:rsid w:val="00E504E5"/>
    <w:rsid w:val="00E64AD1"/>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paragraph" w:customStyle="1" w:styleId="CharCharCharChar">
    <w:name w:val="Char Char Char Char"/>
    <w:basedOn w:val="Normal"/>
    <w:rsid w:val="00A1058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rsid w:val="00A10587"/>
    <w:rPr>
      <w:rFonts w:ascii="Arial" w:eastAsia="SimSun" w:hAnsi="Arial" w:cs="Arial"/>
      <w:sz w:val="22"/>
      <w:lang w:val="es-ES" w:eastAsia="zh-CN"/>
    </w:rPr>
  </w:style>
  <w:style w:type="character" w:customStyle="1" w:styleId="HeaderChar">
    <w:name w:val="Header Char"/>
    <w:link w:val="Header"/>
    <w:uiPriority w:val="99"/>
    <w:rsid w:val="00A10587"/>
    <w:rPr>
      <w:rFonts w:ascii="Arial" w:eastAsia="SimSun" w:hAnsi="Arial" w:cs="Arial"/>
      <w:sz w:val="22"/>
      <w:lang w:val="es-ES" w:eastAsia="zh-CN"/>
    </w:rPr>
  </w:style>
  <w:style w:type="paragraph" w:customStyle="1" w:styleId="StyleHeading3ComplexItalic">
    <w:name w:val="Style Heading 3 + (Complex) Italic"/>
    <w:basedOn w:val="Heading3"/>
    <w:link w:val="StyleHeading3ComplexItalicChar"/>
    <w:rsid w:val="00A10587"/>
    <w:pPr>
      <w:tabs>
        <w:tab w:val="left" w:pos="1985"/>
      </w:tabs>
      <w:spacing w:before="0" w:after="0"/>
    </w:pPr>
    <w:rPr>
      <w:rFonts w:eastAsia="Times New Roman"/>
      <w:b/>
      <w:bCs w:val="0"/>
      <w:iCs/>
      <w:caps/>
      <w:szCs w:val="22"/>
      <w:u w:val="none"/>
      <w:lang w:val="en-US" w:eastAsia="en-US"/>
    </w:rPr>
  </w:style>
  <w:style w:type="character" w:customStyle="1" w:styleId="StyleHeading3ComplexItalicChar">
    <w:name w:val="Style Heading 3 + (Complex) Italic Char"/>
    <w:link w:val="StyleHeading3ComplexItalic"/>
    <w:rsid w:val="00A10587"/>
    <w:rPr>
      <w:rFonts w:ascii="Arial" w:hAnsi="Arial" w:cs="Arial"/>
      <w:b/>
      <w:iCs/>
      <w:caps/>
      <w:sz w:val="22"/>
      <w:szCs w:val="22"/>
    </w:rPr>
  </w:style>
  <w:style w:type="paragraph" w:customStyle="1" w:styleId="StyleStyleHeading3ComplexItalicLatin12pt">
    <w:name w:val="Style Style Heading 3 + (Complex) Italic + (Latin) 12 pt"/>
    <w:basedOn w:val="StyleHeading3ComplexItalic"/>
    <w:link w:val="StyleStyleHeading3ComplexItalicLatin12ptChar"/>
    <w:rsid w:val="00A10587"/>
  </w:style>
  <w:style w:type="character" w:customStyle="1" w:styleId="StyleStyleHeading3ComplexItalicLatin12ptChar">
    <w:name w:val="Style Style Heading 3 + (Complex) Italic + (Latin) 12 pt Char"/>
    <w:link w:val="StyleStyleHeading3ComplexItalicLatin12pt"/>
    <w:rsid w:val="00A10587"/>
    <w:rPr>
      <w:rFonts w:ascii="Arial" w:hAnsi="Arial" w:cs="Arial"/>
      <w:b/>
      <w:iCs/>
      <w:caps/>
      <w:sz w:val="22"/>
      <w:szCs w:val="22"/>
    </w:rPr>
  </w:style>
  <w:style w:type="paragraph" w:styleId="BalloonText">
    <w:name w:val="Balloon Text"/>
    <w:basedOn w:val="Normal"/>
    <w:link w:val="BalloonTextChar"/>
    <w:rsid w:val="00B55FE4"/>
    <w:rPr>
      <w:rFonts w:ascii="Tahoma" w:hAnsi="Tahoma" w:cs="Tahoma"/>
      <w:sz w:val="16"/>
      <w:szCs w:val="16"/>
    </w:rPr>
  </w:style>
  <w:style w:type="character" w:customStyle="1" w:styleId="BalloonTextChar">
    <w:name w:val="Balloon Text Char"/>
    <w:basedOn w:val="DefaultParagraphFont"/>
    <w:link w:val="BalloonText"/>
    <w:rsid w:val="00B55FE4"/>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paragraph" w:customStyle="1" w:styleId="CharCharCharChar">
    <w:name w:val="Char Char Char Char"/>
    <w:basedOn w:val="Normal"/>
    <w:rsid w:val="00A1058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rsid w:val="00A10587"/>
    <w:rPr>
      <w:rFonts w:ascii="Arial" w:eastAsia="SimSun" w:hAnsi="Arial" w:cs="Arial"/>
      <w:sz w:val="22"/>
      <w:lang w:val="es-ES" w:eastAsia="zh-CN"/>
    </w:rPr>
  </w:style>
  <w:style w:type="character" w:customStyle="1" w:styleId="HeaderChar">
    <w:name w:val="Header Char"/>
    <w:link w:val="Header"/>
    <w:uiPriority w:val="99"/>
    <w:rsid w:val="00A10587"/>
    <w:rPr>
      <w:rFonts w:ascii="Arial" w:eastAsia="SimSun" w:hAnsi="Arial" w:cs="Arial"/>
      <w:sz w:val="22"/>
      <w:lang w:val="es-ES" w:eastAsia="zh-CN"/>
    </w:rPr>
  </w:style>
  <w:style w:type="paragraph" w:customStyle="1" w:styleId="StyleHeading3ComplexItalic">
    <w:name w:val="Style Heading 3 + (Complex) Italic"/>
    <w:basedOn w:val="Heading3"/>
    <w:link w:val="StyleHeading3ComplexItalicChar"/>
    <w:rsid w:val="00A10587"/>
    <w:pPr>
      <w:tabs>
        <w:tab w:val="left" w:pos="1985"/>
      </w:tabs>
      <w:spacing w:before="0" w:after="0"/>
    </w:pPr>
    <w:rPr>
      <w:rFonts w:eastAsia="Times New Roman"/>
      <w:b/>
      <w:bCs w:val="0"/>
      <w:iCs/>
      <w:caps/>
      <w:szCs w:val="22"/>
      <w:u w:val="none"/>
      <w:lang w:val="en-US" w:eastAsia="en-US"/>
    </w:rPr>
  </w:style>
  <w:style w:type="character" w:customStyle="1" w:styleId="StyleHeading3ComplexItalicChar">
    <w:name w:val="Style Heading 3 + (Complex) Italic Char"/>
    <w:link w:val="StyleHeading3ComplexItalic"/>
    <w:rsid w:val="00A10587"/>
    <w:rPr>
      <w:rFonts w:ascii="Arial" w:hAnsi="Arial" w:cs="Arial"/>
      <w:b/>
      <w:iCs/>
      <w:caps/>
      <w:sz w:val="22"/>
      <w:szCs w:val="22"/>
    </w:rPr>
  </w:style>
  <w:style w:type="paragraph" w:customStyle="1" w:styleId="StyleStyleHeading3ComplexItalicLatin12pt">
    <w:name w:val="Style Style Heading 3 + (Complex) Italic + (Latin) 12 pt"/>
    <w:basedOn w:val="StyleHeading3ComplexItalic"/>
    <w:link w:val="StyleStyleHeading3ComplexItalicLatin12ptChar"/>
    <w:rsid w:val="00A10587"/>
  </w:style>
  <w:style w:type="character" w:customStyle="1" w:styleId="StyleStyleHeading3ComplexItalicLatin12ptChar">
    <w:name w:val="Style Style Heading 3 + (Complex) Italic + (Latin) 12 pt Char"/>
    <w:link w:val="StyleStyleHeading3ComplexItalicLatin12pt"/>
    <w:rsid w:val="00A10587"/>
    <w:rPr>
      <w:rFonts w:ascii="Arial" w:hAnsi="Arial" w:cs="Arial"/>
      <w:b/>
      <w:iCs/>
      <w:caps/>
      <w:sz w:val="22"/>
      <w:szCs w:val="22"/>
    </w:rPr>
  </w:style>
  <w:style w:type="paragraph" w:styleId="BalloonText">
    <w:name w:val="Balloon Text"/>
    <w:basedOn w:val="Normal"/>
    <w:link w:val="BalloonTextChar"/>
    <w:rsid w:val="00B55FE4"/>
    <w:rPr>
      <w:rFonts w:ascii="Tahoma" w:hAnsi="Tahoma" w:cs="Tahoma"/>
      <w:sz w:val="16"/>
      <w:szCs w:val="16"/>
    </w:rPr>
  </w:style>
  <w:style w:type="character" w:customStyle="1" w:styleId="BalloonTextChar">
    <w:name w:val="Balloon Text Char"/>
    <w:basedOn w:val="DefaultParagraphFont"/>
    <w:link w:val="BalloonText"/>
    <w:rsid w:val="00B55FE4"/>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7BE7-AFD8-49E1-91C0-C81D6122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52 (S).dot</Template>
  <TotalTime>19</TotalTime>
  <Pages>3</Pages>
  <Words>859</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A/52/</vt:lpstr>
    </vt:vector>
  </TitlesOfParts>
  <Company>WIPO</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dc:title>
  <dc:creator>HALLER Mario</dc:creator>
  <cp:lastModifiedBy>MARIN-CUDRAZ DAVI Nicoletta</cp:lastModifiedBy>
  <cp:revision>4</cp:revision>
  <dcterms:created xsi:type="dcterms:W3CDTF">2013-12-07T10:26:00Z</dcterms:created>
  <dcterms:modified xsi:type="dcterms:W3CDTF">2013-12-09T09:05:00Z</dcterms:modified>
</cp:coreProperties>
</file>