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3347A" w:rsidRPr="008B2CC1" w:rsidTr="00BA511B">
        <w:tc>
          <w:tcPr>
            <w:tcW w:w="4513" w:type="dxa"/>
            <w:tcBorders>
              <w:bottom w:val="single" w:sz="4" w:space="0" w:color="auto"/>
            </w:tcBorders>
            <w:tcMar>
              <w:bottom w:w="170" w:type="dxa"/>
            </w:tcMar>
          </w:tcPr>
          <w:p w:rsidR="0043347A" w:rsidRPr="008B2CC1" w:rsidRDefault="0043347A" w:rsidP="00BA511B"/>
        </w:tc>
        <w:tc>
          <w:tcPr>
            <w:tcW w:w="4337" w:type="dxa"/>
            <w:tcBorders>
              <w:bottom w:val="single" w:sz="4" w:space="0" w:color="auto"/>
            </w:tcBorders>
            <w:tcMar>
              <w:left w:w="0" w:type="dxa"/>
              <w:right w:w="0" w:type="dxa"/>
            </w:tcMar>
          </w:tcPr>
          <w:p w:rsidR="0043347A" w:rsidRPr="008B2CC1" w:rsidRDefault="0043347A" w:rsidP="00BA511B">
            <w:r>
              <w:rPr>
                <w:noProof/>
                <w:lang w:eastAsia="en-US"/>
              </w:rPr>
              <w:drawing>
                <wp:inline distT="0" distB="0" distL="0" distR="0" wp14:anchorId="2F86B990" wp14:editId="5E898A0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3347A" w:rsidRPr="008B2CC1" w:rsidRDefault="0043347A" w:rsidP="00BA511B">
            <w:pPr>
              <w:jc w:val="right"/>
            </w:pPr>
            <w:r w:rsidRPr="00605827">
              <w:rPr>
                <w:b/>
                <w:sz w:val="40"/>
                <w:szCs w:val="40"/>
              </w:rPr>
              <w:t>E</w:t>
            </w:r>
          </w:p>
        </w:tc>
      </w:tr>
      <w:tr w:rsidR="0043347A" w:rsidRPr="001832A6" w:rsidTr="00BA511B">
        <w:trPr>
          <w:trHeight w:hRule="exact" w:val="340"/>
        </w:trPr>
        <w:tc>
          <w:tcPr>
            <w:tcW w:w="9356" w:type="dxa"/>
            <w:gridSpan w:val="3"/>
            <w:tcBorders>
              <w:top w:val="single" w:sz="4" w:space="0" w:color="auto"/>
            </w:tcBorders>
            <w:tcMar>
              <w:top w:w="170" w:type="dxa"/>
              <w:left w:w="0" w:type="dxa"/>
              <w:right w:w="0" w:type="dxa"/>
            </w:tcMar>
            <w:vAlign w:val="bottom"/>
          </w:tcPr>
          <w:p w:rsidR="0043347A" w:rsidRPr="0090731E" w:rsidRDefault="0043347A" w:rsidP="0059122A">
            <w:pPr>
              <w:jc w:val="right"/>
              <w:rPr>
                <w:rFonts w:ascii="Arial Black" w:hAnsi="Arial Black"/>
                <w:caps/>
                <w:sz w:val="15"/>
              </w:rPr>
            </w:pPr>
            <w:r>
              <w:rPr>
                <w:rFonts w:ascii="Arial Black" w:hAnsi="Arial Black"/>
                <w:caps/>
                <w:sz w:val="15"/>
              </w:rPr>
              <w:t>wo/pbc/2</w:t>
            </w:r>
            <w:r w:rsidR="0059122A">
              <w:rPr>
                <w:rFonts w:ascii="Arial Black" w:hAnsi="Arial Black"/>
                <w:caps/>
                <w:sz w:val="15"/>
              </w:rPr>
              <w:t>6</w:t>
            </w:r>
            <w:r>
              <w:rPr>
                <w:rFonts w:ascii="Arial Black" w:hAnsi="Arial Black"/>
                <w:caps/>
                <w:sz w:val="15"/>
              </w:rPr>
              <w:t>/</w:t>
            </w:r>
            <w:bookmarkStart w:id="0" w:name="Code"/>
            <w:bookmarkEnd w:id="0"/>
            <w:r w:rsidR="0059122A">
              <w:rPr>
                <w:rFonts w:ascii="Arial Black" w:hAnsi="Arial Black"/>
                <w:caps/>
                <w:sz w:val="15"/>
              </w:rPr>
              <w:t>9</w:t>
            </w:r>
          </w:p>
        </w:tc>
      </w:tr>
      <w:tr w:rsidR="0043347A" w:rsidRPr="001832A6" w:rsidTr="00BA511B">
        <w:trPr>
          <w:trHeight w:hRule="exact" w:val="170"/>
        </w:trPr>
        <w:tc>
          <w:tcPr>
            <w:tcW w:w="9356" w:type="dxa"/>
            <w:gridSpan w:val="3"/>
            <w:noWrap/>
            <w:tcMar>
              <w:left w:w="0" w:type="dxa"/>
              <w:right w:w="0" w:type="dxa"/>
            </w:tcMar>
            <w:vAlign w:val="bottom"/>
          </w:tcPr>
          <w:p w:rsidR="0043347A" w:rsidRPr="0090731E" w:rsidRDefault="0043347A" w:rsidP="00BA511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43347A" w:rsidRPr="001832A6" w:rsidTr="00BA511B">
        <w:trPr>
          <w:trHeight w:hRule="exact" w:val="198"/>
        </w:trPr>
        <w:tc>
          <w:tcPr>
            <w:tcW w:w="9356" w:type="dxa"/>
            <w:gridSpan w:val="3"/>
            <w:tcMar>
              <w:left w:w="0" w:type="dxa"/>
              <w:right w:w="0" w:type="dxa"/>
            </w:tcMar>
            <w:vAlign w:val="bottom"/>
          </w:tcPr>
          <w:p w:rsidR="0043347A" w:rsidRDefault="0043347A" w:rsidP="0043347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290AE7">
              <w:rPr>
                <w:rFonts w:ascii="Arial Black" w:hAnsi="Arial Black"/>
                <w:caps/>
                <w:sz w:val="15"/>
              </w:rPr>
              <w:t>JUNE 21</w:t>
            </w:r>
            <w:r>
              <w:rPr>
                <w:rFonts w:ascii="Arial Black" w:hAnsi="Arial Black"/>
                <w:caps/>
                <w:sz w:val="15"/>
              </w:rPr>
              <w:t>, 2017</w:t>
            </w:r>
          </w:p>
          <w:p w:rsidR="0043347A" w:rsidRDefault="0043347A" w:rsidP="0043347A">
            <w:pPr>
              <w:jc w:val="right"/>
              <w:rPr>
                <w:rFonts w:ascii="Arial Black" w:hAnsi="Arial Black"/>
                <w:caps/>
                <w:sz w:val="15"/>
              </w:rPr>
            </w:pPr>
          </w:p>
          <w:p w:rsidR="0043347A" w:rsidRDefault="0043347A" w:rsidP="0043347A">
            <w:pPr>
              <w:jc w:val="right"/>
              <w:rPr>
                <w:rFonts w:ascii="Arial Black" w:hAnsi="Arial Black"/>
                <w:caps/>
                <w:sz w:val="15"/>
              </w:rPr>
            </w:pPr>
          </w:p>
          <w:p w:rsidR="0043347A" w:rsidRPr="0090731E" w:rsidRDefault="0043347A" w:rsidP="0043347A">
            <w:pPr>
              <w:jc w:val="right"/>
              <w:rPr>
                <w:rFonts w:ascii="Arial Black" w:hAnsi="Arial Black"/>
                <w:caps/>
                <w:sz w:val="15"/>
              </w:rPr>
            </w:pPr>
            <w:r>
              <w:rPr>
                <w:rFonts w:ascii="Arial Black" w:hAnsi="Arial Black"/>
                <w:caps/>
                <w:sz w:val="15"/>
              </w:rPr>
              <w:t>Pro</w:t>
            </w:r>
          </w:p>
        </w:tc>
      </w:tr>
    </w:tbl>
    <w:p w:rsidR="000F5E56" w:rsidRDefault="000F5E56" w:rsidP="00804DB7"/>
    <w:p w:rsidR="00011824" w:rsidRDefault="00011824" w:rsidP="00804DB7"/>
    <w:p w:rsidR="00011824" w:rsidRDefault="00011824" w:rsidP="00804DB7"/>
    <w:p w:rsidR="00011824" w:rsidRDefault="00011824" w:rsidP="00804DB7">
      <w:bookmarkStart w:id="3" w:name="_GoBack"/>
      <w:bookmarkEnd w:id="3"/>
    </w:p>
    <w:p w:rsidR="00011824" w:rsidRDefault="00011824" w:rsidP="00804DB7"/>
    <w:p w:rsidR="0043347A" w:rsidRPr="002F135C" w:rsidRDefault="0043347A" w:rsidP="00804DB7">
      <w:pPr>
        <w:rPr>
          <w:b/>
          <w:sz w:val="28"/>
          <w:szCs w:val="28"/>
        </w:rPr>
      </w:pPr>
      <w:r w:rsidRPr="002F135C">
        <w:rPr>
          <w:b/>
          <w:sz w:val="28"/>
          <w:szCs w:val="28"/>
        </w:rPr>
        <w:t>Program and Budget Committee</w:t>
      </w:r>
    </w:p>
    <w:p w:rsidR="0043347A" w:rsidRPr="0043347A" w:rsidRDefault="0043347A" w:rsidP="00804DB7">
      <w:pPr>
        <w:rPr>
          <w:b/>
        </w:rPr>
      </w:pPr>
    </w:p>
    <w:p w:rsidR="0043347A" w:rsidRPr="002F135C" w:rsidRDefault="0043347A" w:rsidP="00804DB7">
      <w:pPr>
        <w:rPr>
          <w:b/>
          <w:sz w:val="24"/>
          <w:szCs w:val="24"/>
        </w:rPr>
      </w:pPr>
      <w:r w:rsidRPr="002F135C">
        <w:rPr>
          <w:b/>
          <w:sz w:val="24"/>
          <w:szCs w:val="24"/>
        </w:rPr>
        <w:t>Twenty-sixth Session</w:t>
      </w:r>
    </w:p>
    <w:p w:rsidR="0043347A" w:rsidRPr="002F135C" w:rsidRDefault="0043347A" w:rsidP="00804DB7">
      <w:pPr>
        <w:rPr>
          <w:b/>
          <w:sz w:val="24"/>
          <w:szCs w:val="24"/>
        </w:rPr>
      </w:pPr>
      <w:r w:rsidRPr="002F135C">
        <w:rPr>
          <w:b/>
          <w:sz w:val="24"/>
          <w:szCs w:val="24"/>
        </w:rPr>
        <w:t>Geneva, July 10 to 14, 2017</w:t>
      </w:r>
    </w:p>
    <w:p w:rsidR="0043347A" w:rsidRDefault="0043347A" w:rsidP="00804DB7"/>
    <w:p w:rsidR="00207BFD" w:rsidRDefault="00207BFD" w:rsidP="00804DB7"/>
    <w:p w:rsidR="00207BFD" w:rsidRDefault="00207BFD" w:rsidP="00804DB7"/>
    <w:p w:rsidR="0043347A" w:rsidRPr="00207BFD" w:rsidRDefault="0043347A" w:rsidP="00804DB7">
      <w:pPr>
        <w:rPr>
          <w:caps/>
          <w:sz w:val="24"/>
          <w:szCs w:val="24"/>
        </w:rPr>
      </w:pPr>
      <w:r w:rsidRPr="00207BFD">
        <w:rPr>
          <w:caps/>
          <w:sz w:val="24"/>
          <w:szCs w:val="24"/>
        </w:rPr>
        <w:t>Capital Master Plan</w:t>
      </w:r>
      <w:r w:rsidR="00C74667">
        <w:rPr>
          <w:caps/>
          <w:sz w:val="24"/>
          <w:szCs w:val="24"/>
        </w:rPr>
        <w:t xml:space="preserve"> for 2018-27</w:t>
      </w:r>
    </w:p>
    <w:p w:rsidR="0043347A" w:rsidRDefault="0043347A" w:rsidP="00804DB7"/>
    <w:p w:rsidR="0043347A" w:rsidRDefault="0043347A" w:rsidP="00804DB7">
      <w:pPr>
        <w:rPr>
          <w:i/>
        </w:rPr>
      </w:pPr>
      <w:r w:rsidRPr="0043347A">
        <w:rPr>
          <w:i/>
        </w:rPr>
        <w:t>Document prepared by the Secretariat</w:t>
      </w:r>
    </w:p>
    <w:p w:rsidR="0043347A" w:rsidRDefault="0043347A" w:rsidP="00804DB7">
      <w:pPr>
        <w:rPr>
          <w:i/>
        </w:rPr>
      </w:pPr>
    </w:p>
    <w:p w:rsidR="00207BFD" w:rsidRDefault="00207BFD" w:rsidP="00804DB7">
      <w:pPr>
        <w:rPr>
          <w:i/>
        </w:rPr>
      </w:pPr>
    </w:p>
    <w:p w:rsidR="00207BFD" w:rsidRDefault="00207BFD" w:rsidP="00804DB7">
      <w:pPr>
        <w:rPr>
          <w:i/>
        </w:rPr>
      </w:pPr>
    </w:p>
    <w:p w:rsidR="0043347A" w:rsidRDefault="0043347A" w:rsidP="00251C01">
      <w:pPr>
        <w:rPr>
          <w:i/>
        </w:rPr>
      </w:pPr>
    </w:p>
    <w:p w:rsidR="0043347A" w:rsidRDefault="00C94BA1" w:rsidP="00251C01">
      <w:pPr>
        <w:pStyle w:val="Heading1"/>
        <w:spacing w:before="0" w:after="0"/>
      </w:pPr>
      <w:r>
        <w:t>BACKGROUND</w:t>
      </w:r>
    </w:p>
    <w:p w:rsidR="00F56C27" w:rsidRDefault="00F56C27" w:rsidP="00804DB7"/>
    <w:p w:rsidR="0043347A" w:rsidRDefault="0043347A" w:rsidP="00207BFD">
      <w:pPr>
        <w:numPr>
          <w:ilvl w:val="0"/>
          <w:numId w:val="31"/>
        </w:numPr>
        <w:tabs>
          <w:tab w:val="left" w:pos="567"/>
          <w:tab w:val="left" w:pos="5670"/>
        </w:tabs>
        <w:spacing w:after="220"/>
        <w:ind w:left="0" w:firstLine="0"/>
        <w:contextualSpacing/>
      </w:pPr>
      <w:r>
        <w:t>At its twenty-first session (September 9 to 13, 2013)</w:t>
      </w:r>
      <w:r w:rsidR="00C04A28">
        <w:t>,</w:t>
      </w:r>
      <w:r>
        <w:t xml:space="preserve"> the Program and Budget Committee (PBC) recommended to the Assemblies of the Member States of WIPO the approval of WIPO’s Capital Master Plan (CMP) </w:t>
      </w:r>
      <w:r w:rsidR="003C51B4">
        <w:t xml:space="preserve">(document </w:t>
      </w:r>
      <w:r w:rsidR="0099107E" w:rsidRPr="003C51B4">
        <w:t>WO/PBC/21/18</w:t>
      </w:r>
      <w:r w:rsidR="003C51B4">
        <w:t>)</w:t>
      </w:r>
      <w:r w:rsidR="000733CC" w:rsidRPr="00207BFD">
        <w:t>,</w:t>
      </w:r>
      <w:r w:rsidR="0099107E">
        <w:t xml:space="preserve"> </w:t>
      </w:r>
      <w:r>
        <w:t xml:space="preserve">which was </w:t>
      </w:r>
      <w:r w:rsidR="0099107E">
        <w:t xml:space="preserve">subsequently </w:t>
      </w:r>
      <w:r>
        <w:t>approved by the Assemblies in document</w:t>
      </w:r>
      <w:r w:rsidRPr="00207BFD">
        <w:t xml:space="preserve"> </w:t>
      </w:r>
      <w:r w:rsidRPr="003C51B4">
        <w:t>A/51/14</w:t>
      </w:r>
      <w:r w:rsidRPr="00207BFD">
        <w:t xml:space="preserve">.  </w:t>
      </w:r>
      <w:r w:rsidRPr="0043347A">
        <w:t xml:space="preserve">The </w:t>
      </w:r>
      <w:r>
        <w:t xml:space="preserve">CMP </w:t>
      </w:r>
      <w:r w:rsidR="00BB5A80">
        <w:t xml:space="preserve">2014-19 </w:t>
      </w:r>
      <w:r>
        <w:t>provided the basis for a comprehensive</w:t>
      </w:r>
      <w:r w:rsidR="00C04A28">
        <w:t>,</w:t>
      </w:r>
      <w:r>
        <w:t xml:space="preserve"> rolling </w:t>
      </w:r>
      <w:r w:rsidR="00A95462">
        <w:t>six</w:t>
      </w:r>
      <w:r w:rsidR="00C04A28">
        <w:t>-</w:t>
      </w:r>
      <w:r>
        <w:t xml:space="preserve">year plan covering the Organization’s </w:t>
      </w:r>
      <w:r w:rsidR="003C51B4">
        <w:t xml:space="preserve">capital investment </w:t>
      </w:r>
      <w:r>
        <w:t xml:space="preserve">needs in respect of </w:t>
      </w:r>
      <w:r w:rsidR="003F2F9A">
        <w:t xml:space="preserve">Information </w:t>
      </w:r>
      <w:r>
        <w:t xml:space="preserve">and </w:t>
      </w:r>
      <w:r w:rsidR="003F2F9A">
        <w:t xml:space="preserve">Communication Technology </w:t>
      </w:r>
      <w:r>
        <w:t>(ICT), buildings</w:t>
      </w:r>
      <w:r w:rsidR="003C51B4">
        <w:t>,</w:t>
      </w:r>
      <w:r>
        <w:t xml:space="preserve"> and safety and security related projects</w:t>
      </w:r>
      <w:r w:rsidR="003C51B4">
        <w:t>.</w:t>
      </w:r>
      <w:r>
        <w:t xml:space="preserve">  </w:t>
      </w:r>
      <w:r w:rsidR="00190B57">
        <w:t xml:space="preserve">The purposes of the CMP </w:t>
      </w:r>
      <w:r w:rsidR="000A52FE">
        <w:t xml:space="preserve">2014-19 </w:t>
      </w:r>
      <w:r w:rsidR="00190B57">
        <w:t>included:</w:t>
      </w:r>
    </w:p>
    <w:p w:rsidR="00190B57" w:rsidRDefault="00190B57" w:rsidP="00804DB7"/>
    <w:p w:rsidR="00190B57" w:rsidRDefault="00190B57" w:rsidP="00207BFD">
      <w:pPr>
        <w:numPr>
          <w:ilvl w:val="0"/>
          <w:numId w:val="8"/>
        </w:numPr>
        <w:tabs>
          <w:tab w:val="left" w:pos="567"/>
          <w:tab w:val="num" w:pos="1134"/>
          <w:tab w:val="left" w:pos="5670"/>
        </w:tabs>
        <w:ind w:left="567" w:firstLine="0"/>
        <w:contextualSpacing/>
      </w:pPr>
      <w:r>
        <w:t>ensuring the timely planning for required capital investments to ensure that WIPO remained able to carry out its mandate;</w:t>
      </w:r>
    </w:p>
    <w:p w:rsidR="00207BFD" w:rsidRDefault="00207BFD" w:rsidP="00207BFD">
      <w:pPr>
        <w:tabs>
          <w:tab w:val="left" w:pos="567"/>
          <w:tab w:val="left" w:pos="5670"/>
        </w:tabs>
        <w:ind w:left="567"/>
        <w:contextualSpacing/>
      </w:pPr>
    </w:p>
    <w:p w:rsidR="00190B57" w:rsidRDefault="00190B57" w:rsidP="00207BFD">
      <w:pPr>
        <w:numPr>
          <w:ilvl w:val="0"/>
          <w:numId w:val="8"/>
        </w:numPr>
        <w:tabs>
          <w:tab w:val="left" w:pos="567"/>
          <w:tab w:val="num" w:pos="1134"/>
          <w:tab w:val="left" w:pos="5670"/>
        </w:tabs>
        <w:ind w:left="567" w:firstLine="0"/>
        <w:contextualSpacing/>
      </w:pPr>
      <w:r>
        <w:t>reducing the need for reactive and emergency repairs</w:t>
      </w:r>
      <w:r w:rsidR="000733CC">
        <w:t xml:space="preserve">; </w:t>
      </w:r>
      <w:r w:rsidR="00C04A28">
        <w:t xml:space="preserve"> </w:t>
      </w:r>
      <w:r>
        <w:t>and</w:t>
      </w:r>
    </w:p>
    <w:p w:rsidR="00207BFD" w:rsidRDefault="00207BFD" w:rsidP="00207BFD">
      <w:pPr>
        <w:tabs>
          <w:tab w:val="left" w:pos="567"/>
          <w:tab w:val="left" w:pos="5670"/>
        </w:tabs>
        <w:contextualSpacing/>
      </w:pPr>
    </w:p>
    <w:p w:rsidR="00190B57" w:rsidRDefault="00190B57" w:rsidP="00207BFD">
      <w:pPr>
        <w:numPr>
          <w:ilvl w:val="0"/>
          <w:numId w:val="8"/>
        </w:numPr>
        <w:tabs>
          <w:tab w:val="left" w:pos="567"/>
          <w:tab w:val="num" w:pos="1134"/>
          <w:tab w:val="left" w:pos="5670"/>
        </w:tabs>
        <w:ind w:left="567" w:firstLine="0"/>
        <w:contextualSpacing/>
      </w:pPr>
      <w:r>
        <w:t>eliminating or mitigating environmental, security, health and/or safety risks</w:t>
      </w:r>
      <w:r w:rsidR="00C04A28">
        <w:t>.</w:t>
      </w:r>
    </w:p>
    <w:p w:rsidR="00AF0542" w:rsidRDefault="00AF0542" w:rsidP="00AF0542"/>
    <w:p w:rsidR="003C51B4" w:rsidRDefault="00080399" w:rsidP="00207BFD">
      <w:pPr>
        <w:numPr>
          <w:ilvl w:val="0"/>
          <w:numId w:val="31"/>
        </w:numPr>
        <w:tabs>
          <w:tab w:val="left" w:pos="567"/>
          <w:tab w:val="left" w:pos="5670"/>
        </w:tabs>
        <w:spacing w:after="220"/>
        <w:ind w:left="0" w:firstLine="0"/>
        <w:contextualSpacing/>
      </w:pPr>
      <w:r>
        <w:t xml:space="preserve">The </w:t>
      </w:r>
      <w:r w:rsidR="0099107E">
        <w:t>CMP</w:t>
      </w:r>
      <w:r>
        <w:t xml:space="preserve"> </w:t>
      </w:r>
      <w:r w:rsidR="000A52FE">
        <w:t xml:space="preserve">2014-19 </w:t>
      </w:r>
      <w:r w:rsidR="00C83B65">
        <w:t>represented a plan of</w:t>
      </w:r>
      <w:r>
        <w:t xml:space="preserve"> seven </w:t>
      </w:r>
      <w:r w:rsidR="00C83B65">
        <w:t xml:space="preserve">key capital investment </w:t>
      </w:r>
      <w:r>
        <w:t xml:space="preserve">projects </w:t>
      </w:r>
      <w:r w:rsidR="00D83854">
        <w:t xml:space="preserve">to be </w:t>
      </w:r>
      <w:r w:rsidR="00C83B65">
        <w:t>financed</w:t>
      </w:r>
      <w:r w:rsidR="00D83854">
        <w:t xml:space="preserve"> from </w:t>
      </w:r>
      <w:r w:rsidR="00C83B65">
        <w:t>the Reserves meeting the requirements of the Policy on Reserves and Principles Applied in Respect of Use of Reserves</w:t>
      </w:r>
      <w:r w:rsidR="00C83B65" w:rsidRPr="00CA6F47">
        <w:rPr>
          <w:vertAlign w:val="superscript"/>
        </w:rPr>
        <w:footnoteReference w:id="1"/>
      </w:r>
      <w:r w:rsidR="00C83B65">
        <w:t xml:space="preserve">. </w:t>
      </w:r>
      <w:r w:rsidR="00C04A28">
        <w:t xml:space="preserve"> </w:t>
      </w:r>
      <w:r w:rsidR="00C83B65">
        <w:t xml:space="preserve">The plan </w:t>
      </w:r>
      <w:r>
        <w:t>cover</w:t>
      </w:r>
      <w:r w:rsidR="00C83B65">
        <w:t>ed</w:t>
      </w:r>
      <w:r>
        <w:t xml:space="preserve"> a six</w:t>
      </w:r>
      <w:r w:rsidR="00C04A28">
        <w:t>-</w:t>
      </w:r>
      <w:r>
        <w:t xml:space="preserve">year period </w:t>
      </w:r>
      <w:r>
        <w:lastRenderedPageBreak/>
        <w:t xml:space="preserve">encompassing three biennia </w:t>
      </w:r>
      <w:r w:rsidR="00C04A28">
        <w:t>(</w:t>
      </w:r>
      <w:r>
        <w:t>201</w:t>
      </w:r>
      <w:r w:rsidR="00051179">
        <w:t>4</w:t>
      </w:r>
      <w:r>
        <w:t>-1</w:t>
      </w:r>
      <w:r w:rsidR="00051179">
        <w:t>5</w:t>
      </w:r>
      <w:r>
        <w:t>, 201</w:t>
      </w:r>
      <w:r w:rsidR="00051179">
        <w:t>6</w:t>
      </w:r>
      <w:r>
        <w:t>-1</w:t>
      </w:r>
      <w:r w:rsidR="00051179">
        <w:t>7</w:t>
      </w:r>
      <w:r>
        <w:t xml:space="preserve"> and 201</w:t>
      </w:r>
      <w:r w:rsidR="00051179">
        <w:t>8</w:t>
      </w:r>
      <w:r>
        <w:t>-1</w:t>
      </w:r>
      <w:r w:rsidR="00051179">
        <w:t>9</w:t>
      </w:r>
      <w:r w:rsidR="00C04A28">
        <w:t>)</w:t>
      </w:r>
      <w:r w:rsidR="009556CE">
        <w:t xml:space="preserve"> </w:t>
      </w:r>
      <w:r w:rsidR="00C83B65">
        <w:t>with a total budget of</w:t>
      </w:r>
      <w:r w:rsidR="009556CE">
        <w:t xml:space="preserve"> 11.2</w:t>
      </w:r>
      <w:r w:rsidR="00C04A28">
        <w:t> </w:t>
      </w:r>
      <w:r w:rsidR="009556CE">
        <w:t>million Swiss francs</w:t>
      </w:r>
      <w:r>
        <w:t xml:space="preserve">.  </w:t>
      </w:r>
    </w:p>
    <w:p w:rsidR="00C83B65" w:rsidRDefault="00C83B65" w:rsidP="00AF0542"/>
    <w:p w:rsidR="00D224A7" w:rsidRDefault="00D224A7" w:rsidP="00D224A7">
      <w:pPr>
        <w:pStyle w:val="Heading1"/>
      </w:pPr>
      <w:r>
        <w:t>STATUS OF CMP 2014-2019</w:t>
      </w:r>
      <w:r w:rsidR="00C83B65">
        <w:t xml:space="preserve"> and </w:t>
      </w:r>
      <w:r w:rsidR="00FA6F7E">
        <w:t xml:space="preserve">OTHER special </w:t>
      </w:r>
      <w:r w:rsidR="00C83B65">
        <w:t xml:space="preserve">projects financed from the reserves </w:t>
      </w:r>
    </w:p>
    <w:p w:rsidR="00D224A7" w:rsidRDefault="00D224A7" w:rsidP="00D224A7"/>
    <w:p w:rsidR="00011C66" w:rsidRDefault="00011C66" w:rsidP="00207BFD">
      <w:pPr>
        <w:numPr>
          <w:ilvl w:val="0"/>
          <w:numId w:val="31"/>
        </w:numPr>
        <w:tabs>
          <w:tab w:val="left" w:pos="567"/>
          <w:tab w:val="left" w:pos="5670"/>
        </w:tabs>
        <w:spacing w:after="220"/>
        <w:ind w:left="0" w:firstLine="0"/>
        <w:contextualSpacing/>
      </w:pPr>
      <w:r>
        <w:t>Regular reporting on the status of implementation of the individual projects in the Capital Master Plan 2014-2019 has been included in the annual and biennial Program Performance Reports (PPR)</w:t>
      </w:r>
      <w:r w:rsidRPr="00011C66">
        <w:t xml:space="preserve"> </w:t>
      </w:r>
      <w:r>
        <w:t xml:space="preserve">submitted to the PBC.  </w:t>
      </w:r>
      <w:r w:rsidR="00FA6F7E" w:rsidRPr="00E93395">
        <w:t xml:space="preserve">The progress </w:t>
      </w:r>
      <w:r w:rsidR="00FA6F7E">
        <w:t>of each project as at end 201</w:t>
      </w:r>
      <w:r w:rsidR="00FA6F7E" w:rsidRPr="00E93395">
        <w:t>6 is included in the P</w:t>
      </w:r>
      <w:r w:rsidR="00C04A28">
        <w:t>P</w:t>
      </w:r>
      <w:r w:rsidR="00FA6F7E" w:rsidRPr="00E93395">
        <w:t>R</w:t>
      </w:r>
      <w:r w:rsidR="00FA6F7E">
        <w:t xml:space="preserve"> for 2016, Appendix III</w:t>
      </w:r>
      <w:r w:rsidR="00FA6F7E" w:rsidRPr="00E93395">
        <w:t>.</w:t>
      </w:r>
      <w:r w:rsidR="00FA6F7E">
        <w:t xml:space="preserve">  Reporting on other special projects</w:t>
      </w:r>
      <w:r w:rsidR="00C83B65">
        <w:t xml:space="preserve"> financed from the Reserves</w:t>
      </w:r>
      <w:r w:rsidR="00FA6F7E">
        <w:t>, such as the E</w:t>
      </w:r>
      <w:r w:rsidR="00C04A28">
        <w:t xml:space="preserve">nterprise </w:t>
      </w:r>
      <w:r w:rsidR="00FA6F7E">
        <w:t>R</w:t>
      </w:r>
      <w:r w:rsidR="00C04A28">
        <w:t xml:space="preserve">esource </w:t>
      </w:r>
      <w:r w:rsidR="00FA6F7E">
        <w:t>P</w:t>
      </w:r>
      <w:r w:rsidR="00C04A28">
        <w:t>lanning (ERP)</w:t>
      </w:r>
      <w:r w:rsidR="00CA6F47">
        <w:t xml:space="preserve"> project</w:t>
      </w:r>
      <w:r w:rsidR="00C83B65">
        <w:t>,</w:t>
      </w:r>
      <w:r w:rsidR="00FA6F7E">
        <w:t xml:space="preserve"> ha</w:t>
      </w:r>
      <w:r w:rsidR="00C83B65">
        <w:t xml:space="preserve">s </w:t>
      </w:r>
      <w:r w:rsidR="00FA6F7E">
        <w:t xml:space="preserve">been/are submitted in separate annual progress reports to the PBC. </w:t>
      </w:r>
    </w:p>
    <w:p w:rsidR="00011C66" w:rsidRDefault="00011C66" w:rsidP="00207BFD">
      <w:pPr>
        <w:tabs>
          <w:tab w:val="left" w:pos="567"/>
          <w:tab w:val="left" w:pos="5670"/>
        </w:tabs>
        <w:spacing w:after="220"/>
        <w:contextualSpacing/>
      </w:pPr>
    </w:p>
    <w:p w:rsidR="00D224A7" w:rsidRDefault="00D224A7" w:rsidP="00207BFD">
      <w:pPr>
        <w:numPr>
          <w:ilvl w:val="0"/>
          <w:numId w:val="31"/>
        </w:numPr>
        <w:tabs>
          <w:tab w:val="left" w:pos="567"/>
          <w:tab w:val="left" w:pos="5670"/>
        </w:tabs>
        <w:spacing w:after="220"/>
        <w:ind w:left="0" w:firstLine="0"/>
        <w:contextualSpacing/>
      </w:pPr>
      <w:r>
        <w:t xml:space="preserve">Table </w:t>
      </w:r>
      <w:r w:rsidR="00011C66">
        <w:t xml:space="preserve">1 </w:t>
      </w:r>
      <w:r>
        <w:t>provides an update on the status of budget utilization as at end 2016 and projected expenditure in 2017 and 2018/19 for the projects under CMP 2014-19 as well as other</w:t>
      </w:r>
      <w:r w:rsidR="00C83B65">
        <w:t xml:space="preserve"> special </w:t>
      </w:r>
      <w:r>
        <w:t xml:space="preserve">projects financed </w:t>
      </w:r>
      <w:r w:rsidR="00A95462">
        <w:t>from</w:t>
      </w:r>
      <w:r>
        <w:t xml:space="preserve"> the </w:t>
      </w:r>
      <w:r w:rsidR="00C42894">
        <w:t>R</w:t>
      </w:r>
      <w:r>
        <w:t>eserves</w:t>
      </w:r>
      <w:r w:rsidR="00C42894">
        <w:t xml:space="preserve"> currently under implementation</w:t>
      </w:r>
      <w:r>
        <w:t>.</w:t>
      </w:r>
    </w:p>
    <w:p w:rsidR="00C64CF5" w:rsidRDefault="00C64CF5" w:rsidP="00582B6C">
      <w:pPr>
        <w:spacing w:after="120"/>
      </w:pPr>
    </w:p>
    <w:tbl>
      <w:tblPr>
        <w:tblW w:w="9015" w:type="dxa"/>
        <w:jc w:val="center"/>
        <w:tblInd w:w="-1231" w:type="dxa"/>
        <w:tblLook w:val="04A0" w:firstRow="1" w:lastRow="0" w:firstColumn="1" w:lastColumn="0" w:noHBand="0" w:noVBand="1"/>
      </w:tblPr>
      <w:tblGrid>
        <w:gridCol w:w="9015"/>
      </w:tblGrid>
      <w:tr w:rsidR="00CF16A2" w:rsidRPr="00F613CD" w:rsidTr="00CF16A2">
        <w:trPr>
          <w:trHeight w:val="510"/>
          <w:jc w:val="center"/>
        </w:trPr>
        <w:tc>
          <w:tcPr>
            <w:tcW w:w="9015" w:type="dxa"/>
            <w:tcBorders>
              <w:top w:val="nil"/>
            </w:tcBorders>
            <w:shd w:val="clear" w:color="000000" w:fill="C6D9F1" w:themeFill="text2" w:themeFillTint="33"/>
            <w:noWrap/>
            <w:vAlign w:val="bottom"/>
            <w:hideMark/>
          </w:tcPr>
          <w:p w:rsidR="00CF16A2" w:rsidRDefault="00CF16A2" w:rsidP="00CF16A2">
            <w:pPr>
              <w:jc w:val="center"/>
            </w:pPr>
            <w:r w:rsidRPr="00F613CD">
              <w:rPr>
                <w:rFonts w:eastAsia="Times New Roman"/>
                <w:color w:val="000000"/>
                <w:sz w:val="18"/>
                <w:szCs w:val="18"/>
                <w:lang w:eastAsia="en-US"/>
              </w:rPr>
              <w:t> </w:t>
            </w:r>
            <w:r>
              <w:t xml:space="preserve">Table 1: Status of CMP 2014-19 projects and other ongoing special projects </w:t>
            </w:r>
          </w:p>
          <w:p w:rsidR="00CF16A2" w:rsidRDefault="00CF16A2" w:rsidP="00CF16A2">
            <w:pPr>
              <w:jc w:val="center"/>
            </w:pPr>
            <w:r>
              <w:t>financed from the reserves</w:t>
            </w:r>
          </w:p>
          <w:p w:rsidR="00CF16A2" w:rsidRPr="00C3752C" w:rsidRDefault="00CF16A2" w:rsidP="00CF16A2">
            <w:pPr>
              <w:jc w:val="center"/>
              <w:rPr>
                <w:rFonts w:eastAsia="Times New Roman"/>
                <w:b/>
                <w:color w:val="000000"/>
                <w:sz w:val="18"/>
                <w:szCs w:val="18"/>
                <w:lang w:eastAsia="en-US"/>
              </w:rPr>
            </w:pPr>
            <w:r w:rsidRPr="00D43026">
              <w:rPr>
                <w:rFonts w:asciiTheme="minorHAnsi" w:eastAsia="Times New Roman" w:hAnsiTheme="minorHAnsi" w:cstheme="minorHAnsi"/>
                <w:i/>
                <w:color w:val="000000"/>
                <w:sz w:val="18"/>
                <w:szCs w:val="18"/>
                <w:lang w:eastAsia="en-US"/>
              </w:rPr>
              <w:t>(in thousands of Swiss francs)</w:t>
            </w:r>
          </w:p>
        </w:tc>
      </w:tr>
    </w:tbl>
    <w:p w:rsidR="00D224A7" w:rsidRPr="00CF16A2" w:rsidRDefault="00D224A7" w:rsidP="00D224A7">
      <w:pPr>
        <w:rPr>
          <w:sz w:val="8"/>
          <w:szCs w:val="8"/>
        </w:rPr>
      </w:pPr>
    </w:p>
    <w:p w:rsidR="00D224A7" w:rsidRDefault="00CA6F47" w:rsidP="00D224A7">
      <w:r w:rsidRPr="00CA6F47">
        <w:rPr>
          <w:noProof/>
          <w:lang w:eastAsia="en-US"/>
        </w:rPr>
        <w:drawing>
          <wp:inline distT="0" distB="0" distL="0" distR="0" wp14:anchorId="5D81EC2A" wp14:editId="5C4DE01F">
            <wp:extent cx="5761355" cy="32067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206764"/>
                    </a:xfrm>
                    <a:prstGeom prst="rect">
                      <a:avLst/>
                    </a:prstGeom>
                    <a:noFill/>
                    <a:ln>
                      <a:noFill/>
                    </a:ln>
                  </pic:spPr>
                </pic:pic>
              </a:graphicData>
            </a:graphic>
          </wp:inline>
        </w:drawing>
      </w:r>
    </w:p>
    <w:p w:rsidR="00D224A7" w:rsidRDefault="00D224A7" w:rsidP="00582B6C">
      <w:pPr>
        <w:spacing w:before="60"/>
      </w:pPr>
    </w:p>
    <w:p w:rsidR="005101D2" w:rsidRDefault="0019259C" w:rsidP="00207BFD">
      <w:pPr>
        <w:numPr>
          <w:ilvl w:val="0"/>
          <w:numId w:val="31"/>
        </w:numPr>
        <w:tabs>
          <w:tab w:val="left" w:pos="567"/>
          <w:tab w:val="left" w:pos="5670"/>
        </w:tabs>
        <w:spacing w:after="220"/>
        <w:ind w:left="0" w:firstLine="0"/>
        <w:contextualSpacing/>
      </w:pPr>
      <w:r>
        <w:t>At the end of 2016, the remaining balance in the Special Projects Reserves amounted to 16.786 million Swiss francs.  It has been estimated that a</w:t>
      </w:r>
      <w:r w:rsidR="00D224A7">
        <w:t xml:space="preserve"> total o</w:t>
      </w:r>
      <w:r w:rsidR="00EF1F5E">
        <w:t xml:space="preserve">f </w:t>
      </w:r>
      <w:r w:rsidR="00D224A7">
        <w:t xml:space="preserve">3.435 million Swiss francs in the Special Project Reserves will </w:t>
      </w:r>
      <w:r w:rsidR="00A95462">
        <w:t xml:space="preserve">no longer </w:t>
      </w:r>
      <w:r w:rsidR="00D224A7">
        <w:t>be required and will therefore be returned to the Reserve</w:t>
      </w:r>
      <w:r w:rsidR="003573F0">
        <w:t>s</w:t>
      </w:r>
      <w:r w:rsidR="00D224A7">
        <w:t>.  This is due to</w:t>
      </w:r>
      <w:r>
        <w:t>:</w:t>
      </w:r>
      <w:r w:rsidR="00D224A7">
        <w:t xml:space="preserve"> </w:t>
      </w:r>
      <w:r w:rsidR="00C04A28">
        <w:t xml:space="preserve"> </w:t>
      </w:r>
      <w:r>
        <w:t>(</w:t>
      </w:r>
      <w:proofErr w:type="spellStart"/>
      <w:r>
        <w:t>i</w:t>
      </w:r>
      <w:proofErr w:type="spellEnd"/>
      <w:r>
        <w:t xml:space="preserve">) </w:t>
      </w:r>
      <w:r w:rsidR="00A95462">
        <w:t xml:space="preserve">lower than originally estimated costs </w:t>
      </w:r>
      <w:r w:rsidR="00D224A7">
        <w:t>for the ERP project</w:t>
      </w:r>
      <w:r>
        <w:t>;</w:t>
      </w:r>
      <w:r w:rsidR="00D224A7">
        <w:t xml:space="preserve"> </w:t>
      </w:r>
      <w:r w:rsidR="00C04A28">
        <w:t xml:space="preserve"> </w:t>
      </w:r>
      <w:r>
        <w:t xml:space="preserve">(ii) </w:t>
      </w:r>
      <w:r w:rsidR="00D224A7">
        <w:t>lower than anticipated expenditures for the Geneva Lake Water project</w:t>
      </w:r>
      <w:r w:rsidR="00C04A28">
        <w:t>;</w:t>
      </w:r>
      <w:r w:rsidR="00D224A7">
        <w:t xml:space="preserve"> </w:t>
      </w:r>
      <w:r w:rsidR="00C04A28">
        <w:t xml:space="preserve"> </w:t>
      </w:r>
      <w:r w:rsidR="00D224A7">
        <w:t xml:space="preserve">and </w:t>
      </w:r>
      <w:r w:rsidR="00E0315F">
        <w:t>(iii) conclusion</w:t>
      </w:r>
      <w:r w:rsidR="00D224A7">
        <w:t xml:space="preserve"> that the AB </w:t>
      </w:r>
      <w:r w:rsidR="005D3BBC">
        <w:t xml:space="preserve">Building </w:t>
      </w:r>
      <w:r w:rsidR="00D224A7">
        <w:t>window</w:t>
      </w:r>
      <w:r w:rsidR="00E0315F">
        <w:t>s</w:t>
      </w:r>
      <w:r w:rsidR="00D224A7">
        <w:t xml:space="preserve"> replacement project</w:t>
      </w:r>
      <w:r w:rsidR="00E0315F">
        <w:t>,</w:t>
      </w:r>
      <w:r w:rsidR="00D224A7">
        <w:t xml:space="preserve"> as originally proposed</w:t>
      </w:r>
      <w:r w:rsidR="00E0315F">
        <w:t>,</w:t>
      </w:r>
      <w:r w:rsidR="00D224A7">
        <w:t xml:space="preserve"> </w:t>
      </w:r>
      <w:r w:rsidR="00E0315F">
        <w:t>is</w:t>
      </w:r>
      <w:r w:rsidR="00207BFD">
        <w:t xml:space="preserve"> not feasible.  </w:t>
      </w:r>
      <w:r w:rsidR="00D224A7">
        <w:t>The balance of 13.35</w:t>
      </w:r>
      <w:r w:rsidR="00E0315F">
        <w:t>1</w:t>
      </w:r>
      <w:r w:rsidR="00D224A7">
        <w:t xml:space="preserve"> million Swiss francs in the Special </w:t>
      </w:r>
      <w:r w:rsidR="003573F0">
        <w:t xml:space="preserve">Project </w:t>
      </w:r>
      <w:r w:rsidR="00D224A7">
        <w:t xml:space="preserve">Reserve is expected to be </w:t>
      </w:r>
      <w:r w:rsidR="00E0315F">
        <w:t xml:space="preserve">fully </w:t>
      </w:r>
      <w:r w:rsidR="00D224A7">
        <w:t>utilized</w:t>
      </w:r>
      <w:r w:rsidR="003573F0">
        <w:t xml:space="preserve"> during the period 2017-19</w:t>
      </w:r>
      <w:r w:rsidR="00D224A7">
        <w:t xml:space="preserve">.  </w:t>
      </w:r>
    </w:p>
    <w:p w:rsidR="005101D2" w:rsidRDefault="005101D2" w:rsidP="00207BFD">
      <w:pPr>
        <w:tabs>
          <w:tab w:val="left" w:pos="567"/>
          <w:tab w:val="left" w:pos="5670"/>
        </w:tabs>
        <w:spacing w:after="220"/>
        <w:contextualSpacing/>
      </w:pPr>
    </w:p>
    <w:p w:rsidR="005101D2" w:rsidRPr="00207BFD" w:rsidRDefault="005101D2" w:rsidP="00251C01">
      <w:pPr>
        <w:numPr>
          <w:ilvl w:val="0"/>
          <w:numId w:val="31"/>
        </w:numPr>
        <w:tabs>
          <w:tab w:val="left" w:pos="567"/>
          <w:tab w:val="left" w:pos="5670"/>
        </w:tabs>
        <w:ind w:left="0" w:firstLine="0"/>
        <w:contextualSpacing/>
        <w:rPr>
          <w:b/>
          <w:bCs/>
          <w:caps/>
          <w:kern w:val="32"/>
          <w:szCs w:val="32"/>
        </w:rPr>
      </w:pPr>
      <w:r>
        <w:t>It should be noted that t</w:t>
      </w:r>
      <w:r w:rsidR="00D224A7">
        <w:t xml:space="preserve">he PCT </w:t>
      </w:r>
      <w:r w:rsidR="00C04A28">
        <w:t>b</w:t>
      </w:r>
      <w:r w:rsidR="00D224A7">
        <w:t>uilding renovation project wi</w:t>
      </w:r>
      <w:r w:rsidR="00CA6F47">
        <w:t>ll be implemented together with</w:t>
      </w:r>
      <w:r>
        <w:t xml:space="preserve"> </w:t>
      </w:r>
      <w:r w:rsidR="005D3BBC">
        <w:t xml:space="preserve">additional </w:t>
      </w:r>
      <w:r w:rsidR="00D224A7">
        <w:t xml:space="preserve">electrical and security improvements proposed for funding </w:t>
      </w:r>
      <w:r w:rsidR="00C04A28">
        <w:t xml:space="preserve">in 2018/19 </w:t>
      </w:r>
      <w:r w:rsidR="00CA6F47">
        <w:t xml:space="preserve">as part of </w:t>
      </w:r>
      <w:r>
        <w:t xml:space="preserve">the </w:t>
      </w:r>
      <w:r w:rsidR="00D224A7">
        <w:t>CMP</w:t>
      </w:r>
      <w:r>
        <w:t xml:space="preserve"> 2018-</w:t>
      </w:r>
      <w:r w:rsidR="00C04A28">
        <w:t>27</w:t>
      </w:r>
      <w:r w:rsidR="00D224A7">
        <w:t xml:space="preserve">.  Consolidating the projects will reduce requirements for the </w:t>
      </w:r>
      <w:r w:rsidR="00D224A7">
        <w:lastRenderedPageBreak/>
        <w:t>movement of staf</w:t>
      </w:r>
      <w:r w:rsidR="00207BFD">
        <w:t>f during the construction phase</w:t>
      </w:r>
      <w:r w:rsidR="005D3BBC">
        <w:t xml:space="preserve">, avoid the re-opening of another major worksite only a few years after completion of the CMP 2014-19, </w:t>
      </w:r>
      <w:r w:rsidR="005C26F2">
        <w:t xml:space="preserve">result in cost efficiencies and cost avoidance </w:t>
      </w:r>
      <w:r w:rsidR="005D3BBC">
        <w:t>and allow for a more efficient integration of new technologies for various technical appliances and systems.</w:t>
      </w:r>
    </w:p>
    <w:p w:rsidR="005D3BBC" w:rsidRDefault="005D3BBC" w:rsidP="00251C01">
      <w:pPr>
        <w:pStyle w:val="Heading1"/>
        <w:spacing w:before="0" w:after="0"/>
      </w:pPr>
    </w:p>
    <w:p w:rsidR="00251C01" w:rsidRPr="00251C01" w:rsidRDefault="00251C01" w:rsidP="00251C01"/>
    <w:p w:rsidR="00D83854" w:rsidRPr="008B4DB9" w:rsidRDefault="00881824" w:rsidP="00251C01">
      <w:pPr>
        <w:pStyle w:val="Heading1"/>
        <w:spacing w:before="0" w:after="0"/>
      </w:pPr>
      <w:r w:rsidRPr="00D43026">
        <w:t>REVISED POLICY RELATED TO RESERVES</w:t>
      </w:r>
    </w:p>
    <w:p w:rsidR="00881824" w:rsidRDefault="00881824" w:rsidP="00F56C27"/>
    <w:p w:rsidR="00F56C27" w:rsidRDefault="00881824" w:rsidP="00207BFD">
      <w:pPr>
        <w:numPr>
          <w:ilvl w:val="0"/>
          <w:numId w:val="31"/>
        </w:numPr>
        <w:tabs>
          <w:tab w:val="left" w:pos="567"/>
          <w:tab w:val="left" w:pos="5670"/>
        </w:tabs>
        <w:spacing w:after="220"/>
        <w:ind w:left="0" w:firstLine="0"/>
        <w:contextualSpacing/>
      </w:pPr>
      <w:r>
        <w:t>At i</w:t>
      </w:r>
      <w:r w:rsidR="00E0315F">
        <w:t>t</w:t>
      </w:r>
      <w:r>
        <w:t>s twenty-third Session</w:t>
      </w:r>
      <w:r w:rsidR="00E0315F">
        <w:t>,</w:t>
      </w:r>
      <w:r>
        <w:t xml:space="preserve"> the PBC reviewed and recommended to the Assemblies a </w:t>
      </w:r>
      <w:r w:rsidR="00D224A7">
        <w:t>Revised Policy</w:t>
      </w:r>
      <w:r w:rsidR="00F56C27">
        <w:t xml:space="preserve"> related to </w:t>
      </w:r>
      <w:r w:rsidR="00D224A7">
        <w:t>R</w:t>
      </w:r>
      <w:r w:rsidR="00F56C27">
        <w:t>eserves</w:t>
      </w:r>
      <w:r w:rsidR="00396E12" w:rsidRPr="00CA6F47">
        <w:rPr>
          <w:vertAlign w:val="superscript"/>
        </w:rPr>
        <w:footnoteReference w:id="2"/>
      </w:r>
      <w:r w:rsidR="00F56C27">
        <w:t>.</w:t>
      </w:r>
      <w:r w:rsidR="00A52A50">
        <w:t xml:space="preserve">  The purpose of the new policy </w:t>
      </w:r>
      <w:r w:rsidR="00E0315F">
        <w:t>is</w:t>
      </w:r>
      <w:r w:rsidR="00A52A50">
        <w:t xml:space="preserve"> to further strengthen financial and risk management, provide enhanced guidance </w:t>
      </w:r>
      <w:r w:rsidR="00A95462">
        <w:t xml:space="preserve">to </w:t>
      </w:r>
      <w:r w:rsidR="00A52A50">
        <w:t xml:space="preserve">the Secretariat on the on-going management of the </w:t>
      </w:r>
      <w:r w:rsidR="00E0315F">
        <w:t>R</w:t>
      </w:r>
      <w:r w:rsidR="00A52A50">
        <w:t>eserves</w:t>
      </w:r>
      <w:r w:rsidR="00E0315F">
        <w:t>,</w:t>
      </w:r>
      <w:r w:rsidR="00A52A50">
        <w:t xml:space="preserve"> including target levels and liquidity, and clarify the requirements for reporting on </w:t>
      </w:r>
      <w:r w:rsidR="00E0315F">
        <w:t>R</w:t>
      </w:r>
      <w:r w:rsidR="00A52A50">
        <w:t>eserves</w:t>
      </w:r>
      <w:r w:rsidR="00290D03">
        <w:t>.</w:t>
      </w:r>
      <w:r w:rsidR="00A52A50">
        <w:t xml:space="preserve"> </w:t>
      </w:r>
      <w:r w:rsidR="003C7F9F">
        <w:t xml:space="preserve">  The revised policy </w:t>
      </w:r>
      <w:r w:rsidR="005101D2">
        <w:t>includes</w:t>
      </w:r>
      <w:r w:rsidR="003C7F9F">
        <w:t xml:space="preserve"> </w:t>
      </w:r>
      <w:r w:rsidR="005101D2">
        <w:t xml:space="preserve">a set of </w:t>
      </w:r>
      <w:r w:rsidR="003C7F9F">
        <w:t xml:space="preserve">revised principles on the use of the </w:t>
      </w:r>
      <w:r w:rsidR="002417F4">
        <w:t xml:space="preserve">Reserves </w:t>
      </w:r>
      <w:r w:rsidR="00B921CB">
        <w:t xml:space="preserve">and </w:t>
      </w:r>
      <w:r w:rsidR="002417F4">
        <w:t xml:space="preserve">Working Capital Funds </w:t>
      </w:r>
      <w:r w:rsidR="00B921CB">
        <w:t>(RWCF)</w:t>
      </w:r>
      <w:r w:rsidR="00C04A28">
        <w:t xml:space="preserve"> included in Annex </w:t>
      </w:r>
      <w:r w:rsidR="005101D2">
        <w:t>I of this document.</w:t>
      </w:r>
    </w:p>
    <w:p w:rsidR="00190B57" w:rsidRDefault="00190B57" w:rsidP="00251C01"/>
    <w:p w:rsidR="00251C01" w:rsidRDefault="00251C01" w:rsidP="00251C01"/>
    <w:p w:rsidR="00FB1239" w:rsidRDefault="00973B06" w:rsidP="00251C01">
      <w:pPr>
        <w:pStyle w:val="Heading1"/>
        <w:spacing w:before="0" w:after="0"/>
      </w:pPr>
      <w:r>
        <w:rPr>
          <w:caps w:val="0"/>
        </w:rPr>
        <w:t>CAPITAL MASTER PLAN (CMP) 2018-27</w:t>
      </w:r>
    </w:p>
    <w:p w:rsidR="00FB1239" w:rsidRDefault="00FB1239" w:rsidP="00FB1239"/>
    <w:p w:rsidR="00FB1239" w:rsidRDefault="00FB1239" w:rsidP="00207BFD">
      <w:pPr>
        <w:numPr>
          <w:ilvl w:val="0"/>
          <w:numId w:val="31"/>
        </w:numPr>
        <w:tabs>
          <w:tab w:val="left" w:pos="567"/>
          <w:tab w:val="left" w:pos="5670"/>
        </w:tabs>
        <w:spacing w:after="220"/>
        <w:ind w:left="0" w:firstLine="0"/>
        <w:contextualSpacing/>
      </w:pPr>
      <w:r>
        <w:t xml:space="preserve">The Organization requires continued capital investments in the areas of premises, safety and security and ICT initiatives in order to remain fit-for-purpose. </w:t>
      </w:r>
      <w:r w:rsidR="006250B1">
        <w:t xml:space="preserve"> </w:t>
      </w:r>
      <w:r>
        <w:t>A Capital Ma</w:t>
      </w:r>
      <w:r w:rsidR="00835290">
        <w:t>s</w:t>
      </w:r>
      <w:r>
        <w:t>ter Plan outlining the major premises as well as safety and security related capital investments required over 10 years has been developed.  In addition, a number of high-priority ICT projects have been identified to strengthen and guarantee the business operations of the international registrations systems.</w:t>
      </w:r>
    </w:p>
    <w:p w:rsidR="00FB1239" w:rsidRDefault="00FB1239" w:rsidP="00207BFD">
      <w:pPr>
        <w:tabs>
          <w:tab w:val="left" w:pos="567"/>
          <w:tab w:val="left" w:pos="5670"/>
        </w:tabs>
        <w:spacing w:after="220"/>
        <w:contextualSpacing/>
      </w:pPr>
    </w:p>
    <w:p w:rsidR="006250B1" w:rsidRDefault="006250B1" w:rsidP="00207BFD">
      <w:pPr>
        <w:numPr>
          <w:ilvl w:val="0"/>
          <w:numId w:val="31"/>
        </w:numPr>
        <w:tabs>
          <w:tab w:val="left" w:pos="567"/>
          <w:tab w:val="left" w:pos="5670"/>
        </w:tabs>
        <w:spacing w:after="220"/>
        <w:ind w:left="0" w:firstLine="0"/>
        <w:contextualSpacing/>
      </w:pPr>
      <w:r w:rsidRPr="003B1985">
        <w:t>Reserve Policy Principle 3 require</w:t>
      </w:r>
      <w:r>
        <w:t>s</w:t>
      </w:r>
      <w:r w:rsidRPr="003B1985">
        <w:t xml:space="preserve"> that projects financed from the reserves be for extraordinary</w:t>
      </w:r>
      <w:r w:rsidR="00C04A28">
        <w:t>,</w:t>
      </w:r>
      <w:r w:rsidRPr="003B1985">
        <w:t xml:space="preserve"> one-time capital projects.  Principle 3 further provide</w:t>
      </w:r>
      <w:r>
        <w:t>s</w:t>
      </w:r>
      <w:r w:rsidRPr="003B1985">
        <w:t xml:space="preserve"> that projects included in the long-term CMP </w:t>
      </w:r>
      <w:r>
        <w:t>may</w:t>
      </w:r>
      <w:r w:rsidRPr="003B1985">
        <w:t xml:space="preserve"> be defined as projects related to construction/refurbishment and ICT that are needed to keep the Organization’s facilities and systems fit-for-purpose through significant expansion or additions.  </w:t>
      </w:r>
      <w:r>
        <w:t>In line with Principle 3 of the Revised Reserve Policy, all projects concerning on-going maintenance of facilities, minor enhancements to structures or systems, including IT, which would be required to continue the provision of current services</w:t>
      </w:r>
      <w:r w:rsidR="00C04A28">
        <w:t>,</w:t>
      </w:r>
      <w:r>
        <w:t xml:space="preserve"> were excluded from the CMP as not meeting the criteria for extraordinary and one-time capital projects.</w:t>
      </w:r>
    </w:p>
    <w:p w:rsidR="006250B1" w:rsidRDefault="006250B1" w:rsidP="00207BFD">
      <w:pPr>
        <w:tabs>
          <w:tab w:val="left" w:pos="567"/>
          <w:tab w:val="left" w:pos="5670"/>
        </w:tabs>
        <w:spacing w:after="220"/>
        <w:contextualSpacing/>
      </w:pPr>
    </w:p>
    <w:p w:rsidR="00FB1239" w:rsidRDefault="00FB1239" w:rsidP="00207BFD">
      <w:pPr>
        <w:numPr>
          <w:ilvl w:val="0"/>
          <w:numId w:val="31"/>
        </w:numPr>
        <w:tabs>
          <w:tab w:val="left" w:pos="567"/>
          <w:tab w:val="left" w:pos="5670"/>
        </w:tabs>
        <w:spacing w:after="220"/>
        <w:ind w:left="0" w:firstLine="0"/>
        <w:contextualSpacing/>
      </w:pPr>
      <w:r>
        <w:t>The CMP 2018-27 distinguishes (</w:t>
      </w:r>
      <w:proofErr w:type="spellStart"/>
      <w:r>
        <w:t>i</w:t>
      </w:r>
      <w:proofErr w:type="spellEnd"/>
      <w:r>
        <w:t xml:space="preserve">) a capital master plan for premises, safety and security related projects </w:t>
      </w:r>
      <w:r w:rsidR="00C04A28">
        <w:t>that</w:t>
      </w:r>
      <w:r>
        <w:t xml:space="preserve"> covers the period 2018-27, summarized in Annex </w:t>
      </w:r>
      <w:r w:rsidR="008D0387">
        <w:t>VIII</w:t>
      </w:r>
      <w:r w:rsidR="006250B1">
        <w:t>,</w:t>
      </w:r>
      <w:r>
        <w:t xml:space="preserve"> and (ii) </w:t>
      </w:r>
      <w:r w:rsidR="005C26F2">
        <w:t xml:space="preserve">four </w:t>
      </w:r>
      <w:r>
        <w:t>key capital IT investment projects for implementation during the period 2018-19.</w:t>
      </w:r>
    </w:p>
    <w:p w:rsidR="00FB1239" w:rsidRDefault="00FB1239" w:rsidP="00251C01"/>
    <w:p w:rsidR="00251C01" w:rsidRDefault="00251C01" w:rsidP="00251C01"/>
    <w:p w:rsidR="00FB1239" w:rsidRPr="00611A6B" w:rsidRDefault="005E226A" w:rsidP="00251C01">
      <w:pPr>
        <w:pStyle w:val="Heading2"/>
        <w:spacing w:before="0" w:after="0"/>
        <w:rPr>
          <w:i/>
        </w:rPr>
      </w:pPr>
      <w:r w:rsidRPr="00611A6B">
        <w:rPr>
          <w:i/>
        </w:rPr>
        <w:t xml:space="preserve">CAPITAL MASTER PLAN 2018-27 DRIVERS </w:t>
      </w:r>
    </w:p>
    <w:p w:rsidR="00FB1239" w:rsidRDefault="00FB1239" w:rsidP="00FB1239"/>
    <w:p w:rsidR="00FB1239" w:rsidRDefault="00FB1239" w:rsidP="00207BFD">
      <w:pPr>
        <w:numPr>
          <w:ilvl w:val="0"/>
          <w:numId w:val="31"/>
        </w:numPr>
        <w:tabs>
          <w:tab w:val="left" w:pos="567"/>
          <w:tab w:val="left" w:pos="5670"/>
        </w:tabs>
        <w:spacing w:after="220"/>
        <w:ind w:left="0" w:firstLine="0"/>
        <w:contextualSpacing/>
      </w:pPr>
      <w:r>
        <w:t>The CMP 2018-27 has been elaborated after consideration of the main drivers for capital investment projects</w:t>
      </w:r>
      <w:r w:rsidR="00214BCA">
        <w:t>, as detailed below,</w:t>
      </w:r>
      <w:r>
        <w:t xml:space="preserve"> in order to ensure WIPO remains fit-for-purpose.  The drivers also facilitate the assessment of whether projects meet the principles mandated by the Revised Reserve Policy.  </w:t>
      </w:r>
    </w:p>
    <w:p w:rsidR="00FB1239" w:rsidRPr="00251C01" w:rsidRDefault="00FB1239" w:rsidP="00FB1239"/>
    <w:p w:rsidR="00FB1239" w:rsidRDefault="00FB1239" w:rsidP="00FB1239">
      <w:pPr>
        <w:pStyle w:val="ListParagraph"/>
        <w:numPr>
          <w:ilvl w:val="0"/>
          <w:numId w:val="21"/>
        </w:numPr>
      </w:pPr>
      <w:r w:rsidRPr="00FB1239">
        <w:rPr>
          <w:i/>
        </w:rPr>
        <w:t>Lifecycle</w:t>
      </w:r>
      <w:r w:rsidRPr="00D43026">
        <w:t xml:space="preserve"> - effective lifecycle management of equipment and facilities assets, including </w:t>
      </w:r>
      <w:r>
        <w:t>essential</w:t>
      </w:r>
      <w:r w:rsidRPr="00D43026">
        <w:t xml:space="preserve"> refurbishment and renovation works or renewal of worn assets, to prevent risks related to safety and non-operability of such assets.</w:t>
      </w:r>
    </w:p>
    <w:p w:rsidR="00582B6C" w:rsidRPr="00D43026" w:rsidRDefault="00582B6C" w:rsidP="00582B6C">
      <w:pPr>
        <w:pStyle w:val="ListParagraph"/>
      </w:pPr>
    </w:p>
    <w:p w:rsidR="00FB1239" w:rsidRDefault="00FB1239" w:rsidP="00FB1239">
      <w:pPr>
        <w:pStyle w:val="ListParagraph"/>
        <w:numPr>
          <w:ilvl w:val="0"/>
          <w:numId w:val="21"/>
        </w:numPr>
      </w:pPr>
      <w:r w:rsidRPr="00FB1239">
        <w:rPr>
          <w:i/>
        </w:rPr>
        <w:lastRenderedPageBreak/>
        <w:t>Regulations</w:t>
      </w:r>
      <w:r w:rsidRPr="00D43026">
        <w:t xml:space="preserve"> - implementing projects to ensure organi</w:t>
      </w:r>
      <w:r w:rsidR="00C04A28">
        <w:t>zational compliance with Swiss f</w:t>
      </w:r>
      <w:r w:rsidRPr="00D43026">
        <w:t>ederal</w:t>
      </w:r>
      <w:r w:rsidR="005D3BBC">
        <w:t xml:space="preserve"> and </w:t>
      </w:r>
      <w:r w:rsidRPr="00D43026">
        <w:t xml:space="preserve">local </w:t>
      </w:r>
      <w:r w:rsidR="005D3BBC">
        <w:t>regulatory framework</w:t>
      </w:r>
      <w:r w:rsidR="00C04A28">
        <w:t>s,</w:t>
      </w:r>
      <w:r w:rsidR="005D3BBC">
        <w:t xml:space="preserve"> as well as </w:t>
      </w:r>
      <w:r w:rsidRPr="00D43026">
        <w:t xml:space="preserve">UN adopted </w:t>
      </w:r>
      <w:r w:rsidR="005D3BBC">
        <w:t>guidelines.</w:t>
      </w:r>
    </w:p>
    <w:p w:rsidR="005D3BBC" w:rsidRDefault="00FB1239" w:rsidP="006250B1">
      <w:pPr>
        <w:pStyle w:val="ListParagraph"/>
        <w:numPr>
          <w:ilvl w:val="0"/>
          <w:numId w:val="10"/>
        </w:numPr>
      </w:pPr>
      <w:r w:rsidRPr="00620A95">
        <w:rPr>
          <w:i/>
        </w:rPr>
        <w:t>Business need</w:t>
      </w:r>
      <w:r w:rsidRPr="00D43026">
        <w:t xml:space="preserve"> - building or acquiring new assets</w:t>
      </w:r>
      <w:r w:rsidR="00C04A28">
        <w:t>,</w:t>
      </w:r>
      <w:r w:rsidRPr="00D43026">
        <w:t xml:space="preserve"> </w:t>
      </w:r>
      <w:r w:rsidR="006250B1">
        <w:t>which will enable the Organization to improve or expand services delivered to Member States and WIPO’s customers.</w:t>
      </w:r>
    </w:p>
    <w:p w:rsidR="006250B1" w:rsidRDefault="006250B1" w:rsidP="005D3BBC">
      <w:pPr>
        <w:pStyle w:val="ListParagraph"/>
      </w:pPr>
    </w:p>
    <w:p w:rsidR="00FB1239" w:rsidRPr="00D43026" w:rsidRDefault="00FB1239" w:rsidP="00FB1239">
      <w:pPr>
        <w:pStyle w:val="ListParagraph"/>
        <w:numPr>
          <w:ilvl w:val="0"/>
          <w:numId w:val="21"/>
        </w:numPr>
      </w:pPr>
      <w:r w:rsidRPr="006250B1">
        <w:rPr>
          <w:i/>
        </w:rPr>
        <w:t>Environment</w:t>
      </w:r>
      <w:r w:rsidRPr="00D43026">
        <w:t xml:space="preserve"> - investing in renewable energy initiatives, which will reduce WIPO’s </w:t>
      </w:r>
      <w:r w:rsidR="005C26F2">
        <w:t xml:space="preserve">carbon </w:t>
      </w:r>
      <w:r w:rsidRPr="00D43026">
        <w:t>emissions footprint.</w:t>
      </w:r>
    </w:p>
    <w:p w:rsidR="00FB1239" w:rsidRPr="00D43026" w:rsidRDefault="00FB1239" w:rsidP="00FB1239">
      <w:pPr>
        <w:pStyle w:val="ListParagraph"/>
      </w:pPr>
    </w:p>
    <w:p w:rsidR="00FB1239" w:rsidRPr="00D43026" w:rsidRDefault="00FB1239" w:rsidP="00FB1239">
      <w:pPr>
        <w:pStyle w:val="ListParagraph"/>
        <w:numPr>
          <w:ilvl w:val="0"/>
          <w:numId w:val="21"/>
        </w:numPr>
      </w:pPr>
      <w:r w:rsidRPr="006250B1">
        <w:rPr>
          <w:i/>
        </w:rPr>
        <w:t>Accessibility</w:t>
      </w:r>
      <w:r w:rsidRPr="00D43026">
        <w:t xml:space="preserve"> - investing in initiatives to make WIPO’s premises and services accessible to all stakeholders, including </w:t>
      </w:r>
      <w:r w:rsidR="005D3BBC">
        <w:t>persons</w:t>
      </w:r>
      <w:r w:rsidRPr="00D43026">
        <w:t xml:space="preserve"> with disabilities.</w:t>
      </w:r>
    </w:p>
    <w:p w:rsidR="00FB1239" w:rsidRPr="00D43026" w:rsidRDefault="00FB1239" w:rsidP="00FB1239">
      <w:pPr>
        <w:pStyle w:val="ListParagraph"/>
      </w:pPr>
    </w:p>
    <w:p w:rsidR="00FB1239" w:rsidRPr="00D43026" w:rsidRDefault="00FB1239" w:rsidP="00FB1239">
      <w:pPr>
        <w:pStyle w:val="ListParagraph"/>
        <w:numPr>
          <w:ilvl w:val="0"/>
          <w:numId w:val="21"/>
        </w:numPr>
      </w:pPr>
      <w:r w:rsidRPr="006250B1">
        <w:rPr>
          <w:i/>
        </w:rPr>
        <w:t>Cost efficiency</w:t>
      </w:r>
      <w:r w:rsidRPr="00D43026">
        <w:t xml:space="preserve"> - taking advantage of new technology</w:t>
      </w:r>
      <w:r w:rsidR="00C04A28">
        <w:t>,</w:t>
      </w:r>
      <w:r w:rsidRPr="00D43026">
        <w:t xml:space="preserve"> equipment and systems improvements to reduce recurring operating expenses.</w:t>
      </w:r>
    </w:p>
    <w:p w:rsidR="00FB1239" w:rsidRPr="00D43026" w:rsidRDefault="00FB1239" w:rsidP="00FB1239">
      <w:pPr>
        <w:pStyle w:val="ListParagraph"/>
      </w:pPr>
    </w:p>
    <w:p w:rsidR="00FB1239" w:rsidRPr="00D43026" w:rsidRDefault="00FB1239" w:rsidP="00FB1239">
      <w:pPr>
        <w:pStyle w:val="ListParagraph"/>
        <w:numPr>
          <w:ilvl w:val="0"/>
          <w:numId w:val="21"/>
        </w:numPr>
      </w:pPr>
      <w:r w:rsidRPr="006250B1">
        <w:rPr>
          <w:i/>
        </w:rPr>
        <w:t>Security</w:t>
      </w:r>
      <w:r w:rsidR="00FA7D54">
        <w:rPr>
          <w:i/>
        </w:rPr>
        <w:t>,</w:t>
      </w:r>
      <w:r w:rsidRPr="006250B1">
        <w:rPr>
          <w:i/>
        </w:rPr>
        <w:t xml:space="preserve"> safety</w:t>
      </w:r>
      <w:r w:rsidR="00FA7D54">
        <w:rPr>
          <w:i/>
        </w:rPr>
        <w:t xml:space="preserve"> and information assurance</w:t>
      </w:r>
      <w:r w:rsidRPr="00D43026">
        <w:t xml:space="preserve"> - implementing preventive and protective measures to reduce WIPO’s vulnerability in case of threats and </w:t>
      </w:r>
      <w:r w:rsidR="00C04A28">
        <w:t xml:space="preserve">to </w:t>
      </w:r>
      <w:r w:rsidRPr="00D43026">
        <w:t>safeguard WIPO staff, delegates and visitors as well as</w:t>
      </w:r>
      <w:r w:rsidR="00CA6F47">
        <w:t xml:space="preserve"> WIPO’s </w:t>
      </w:r>
      <w:r w:rsidR="005C26F2">
        <w:t xml:space="preserve">physical and information </w:t>
      </w:r>
      <w:r w:rsidR="00CA6F47">
        <w:t>assets.</w:t>
      </w:r>
    </w:p>
    <w:p w:rsidR="00FB1239" w:rsidRDefault="00FB1239" w:rsidP="00FB1239"/>
    <w:p w:rsidR="005E226A" w:rsidRDefault="005E226A" w:rsidP="00FB1239"/>
    <w:p w:rsidR="005E226A" w:rsidRPr="00611A6B" w:rsidRDefault="00793653" w:rsidP="00FB1239">
      <w:pPr>
        <w:rPr>
          <w:i/>
        </w:rPr>
      </w:pPr>
      <w:r>
        <w:rPr>
          <w:i/>
        </w:rPr>
        <w:t>CAPITAL MASTER PLAN 2018-</w:t>
      </w:r>
      <w:r w:rsidR="005E226A" w:rsidRPr="00611A6B">
        <w:rPr>
          <w:i/>
        </w:rPr>
        <w:t>27</w:t>
      </w:r>
      <w:r w:rsidR="00611A6B" w:rsidRPr="00611A6B">
        <w:rPr>
          <w:i/>
        </w:rPr>
        <w:t xml:space="preserve"> SUMMARY</w:t>
      </w:r>
    </w:p>
    <w:p w:rsidR="005E226A" w:rsidRDefault="005E226A" w:rsidP="00FB1239"/>
    <w:p w:rsidR="00FB1239" w:rsidRDefault="005E226A" w:rsidP="00207BFD">
      <w:pPr>
        <w:numPr>
          <w:ilvl w:val="0"/>
          <w:numId w:val="31"/>
        </w:numPr>
        <w:tabs>
          <w:tab w:val="left" w:pos="567"/>
          <w:tab w:val="left" w:pos="5670"/>
        </w:tabs>
        <w:spacing w:after="220"/>
        <w:ind w:left="0" w:firstLine="0"/>
        <w:contextualSpacing/>
      </w:pPr>
      <w:r>
        <w:t>Table 2 summarizes the Capital Master Plan projects, their implementation timeline</w:t>
      </w:r>
      <w:r w:rsidR="00C04A28">
        <w:t>s</w:t>
      </w:r>
      <w:r>
        <w:t xml:space="preserve"> and estimated one-time costs during the period 2018-27.</w:t>
      </w:r>
    </w:p>
    <w:p w:rsidR="00FB1239" w:rsidRDefault="00FB1239" w:rsidP="00FB1239">
      <w:pPr>
        <w:jc w:val="center"/>
        <w:rPr>
          <w:i/>
        </w:rPr>
      </w:pPr>
    </w:p>
    <w:tbl>
      <w:tblPr>
        <w:tblW w:w="9015" w:type="dxa"/>
        <w:jc w:val="center"/>
        <w:tblInd w:w="-1231" w:type="dxa"/>
        <w:tblLook w:val="04A0" w:firstRow="1" w:lastRow="0" w:firstColumn="1" w:lastColumn="0" w:noHBand="0" w:noVBand="1"/>
      </w:tblPr>
      <w:tblGrid>
        <w:gridCol w:w="9015"/>
      </w:tblGrid>
      <w:tr w:rsidR="00CF16A2" w:rsidRPr="00F613CD" w:rsidTr="00CF16A2">
        <w:trPr>
          <w:trHeight w:val="510"/>
          <w:jc w:val="center"/>
        </w:trPr>
        <w:tc>
          <w:tcPr>
            <w:tcW w:w="9015" w:type="dxa"/>
            <w:tcBorders>
              <w:top w:val="nil"/>
            </w:tcBorders>
            <w:shd w:val="clear" w:color="000000" w:fill="C6D9F1" w:themeFill="text2" w:themeFillTint="33"/>
            <w:noWrap/>
            <w:vAlign w:val="bottom"/>
            <w:hideMark/>
          </w:tcPr>
          <w:p w:rsidR="00CF16A2" w:rsidRDefault="00CF16A2" w:rsidP="00CF16A2">
            <w:pPr>
              <w:jc w:val="center"/>
            </w:pPr>
            <w:r>
              <w:t>Table 2: Capital Master Plan 2018-27 Summary</w:t>
            </w:r>
          </w:p>
          <w:p w:rsidR="00CF16A2" w:rsidRPr="00CF16A2" w:rsidRDefault="00CF16A2" w:rsidP="00CF16A2">
            <w:pPr>
              <w:jc w:val="center"/>
              <w:rPr>
                <w:i/>
              </w:rPr>
            </w:pPr>
            <w:r w:rsidRPr="00D43026">
              <w:rPr>
                <w:rFonts w:asciiTheme="minorHAnsi" w:eastAsia="Times New Roman" w:hAnsiTheme="minorHAnsi" w:cstheme="minorHAnsi"/>
                <w:i/>
                <w:color w:val="000000"/>
                <w:sz w:val="18"/>
                <w:szCs w:val="18"/>
                <w:lang w:eastAsia="en-US"/>
              </w:rPr>
              <w:t>(in thousands of Swiss francs)</w:t>
            </w:r>
          </w:p>
        </w:tc>
      </w:tr>
    </w:tbl>
    <w:p w:rsidR="00FB1239" w:rsidRPr="00CF16A2" w:rsidRDefault="00FB1239" w:rsidP="00FB1239">
      <w:pPr>
        <w:rPr>
          <w:sz w:val="8"/>
          <w:szCs w:val="8"/>
        </w:rPr>
      </w:pPr>
    </w:p>
    <w:p w:rsidR="00FB1239" w:rsidRDefault="00B1492D" w:rsidP="00FB1239">
      <w:pPr>
        <w:rPr>
          <w:lang w:val="en-GB"/>
        </w:rPr>
      </w:pPr>
      <w:r w:rsidRPr="00B1492D">
        <w:rPr>
          <w:noProof/>
          <w:lang w:eastAsia="en-US"/>
        </w:rPr>
        <w:drawing>
          <wp:inline distT="0" distB="0" distL="0" distR="0" wp14:anchorId="3E46F451" wp14:editId="43179F8B">
            <wp:extent cx="5761355" cy="43867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6729"/>
                    </a:xfrm>
                    <a:prstGeom prst="rect">
                      <a:avLst/>
                    </a:prstGeom>
                    <a:noFill/>
                    <a:ln>
                      <a:noFill/>
                    </a:ln>
                  </pic:spPr>
                </pic:pic>
              </a:graphicData>
            </a:graphic>
          </wp:inline>
        </w:drawing>
      </w:r>
    </w:p>
    <w:p w:rsidR="00620A95" w:rsidRPr="00620A95" w:rsidRDefault="00620A95" w:rsidP="00FB1239">
      <w:pPr>
        <w:rPr>
          <w:i/>
          <w:sz w:val="8"/>
          <w:szCs w:val="8"/>
          <w:lang w:val="en-GB"/>
        </w:rPr>
      </w:pPr>
    </w:p>
    <w:p w:rsidR="00FB1239" w:rsidRPr="00620A95" w:rsidRDefault="00620A95" w:rsidP="00FB1239">
      <w:pPr>
        <w:rPr>
          <w:i/>
          <w:sz w:val="16"/>
          <w:szCs w:val="16"/>
          <w:lang w:val="en-GB"/>
        </w:rPr>
      </w:pPr>
      <w:r w:rsidRPr="00620A95">
        <w:rPr>
          <w:i/>
          <w:sz w:val="16"/>
          <w:szCs w:val="16"/>
          <w:lang w:val="en-GB"/>
        </w:rPr>
        <w:t>Note:</w:t>
      </w:r>
      <w:r>
        <w:rPr>
          <w:i/>
          <w:sz w:val="16"/>
          <w:szCs w:val="16"/>
          <w:lang w:val="en-GB"/>
        </w:rPr>
        <w:t xml:space="preserve"> x indicates costs to be determined</w:t>
      </w:r>
      <w:r w:rsidRPr="00620A95">
        <w:rPr>
          <w:i/>
          <w:sz w:val="16"/>
          <w:szCs w:val="16"/>
          <w:lang w:val="en-GB"/>
        </w:rPr>
        <w:t xml:space="preserve"> </w:t>
      </w:r>
    </w:p>
    <w:p w:rsidR="00FB1239" w:rsidRPr="00207BFD" w:rsidRDefault="00FB1239" w:rsidP="00207BFD">
      <w:pPr>
        <w:numPr>
          <w:ilvl w:val="0"/>
          <w:numId w:val="31"/>
        </w:numPr>
        <w:tabs>
          <w:tab w:val="left" w:pos="567"/>
          <w:tab w:val="left" w:pos="5670"/>
        </w:tabs>
        <w:spacing w:after="220"/>
        <w:ind w:left="0" w:firstLine="0"/>
        <w:contextualSpacing/>
      </w:pPr>
      <w:r w:rsidRPr="00207BFD">
        <w:lastRenderedPageBreak/>
        <w:t xml:space="preserve">The CMP </w:t>
      </w:r>
      <w:r w:rsidR="005E226A" w:rsidRPr="00207BFD">
        <w:t xml:space="preserve">2018-27 represents a rolling plan for capital investment projects and will be updated and presented to Member States on a biennial </w:t>
      </w:r>
      <w:r w:rsidR="00611A6B" w:rsidRPr="00207BFD">
        <w:t xml:space="preserve">basis with refined scope and cost estimates for each project. </w:t>
      </w:r>
    </w:p>
    <w:p w:rsidR="00611A6B" w:rsidRDefault="00611A6B" w:rsidP="00FB1239">
      <w:pPr>
        <w:rPr>
          <w:lang w:val="en-GB"/>
        </w:rPr>
      </w:pPr>
    </w:p>
    <w:p w:rsidR="00251C01" w:rsidRDefault="00251C01" w:rsidP="00FB1239">
      <w:pPr>
        <w:rPr>
          <w:lang w:val="en-GB"/>
        </w:rPr>
      </w:pPr>
    </w:p>
    <w:p w:rsidR="00611A6B" w:rsidRPr="00973B06" w:rsidRDefault="00611A6B" w:rsidP="00251C01">
      <w:pPr>
        <w:pStyle w:val="Heading1"/>
        <w:spacing w:before="0" w:after="0"/>
      </w:pPr>
      <w:r w:rsidRPr="00611A6B">
        <w:t xml:space="preserve">PROPOSAL FOR RESERVE FUNDING FOR CMP PROJECTS in </w:t>
      </w:r>
      <w:r w:rsidR="00CA6F47">
        <w:t xml:space="preserve">THE BIENNIUM </w:t>
      </w:r>
      <w:r w:rsidRPr="00611A6B">
        <w:t>2018/19</w:t>
      </w:r>
    </w:p>
    <w:p w:rsidR="00611A6B" w:rsidRDefault="00611A6B" w:rsidP="00611A6B"/>
    <w:p w:rsidR="00611A6B" w:rsidRDefault="00611A6B" w:rsidP="00207BFD">
      <w:pPr>
        <w:numPr>
          <w:ilvl w:val="0"/>
          <w:numId w:val="31"/>
        </w:numPr>
        <w:tabs>
          <w:tab w:val="left" w:pos="567"/>
          <w:tab w:val="left" w:pos="5670"/>
        </w:tabs>
        <w:spacing w:after="220"/>
        <w:ind w:left="0" w:firstLine="0"/>
        <w:contextualSpacing/>
      </w:pPr>
      <w:r>
        <w:t xml:space="preserve">Based on the CMP 2018-27, the projects proposed for funding from the Reserves in </w:t>
      </w:r>
      <w:r w:rsidR="00CA6F47">
        <w:t xml:space="preserve">the biennium </w:t>
      </w:r>
      <w:r>
        <w:t xml:space="preserve">2018/19 are summarized in Table 3. </w:t>
      </w:r>
    </w:p>
    <w:p w:rsidR="00611A6B" w:rsidRPr="00634275" w:rsidRDefault="00611A6B" w:rsidP="00611A6B">
      <w:pPr>
        <w:rPr>
          <w:sz w:val="12"/>
          <w:szCs w:val="12"/>
        </w:rPr>
      </w:pPr>
    </w:p>
    <w:p w:rsidR="00A20C9C" w:rsidRDefault="00A20C9C" w:rsidP="00A20C9C">
      <w:pPr>
        <w:jc w:val="center"/>
        <w:rPr>
          <w:rFonts w:asciiTheme="minorHAnsi" w:eastAsia="Times New Roman" w:hAnsiTheme="minorHAnsi" w:cstheme="minorHAnsi"/>
          <w:i/>
          <w:color w:val="000000"/>
          <w:sz w:val="18"/>
          <w:szCs w:val="18"/>
          <w:lang w:eastAsia="en-US"/>
        </w:rPr>
      </w:pPr>
    </w:p>
    <w:tbl>
      <w:tblPr>
        <w:tblW w:w="5482" w:type="dxa"/>
        <w:jc w:val="center"/>
        <w:tblInd w:w="1687" w:type="dxa"/>
        <w:tblLook w:val="04A0" w:firstRow="1" w:lastRow="0" w:firstColumn="1" w:lastColumn="0" w:noHBand="0" w:noVBand="1"/>
      </w:tblPr>
      <w:tblGrid>
        <w:gridCol w:w="5482"/>
      </w:tblGrid>
      <w:tr w:rsidR="00CF16A2" w:rsidRPr="00FA5B68" w:rsidTr="00CF16A2">
        <w:trPr>
          <w:trHeight w:val="255"/>
          <w:jc w:val="center"/>
        </w:trPr>
        <w:tc>
          <w:tcPr>
            <w:tcW w:w="5482" w:type="dxa"/>
            <w:shd w:val="clear" w:color="auto" w:fill="C6D9F1" w:themeFill="text2" w:themeFillTint="33"/>
            <w:noWrap/>
            <w:vAlign w:val="center"/>
          </w:tcPr>
          <w:p w:rsidR="00CF16A2" w:rsidRDefault="00CF16A2" w:rsidP="00CF16A2">
            <w:pPr>
              <w:jc w:val="center"/>
            </w:pPr>
            <w:r>
              <w:t xml:space="preserve">Table 3: Capital Master Plan Projects 2018-19 </w:t>
            </w:r>
          </w:p>
          <w:p w:rsidR="00CF16A2" w:rsidRPr="00FA5B68" w:rsidRDefault="00CF16A2" w:rsidP="00CF16A2">
            <w:pPr>
              <w:jc w:val="center"/>
              <w:rPr>
                <w:rFonts w:asciiTheme="minorHAnsi" w:eastAsia="Times New Roman" w:hAnsiTheme="minorHAnsi" w:cstheme="minorHAnsi"/>
                <w:i/>
                <w:color w:val="000000"/>
                <w:sz w:val="18"/>
                <w:szCs w:val="18"/>
                <w:lang w:eastAsia="en-US"/>
              </w:rPr>
            </w:pPr>
            <w:r w:rsidRPr="00D43026">
              <w:rPr>
                <w:rFonts w:asciiTheme="minorHAnsi" w:eastAsia="Times New Roman" w:hAnsiTheme="minorHAnsi" w:cstheme="minorHAnsi"/>
                <w:i/>
                <w:color w:val="000000"/>
                <w:sz w:val="18"/>
                <w:szCs w:val="18"/>
                <w:lang w:eastAsia="en-US"/>
              </w:rPr>
              <w:t>(in thousands of Swiss francs)</w:t>
            </w:r>
          </w:p>
        </w:tc>
      </w:tr>
    </w:tbl>
    <w:p w:rsidR="00620A95" w:rsidRPr="00CF16A2" w:rsidRDefault="00620A95" w:rsidP="00A20C9C">
      <w:pPr>
        <w:jc w:val="center"/>
        <w:rPr>
          <w:sz w:val="8"/>
          <w:szCs w:val="8"/>
        </w:rPr>
      </w:pPr>
    </w:p>
    <w:p w:rsidR="00A20C9C" w:rsidRDefault="00F22A9E" w:rsidP="00620A95">
      <w:pPr>
        <w:jc w:val="center"/>
      </w:pPr>
      <w:r w:rsidRPr="00F22A9E">
        <w:rPr>
          <w:noProof/>
          <w:lang w:eastAsia="en-US"/>
        </w:rPr>
        <w:drawing>
          <wp:inline distT="0" distB="0" distL="0" distR="0" wp14:anchorId="7C506259" wp14:editId="32D9DBC8">
            <wp:extent cx="3498850" cy="399923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0" cy="3999230"/>
                    </a:xfrm>
                    <a:prstGeom prst="rect">
                      <a:avLst/>
                    </a:prstGeom>
                    <a:noFill/>
                    <a:ln>
                      <a:noFill/>
                    </a:ln>
                  </pic:spPr>
                </pic:pic>
              </a:graphicData>
            </a:graphic>
          </wp:inline>
        </w:drawing>
      </w:r>
    </w:p>
    <w:p w:rsidR="00611A6B" w:rsidRDefault="00611A6B" w:rsidP="00A20C9C">
      <w:pPr>
        <w:jc w:val="center"/>
      </w:pPr>
    </w:p>
    <w:p w:rsidR="00611A6B" w:rsidRDefault="00611A6B" w:rsidP="00611A6B"/>
    <w:p w:rsidR="00611A6B" w:rsidRDefault="00611A6B" w:rsidP="00207BFD">
      <w:pPr>
        <w:numPr>
          <w:ilvl w:val="0"/>
          <w:numId w:val="31"/>
        </w:numPr>
        <w:tabs>
          <w:tab w:val="left" w:pos="567"/>
          <w:tab w:val="left" w:pos="5670"/>
        </w:tabs>
        <w:spacing w:after="220"/>
        <w:ind w:left="0" w:firstLine="0"/>
        <w:contextualSpacing/>
      </w:pPr>
      <w:r>
        <w:t xml:space="preserve">The total estimated one-time cost of the proposed key priority projects </w:t>
      </w:r>
      <w:r w:rsidR="00CA6F47">
        <w:t>in</w:t>
      </w:r>
      <w:r>
        <w:t xml:space="preserve"> 2018/19 </w:t>
      </w:r>
      <w:r w:rsidR="00384DB6">
        <w:t>amounts to</w:t>
      </w:r>
      <w:r>
        <w:t xml:space="preserve"> 25.5 million Swiss francs.  The</w:t>
      </w:r>
      <w:r w:rsidR="002771BA">
        <w:t>re are no</w:t>
      </w:r>
      <w:r>
        <w:t xml:space="preserve"> operating/recurring costs for the projects</w:t>
      </w:r>
      <w:r w:rsidR="002771BA">
        <w:t xml:space="preserve"> in the biennium 2018/19</w:t>
      </w:r>
      <w:r>
        <w:t xml:space="preserve">.  </w:t>
      </w:r>
    </w:p>
    <w:p w:rsidR="00207BFD" w:rsidRDefault="00207BFD" w:rsidP="00207BFD">
      <w:pPr>
        <w:tabs>
          <w:tab w:val="left" w:pos="567"/>
          <w:tab w:val="left" w:pos="5670"/>
        </w:tabs>
        <w:spacing w:after="220"/>
        <w:contextualSpacing/>
      </w:pPr>
    </w:p>
    <w:p w:rsidR="00FB1239" w:rsidRPr="00207BFD" w:rsidRDefault="00FB1239" w:rsidP="00207BFD">
      <w:pPr>
        <w:numPr>
          <w:ilvl w:val="0"/>
          <w:numId w:val="31"/>
        </w:numPr>
        <w:tabs>
          <w:tab w:val="left" w:pos="567"/>
          <w:tab w:val="left" w:pos="5670"/>
        </w:tabs>
        <w:spacing w:after="220"/>
        <w:ind w:left="0" w:firstLine="0"/>
        <w:contextualSpacing/>
      </w:pPr>
      <w:r w:rsidRPr="00207BFD">
        <w:t xml:space="preserve">Each </w:t>
      </w:r>
      <w:r w:rsidR="00384DB6" w:rsidRPr="00207BFD">
        <w:t xml:space="preserve">proposed </w:t>
      </w:r>
      <w:r w:rsidR="00C04A28">
        <w:t>project</w:t>
      </w:r>
      <w:r w:rsidRPr="00207BFD">
        <w:t>/project-phase is self-contained</w:t>
      </w:r>
      <w:r w:rsidR="00384DB6" w:rsidRPr="00207BFD">
        <w:t>.</w:t>
      </w:r>
      <w:r w:rsidRPr="00207BFD">
        <w:t xml:space="preserve"> </w:t>
      </w:r>
      <w:r w:rsidR="00384DB6" w:rsidRPr="00207BFD">
        <w:t xml:space="preserve">  T</w:t>
      </w:r>
      <w:r w:rsidRPr="00207BFD">
        <w:t xml:space="preserve">he approval of the projects </w:t>
      </w:r>
      <w:r w:rsidR="00384DB6" w:rsidRPr="00207BFD">
        <w:t xml:space="preserve">for implementation in 2018/19 </w:t>
      </w:r>
      <w:r w:rsidRPr="00207BFD">
        <w:t xml:space="preserve">does </w:t>
      </w:r>
      <w:r w:rsidR="00384DB6" w:rsidRPr="00207BFD">
        <w:t xml:space="preserve">therefore </w:t>
      </w:r>
      <w:r w:rsidRPr="00207BFD">
        <w:t xml:space="preserve">not prejudge any future </w:t>
      </w:r>
      <w:r w:rsidR="00C04A28">
        <w:t>decisions on funding projects/</w:t>
      </w:r>
      <w:r w:rsidRPr="00207BFD">
        <w:t xml:space="preserve">project-phases in subsequent biennia. </w:t>
      </w:r>
      <w:r w:rsidR="00384DB6" w:rsidRPr="00207BFD">
        <w:t xml:space="preserve"> </w:t>
      </w:r>
      <w:r w:rsidRPr="00207BFD">
        <w:t xml:space="preserve">A detailed description of each of the proposed </w:t>
      </w:r>
      <w:r w:rsidR="005D3BBC">
        <w:t>p</w:t>
      </w:r>
      <w:r w:rsidRPr="00207BFD">
        <w:t xml:space="preserve">rojects to be financed from the Reserves is included in </w:t>
      </w:r>
      <w:r w:rsidR="00384DB6" w:rsidRPr="00207BFD">
        <w:t>Annexes I</w:t>
      </w:r>
      <w:r w:rsidR="005D3BBC">
        <w:t>I</w:t>
      </w:r>
      <w:r w:rsidR="00384DB6" w:rsidRPr="00207BFD">
        <w:t xml:space="preserve"> to</w:t>
      </w:r>
      <w:r w:rsidR="005D3BBC">
        <w:t xml:space="preserve"> VII</w:t>
      </w:r>
      <w:r w:rsidR="00384DB6" w:rsidRPr="00207BFD">
        <w:t xml:space="preserve">. </w:t>
      </w:r>
    </w:p>
    <w:p w:rsidR="004105E2" w:rsidRDefault="004105E2">
      <w:pPr>
        <w:rPr>
          <w:bCs/>
          <w:i/>
          <w:caps/>
          <w:kern w:val="32"/>
          <w:szCs w:val="32"/>
        </w:rPr>
      </w:pPr>
    </w:p>
    <w:p w:rsidR="00080032" w:rsidRDefault="00080032">
      <w:pPr>
        <w:rPr>
          <w:bCs/>
          <w:i/>
          <w:iCs/>
          <w:caps/>
          <w:szCs w:val="28"/>
        </w:rPr>
      </w:pPr>
      <w:r>
        <w:rPr>
          <w:i/>
        </w:rPr>
        <w:br w:type="page"/>
      </w:r>
    </w:p>
    <w:p w:rsidR="008F4D76" w:rsidRPr="00973B06" w:rsidRDefault="008F4D76" w:rsidP="00251C01">
      <w:pPr>
        <w:pStyle w:val="Heading2"/>
        <w:spacing w:before="0" w:after="0"/>
        <w:rPr>
          <w:i/>
        </w:rPr>
      </w:pPr>
      <w:r w:rsidRPr="00384DB6">
        <w:rPr>
          <w:i/>
        </w:rPr>
        <w:lastRenderedPageBreak/>
        <w:t>STATUS OF THE UTILIZATION OF RESERVES</w:t>
      </w:r>
    </w:p>
    <w:p w:rsidR="008F4D76" w:rsidRDefault="008F4D76" w:rsidP="00251C01">
      <w:pPr>
        <w:jc w:val="both"/>
        <w:rPr>
          <w:b/>
        </w:rPr>
      </w:pPr>
    </w:p>
    <w:p w:rsidR="008F4D76" w:rsidRDefault="008F4D76" w:rsidP="00207BFD">
      <w:pPr>
        <w:numPr>
          <w:ilvl w:val="0"/>
          <w:numId w:val="31"/>
        </w:numPr>
        <w:tabs>
          <w:tab w:val="left" w:pos="567"/>
          <w:tab w:val="left" w:pos="5670"/>
        </w:tabs>
        <w:spacing w:after="220"/>
        <w:ind w:left="0" w:firstLine="0"/>
        <w:contextualSpacing/>
      </w:pPr>
      <w:r>
        <w:t xml:space="preserve">The first principle </w:t>
      </w:r>
      <w:r w:rsidR="002771BA">
        <w:t xml:space="preserve">(Principle 1) </w:t>
      </w:r>
      <w:r>
        <w:t xml:space="preserve">set out for use of the </w:t>
      </w:r>
      <w:r w:rsidR="00F613CD">
        <w:t>R</w:t>
      </w:r>
      <w:r>
        <w:t xml:space="preserve">eserves </w:t>
      </w:r>
      <w:r w:rsidR="00F613CD">
        <w:t xml:space="preserve">pertains to the availability of </w:t>
      </w:r>
      <w:r>
        <w:t xml:space="preserve">amounts above the reserve target level.  </w:t>
      </w:r>
      <w:r w:rsidR="00CA458E">
        <w:t>The balance of Reserves in excess of the mandated reserve target level and the Special Projects Reserve is estimated at 89.1 million Swiss francs at the end of 2017</w:t>
      </w:r>
      <w:r w:rsidR="00CA458E" w:rsidRPr="00CA6F47">
        <w:rPr>
          <w:vertAlign w:val="superscript"/>
        </w:rPr>
        <w:footnoteReference w:id="3"/>
      </w:r>
      <w:r w:rsidR="00CA458E">
        <w:t xml:space="preserve">. </w:t>
      </w:r>
      <w:r w:rsidR="00401C27">
        <w:t xml:space="preserve"> For prudency purposes, the calculation of available reserves excludes </w:t>
      </w:r>
      <w:r w:rsidR="004105E2">
        <w:t>(</w:t>
      </w:r>
      <w:proofErr w:type="spellStart"/>
      <w:r w:rsidR="004105E2">
        <w:t>i</w:t>
      </w:r>
      <w:proofErr w:type="spellEnd"/>
      <w:r w:rsidR="004105E2">
        <w:t xml:space="preserve">) </w:t>
      </w:r>
      <w:r w:rsidR="00401C27">
        <w:t>the Working Capital Funds and Revaluation Reserve Surplus as per Principle 2 of the Revised Policy on Reserves</w:t>
      </w:r>
      <w:r w:rsidR="004105E2">
        <w:t xml:space="preserve"> and (ii) the </w:t>
      </w:r>
      <w:r w:rsidR="004105E2" w:rsidRPr="004105E2">
        <w:t>projected Overall Result after Reserve Expenditure for 2017</w:t>
      </w:r>
      <w:r w:rsidR="00401C27">
        <w:t xml:space="preserve">. </w:t>
      </w:r>
    </w:p>
    <w:p w:rsidR="00CA458E" w:rsidRDefault="00CA458E" w:rsidP="008F4D76"/>
    <w:tbl>
      <w:tblPr>
        <w:tblW w:w="8612" w:type="dxa"/>
        <w:jc w:val="center"/>
        <w:tblInd w:w="-828" w:type="dxa"/>
        <w:tblLook w:val="04A0" w:firstRow="1" w:lastRow="0" w:firstColumn="1" w:lastColumn="0" w:noHBand="0" w:noVBand="1"/>
      </w:tblPr>
      <w:tblGrid>
        <w:gridCol w:w="7448"/>
        <w:gridCol w:w="1164"/>
      </w:tblGrid>
      <w:tr w:rsidR="00C3752C" w:rsidRPr="00F613CD" w:rsidTr="00625F97">
        <w:trPr>
          <w:trHeight w:val="510"/>
          <w:jc w:val="center"/>
        </w:trPr>
        <w:tc>
          <w:tcPr>
            <w:tcW w:w="8612" w:type="dxa"/>
            <w:gridSpan w:val="2"/>
            <w:tcBorders>
              <w:top w:val="nil"/>
            </w:tcBorders>
            <w:shd w:val="clear" w:color="000000" w:fill="C6D9F1" w:themeFill="text2" w:themeFillTint="33"/>
            <w:noWrap/>
            <w:vAlign w:val="bottom"/>
            <w:hideMark/>
          </w:tcPr>
          <w:p w:rsidR="00C3752C" w:rsidRDefault="00C3752C" w:rsidP="00C3752C">
            <w:pPr>
              <w:jc w:val="center"/>
            </w:pPr>
            <w:r w:rsidRPr="00F613CD">
              <w:rPr>
                <w:rFonts w:eastAsia="Times New Roman"/>
                <w:color w:val="000000"/>
                <w:sz w:val="18"/>
                <w:szCs w:val="18"/>
                <w:lang w:eastAsia="en-US"/>
              </w:rPr>
              <w:t> </w:t>
            </w:r>
            <w:r>
              <w:t xml:space="preserve">Table </w:t>
            </w:r>
            <w:r w:rsidR="00384DB6">
              <w:t>4</w:t>
            </w:r>
            <w:r>
              <w:t xml:space="preserve">: </w:t>
            </w:r>
            <w:r w:rsidR="004105E2">
              <w:t xml:space="preserve">Estimated </w:t>
            </w:r>
            <w:r>
              <w:t>Status of the Reserves</w:t>
            </w:r>
            <w:r w:rsidR="004105E2">
              <w:t xml:space="preserve"> end 2017</w:t>
            </w:r>
            <w:r>
              <w:t xml:space="preserve"> </w:t>
            </w:r>
          </w:p>
          <w:tbl>
            <w:tblPr>
              <w:tblW w:w="6419" w:type="dxa"/>
              <w:jc w:val="center"/>
              <w:tblLook w:val="04A0" w:firstRow="1" w:lastRow="0" w:firstColumn="1" w:lastColumn="0" w:noHBand="0" w:noVBand="1"/>
            </w:tblPr>
            <w:tblGrid>
              <w:gridCol w:w="6419"/>
            </w:tblGrid>
            <w:tr w:rsidR="00C3752C" w:rsidRPr="00F613CD" w:rsidTr="00AD6D24">
              <w:trPr>
                <w:trHeight w:val="255"/>
                <w:jc w:val="center"/>
              </w:trPr>
              <w:tc>
                <w:tcPr>
                  <w:tcW w:w="6419" w:type="dxa"/>
                  <w:tcBorders>
                    <w:top w:val="nil"/>
                    <w:left w:val="nil"/>
                    <w:right w:val="nil"/>
                  </w:tcBorders>
                  <w:shd w:val="clear" w:color="auto" w:fill="auto"/>
                  <w:noWrap/>
                  <w:vAlign w:val="bottom"/>
                  <w:hideMark/>
                </w:tcPr>
                <w:p w:rsidR="00C3752C" w:rsidRPr="00942303" w:rsidRDefault="00C3752C" w:rsidP="00AD6D24">
                  <w:pPr>
                    <w:jc w:val="center"/>
                    <w:rPr>
                      <w:rFonts w:eastAsia="Times New Roman"/>
                      <w:i/>
                      <w:color w:val="000000"/>
                      <w:sz w:val="18"/>
                      <w:szCs w:val="18"/>
                      <w:lang w:eastAsia="en-US"/>
                    </w:rPr>
                  </w:pPr>
                  <w:r w:rsidRPr="00942303">
                    <w:rPr>
                      <w:rFonts w:eastAsia="Times New Roman"/>
                      <w:i/>
                      <w:color w:val="000000"/>
                      <w:sz w:val="18"/>
                      <w:szCs w:val="18"/>
                      <w:lang w:eastAsia="en-US"/>
                    </w:rPr>
                    <w:t>(in millions of Swiss francs)</w:t>
                  </w:r>
                </w:p>
              </w:tc>
            </w:tr>
          </w:tbl>
          <w:p w:rsidR="00C3752C" w:rsidRPr="00C3752C" w:rsidRDefault="00C3752C" w:rsidP="008F4D76">
            <w:pPr>
              <w:jc w:val="center"/>
              <w:rPr>
                <w:rFonts w:eastAsia="Times New Roman"/>
                <w:b/>
                <w:color w:val="000000"/>
                <w:sz w:val="18"/>
                <w:szCs w:val="18"/>
                <w:lang w:eastAsia="en-US"/>
              </w:rPr>
            </w:pPr>
          </w:p>
        </w:tc>
      </w:tr>
      <w:tr w:rsidR="008F4D76" w:rsidRPr="00F613CD" w:rsidTr="00A30BF2">
        <w:trPr>
          <w:trHeight w:val="85"/>
          <w:jc w:val="center"/>
        </w:trPr>
        <w:tc>
          <w:tcPr>
            <w:tcW w:w="7448" w:type="dxa"/>
            <w:tcBorders>
              <w:top w:val="nil"/>
              <w:left w:val="nil"/>
              <w:bottom w:val="single" w:sz="4" w:space="0" w:color="BFBFBF" w:themeColor="background1" w:themeShade="BF"/>
              <w:right w:val="nil"/>
            </w:tcBorders>
            <w:shd w:val="clear" w:color="auto" w:fill="auto"/>
            <w:noWrap/>
            <w:vAlign w:val="bottom"/>
            <w:hideMark/>
          </w:tcPr>
          <w:p w:rsidR="008F4D76" w:rsidRPr="00F613CD" w:rsidRDefault="008F4D76" w:rsidP="008F4D76">
            <w:pPr>
              <w:rPr>
                <w:rFonts w:eastAsia="Times New Roman"/>
                <w:color w:val="000000"/>
                <w:sz w:val="18"/>
                <w:szCs w:val="18"/>
                <w:lang w:eastAsia="en-US"/>
              </w:rPr>
            </w:pPr>
          </w:p>
        </w:tc>
        <w:tc>
          <w:tcPr>
            <w:tcW w:w="1164" w:type="dxa"/>
            <w:tcBorders>
              <w:top w:val="nil"/>
              <w:left w:val="nil"/>
              <w:bottom w:val="single" w:sz="4" w:space="0" w:color="BFBFBF" w:themeColor="background1" w:themeShade="BF"/>
              <w:right w:val="nil"/>
            </w:tcBorders>
            <w:shd w:val="clear" w:color="auto" w:fill="auto"/>
            <w:noWrap/>
            <w:vAlign w:val="bottom"/>
            <w:hideMark/>
          </w:tcPr>
          <w:p w:rsidR="008F4D76" w:rsidRPr="00F613CD" w:rsidRDefault="008F4D76" w:rsidP="008F4D76">
            <w:pPr>
              <w:jc w:val="right"/>
              <w:rPr>
                <w:rFonts w:eastAsia="Times New Roman"/>
                <w:color w:val="000000"/>
                <w:sz w:val="18"/>
                <w:szCs w:val="18"/>
                <w:lang w:eastAsia="en-US"/>
              </w:rPr>
            </w:pPr>
          </w:p>
        </w:tc>
      </w:tr>
      <w:tr w:rsidR="00CA6F47" w:rsidRPr="00F613CD" w:rsidTr="00A30BF2">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Pr="00F613CD" w:rsidRDefault="00CA6F47" w:rsidP="00273294">
            <w:pPr>
              <w:rPr>
                <w:rFonts w:eastAsia="Times New Roman"/>
                <w:color w:val="000000"/>
                <w:sz w:val="18"/>
                <w:szCs w:val="18"/>
                <w:lang w:eastAsia="en-US"/>
              </w:rPr>
            </w:pPr>
            <w:r w:rsidRPr="00F613CD">
              <w:rPr>
                <w:rFonts w:eastAsia="Times New Roman"/>
                <w:color w:val="000000"/>
                <w:sz w:val="18"/>
                <w:szCs w:val="18"/>
                <w:lang w:eastAsia="en-US"/>
              </w:rPr>
              <w:t>Total Reserves</w:t>
            </w:r>
            <w:r>
              <w:rPr>
                <w:rFonts w:eastAsia="Times New Roman"/>
                <w:color w:val="000000"/>
                <w:sz w:val="18"/>
                <w:szCs w:val="18"/>
                <w:lang w:eastAsia="en-US"/>
              </w:rPr>
              <w:t>*</w:t>
            </w:r>
            <w:r w:rsidRPr="00F613CD">
              <w:rPr>
                <w:rFonts w:eastAsia="Times New Roman"/>
                <w:color w:val="000000"/>
                <w:sz w:val="18"/>
                <w:szCs w:val="18"/>
                <w:lang w:eastAsia="en-US"/>
              </w:rPr>
              <w:t xml:space="preserve">, ending balance </w:t>
            </w:r>
            <w:r w:rsidR="00273294">
              <w:rPr>
                <w:rFonts w:eastAsia="Times New Roman"/>
                <w:color w:val="000000"/>
                <w:sz w:val="18"/>
                <w:szCs w:val="18"/>
                <w:lang w:eastAsia="en-US"/>
              </w:rPr>
              <w:t>31</w:t>
            </w:r>
            <w:r w:rsidRPr="00F613CD">
              <w:rPr>
                <w:rFonts w:eastAsia="Times New Roman"/>
                <w:color w:val="000000"/>
                <w:sz w:val="18"/>
                <w:szCs w:val="18"/>
                <w:lang w:eastAsia="en-US"/>
              </w:rPr>
              <w:t>.</w:t>
            </w:r>
            <w:r w:rsidR="00273294">
              <w:rPr>
                <w:rFonts w:eastAsia="Times New Roman"/>
                <w:color w:val="000000"/>
                <w:sz w:val="18"/>
                <w:szCs w:val="18"/>
                <w:lang w:eastAsia="en-US"/>
              </w:rPr>
              <w:t>12</w:t>
            </w:r>
            <w:r w:rsidRPr="00F613CD">
              <w:rPr>
                <w:rFonts w:eastAsia="Times New Roman"/>
                <w:color w:val="000000"/>
                <w:sz w:val="18"/>
                <w:szCs w:val="18"/>
                <w:lang w:eastAsia="en-US"/>
              </w:rPr>
              <w:t>.16</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F613CD" w:rsidRDefault="00CA6F47" w:rsidP="00CA6F47">
            <w:pPr>
              <w:jc w:val="right"/>
              <w:rPr>
                <w:rFonts w:eastAsia="Times New Roman"/>
                <w:color w:val="000000"/>
                <w:sz w:val="18"/>
                <w:szCs w:val="18"/>
                <w:lang w:eastAsia="en-US"/>
              </w:rPr>
            </w:pPr>
            <w:r w:rsidRPr="00F613CD">
              <w:rPr>
                <w:rFonts w:eastAsia="Times New Roman"/>
                <w:color w:val="000000"/>
                <w:sz w:val="18"/>
                <w:szCs w:val="18"/>
                <w:lang w:eastAsia="en-US"/>
              </w:rPr>
              <w:t>287.7</w:t>
            </w: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FA5B68" w:rsidRDefault="00CA6F47" w:rsidP="008F4D76">
            <w:pPr>
              <w:rPr>
                <w:rFonts w:eastAsia="Times New Roman"/>
                <w:i/>
                <w:color w:val="000000"/>
                <w:sz w:val="12"/>
                <w:szCs w:val="12"/>
                <w:lang w:eastAsia="en-US"/>
              </w:rPr>
            </w:pPr>
          </w:p>
          <w:p w:rsidR="00CA6F47" w:rsidRDefault="00CA6F47" w:rsidP="008F4D76">
            <w:pPr>
              <w:rPr>
                <w:rFonts w:eastAsia="Times New Roman"/>
                <w:color w:val="000000"/>
                <w:sz w:val="18"/>
                <w:szCs w:val="18"/>
                <w:lang w:eastAsia="en-US"/>
              </w:rPr>
            </w:pPr>
            <w:r w:rsidRPr="00CA6F47">
              <w:rPr>
                <w:rFonts w:eastAsia="Times New Roman"/>
                <w:i/>
                <w:color w:val="000000"/>
                <w:sz w:val="18"/>
                <w:szCs w:val="18"/>
                <w:lang w:eastAsia="en-US"/>
              </w:rPr>
              <w:t>of which</w:t>
            </w:r>
            <w:r>
              <w:rPr>
                <w:rFonts w:eastAsia="Times New Roman"/>
                <w:color w:val="000000"/>
                <w:sz w:val="18"/>
                <w:szCs w:val="18"/>
                <w:lang w:eastAsia="en-US"/>
              </w:rPr>
              <w:t>:</w:t>
            </w:r>
          </w:p>
          <w:p w:rsidR="00CA6F47" w:rsidRPr="00F613CD" w:rsidRDefault="00CA6F47" w:rsidP="00273294">
            <w:pPr>
              <w:rPr>
                <w:rFonts w:eastAsia="Times New Roman"/>
                <w:color w:val="000000"/>
                <w:sz w:val="18"/>
                <w:szCs w:val="18"/>
                <w:lang w:eastAsia="en-US"/>
              </w:rPr>
            </w:pPr>
            <w:r>
              <w:rPr>
                <w:rFonts w:eastAsia="Times New Roman"/>
                <w:color w:val="000000"/>
                <w:sz w:val="18"/>
                <w:szCs w:val="18"/>
                <w:lang w:eastAsia="en-US"/>
              </w:rPr>
              <w:tab/>
              <w:t>Accumulated Surpluses</w:t>
            </w:r>
            <w:r w:rsidRPr="00F613CD">
              <w:rPr>
                <w:rFonts w:eastAsia="Times New Roman"/>
                <w:color w:val="000000"/>
                <w:sz w:val="18"/>
                <w:szCs w:val="18"/>
                <w:lang w:eastAsia="en-US"/>
              </w:rPr>
              <w:t xml:space="preserve">, ending balance </w:t>
            </w:r>
            <w:r w:rsidR="00273294">
              <w:rPr>
                <w:rFonts w:eastAsia="Times New Roman"/>
                <w:color w:val="000000"/>
                <w:sz w:val="18"/>
                <w:szCs w:val="18"/>
                <w:lang w:eastAsia="en-US"/>
              </w:rPr>
              <w:t>31</w:t>
            </w:r>
            <w:r w:rsidRPr="00F613CD">
              <w:rPr>
                <w:rFonts w:eastAsia="Times New Roman"/>
                <w:color w:val="000000"/>
                <w:sz w:val="18"/>
                <w:szCs w:val="18"/>
                <w:lang w:eastAsia="en-US"/>
              </w:rPr>
              <w:t>.</w:t>
            </w:r>
            <w:r w:rsidR="00273294">
              <w:rPr>
                <w:rFonts w:eastAsia="Times New Roman"/>
                <w:color w:val="000000"/>
                <w:sz w:val="18"/>
                <w:szCs w:val="18"/>
                <w:lang w:eastAsia="en-US"/>
              </w:rPr>
              <w:t>12</w:t>
            </w:r>
            <w:r w:rsidRPr="00F613CD">
              <w:rPr>
                <w:rFonts w:eastAsia="Times New Roman"/>
                <w:color w:val="000000"/>
                <w:sz w:val="18"/>
                <w:szCs w:val="18"/>
                <w:lang w:eastAsia="en-US"/>
              </w:rPr>
              <w:t>.16</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r w:rsidRPr="00F613CD">
              <w:rPr>
                <w:rFonts w:eastAsia="Times New Roman"/>
                <w:color w:val="000000"/>
                <w:sz w:val="18"/>
                <w:szCs w:val="18"/>
                <w:lang w:eastAsia="en-US"/>
              </w:rPr>
              <w:t>270.9</w:t>
            </w:r>
          </w:p>
        </w:tc>
      </w:tr>
      <w:tr w:rsidR="00CA6F47" w:rsidRPr="00F613CD" w:rsidTr="00FA5B68">
        <w:trPr>
          <w:trHeight w:val="94"/>
          <w:jc w:val="center"/>
        </w:trPr>
        <w:tc>
          <w:tcPr>
            <w:tcW w:w="7448" w:type="dxa"/>
            <w:tcBorders>
              <w:left w:val="single" w:sz="4" w:space="0" w:color="BFBFBF" w:themeColor="background1" w:themeShade="BF"/>
            </w:tcBorders>
            <w:shd w:val="clear" w:color="auto" w:fill="auto"/>
            <w:noWrap/>
            <w:vAlign w:val="bottom"/>
            <w:hideMark/>
          </w:tcPr>
          <w:p w:rsidR="00CA6F47" w:rsidRPr="00806E47" w:rsidRDefault="00CA6F47" w:rsidP="008F4D76">
            <w:pPr>
              <w:rPr>
                <w:rFonts w:eastAsia="Times New Roman"/>
                <w:color w:val="000000"/>
                <w:sz w:val="12"/>
                <w:szCs w:val="12"/>
                <w:lang w:eastAsia="en-US"/>
              </w:rPr>
            </w:pP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F613CD" w:rsidRDefault="00CA6F47" w:rsidP="00A30BF2">
            <w:pPr>
              <w:spacing w:after="60"/>
              <w:rPr>
                <w:rFonts w:eastAsia="Times New Roman"/>
                <w:color w:val="000000"/>
                <w:sz w:val="18"/>
                <w:szCs w:val="18"/>
                <w:lang w:eastAsia="en-US"/>
              </w:rPr>
            </w:pPr>
            <w:r>
              <w:rPr>
                <w:rFonts w:eastAsia="Times New Roman"/>
                <w:color w:val="000000"/>
                <w:sz w:val="18"/>
                <w:szCs w:val="18"/>
                <w:lang w:eastAsia="en-US"/>
              </w:rPr>
              <w:tab/>
            </w:r>
            <w:r w:rsidRPr="00F613CD">
              <w:rPr>
                <w:rFonts w:eastAsia="Times New Roman"/>
                <w:color w:val="000000"/>
                <w:sz w:val="18"/>
                <w:szCs w:val="18"/>
                <w:lang w:eastAsia="en-US"/>
              </w:rPr>
              <w:t xml:space="preserve">Special Projects Reserve, ending balance </w:t>
            </w:r>
            <w:r w:rsidR="00273294">
              <w:rPr>
                <w:rFonts w:eastAsia="Times New Roman"/>
                <w:color w:val="000000"/>
                <w:sz w:val="18"/>
                <w:szCs w:val="18"/>
                <w:lang w:eastAsia="en-US"/>
              </w:rPr>
              <w:t>31</w:t>
            </w:r>
            <w:r w:rsidRPr="00F613CD">
              <w:rPr>
                <w:rFonts w:eastAsia="Times New Roman"/>
                <w:color w:val="000000"/>
                <w:sz w:val="18"/>
                <w:szCs w:val="18"/>
                <w:lang w:eastAsia="en-US"/>
              </w:rPr>
              <w:t>.</w:t>
            </w:r>
            <w:r w:rsidR="00273294">
              <w:rPr>
                <w:rFonts w:eastAsia="Times New Roman"/>
                <w:color w:val="000000"/>
                <w:sz w:val="18"/>
                <w:szCs w:val="18"/>
                <w:lang w:eastAsia="en-US"/>
              </w:rPr>
              <w:t>12</w:t>
            </w:r>
            <w:r w:rsidRPr="00F613CD">
              <w:rPr>
                <w:rFonts w:eastAsia="Times New Roman"/>
                <w:color w:val="000000"/>
                <w:sz w:val="18"/>
                <w:szCs w:val="18"/>
                <w:lang w:eastAsia="en-US"/>
              </w:rPr>
              <w:t>.16</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A30BF2">
            <w:pPr>
              <w:spacing w:after="60"/>
              <w:jc w:val="right"/>
              <w:rPr>
                <w:rFonts w:eastAsia="Times New Roman"/>
                <w:color w:val="000000"/>
                <w:sz w:val="18"/>
                <w:szCs w:val="18"/>
                <w:lang w:eastAsia="en-US"/>
              </w:rPr>
            </w:pPr>
            <w:r w:rsidRPr="00F613CD">
              <w:rPr>
                <w:rFonts w:eastAsia="Times New Roman"/>
                <w:color w:val="000000"/>
                <w:sz w:val="18"/>
                <w:szCs w:val="18"/>
                <w:lang w:eastAsia="en-US"/>
              </w:rPr>
              <w:t>16.8</w:t>
            </w:r>
          </w:p>
        </w:tc>
      </w:tr>
      <w:tr w:rsidR="00CA6F47" w:rsidRPr="00F613CD" w:rsidTr="00625F97">
        <w:trPr>
          <w:trHeight w:val="255"/>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625F97" w:rsidRDefault="00CA6F47" w:rsidP="000D3644">
            <w:pPr>
              <w:rPr>
                <w:rFonts w:eastAsia="Times New Roman"/>
                <w:color w:val="000000"/>
                <w:sz w:val="12"/>
                <w:szCs w:val="12"/>
                <w:lang w:eastAsia="en-US"/>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F613CD" w:rsidRDefault="00CA6F47" w:rsidP="00F35355">
            <w:pPr>
              <w:jc w:val="right"/>
              <w:rPr>
                <w:rFonts w:eastAsia="Times New Roman"/>
                <w:color w:val="000000"/>
                <w:sz w:val="18"/>
                <w:szCs w:val="18"/>
                <w:lang w:eastAsia="en-US"/>
              </w:rPr>
            </w:pPr>
          </w:p>
        </w:tc>
      </w:tr>
      <w:tr w:rsidR="00CA6F47" w:rsidRPr="00F613CD" w:rsidTr="00625F97">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Default="00CA6F47" w:rsidP="005760A9">
            <w:pPr>
              <w:rPr>
                <w:rFonts w:eastAsia="Times New Roman"/>
                <w:color w:val="000000"/>
                <w:sz w:val="18"/>
                <w:szCs w:val="18"/>
                <w:lang w:eastAsia="en-US"/>
              </w:rPr>
            </w:pPr>
            <w:r>
              <w:rPr>
                <w:rFonts w:eastAsia="Times New Roman"/>
                <w:color w:val="000000"/>
                <w:sz w:val="18"/>
                <w:szCs w:val="18"/>
                <w:lang w:eastAsia="en-US"/>
              </w:rPr>
              <w:t>Special Projects Reserve no longer required</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5174E1" w:rsidRDefault="00CA6F47" w:rsidP="00F35355">
            <w:pPr>
              <w:jc w:val="right"/>
              <w:rPr>
                <w:rFonts w:eastAsia="Times New Roman"/>
                <w:color w:val="000000"/>
                <w:sz w:val="18"/>
                <w:szCs w:val="18"/>
                <w:u w:val="single"/>
                <w:lang w:eastAsia="en-US"/>
              </w:rPr>
            </w:pPr>
            <w:r w:rsidRPr="005174E1">
              <w:rPr>
                <w:rFonts w:eastAsia="Times New Roman"/>
                <w:color w:val="000000"/>
                <w:sz w:val="18"/>
                <w:szCs w:val="18"/>
                <w:u w:val="single"/>
                <w:lang w:eastAsia="en-US"/>
              </w:rPr>
              <w:t>(3.4)</w:t>
            </w:r>
          </w:p>
        </w:tc>
      </w:tr>
      <w:tr w:rsidR="00CA6F47" w:rsidRPr="00F613CD" w:rsidTr="00625F97">
        <w:trPr>
          <w:trHeight w:val="255"/>
          <w:jc w:val="center"/>
        </w:trPr>
        <w:tc>
          <w:tcPr>
            <w:tcW w:w="7448" w:type="dxa"/>
            <w:tcBorders>
              <w:left w:val="single" w:sz="4" w:space="0" w:color="BFBFBF" w:themeColor="background1" w:themeShade="BF"/>
            </w:tcBorders>
            <w:shd w:val="clear" w:color="auto" w:fill="auto"/>
            <w:noWrap/>
            <w:vAlign w:val="bottom"/>
            <w:hideMark/>
          </w:tcPr>
          <w:p w:rsidR="00CA6F47" w:rsidRPr="00806E47" w:rsidRDefault="00CA6F47" w:rsidP="005760A9">
            <w:pPr>
              <w:rPr>
                <w:rFonts w:eastAsia="Times New Roman"/>
                <w:color w:val="000000"/>
                <w:sz w:val="12"/>
                <w:szCs w:val="12"/>
                <w:lang w:eastAsia="en-US"/>
              </w:rPr>
            </w:pPr>
          </w:p>
          <w:p w:rsidR="00CA6F47" w:rsidRPr="00F613CD" w:rsidRDefault="00CA6F47" w:rsidP="005760A9">
            <w:pPr>
              <w:rPr>
                <w:rFonts w:eastAsia="Times New Roman"/>
                <w:color w:val="000000"/>
                <w:sz w:val="18"/>
                <w:szCs w:val="18"/>
                <w:lang w:eastAsia="en-US"/>
              </w:rPr>
            </w:pPr>
            <w:r>
              <w:rPr>
                <w:rFonts w:eastAsia="Times New Roman"/>
                <w:color w:val="000000"/>
                <w:sz w:val="18"/>
                <w:szCs w:val="18"/>
                <w:lang w:eastAsia="en-US"/>
              </w:rPr>
              <w:t xml:space="preserve">Special Projects Reserve remaining balance for </w:t>
            </w:r>
            <w:r w:rsidRPr="00F613CD">
              <w:rPr>
                <w:rFonts w:eastAsia="Times New Roman"/>
                <w:color w:val="000000"/>
                <w:sz w:val="18"/>
                <w:szCs w:val="18"/>
                <w:lang w:eastAsia="en-US"/>
              </w:rPr>
              <w:t xml:space="preserve">CMP 2014-19 </w:t>
            </w:r>
            <w:r>
              <w:rPr>
                <w:rFonts w:eastAsia="Times New Roman"/>
                <w:color w:val="000000"/>
                <w:sz w:val="18"/>
                <w:szCs w:val="18"/>
                <w:lang w:eastAsia="en-US"/>
              </w:rPr>
              <w:t>and other special ongoing projects financed from the Reserves</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F35355">
            <w:pPr>
              <w:jc w:val="right"/>
              <w:rPr>
                <w:rFonts w:eastAsia="Times New Roman"/>
                <w:color w:val="000000"/>
                <w:sz w:val="18"/>
                <w:szCs w:val="18"/>
                <w:lang w:eastAsia="en-US"/>
              </w:rPr>
            </w:pPr>
            <w:r w:rsidRPr="00F613CD">
              <w:rPr>
                <w:rFonts w:eastAsia="Times New Roman"/>
                <w:color w:val="000000"/>
                <w:sz w:val="18"/>
                <w:szCs w:val="18"/>
                <w:lang w:eastAsia="en-US"/>
              </w:rPr>
              <w:t xml:space="preserve">           13.4</w:t>
            </w:r>
          </w:p>
        </w:tc>
      </w:tr>
      <w:tr w:rsidR="00CA6F47" w:rsidRPr="00F613CD" w:rsidTr="00625F97">
        <w:trPr>
          <w:trHeight w:val="212"/>
          <w:jc w:val="center"/>
        </w:trPr>
        <w:tc>
          <w:tcPr>
            <w:tcW w:w="7448" w:type="dxa"/>
            <w:tcBorders>
              <w:left w:val="single" w:sz="4" w:space="0" w:color="BFBFBF" w:themeColor="background1" w:themeShade="BF"/>
            </w:tcBorders>
            <w:shd w:val="clear" w:color="auto" w:fill="auto"/>
            <w:noWrap/>
            <w:vAlign w:val="bottom"/>
            <w:hideMark/>
          </w:tcPr>
          <w:p w:rsidR="00CA6F47" w:rsidRPr="005C6A80" w:rsidRDefault="00CA6F47" w:rsidP="005760A9">
            <w:pPr>
              <w:rPr>
                <w:rFonts w:eastAsia="Times New Roman"/>
                <w:color w:val="000000"/>
                <w:sz w:val="12"/>
                <w:szCs w:val="12"/>
                <w:lang w:eastAsia="en-US"/>
              </w:rPr>
            </w:pPr>
          </w:p>
          <w:p w:rsidR="00CA6F47" w:rsidRPr="00F613CD" w:rsidRDefault="00CA6F47" w:rsidP="00EB0B88">
            <w:pPr>
              <w:rPr>
                <w:rFonts w:eastAsia="Times New Roman"/>
                <w:color w:val="000000"/>
                <w:sz w:val="18"/>
                <w:szCs w:val="18"/>
                <w:lang w:eastAsia="en-US"/>
              </w:rPr>
            </w:pPr>
            <w:r>
              <w:rPr>
                <w:rFonts w:eastAsia="Times New Roman"/>
                <w:color w:val="000000"/>
                <w:sz w:val="18"/>
                <w:szCs w:val="18"/>
                <w:lang w:eastAsia="en-US"/>
              </w:rPr>
              <w:t>Anticipated Special Projects Reserve</w:t>
            </w:r>
            <w:r w:rsidRPr="00F613CD">
              <w:rPr>
                <w:rFonts w:eastAsia="Times New Roman"/>
                <w:color w:val="000000"/>
                <w:sz w:val="18"/>
                <w:szCs w:val="18"/>
                <w:lang w:eastAsia="en-US"/>
              </w:rPr>
              <w:t xml:space="preserve"> </w:t>
            </w:r>
            <w:r>
              <w:rPr>
                <w:rFonts w:eastAsia="Times New Roman"/>
                <w:color w:val="000000"/>
                <w:sz w:val="18"/>
                <w:szCs w:val="18"/>
                <w:lang w:eastAsia="en-US"/>
              </w:rPr>
              <w:t xml:space="preserve">following approval of </w:t>
            </w:r>
            <w:r w:rsidRPr="00F613CD">
              <w:rPr>
                <w:rFonts w:eastAsia="Times New Roman"/>
                <w:color w:val="000000"/>
                <w:sz w:val="18"/>
                <w:szCs w:val="18"/>
                <w:lang w:eastAsia="en-US"/>
              </w:rPr>
              <w:t xml:space="preserve">CMP 2018-19 </w:t>
            </w:r>
            <w:r>
              <w:rPr>
                <w:rFonts w:eastAsia="Times New Roman"/>
                <w:color w:val="000000"/>
                <w:sz w:val="18"/>
                <w:szCs w:val="18"/>
                <w:lang w:eastAsia="en-US"/>
              </w:rPr>
              <w:t>projects</w:t>
            </w:r>
          </w:p>
        </w:tc>
        <w:tc>
          <w:tcPr>
            <w:tcW w:w="1164" w:type="dxa"/>
            <w:tcBorders>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u w:val="single"/>
                <w:lang w:eastAsia="en-US"/>
              </w:rPr>
            </w:pPr>
            <w:r w:rsidRPr="00F35355">
              <w:rPr>
                <w:rFonts w:eastAsia="Times New Roman"/>
                <w:color w:val="000000"/>
                <w:sz w:val="18"/>
                <w:szCs w:val="18"/>
                <w:lang w:eastAsia="en-US"/>
              </w:rPr>
              <w:t xml:space="preserve">         </w:t>
            </w:r>
            <w:r>
              <w:rPr>
                <w:rFonts w:eastAsia="Times New Roman"/>
                <w:color w:val="000000"/>
                <w:sz w:val="18"/>
                <w:szCs w:val="18"/>
                <w:u w:val="single"/>
                <w:lang w:eastAsia="en-US"/>
              </w:rPr>
              <w:t>25.5</w:t>
            </w:r>
          </w:p>
        </w:tc>
      </w:tr>
      <w:tr w:rsidR="00CA6F47" w:rsidRPr="00F613CD" w:rsidTr="00625F97">
        <w:trPr>
          <w:trHeight w:val="255"/>
          <w:jc w:val="center"/>
        </w:trPr>
        <w:tc>
          <w:tcPr>
            <w:tcW w:w="7448" w:type="dxa"/>
            <w:tcBorders>
              <w:left w:val="single" w:sz="4" w:space="0" w:color="BFBFBF" w:themeColor="background1" w:themeShade="BF"/>
              <w:bottom w:val="single" w:sz="4" w:space="0" w:color="BFBFBF" w:themeColor="background1" w:themeShade="BF"/>
            </w:tcBorders>
            <w:shd w:val="clear" w:color="auto" w:fill="auto"/>
            <w:noWrap/>
            <w:vAlign w:val="bottom"/>
            <w:hideMark/>
          </w:tcPr>
          <w:p w:rsidR="00CA6F47" w:rsidRPr="005C6A80" w:rsidRDefault="00CA6F47" w:rsidP="000D3644">
            <w:pPr>
              <w:rPr>
                <w:rFonts w:eastAsia="Times New Roman"/>
                <w:color w:val="000000"/>
                <w:sz w:val="12"/>
                <w:szCs w:val="12"/>
                <w:lang w:eastAsia="en-US"/>
              </w:rPr>
            </w:pPr>
          </w:p>
          <w:p w:rsidR="00CA6F47" w:rsidRPr="00A30BF2" w:rsidRDefault="00CA6F47" w:rsidP="00A30BF2">
            <w:pPr>
              <w:spacing w:after="60"/>
              <w:rPr>
                <w:rFonts w:eastAsia="Times New Roman"/>
                <w:color w:val="000000"/>
                <w:sz w:val="12"/>
                <w:szCs w:val="12"/>
                <w:lang w:eastAsia="en-US"/>
              </w:rPr>
            </w:pPr>
            <w:r>
              <w:rPr>
                <w:rFonts w:eastAsia="Times New Roman"/>
                <w:color w:val="000000"/>
                <w:sz w:val="18"/>
                <w:szCs w:val="18"/>
                <w:lang w:eastAsia="en-US"/>
              </w:rPr>
              <w:t xml:space="preserve">Total estimated Special Projects Reserve, incl. </w:t>
            </w:r>
            <w:r w:rsidRPr="00F613CD">
              <w:rPr>
                <w:rFonts w:eastAsia="Times New Roman"/>
                <w:color w:val="000000"/>
                <w:sz w:val="18"/>
                <w:szCs w:val="18"/>
                <w:lang w:eastAsia="en-US"/>
              </w:rPr>
              <w:t>CMP 2018-19</w:t>
            </w:r>
          </w:p>
        </w:tc>
        <w:tc>
          <w:tcPr>
            <w:tcW w:w="1164" w:type="dxa"/>
            <w:tcBorders>
              <w:bottom w:val="single" w:sz="4" w:space="0" w:color="BFBFBF" w:themeColor="background1" w:themeShade="BF"/>
              <w:right w:val="single" w:sz="4" w:space="0" w:color="BFBFBF" w:themeColor="background1" w:themeShade="BF"/>
            </w:tcBorders>
            <w:shd w:val="clear" w:color="auto" w:fill="auto"/>
            <w:noWrap/>
            <w:vAlign w:val="bottom"/>
            <w:hideMark/>
          </w:tcPr>
          <w:p w:rsidR="00CA6F47" w:rsidRPr="00F613CD" w:rsidRDefault="00CA6F47" w:rsidP="00A30BF2">
            <w:pPr>
              <w:spacing w:after="60"/>
              <w:rPr>
                <w:rFonts w:eastAsia="Times New Roman"/>
                <w:color w:val="000000"/>
                <w:sz w:val="18"/>
                <w:szCs w:val="18"/>
                <w:lang w:eastAsia="en-US"/>
              </w:rPr>
            </w:pPr>
            <w:r w:rsidRPr="00F613CD">
              <w:rPr>
                <w:rFonts w:eastAsia="Times New Roman"/>
                <w:color w:val="000000"/>
                <w:sz w:val="18"/>
                <w:szCs w:val="18"/>
                <w:lang w:eastAsia="en-US"/>
              </w:rPr>
              <w:t xml:space="preserve">           </w:t>
            </w:r>
            <w:r>
              <w:rPr>
                <w:rFonts w:eastAsia="Times New Roman"/>
                <w:color w:val="000000"/>
                <w:sz w:val="18"/>
                <w:szCs w:val="18"/>
                <w:lang w:eastAsia="en-US"/>
              </w:rPr>
              <w:t>38.</w:t>
            </w:r>
            <w:r w:rsidR="00835290">
              <w:rPr>
                <w:rFonts w:eastAsia="Times New Roman"/>
                <w:color w:val="000000"/>
                <w:sz w:val="18"/>
                <w:szCs w:val="18"/>
                <w:lang w:eastAsia="en-US"/>
              </w:rPr>
              <w:t>9</w:t>
            </w:r>
          </w:p>
        </w:tc>
      </w:tr>
      <w:tr w:rsidR="00CA6F47" w:rsidRPr="00F613CD" w:rsidTr="00625F97">
        <w:trPr>
          <w:trHeight w:val="210"/>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Default="00CA6F47" w:rsidP="0048572C">
            <w:pPr>
              <w:rPr>
                <w:rFonts w:eastAsia="Times New Roman"/>
                <w:color w:val="000000"/>
                <w:sz w:val="18"/>
                <w:szCs w:val="18"/>
                <w:lang w:eastAsia="en-US"/>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F613CD" w:rsidRDefault="00CA6F47" w:rsidP="008F4D76">
            <w:pPr>
              <w:jc w:val="right"/>
              <w:rPr>
                <w:rFonts w:eastAsia="Times New Roman"/>
                <w:color w:val="000000"/>
                <w:sz w:val="18"/>
                <w:szCs w:val="18"/>
                <w:lang w:eastAsia="en-US"/>
              </w:rPr>
            </w:pPr>
          </w:p>
        </w:tc>
      </w:tr>
      <w:tr w:rsidR="00CA6F47" w:rsidRPr="00F613CD" w:rsidTr="00625F97">
        <w:trPr>
          <w:trHeight w:val="210"/>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hideMark/>
          </w:tcPr>
          <w:p w:rsidR="00CA6F47" w:rsidRPr="00F613CD" w:rsidRDefault="00CA6F47" w:rsidP="00EB0B88">
            <w:pPr>
              <w:rPr>
                <w:rFonts w:eastAsia="Times New Roman"/>
                <w:color w:val="000000"/>
                <w:sz w:val="18"/>
                <w:szCs w:val="18"/>
                <w:lang w:eastAsia="en-US"/>
              </w:rPr>
            </w:pPr>
            <w:r w:rsidRPr="00F613CD">
              <w:rPr>
                <w:rFonts w:eastAsia="Times New Roman"/>
                <w:color w:val="000000"/>
                <w:sz w:val="18"/>
                <w:szCs w:val="18"/>
                <w:lang w:eastAsia="en-US"/>
              </w:rPr>
              <w:t xml:space="preserve">Total </w:t>
            </w:r>
            <w:r>
              <w:rPr>
                <w:rFonts w:eastAsia="Times New Roman"/>
                <w:color w:val="000000"/>
                <w:sz w:val="18"/>
                <w:szCs w:val="18"/>
                <w:lang w:eastAsia="en-US"/>
              </w:rPr>
              <w:t>R</w:t>
            </w:r>
            <w:r w:rsidRPr="00F613CD">
              <w:rPr>
                <w:rFonts w:eastAsia="Times New Roman"/>
                <w:color w:val="000000"/>
                <w:sz w:val="18"/>
                <w:szCs w:val="18"/>
                <w:lang w:eastAsia="en-US"/>
              </w:rPr>
              <w:t xml:space="preserve">eserves </w:t>
            </w:r>
            <w:r>
              <w:rPr>
                <w:rFonts w:eastAsia="Times New Roman"/>
                <w:color w:val="000000"/>
                <w:sz w:val="18"/>
                <w:szCs w:val="18"/>
                <w:lang w:eastAsia="en-US"/>
              </w:rPr>
              <w:t xml:space="preserve">excluding Total estimated Special Projects Reserve, incl. CMP 2018-19 </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hideMark/>
          </w:tcPr>
          <w:p w:rsidR="00CA6F47" w:rsidRPr="00F613CD" w:rsidRDefault="00CA6F47" w:rsidP="008F4D76">
            <w:pPr>
              <w:jc w:val="right"/>
              <w:rPr>
                <w:rFonts w:eastAsia="Times New Roman"/>
                <w:color w:val="000000"/>
                <w:sz w:val="18"/>
                <w:szCs w:val="18"/>
                <w:lang w:eastAsia="en-US"/>
              </w:rPr>
            </w:pPr>
            <w:r w:rsidRPr="00F613CD">
              <w:rPr>
                <w:rFonts w:eastAsia="Times New Roman"/>
                <w:color w:val="000000"/>
                <w:sz w:val="18"/>
                <w:szCs w:val="18"/>
                <w:lang w:eastAsia="en-US"/>
              </w:rPr>
              <w:t xml:space="preserve">         248.9 </w:t>
            </w:r>
          </w:p>
        </w:tc>
      </w:tr>
      <w:tr w:rsidR="00CA6F47" w:rsidRPr="00F613CD" w:rsidTr="00A30BF2">
        <w:trPr>
          <w:trHeight w:val="362"/>
          <w:jc w:val="center"/>
        </w:trPr>
        <w:tc>
          <w:tcPr>
            <w:tcW w:w="7448" w:type="dxa"/>
            <w:tcBorders>
              <w:left w:val="single" w:sz="4" w:space="0" w:color="BFBFBF" w:themeColor="background1" w:themeShade="BF"/>
            </w:tcBorders>
            <w:shd w:val="clear" w:color="auto" w:fill="auto"/>
            <w:noWrap/>
            <w:vAlign w:val="center"/>
            <w:hideMark/>
          </w:tcPr>
          <w:p w:rsidR="00A30BF2" w:rsidRPr="00A30BF2" w:rsidRDefault="00A30BF2" w:rsidP="00A30BF2">
            <w:pPr>
              <w:rPr>
                <w:rFonts w:eastAsia="Times New Roman"/>
                <w:color w:val="000000"/>
                <w:sz w:val="12"/>
                <w:szCs w:val="12"/>
                <w:lang w:eastAsia="en-US"/>
              </w:rPr>
            </w:pPr>
          </w:p>
          <w:p w:rsidR="00CA6F47" w:rsidRPr="00A30BF2" w:rsidRDefault="00CA6F47" w:rsidP="00A30BF2">
            <w:pPr>
              <w:spacing w:after="60"/>
              <w:rPr>
                <w:rFonts w:eastAsia="Times New Roman"/>
                <w:color w:val="000000"/>
                <w:sz w:val="18"/>
                <w:szCs w:val="18"/>
                <w:lang w:eastAsia="en-US"/>
              </w:rPr>
            </w:pPr>
            <w:r w:rsidRPr="00F613CD">
              <w:rPr>
                <w:rFonts w:eastAsia="Times New Roman"/>
                <w:color w:val="000000"/>
                <w:sz w:val="18"/>
                <w:szCs w:val="18"/>
                <w:lang w:eastAsia="en-US"/>
              </w:rPr>
              <w:t>RWCF Target</w:t>
            </w:r>
            <w:r>
              <w:rPr>
                <w:rFonts w:eastAsia="Times New Roman"/>
                <w:color w:val="000000"/>
                <w:sz w:val="18"/>
                <w:szCs w:val="18"/>
                <w:lang w:eastAsia="en-US"/>
              </w:rPr>
              <w:t xml:space="preserve"> 2018/19**</w:t>
            </w:r>
          </w:p>
        </w:tc>
        <w:tc>
          <w:tcPr>
            <w:tcW w:w="1164" w:type="dxa"/>
            <w:tcBorders>
              <w:right w:val="single" w:sz="4" w:space="0" w:color="BFBFBF" w:themeColor="background1" w:themeShade="BF"/>
            </w:tcBorders>
            <w:shd w:val="clear" w:color="auto" w:fill="auto"/>
            <w:noWrap/>
            <w:vAlign w:val="center"/>
            <w:hideMark/>
          </w:tcPr>
          <w:p w:rsidR="00A30BF2" w:rsidRPr="00A30BF2" w:rsidRDefault="00A30BF2" w:rsidP="00A30BF2">
            <w:pPr>
              <w:jc w:val="right"/>
              <w:rPr>
                <w:rFonts w:eastAsia="Times New Roman"/>
                <w:color w:val="000000"/>
                <w:sz w:val="12"/>
                <w:szCs w:val="12"/>
                <w:u w:val="single"/>
                <w:lang w:eastAsia="en-US"/>
              </w:rPr>
            </w:pPr>
          </w:p>
          <w:p w:rsidR="00CA6F47" w:rsidRPr="00A30BF2" w:rsidRDefault="00CA6F47" w:rsidP="00A30BF2">
            <w:pPr>
              <w:spacing w:after="60"/>
              <w:jc w:val="right"/>
              <w:rPr>
                <w:rFonts w:eastAsia="Times New Roman"/>
                <w:color w:val="000000"/>
                <w:sz w:val="18"/>
                <w:szCs w:val="18"/>
                <w:u w:val="single"/>
                <w:lang w:eastAsia="en-US"/>
              </w:rPr>
            </w:pPr>
            <w:r w:rsidRPr="00F613CD">
              <w:rPr>
                <w:rFonts w:eastAsia="Times New Roman"/>
                <w:color w:val="000000"/>
                <w:sz w:val="18"/>
                <w:szCs w:val="18"/>
                <w:u w:val="single"/>
                <w:lang w:eastAsia="en-US"/>
              </w:rPr>
              <w:t>1</w:t>
            </w:r>
            <w:r>
              <w:rPr>
                <w:rFonts w:eastAsia="Times New Roman"/>
                <w:color w:val="000000"/>
                <w:sz w:val="18"/>
                <w:szCs w:val="18"/>
                <w:u w:val="single"/>
                <w:lang w:eastAsia="en-US"/>
              </w:rPr>
              <w:t>59.8</w:t>
            </w:r>
          </w:p>
        </w:tc>
      </w:tr>
      <w:tr w:rsidR="00CA6F47" w:rsidRPr="00C3752C" w:rsidTr="00625F97">
        <w:trPr>
          <w:trHeight w:val="255"/>
          <w:jc w:val="center"/>
        </w:trPr>
        <w:tc>
          <w:tcPr>
            <w:tcW w:w="7448" w:type="dxa"/>
            <w:tcBorders>
              <w:left w:val="single" w:sz="4" w:space="0" w:color="BFBFBF" w:themeColor="background1" w:themeShade="BF"/>
            </w:tcBorders>
            <w:shd w:val="clear" w:color="auto" w:fill="C6D9F1" w:themeFill="text2" w:themeFillTint="33"/>
            <w:noWrap/>
            <w:tcMar>
              <w:top w:w="57" w:type="dxa"/>
            </w:tcMar>
            <w:hideMark/>
          </w:tcPr>
          <w:p w:rsidR="00CA6F47" w:rsidRPr="00C3752C" w:rsidRDefault="00CA6F47" w:rsidP="00C3752C">
            <w:pPr>
              <w:rPr>
                <w:rFonts w:eastAsia="Times New Roman"/>
                <w:b/>
                <w:bCs/>
                <w:color w:val="000000"/>
                <w:sz w:val="18"/>
                <w:szCs w:val="18"/>
                <w:lang w:eastAsia="en-US"/>
              </w:rPr>
            </w:pPr>
            <w:r w:rsidRPr="00C3752C">
              <w:rPr>
                <w:rFonts w:eastAsia="Times New Roman"/>
                <w:b/>
                <w:bCs/>
                <w:color w:val="000000"/>
                <w:sz w:val="18"/>
                <w:szCs w:val="18"/>
                <w:lang w:eastAsia="en-US"/>
              </w:rPr>
              <w:t xml:space="preserve">Balance of Reserves in excess of </w:t>
            </w:r>
            <w:r>
              <w:rPr>
                <w:rFonts w:eastAsia="Times New Roman"/>
                <w:b/>
                <w:bCs/>
                <w:color w:val="000000"/>
                <w:sz w:val="18"/>
                <w:szCs w:val="18"/>
                <w:lang w:eastAsia="en-US"/>
              </w:rPr>
              <w:t xml:space="preserve">reserve </w:t>
            </w:r>
            <w:r w:rsidRPr="00C3752C">
              <w:rPr>
                <w:rFonts w:eastAsia="Times New Roman"/>
                <w:b/>
                <w:bCs/>
                <w:color w:val="000000"/>
                <w:sz w:val="18"/>
                <w:szCs w:val="18"/>
                <w:lang w:eastAsia="en-US"/>
              </w:rPr>
              <w:t>target</w:t>
            </w:r>
            <w:r>
              <w:rPr>
                <w:rFonts w:eastAsia="Times New Roman"/>
                <w:b/>
                <w:bCs/>
                <w:color w:val="000000"/>
                <w:sz w:val="18"/>
                <w:szCs w:val="18"/>
                <w:lang w:eastAsia="en-US"/>
              </w:rPr>
              <w:t xml:space="preserve"> level</w:t>
            </w:r>
            <w:r w:rsidRPr="00C3752C">
              <w:rPr>
                <w:rFonts w:eastAsia="Times New Roman"/>
                <w:b/>
                <w:bCs/>
                <w:color w:val="000000"/>
                <w:sz w:val="18"/>
                <w:szCs w:val="18"/>
                <w:lang w:eastAsia="en-US"/>
              </w:rPr>
              <w:t>***</w:t>
            </w:r>
          </w:p>
        </w:tc>
        <w:tc>
          <w:tcPr>
            <w:tcW w:w="1164" w:type="dxa"/>
            <w:tcBorders>
              <w:right w:val="single" w:sz="4" w:space="0" w:color="BFBFBF" w:themeColor="background1" w:themeShade="BF"/>
            </w:tcBorders>
            <w:shd w:val="clear" w:color="auto" w:fill="C6D9F1" w:themeFill="text2" w:themeFillTint="33"/>
            <w:noWrap/>
            <w:hideMark/>
          </w:tcPr>
          <w:p w:rsidR="00CA6F47" w:rsidRPr="00C3752C" w:rsidRDefault="00CA6F47" w:rsidP="004E0BD1">
            <w:pPr>
              <w:jc w:val="right"/>
              <w:rPr>
                <w:rFonts w:eastAsia="Times New Roman"/>
                <w:b/>
                <w:bCs/>
                <w:color w:val="000000"/>
                <w:sz w:val="18"/>
                <w:szCs w:val="18"/>
                <w:lang w:eastAsia="en-US"/>
              </w:rPr>
            </w:pPr>
            <w:r w:rsidRPr="00C3752C">
              <w:rPr>
                <w:rFonts w:eastAsia="Times New Roman"/>
                <w:b/>
                <w:bCs/>
                <w:color w:val="000000"/>
                <w:sz w:val="18"/>
                <w:szCs w:val="18"/>
                <w:lang w:eastAsia="en-US"/>
              </w:rPr>
              <w:t xml:space="preserve">          89.1 </w:t>
            </w:r>
          </w:p>
        </w:tc>
      </w:tr>
      <w:tr w:rsidR="00CA6F47" w:rsidRPr="00F613CD" w:rsidTr="00625F97">
        <w:trPr>
          <w:trHeight w:val="255"/>
          <w:jc w:val="center"/>
        </w:trPr>
        <w:tc>
          <w:tcPr>
            <w:tcW w:w="8612" w:type="dxa"/>
            <w:gridSpan w:val="2"/>
            <w:tcBorders>
              <w:top w:val="single" w:sz="4" w:space="0" w:color="BFBFBF" w:themeColor="background1" w:themeShade="BF"/>
            </w:tcBorders>
            <w:shd w:val="clear" w:color="auto" w:fill="auto"/>
            <w:noWrap/>
            <w:vAlign w:val="bottom"/>
            <w:hideMark/>
          </w:tcPr>
          <w:p w:rsidR="00CF16A2" w:rsidRPr="00CF16A2" w:rsidRDefault="00CF16A2" w:rsidP="000D3644">
            <w:pPr>
              <w:rPr>
                <w:rFonts w:eastAsia="Times New Roman"/>
                <w:i/>
                <w:color w:val="000000"/>
                <w:sz w:val="8"/>
                <w:szCs w:val="8"/>
                <w:lang w:eastAsia="en-US"/>
              </w:rPr>
            </w:pPr>
          </w:p>
          <w:p w:rsidR="00CA6F47" w:rsidRPr="005C6A80" w:rsidRDefault="00CA6F47" w:rsidP="000D3644">
            <w:pPr>
              <w:rPr>
                <w:rFonts w:eastAsia="Times New Roman"/>
                <w:i/>
                <w:color w:val="000000"/>
                <w:sz w:val="16"/>
                <w:szCs w:val="16"/>
                <w:lang w:eastAsia="en-US"/>
              </w:rPr>
            </w:pPr>
            <w:r w:rsidRPr="005C6A80">
              <w:rPr>
                <w:rFonts w:eastAsia="Times New Roman"/>
                <w:i/>
                <w:color w:val="000000"/>
                <w:sz w:val="16"/>
                <w:szCs w:val="16"/>
                <w:lang w:eastAsia="en-US"/>
              </w:rPr>
              <w:t>*Excluding Working Capital funds (WCF) and Revaluation Reserve Surplus</w:t>
            </w:r>
          </w:p>
          <w:p w:rsidR="00CA6F47" w:rsidRDefault="00CA6F47" w:rsidP="00F35355">
            <w:pPr>
              <w:rPr>
                <w:rFonts w:eastAsia="Times New Roman"/>
                <w:i/>
                <w:color w:val="000000"/>
                <w:sz w:val="16"/>
                <w:szCs w:val="16"/>
                <w:lang w:eastAsia="en-US"/>
              </w:rPr>
            </w:pPr>
            <w:r w:rsidRPr="005C6A80">
              <w:rPr>
                <w:rFonts w:eastAsia="Times New Roman"/>
                <w:i/>
                <w:color w:val="000000"/>
                <w:sz w:val="16"/>
                <w:szCs w:val="16"/>
                <w:lang w:eastAsia="en-US"/>
              </w:rPr>
              <w:t>**</w:t>
            </w:r>
            <w:r>
              <w:rPr>
                <w:rFonts w:eastAsia="Times New Roman"/>
                <w:i/>
                <w:color w:val="000000"/>
                <w:sz w:val="16"/>
                <w:szCs w:val="16"/>
                <w:lang w:eastAsia="en-US"/>
              </w:rPr>
              <w:t>Reserve target is based on targets for the Unions determined in the Revised Policy on Reserves i.e.</w:t>
            </w:r>
            <w:r w:rsidRPr="005C6A80">
              <w:rPr>
                <w:rFonts w:eastAsia="Times New Roman"/>
                <w:i/>
                <w:color w:val="000000"/>
                <w:sz w:val="16"/>
                <w:szCs w:val="16"/>
                <w:lang w:eastAsia="en-US"/>
              </w:rPr>
              <w:t xml:space="preserve"> </w:t>
            </w:r>
            <w:r w:rsidRPr="00B4685C">
              <w:rPr>
                <w:rFonts w:eastAsia="Times New Roman"/>
                <w:i/>
                <w:color w:val="000000"/>
                <w:sz w:val="16"/>
                <w:szCs w:val="16"/>
                <w:lang w:eastAsia="en-US"/>
              </w:rPr>
              <w:t>22.%</w:t>
            </w:r>
            <w:r w:rsidRPr="005C6A80">
              <w:rPr>
                <w:rFonts w:eastAsia="Times New Roman"/>
                <w:i/>
                <w:color w:val="000000"/>
                <w:sz w:val="16"/>
                <w:szCs w:val="16"/>
                <w:lang w:eastAsia="en-US"/>
              </w:rPr>
              <w:t xml:space="preserve"> of the total </w:t>
            </w:r>
            <w:r>
              <w:rPr>
                <w:rFonts w:eastAsia="Times New Roman"/>
                <w:i/>
                <w:color w:val="000000"/>
                <w:sz w:val="16"/>
                <w:szCs w:val="16"/>
                <w:lang w:eastAsia="en-US"/>
              </w:rPr>
              <w:t xml:space="preserve">2018/19 </w:t>
            </w:r>
            <w:r w:rsidRPr="005C6A80">
              <w:rPr>
                <w:rFonts w:eastAsia="Times New Roman"/>
                <w:i/>
                <w:color w:val="000000"/>
                <w:sz w:val="16"/>
                <w:szCs w:val="16"/>
                <w:lang w:eastAsia="en-US"/>
              </w:rPr>
              <w:t>biennial budget of 7</w:t>
            </w:r>
            <w:r>
              <w:rPr>
                <w:rFonts w:eastAsia="Times New Roman"/>
                <w:i/>
                <w:color w:val="000000"/>
                <w:sz w:val="16"/>
                <w:szCs w:val="16"/>
                <w:lang w:eastAsia="en-US"/>
              </w:rPr>
              <w:t>25</w:t>
            </w:r>
            <w:r w:rsidRPr="005C6A80">
              <w:rPr>
                <w:rFonts w:eastAsia="Times New Roman"/>
                <w:i/>
                <w:color w:val="000000"/>
                <w:sz w:val="16"/>
                <w:szCs w:val="16"/>
                <w:lang w:eastAsia="en-US"/>
              </w:rPr>
              <w:t xml:space="preserve"> million Swiss francs</w:t>
            </w:r>
          </w:p>
          <w:p w:rsidR="00CA6F47" w:rsidRPr="00F613CD" w:rsidRDefault="00CA6F47" w:rsidP="005C6A80">
            <w:pPr>
              <w:rPr>
                <w:rFonts w:eastAsia="Times New Roman"/>
                <w:color w:val="000000"/>
                <w:sz w:val="18"/>
                <w:szCs w:val="18"/>
                <w:lang w:eastAsia="en-US"/>
              </w:rPr>
            </w:pPr>
            <w:r>
              <w:rPr>
                <w:rFonts w:eastAsia="Times New Roman"/>
                <w:i/>
                <w:color w:val="000000"/>
                <w:sz w:val="16"/>
                <w:szCs w:val="16"/>
                <w:lang w:eastAsia="en-US"/>
              </w:rPr>
              <w:t>***Does not take into account the projected Overall Result after Reserve Expenditure for 2017 which amounts to 24.3 million Swiss francs</w:t>
            </w:r>
          </w:p>
        </w:tc>
      </w:tr>
    </w:tbl>
    <w:p w:rsidR="00CA458E" w:rsidRDefault="00CA458E" w:rsidP="008F4D76"/>
    <w:p w:rsidR="008F4D76" w:rsidRDefault="008F4D76" w:rsidP="00207BFD">
      <w:pPr>
        <w:numPr>
          <w:ilvl w:val="0"/>
          <w:numId w:val="31"/>
        </w:numPr>
        <w:tabs>
          <w:tab w:val="left" w:pos="567"/>
          <w:tab w:val="left" w:pos="5670"/>
        </w:tabs>
        <w:spacing w:after="220"/>
        <w:ind w:left="0" w:firstLine="0"/>
        <w:contextualSpacing/>
      </w:pPr>
      <w:r>
        <w:t xml:space="preserve">As illustrated in </w:t>
      </w:r>
      <w:r w:rsidR="00CA458E">
        <w:t>T</w:t>
      </w:r>
      <w:r>
        <w:t xml:space="preserve">able </w:t>
      </w:r>
      <w:r w:rsidR="00384DB6">
        <w:t>4</w:t>
      </w:r>
      <w:r>
        <w:t>, the proposed funding of 25.5 million Swiss francs for the CMP 2018-</w:t>
      </w:r>
      <w:r w:rsidR="00CA458E">
        <w:t>19</w:t>
      </w:r>
      <w:r>
        <w:t xml:space="preserve"> can be absorbed without affecting the required target level of </w:t>
      </w:r>
      <w:r w:rsidR="008B092D">
        <w:t>R</w:t>
      </w:r>
      <w:r>
        <w:t xml:space="preserve">eserves, as the projected balances can prudently accommodate the expenditures under the proposed projects.   </w:t>
      </w:r>
    </w:p>
    <w:p w:rsidR="008F4D76" w:rsidRDefault="008F4D76" w:rsidP="00207BFD">
      <w:pPr>
        <w:tabs>
          <w:tab w:val="left" w:pos="567"/>
          <w:tab w:val="left" w:pos="5670"/>
        </w:tabs>
        <w:spacing w:after="220"/>
        <w:contextualSpacing/>
      </w:pPr>
    </w:p>
    <w:p w:rsidR="008E5052" w:rsidRDefault="008E5052" w:rsidP="00207BFD">
      <w:pPr>
        <w:numPr>
          <w:ilvl w:val="0"/>
          <w:numId w:val="31"/>
        </w:numPr>
        <w:tabs>
          <w:tab w:val="left" w:pos="567"/>
          <w:tab w:val="left" w:pos="5670"/>
        </w:tabs>
        <w:spacing w:after="220"/>
        <w:ind w:left="0" w:firstLine="0"/>
        <w:contextualSpacing/>
      </w:pPr>
      <w:r>
        <w:t xml:space="preserve">It should be noted that as the Organization’s financial statements are prepared on an IPSAS basis, expenditure on Information Technology (IT) projects will be capitalized where it meets the required recognition criteria. Similarly, expenditure on building projects that extends the useful life or enhances the value of the affected buildings will also be capitalized. For each project, </w:t>
      </w:r>
      <w:r w:rsidRPr="00207BFD">
        <w:t xml:space="preserve">a determination will be made on whether capitalization is allowable under IPSAS as detailed information on the costs and scheduled implementation becomes available. Where a project is capitalized, the expenditure is recognized over the useful life of the resulting asset once the project has reached completion and is available for use. In these cases, the impact of the expenditure on the Organization’s reserves is therefore deferred over a longer period through an annual amortization or depreciation charge, as opposed to an immediate impact as the project is implemented.  </w:t>
      </w:r>
    </w:p>
    <w:p w:rsidR="009B0223" w:rsidRDefault="009B0223" w:rsidP="009B0223">
      <w:pPr>
        <w:tabs>
          <w:tab w:val="left" w:pos="567"/>
          <w:tab w:val="left" w:pos="5670"/>
        </w:tabs>
        <w:spacing w:after="220"/>
        <w:contextualSpacing/>
      </w:pPr>
    </w:p>
    <w:p w:rsidR="00384DB6" w:rsidRPr="00384DB6" w:rsidRDefault="00384DB6" w:rsidP="00207BFD">
      <w:pPr>
        <w:keepNext/>
        <w:keepLines/>
        <w:rPr>
          <w:i/>
        </w:rPr>
      </w:pPr>
      <w:r w:rsidRPr="00384DB6">
        <w:rPr>
          <w:i/>
        </w:rPr>
        <w:lastRenderedPageBreak/>
        <w:t>ALLOCATION OF PROPOSED CMP 2018</w:t>
      </w:r>
      <w:r w:rsidR="00CA6F47">
        <w:rPr>
          <w:i/>
        </w:rPr>
        <w:t>-</w:t>
      </w:r>
      <w:r w:rsidRPr="00384DB6">
        <w:rPr>
          <w:i/>
        </w:rPr>
        <w:t xml:space="preserve">19 </w:t>
      </w:r>
      <w:r w:rsidR="00CA6F47">
        <w:rPr>
          <w:i/>
        </w:rPr>
        <w:t xml:space="preserve">PROJECTS </w:t>
      </w:r>
      <w:r w:rsidRPr="00384DB6">
        <w:rPr>
          <w:i/>
        </w:rPr>
        <w:t>TO THE UNIONS</w:t>
      </w:r>
    </w:p>
    <w:p w:rsidR="00384DB6" w:rsidRDefault="00384DB6" w:rsidP="00207BFD">
      <w:pPr>
        <w:keepNext/>
        <w:keepLines/>
      </w:pPr>
    </w:p>
    <w:p w:rsidR="008B092D" w:rsidRDefault="00384DB6" w:rsidP="00207BFD">
      <w:pPr>
        <w:keepNext/>
        <w:keepLines/>
        <w:numPr>
          <w:ilvl w:val="0"/>
          <w:numId w:val="31"/>
        </w:numPr>
        <w:tabs>
          <w:tab w:val="left" w:pos="567"/>
          <w:tab w:val="left" w:pos="5670"/>
        </w:tabs>
        <w:spacing w:after="220"/>
        <w:ind w:left="0" w:firstLine="0"/>
        <w:contextualSpacing/>
      </w:pPr>
      <w:r>
        <w:t xml:space="preserve">The CMP projects proposed for financing from the Reserves in 2018/19 </w:t>
      </w:r>
      <w:r w:rsidR="008B092D">
        <w:t>are allocated to the Unions based on the extent to which they directly or indirectly benefit the Union(s):</w:t>
      </w:r>
    </w:p>
    <w:p w:rsidR="008B092D" w:rsidRPr="00CF16A2" w:rsidRDefault="008B092D" w:rsidP="00FB1239">
      <w:pPr>
        <w:rPr>
          <w:sz w:val="16"/>
          <w:szCs w:val="16"/>
        </w:rPr>
      </w:pPr>
    </w:p>
    <w:p w:rsidR="008B092D" w:rsidRDefault="008B092D" w:rsidP="008B092D">
      <w:pPr>
        <w:pStyle w:val="ListParagraph"/>
      </w:pPr>
      <w:r>
        <w:t xml:space="preserve">Global IP Platform </w:t>
      </w:r>
    </w:p>
    <w:p w:rsidR="008B092D" w:rsidRDefault="00372A12" w:rsidP="008B092D">
      <w:pPr>
        <w:pStyle w:val="ListParagraph"/>
        <w:numPr>
          <w:ilvl w:val="1"/>
          <w:numId w:val="23"/>
        </w:numPr>
      </w:pPr>
      <w:r>
        <w:t>in</w:t>
      </w:r>
      <w:r w:rsidR="008B092D">
        <w:t xml:space="preserve">directly benefits the fee-funded Unions </w:t>
      </w:r>
    </w:p>
    <w:p w:rsidR="008B092D" w:rsidRDefault="008B092D" w:rsidP="008B092D">
      <w:pPr>
        <w:pStyle w:val="ListParagraph"/>
        <w:numPr>
          <w:ilvl w:val="1"/>
          <w:numId w:val="23"/>
        </w:numPr>
      </w:pPr>
      <w:r>
        <w:t xml:space="preserve">cost allocated as </w:t>
      </w:r>
      <w:r w:rsidR="004C23E8">
        <w:t>in</w:t>
      </w:r>
      <w:r>
        <w:t>direct Union expenditure to the fee-funded Unions</w:t>
      </w:r>
      <w:r w:rsidR="00FA6F7E">
        <w:t xml:space="preserve"> </w:t>
      </w:r>
      <w:r w:rsidR="00FA6F7E" w:rsidRPr="00FA6F7E">
        <w:rPr>
          <w:i/>
        </w:rPr>
        <w:t>(capacity to pay principle)</w:t>
      </w:r>
    </w:p>
    <w:p w:rsidR="008B092D" w:rsidRPr="00CF16A2" w:rsidRDefault="008B092D" w:rsidP="008B092D">
      <w:pPr>
        <w:pStyle w:val="ListParagraph"/>
        <w:rPr>
          <w:sz w:val="16"/>
          <w:szCs w:val="16"/>
        </w:rPr>
      </w:pPr>
    </w:p>
    <w:p w:rsidR="008B092D" w:rsidRDefault="008B092D" w:rsidP="008B092D">
      <w:pPr>
        <w:pStyle w:val="ListParagraph"/>
      </w:pPr>
      <w:r>
        <w:t>Resilient and Secure Platform for the PCT</w:t>
      </w:r>
    </w:p>
    <w:p w:rsidR="008B092D" w:rsidRDefault="008B092D" w:rsidP="008B092D">
      <w:pPr>
        <w:pStyle w:val="ListParagraph"/>
        <w:numPr>
          <w:ilvl w:val="1"/>
          <w:numId w:val="23"/>
        </w:numPr>
      </w:pPr>
      <w:r>
        <w:t>directly benefits the PCT Union</w:t>
      </w:r>
    </w:p>
    <w:p w:rsidR="008B092D" w:rsidRDefault="008B092D" w:rsidP="008B092D">
      <w:pPr>
        <w:pStyle w:val="ListParagraph"/>
        <w:numPr>
          <w:ilvl w:val="1"/>
          <w:numId w:val="23"/>
        </w:numPr>
      </w:pPr>
      <w:r>
        <w:t>cost allocated as direct Union expenditure to the PCT Union</w:t>
      </w:r>
    </w:p>
    <w:p w:rsidR="008B092D" w:rsidRPr="00CF16A2" w:rsidRDefault="008B092D" w:rsidP="008B092D">
      <w:pPr>
        <w:rPr>
          <w:sz w:val="16"/>
          <w:szCs w:val="16"/>
        </w:rPr>
      </w:pPr>
    </w:p>
    <w:p w:rsidR="00146525" w:rsidRDefault="008B092D" w:rsidP="004F7559">
      <w:pPr>
        <w:pStyle w:val="ListParagraph"/>
      </w:pPr>
      <w:r>
        <w:t>Madrid IT Platform</w:t>
      </w:r>
    </w:p>
    <w:p w:rsidR="00146525" w:rsidRDefault="00146525" w:rsidP="00146525">
      <w:pPr>
        <w:pStyle w:val="ListParagraph"/>
        <w:numPr>
          <w:ilvl w:val="1"/>
          <w:numId w:val="23"/>
        </w:numPr>
      </w:pPr>
      <w:r>
        <w:t>directly benefits the Madrid Union</w:t>
      </w:r>
    </w:p>
    <w:p w:rsidR="00146525" w:rsidRDefault="00146525" w:rsidP="00146525">
      <w:pPr>
        <w:pStyle w:val="ListParagraph"/>
        <w:numPr>
          <w:ilvl w:val="1"/>
          <w:numId w:val="23"/>
        </w:numPr>
      </w:pPr>
      <w:r>
        <w:t>cost allocated as direct Union expenditure to the Madrid Union</w:t>
      </w:r>
    </w:p>
    <w:p w:rsidR="00FA6F7E" w:rsidRPr="00CF16A2" w:rsidRDefault="00FA6F7E" w:rsidP="00FA6F7E">
      <w:pPr>
        <w:pStyle w:val="ListParagraph"/>
        <w:ind w:left="1440"/>
        <w:rPr>
          <w:sz w:val="16"/>
          <w:szCs w:val="16"/>
        </w:rPr>
      </w:pPr>
    </w:p>
    <w:p w:rsidR="00FA6F7E" w:rsidRDefault="00FA6F7E" w:rsidP="00FA6F7E">
      <w:pPr>
        <w:pStyle w:val="ListParagraph"/>
      </w:pPr>
      <w:r>
        <w:t xml:space="preserve">Conference </w:t>
      </w:r>
      <w:r w:rsidR="004F7559">
        <w:t>R</w:t>
      </w:r>
      <w:r>
        <w:t xml:space="preserve">egistration </w:t>
      </w:r>
      <w:r w:rsidR="004F7559">
        <w:t>S</w:t>
      </w:r>
      <w:r>
        <w:t>ystem</w:t>
      </w:r>
    </w:p>
    <w:p w:rsidR="00FA6F7E" w:rsidRDefault="00FA6F7E" w:rsidP="00FA6F7E">
      <w:pPr>
        <w:pStyle w:val="ListParagraph"/>
        <w:numPr>
          <w:ilvl w:val="1"/>
          <w:numId w:val="25"/>
        </w:numPr>
      </w:pPr>
      <w:r>
        <w:t xml:space="preserve">indirectly benefits all Unions </w:t>
      </w:r>
    </w:p>
    <w:p w:rsidR="00FA6F7E" w:rsidRDefault="00FA6F7E" w:rsidP="00FA6F7E">
      <w:pPr>
        <w:pStyle w:val="ListParagraph"/>
        <w:numPr>
          <w:ilvl w:val="1"/>
          <w:numId w:val="23"/>
        </w:numPr>
      </w:pPr>
      <w:r>
        <w:t>cost allocated as indirect admin expenditure to all Unions</w:t>
      </w:r>
    </w:p>
    <w:p w:rsidR="004F7559" w:rsidRDefault="004F7559" w:rsidP="004F7559">
      <w:pPr>
        <w:pStyle w:val="ListParagraph"/>
        <w:ind w:left="1440"/>
      </w:pPr>
      <w:r w:rsidRPr="00FA6F7E">
        <w:rPr>
          <w:i/>
        </w:rPr>
        <w:t>(capacity to pay principle)</w:t>
      </w:r>
    </w:p>
    <w:p w:rsidR="00FA6F7E" w:rsidRPr="00CF16A2" w:rsidRDefault="00FA6F7E" w:rsidP="00FA6F7E">
      <w:pPr>
        <w:rPr>
          <w:sz w:val="16"/>
          <w:szCs w:val="16"/>
        </w:rPr>
      </w:pPr>
    </w:p>
    <w:p w:rsidR="004F7559" w:rsidRDefault="004F7559" w:rsidP="004F7559">
      <w:pPr>
        <w:pStyle w:val="ListParagraph"/>
      </w:pPr>
      <w:r>
        <w:t>Building and Security and Safety-related projects</w:t>
      </w:r>
    </w:p>
    <w:p w:rsidR="004F7559" w:rsidRDefault="004F7559" w:rsidP="004F7559">
      <w:pPr>
        <w:pStyle w:val="ListParagraph"/>
        <w:numPr>
          <w:ilvl w:val="1"/>
          <w:numId w:val="25"/>
        </w:numPr>
      </w:pPr>
      <w:r>
        <w:t xml:space="preserve">indirectly benefits all Unions </w:t>
      </w:r>
    </w:p>
    <w:p w:rsidR="004F7559" w:rsidRDefault="004F7559" w:rsidP="004F7559">
      <w:pPr>
        <w:pStyle w:val="ListParagraph"/>
        <w:numPr>
          <w:ilvl w:val="1"/>
          <w:numId w:val="23"/>
        </w:numPr>
      </w:pPr>
      <w:r>
        <w:t>cost allocated as indirect admin expenditure to all Unions</w:t>
      </w:r>
    </w:p>
    <w:p w:rsidR="004F7559" w:rsidRDefault="004F7559" w:rsidP="004F7559">
      <w:pPr>
        <w:pStyle w:val="ListParagraph"/>
        <w:ind w:left="1440"/>
      </w:pPr>
      <w:r w:rsidRPr="00FA6F7E">
        <w:rPr>
          <w:i/>
        </w:rPr>
        <w:t>(capacity to pay principle)</w:t>
      </w:r>
    </w:p>
    <w:p w:rsidR="00D908E7" w:rsidRDefault="00D908E7" w:rsidP="004F7559"/>
    <w:p w:rsidR="00FB1239" w:rsidRDefault="004615A6" w:rsidP="00251C01">
      <w:pPr>
        <w:numPr>
          <w:ilvl w:val="0"/>
          <w:numId w:val="31"/>
        </w:numPr>
        <w:tabs>
          <w:tab w:val="left" w:pos="567"/>
          <w:tab w:val="left" w:pos="5670"/>
        </w:tabs>
        <w:ind w:left="0" w:firstLine="0"/>
        <w:contextualSpacing/>
      </w:pPr>
      <w:r>
        <w:t xml:space="preserve">Table 5 provides an overview of the allocation of the costs of the proposed projects by Union. </w:t>
      </w:r>
      <w:r w:rsidR="00207BFD">
        <w:t xml:space="preserve"> </w:t>
      </w:r>
      <w:r>
        <w:t>As t</w:t>
      </w:r>
      <w:r w:rsidR="00FB1239">
        <w:t>he Hague and Lisbon reserve balances were in deficit at the end of 2016</w:t>
      </w:r>
      <w:r>
        <w:t>, the costs are allocated to the Contribution-financed</w:t>
      </w:r>
      <w:r w:rsidR="00CA6F47">
        <w:t xml:space="preserve"> (CF)</w:t>
      </w:r>
      <w:r>
        <w:t>, the PCT and the Madrid Union</w:t>
      </w:r>
      <w:r w:rsidR="00CA6F47">
        <w:t>s</w:t>
      </w:r>
      <w:r w:rsidR="00FB1239">
        <w:t xml:space="preserve">.  </w:t>
      </w:r>
      <w:r>
        <w:t xml:space="preserve">The positive balance of reserves </w:t>
      </w:r>
      <w:r w:rsidR="00787511">
        <w:t xml:space="preserve">for these Unions in excess of the 2018/19 target illustrates that the Unions are not being negatively affected by the proposed CMP projects for 2018/19. </w:t>
      </w:r>
    </w:p>
    <w:p w:rsidR="008F4D76" w:rsidRPr="00251C01" w:rsidRDefault="008F4D76" w:rsidP="00251C01">
      <w:pPr>
        <w:rPr>
          <w:szCs w:val="12"/>
        </w:rPr>
      </w:pPr>
    </w:p>
    <w:tbl>
      <w:tblPr>
        <w:tblW w:w="9039" w:type="dxa"/>
        <w:jc w:val="center"/>
        <w:tblInd w:w="-1210" w:type="dxa"/>
        <w:tblLook w:val="04A0" w:firstRow="1" w:lastRow="0" w:firstColumn="1" w:lastColumn="0" w:noHBand="0" w:noVBand="1"/>
      </w:tblPr>
      <w:tblGrid>
        <w:gridCol w:w="9039"/>
      </w:tblGrid>
      <w:tr w:rsidR="00CF16A2" w:rsidRPr="00FA5B68" w:rsidTr="00CF16A2">
        <w:trPr>
          <w:trHeight w:val="255"/>
          <w:jc w:val="center"/>
        </w:trPr>
        <w:tc>
          <w:tcPr>
            <w:tcW w:w="9039" w:type="dxa"/>
            <w:shd w:val="clear" w:color="auto" w:fill="C6D9F1" w:themeFill="text2" w:themeFillTint="33"/>
            <w:noWrap/>
            <w:vAlign w:val="center"/>
          </w:tcPr>
          <w:p w:rsidR="00CF16A2" w:rsidRDefault="00CF16A2" w:rsidP="009B0223">
            <w:pPr>
              <w:jc w:val="center"/>
            </w:pPr>
            <w:r>
              <w:t xml:space="preserve">Table 5: Estimated Status of the Reserves end 2017 by Union </w:t>
            </w:r>
          </w:p>
          <w:p w:rsidR="00CF16A2" w:rsidRPr="00FA5B68" w:rsidRDefault="00CF16A2" w:rsidP="009B0223">
            <w:pPr>
              <w:jc w:val="center"/>
              <w:rPr>
                <w:rFonts w:asciiTheme="minorHAnsi" w:eastAsia="Times New Roman" w:hAnsiTheme="minorHAnsi" w:cstheme="minorHAnsi"/>
                <w:i/>
                <w:color w:val="000000"/>
                <w:sz w:val="18"/>
                <w:szCs w:val="18"/>
                <w:lang w:eastAsia="en-US"/>
              </w:rPr>
            </w:pPr>
            <w:r>
              <w:rPr>
                <w:rFonts w:asciiTheme="minorHAnsi" w:eastAsia="Times New Roman" w:hAnsiTheme="minorHAnsi" w:cstheme="minorHAnsi"/>
                <w:i/>
                <w:color w:val="000000"/>
                <w:sz w:val="18"/>
                <w:szCs w:val="18"/>
                <w:lang w:eastAsia="en-US"/>
              </w:rPr>
              <w:t>(in thousands</w:t>
            </w:r>
            <w:r w:rsidRPr="00BF5E2E">
              <w:rPr>
                <w:rFonts w:asciiTheme="minorHAnsi" w:eastAsia="Times New Roman" w:hAnsiTheme="minorHAnsi" w:cstheme="minorHAnsi"/>
                <w:i/>
                <w:color w:val="000000"/>
                <w:sz w:val="18"/>
                <w:szCs w:val="18"/>
                <w:lang w:eastAsia="en-US"/>
              </w:rPr>
              <w:t xml:space="preserve"> of Swiss francs)</w:t>
            </w:r>
          </w:p>
        </w:tc>
      </w:tr>
    </w:tbl>
    <w:p w:rsidR="009667F9" w:rsidRPr="00CF16A2" w:rsidRDefault="009667F9" w:rsidP="009B0223">
      <w:pPr>
        <w:jc w:val="center"/>
        <w:rPr>
          <w:rFonts w:asciiTheme="minorHAnsi" w:eastAsia="Times New Roman" w:hAnsiTheme="minorHAnsi" w:cstheme="minorHAnsi"/>
          <w:i/>
          <w:color w:val="000000"/>
          <w:sz w:val="8"/>
          <w:szCs w:val="8"/>
          <w:lang w:eastAsia="en-US"/>
        </w:rPr>
      </w:pPr>
    </w:p>
    <w:p w:rsidR="008F4D76" w:rsidRDefault="00835290" w:rsidP="009B0223">
      <w:r w:rsidRPr="00835290">
        <w:rPr>
          <w:noProof/>
          <w:lang w:eastAsia="en-US"/>
        </w:rPr>
        <w:drawing>
          <wp:inline distT="0" distB="0" distL="0" distR="0" wp14:anchorId="6AD14D6A" wp14:editId="7A93B977">
            <wp:extent cx="5761355" cy="249804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498046"/>
                    </a:xfrm>
                    <a:prstGeom prst="rect">
                      <a:avLst/>
                    </a:prstGeom>
                    <a:noFill/>
                    <a:ln>
                      <a:noFill/>
                    </a:ln>
                  </pic:spPr>
                </pic:pic>
              </a:graphicData>
            </a:graphic>
          </wp:inline>
        </w:drawing>
      </w:r>
    </w:p>
    <w:p w:rsidR="00D63F20" w:rsidRPr="00CF16A2" w:rsidRDefault="00D63F20" w:rsidP="009B0223">
      <w:pPr>
        <w:rPr>
          <w:rFonts w:eastAsia="Times New Roman"/>
          <w:i/>
          <w:color w:val="000000"/>
          <w:sz w:val="8"/>
          <w:szCs w:val="8"/>
          <w:lang w:eastAsia="en-US"/>
        </w:rPr>
      </w:pPr>
    </w:p>
    <w:p w:rsidR="00ED285D" w:rsidRPr="00D63F20" w:rsidRDefault="00ED285D" w:rsidP="009B0223">
      <w:pPr>
        <w:rPr>
          <w:rFonts w:eastAsia="Times New Roman"/>
          <w:i/>
          <w:color w:val="000000"/>
          <w:sz w:val="14"/>
          <w:szCs w:val="14"/>
          <w:lang w:eastAsia="en-US"/>
        </w:rPr>
      </w:pPr>
      <w:r w:rsidRPr="00D63F20">
        <w:rPr>
          <w:rFonts w:eastAsia="Times New Roman"/>
          <w:i/>
          <w:color w:val="000000"/>
          <w:sz w:val="14"/>
          <w:szCs w:val="14"/>
          <w:lang w:eastAsia="en-US"/>
        </w:rPr>
        <w:t xml:space="preserve">*Excluding Working Capital </w:t>
      </w:r>
      <w:r w:rsidR="00C04A28">
        <w:rPr>
          <w:rFonts w:eastAsia="Times New Roman"/>
          <w:i/>
          <w:color w:val="000000"/>
          <w:sz w:val="14"/>
          <w:szCs w:val="14"/>
          <w:lang w:eastAsia="en-US"/>
        </w:rPr>
        <w:t>F</w:t>
      </w:r>
      <w:r w:rsidRPr="00D63F20">
        <w:rPr>
          <w:rFonts w:eastAsia="Times New Roman"/>
          <w:i/>
          <w:color w:val="000000"/>
          <w:sz w:val="14"/>
          <w:szCs w:val="14"/>
          <w:lang w:eastAsia="en-US"/>
        </w:rPr>
        <w:t>unds (WCF) and Revaluation Reserve Surplus</w:t>
      </w:r>
    </w:p>
    <w:p w:rsidR="00ED285D" w:rsidRPr="00D63F20" w:rsidRDefault="00ED285D" w:rsidP="009B0223">
      <w:pPr>
        <w:rPr>
          <w:rFonts w:eastAsia="Times New Roman"/>
          <w:i/>
          <w:color w:val="000000"/>
          <w:sz w:val="14"/>
          <w:szCs w:val="14"/>
          <w:lang w:eastAsia="en-US"/>
        </w:rPr>
      </w:pPr>
      <w:r w:rsidRPr="00D63F20">
        <w:rPr>
          <w:rFonts w:eastAsia="Times New Roman"/>
          <w:i/>
          <w:color w:val="000000"/>
          <w:sz w:val="14"/>
          <w:szCs w:val="14"/>
          <w:lang w:eastAsia="en-US"/>
        </w:rPr>
        <w:t>**Reserve target is based on targets for the Unions determined in the Revised Policy on Reserves i.e. 22</w:t>
      </w:r>
      <w:r w:rsidR="001A06F4">
        <w:rPr>
          <w:rFonts w:eastAsia="Times New Roman"/>
          <w:i/>
          <w:color w:val="000000"/>
          <w:sz w:val="14"/>
          <w:szCs w:val="14"/>
          <w:lang w:eastAsia="en-US"/>
        </w:rPr>
        <w:t xml:space="preserve"> per cent</w:t>
      </w:r>
      <w:r w:rsidRPr="00D63F20">
        <w:rPr>
          <w:rFonts w:eastAsia="Times New Roman"/>
          <w:i/>
          <w:color w:val="000000"/>
          <w:sz w:val="14"/>
          <w:szCs w:val="14"/>
          <w:lang w:eastAsia="en-US"/>
        </w:rPr>
        <w:t xml:space="preserve"> of the total 2018/19 biennial budget of 725 million Swiss francs</w:t>
      </w:r>
      <w:r w:rsidR="00C04A28">
        <w:rPr>
          <w:rFonts w:eastAsia="Times New Roman"/>
          <w:i/>
          <w:color w:val="000000"/>
          <w:sz w:val="14"/>
          <w:szCs w:val="14"/>
          <w:lang w:eastAsia="en-US"/>
        </w:rPr>
        <w:t>.</w:t>
      </w:r>
    </w:p>
    <w:p w:rsidR="00ED285D" w:rsidRDefault="00ED285D" w:rsidP="009B0223">
      <w:pPr>
        <w:rPr>
          <w:rFonts w:eastAsia="Times New Roman"/>
          <w:i/>
          <w:color w:val="000000"/>
          <w:sz w:val="14"/>
          <w:szCs w:val="14"/>
          <w:lang w:eastAsia="en-US"/>
        </w:rPr>
      </w:pPr>
      <w:r w:rsidRPr="00D63F20">
        <w:rPr>
          <w:rFonts w:eastAsia="Times New Roman"/>
          <w:i/>
          <w:color w:val="000000"/>
          <w:sz w:val="14"/>
          <w:szCs w:val="14"/>
          <w:lang w:eastAsia="en-US"/>
        </w:rPr>
        <w:t>***Does not take into account the projected Overall Result after Reserve Expenditure for 2017</w:t>
      </w:r>
      <w:r w:rsidR="00C04A28">
        <w:rPr>
          <w:rFonts w:eastAsia="Times New Roman"/>
          <w:i/>
          <w:color w:val="000000"/>
          <w:sz w:val="14"/>
          <w:szCs w:val="14"/>
          <w:lang w:eastAsia="en-US"/>
        </w:rPr>
        <w:t>,</w:t>
      </w:r>
      <w:r w:rsidRPr="00D63F20">
        <w:rPr>
          <w:rFonts w:eastAsia="Times New Roman"/>
          <w:i/>
          <w:color w:val="000000"/>
          <w:sz w:val="14"/>
          <w:szCs w:val="14"/>
          <w:lang w:eastAsia="en-US"/>
        </w:rPr>
        <w:t xml:space="preserve"> which amount</w:t>
      </w:r>
      <w:r w:rsidR="00835290" w:rsidRPr="00835290">
        <w:rPr>
          <w:rFonts w:eastAsia="Times New Roman"/>
          <w:color w:val="000000"/>
          <w:sz w:val="14"/>
          <w:szCs w:val="14"/>
          <w:lang w:eastAsia="en-US"/>
        </w:rPr>
        <w:t>s</w:t>
      </w:r>
      <w:r w:rsidRPr="00D63F20">
        <w:rPr>
          <w:rFonts w:eastAsia="Times New Roman"/>
          <w:i/>
          <w:color w:val="000000"/>
          <w:sz w:val="14"/>
          <w:szCs w:val="14"/>
          <w:lang w:eastAsia="en-US"/>
        </w:rPr>
        <w:t xml:space="preserve"> to 24.3 million Swiss francs</w:t>
      </w:r>
    </w:p>
    <w:p w:rsidR="00C25C67" w:rsidRDefault="00D63F20" w:rsidP="009B0223">
      <w:pPr>
        <w:rPr>
          <w:rFonts w:eastAsia="Times New Roman"/>
          <w:i/>
          <w:color w:val="000000"/>
          <w:sz w:val="14"/>
          <w:szCs w:val="14"/>
          <w:lang w:eastAsia="en-US"/>
        </w:rPr>
      </w:pPr>
      <w:r>
        <w:rPr>
          <w:rFonts w:eastAsia="Times New Roman"/>
          <w:i/>
          <w:color w:val="000000"/>
          <w:sz w:val="14"/>
          <w:szCs w:val="14"/>
          <w:lang w:eastAsia="en-US"/>
        </w:rPr>
        <w:t xml:space="preserve">Note: </w:t>
      </w:r>
      <w:r w:rsidR="001A06F4">
        <w:rPr>
          <w:rFonts w:eastAsia="Times New Roman"/>
          <w:i/>
          <w:color w:val="000000"/>
          <w:sz w:val="14"/>
          <w:szCs w:val="14"/>
          <w:lang w:eastAsia="en-US"/>
        </w:rPr>
        <w:t>T</w:t>
      </w:r>
      <w:r>
        <w:rPr>
          <w:rFonts w:eastAsia="Times New Roman"/>
          <w:i/>
          <w:color w:val="000000"/>
          <w:sz w:val="14"/>
          <w:szCs w:val="14"/>
          <w:lang w:eastAsia="en-US"/>
        </w:rPr>
        <w:t>he methodology used for the allocation of income and expenditure by Unions is similar to the methodology used for the preparation of the Program and Budget 2018/19 (unchanged from 2016/17)</w:t>
      </w:r>
      <w:r w:rsidR="00C04A28">
        <w:rPr>
          <w:rFonts w:eastAsia="Times New Roman"/>
          <w:i/>
          <w:color w:val="000000"/>
          <w:sz w:val="14"/>
          <w:szCs w:val="14"/>
          <w:lang w:eastAsia="en-US"/>
        </w:rPr>
        <w:t>.</w:t>
      </w:r>
      <w:r>
        <w:rPr>
          <w:rFonts w:eastAsia="Times New Roman"/>
          <w:i/>
          <w:color w:val="000000"/>
          <w:sz w:val="14"/>
          <w:szCs w:val="14"/>
          <w:lang w:eastAsia="en-US"/>
        </w:rPr>
        <w:t xml:space="preserve"> </w:t>
      </w:r>
    </w:p>
    <w:p w:rsidR="004615A6" w:rsidRPr="00500E10" w:rsidRDefault="004615A6" w:rsidP="004615A6">
      <w:pPr>
        <w:pStyle w:val="ONUME"/>
        <w:widowControl w:val="0"/>
        <w:numPr>
          <w:ilvl w:val="0"/>
          <w:numId w:val="0"/>
        </w:numPr>
        <w:tabs>
          <w:tab w:val="left" w:pos="1620"/>
        </w:tabs>
        <w:spacing w:after="0"/>
      </w:pPr>
      <w:r w:rsidRPr="00500E10">
        <w:rPr>
          <w:b/>
        </w:rPr>
        <w:lastRenderedPageBreak/>
        <w:t>IMPACT ON CASH FLOWS AND LIQUIDITY LEVELS OF THE RESERVES</w:t>
      </w:r>
    </w:p>
    <w:p w:rsidR="004615A6" w:rsidRDefault="004615A6" w:rsidP="004615A6"/>
    <w:p w:rsidR="00AD6D24" w:rsidRPr="00207BFD" w:rsidRDefault="00AD6D24" w:rsidP="00207BFD">
      <w:pPr>
        <w:keepNext/>
        <w:keepLines/>
        <w:numPr>
          <w:ilvl w:val="0"/>
          <w:numId w:val="31"/>
        </w:numPr>
        <w:tabs>
          <w:tab w:val="left" w:pos="567"/>
          <w:tab w:val="left" w:pos="5670"/>
        </w:tabs>
        <w:spacing w:after="220"/>
        <w:ind w:left="0" w:firstLine="0"/>
        <w:contextualSpacing/>
      </w:pPr>
      <w:r w:rsidRPr="00207BFD">
        <w:t xml:space="preserve">WIPO’s available cash and the liquid element of its reserves are both more than sufficient to fully finance the level of cash outflow proposed in the CMP 2018-19 and the balance of the CMP 2014-19 and other </w:t>
      </w:r>
      <w:r w:rsidR="00D36186">
        <w:t xml:space="preserve">special </w:t>
      </w:r>
      <w:r w:rsidRPr="00207BFD">
        <w:t>projects</w:t>
      </w:r>
      <w:r w:rsidR="00D36186">
        <w:t xml:space="preserve"> financed from the Reserves</w:t>
      </w:r>
      <w:r w:rsidRPr="00207BFD">
        <w:t>.  </w:t>
      </w:r>
    </w:p>
    <w:p w:rsidR="00AD6D24" w:rsidRDefault="00AD6D24" w:rsidP="00AD6D24">
      <w:pPr>
        <w:rPr>
          <w:color w:val="000000"/>
        </w:rPr>
      </w:pPr>
    </w:p>
    <w:p w:rsidR="00AD6D24" w:rsidRPr="00AD6D24" w:rsidRDefault="00B80E44" w:rsidP="00AD6D24">
      <w:pPr>
        <w:rPr>
          <w:i/>
          <w:color w:val="000000"/>
        </w:rPr>
      </w:pPr>
      <w:r>
        <w:rPr>
          <w:i/>
          <w:color w:val="000000"/>
        </w:rPr>
        <w:t>Impact on cash flow</w:t>
      </w:r>
      <w:r w:rsidR="00AD6D24" w:rsidRPr="00AD6D24">
        <w:rPr>
          <w:i/>
          <w:color w:val="000000"/>
        </w:rPr>
        <w:t xml:space="preserve"> </w:t>
      </w:r>
    </w:p>
    <w:p w:rsidR="00AD6D24" w:rsidRDefault="00AD6D24" w:rsidP="00AD6D24">
      <w:pPr>
        <w:rPr>
          <w:color w:val="000000"/>
        </w:rPr>
      </w:pPr>
    </w:p>
    <w:p w:rsidR="00AD6D24" w:rsidRDefault="00AD6D24" w:rsidP="00207BFD">
      <w:pPr>
        <w:keepNext/>
        <w:keepLines/>
        <w:numPr>
          <w:ilvl w:val="0"/>
          <w:numId w:val="31"/>
        </w:numPr>
        <w:tabs>
          <w:tab w:val="left" w:pos="567"/>
          <w:tab w:val="left" w:pos="5670"/>
        </w:tabs>
        <w:spacing w:after="220"/>
        <w:ind w:left="0" w:firstLine="0"/>
        <w:contextualSpacing/>
      </w:pPr>
      <w:r w:rsidRPr="00207BFD">
        <w:t>After setting aside the operational reserve target of 22 per cent of the Program and Budget for 201</w:t>
      </w:r>
      <w:r w:rsidR="00E8145F">
        <w:t>6/17 (157 million Swiss francs) and</w:t>
      </w:r>
      <w:r w:rsidRPr="00207BFD">
        <w:t xml:space="preserve"> the reserves established for the ASHI liability funding (Strategic Cash amounting to 108.6 million Swiss francs)</w:t>
      </w:r>
      <w:r w:rsidR="00E8145F">
        <w:t>,</w:t>
      </w:r>
      <w:r w:rsidRPr="00207BFD">
        <w:t xml:space="preserve"> </w:t>
      </w:r>
      <w:r w:rsidR="00E8145F" w:rsidRPr="00207BFD">
        <w:t xml:space="preserve">the balance of </w:t>
      </w:r>
      <w:r w:rsidR="00E8145F">
        <w:t>C</w:t>
      </w:r>
      <w:r w:rsidR="00E8145F" w:rsidRPr="00207BFD">
        <w:t xml:space="preserve">ore </w:t>
      </w:r>
      <w:r w:rsidR="00E8145F">
        <w:t>C</w:t>
      </w:r>
      <w:r w:rsidR="00E8145F" w:rsidRPr="00207BFD">
        <w:t>ash</w:t>
      </w:r>
      <w:r w:rsidR="00E8145F">
        <w:t>,</w:t>
      </w:r>
      <w:r w:rsidR="00E8145F" w:rsidRPr="00207BFD">
        <w:t xml:space="preserve"> </w:t>
      </w:r>
      <w:r w:rsidR="00E8145F">
        <w:t xml:space="preserve">including </w:t>
      </w:r>
      <w:r w:rsidRPr="00207BFD">
        <w:t>the Special Projects Reserve, is as follows:</w:t>
      </w:r>
    </w:p>
    <w:p w:rsidR="00691105" w:rsidRDefault="00691105" w:rsidP="00AD6D24"/>
    <w:p w:rsidR="00AD6D24" w:rsidRDefault="00AD6D24" w:rsidP="00AD6D24"/>
    <w:tbl>
      <w:tblPr>
        <w:tblW w:w="6425" w:type="dxa"/>
        <w:jc w:val="center"/>
        <w:tblInd w:w="1404" w:type="dxa"/>
        <w:tblLook w:val="04A0" w:firstRow="1" w:lastRow="0" w:firstColumn="1" w:lastColumn="0" w:noHBand="0" w:noVBand="1"/>
      </w:tblPr>
      <w:tblGrid>
        <w:gridCol w:w="4063"/>
        <w:gridCol w:w="1276"/>
        <w:gridCol w:w="1086"/>
      </w:tblGrid>
      <w:tr w:rsidR="00FA5B68" w:rsidRPr="00FA5B68" w:rsidTr="00634275">
        <w:trPr>
          <w:trHeight w:val="255"/>
          <w:jc w:val="center"/>
        </w:trPr>
        <w:tc>
          <w:tcPr>
            <w:tcW w:w="6425" w:type="dxa"/>
            <w:gridSpan w:val="3"/>
            <w:shd w:val="clear" w:color="auto" w:fill="C6D9F1" w:themeFill="text2" w:themeFillTint="33"/>
            <w:noWrap/>
            <w:vAlign w:val="center"/>
          </w:tcPr>
          <w:p w:rsidR="00FA5B68" w:rsidRDefault="00FA5B68" w:rsidP="00D908E7">
            <w:pPr>
              <w:keepNext/>
              <w:keepLines/>
              <w:jc w:val="center"/>
            </w:pPr>
            <w:r>
              <w:t xml:space="preserve">Table 6: Reserves as per Investment Policy  </w:t>
            </w:r>
          </w:p>
          <w:p w:rsidR="00FA5B68" w:rsidRPr="00FA5B68" w:rsidRDefault="00FA5B68" w:rsidP="00D908E7">
            <w:pPr>
              <w:keepNext/>
              <w:keepLines/>
              <w:jc w:val="center"/>
              <w:rPr>
                <w:rFonts w:asciiTheme="minorHAnsi" w:eastAsia="Times New Roman" w:hAnsiTheme="minorHAnsi" w:cstheme="minorHAnsi"/>
                <w:i/>
                <w:color w:val="000000"/>
                <w:sz w:val="18"/>
                <w:szCs w:val="18"/>
                <w:lang w:eastAsia="en-US"/>
              </w:rPr>
            </w:pPr>
            <w:r>
              <w:rPr>
                <w:rFonts w:asciiTheme="minorHAnsi" w:eastAsia="Times New Roman" w:hAnsiTheme="minorHAnsi" w:cstheme="minorHAnsi"/>
                <w:i/>
                <w:color w:val="000000"/>
                <w:sz w:val="18"/>
                <w:szCs w:val="18"/>
                <w:lang w:eastAsia="en-US"/>
              </w:rPr>
              <w:t>(in millions</w:t>
            </w:r>
            <w:r w:rsidRPr="00BF5E2E">
              <w:rPr>
                <w:rFonts w:asciiTheme="minorHAnsi" w:eastAsia="Times New Roman" w:hAnsiTheme="minorHAnsi" w:cstheme="minorHAnsi"/>
                <w:i/>
                <w:color w:val="000000"/>
                <w:sz w:val="18"/>
                <w:szCs w:val="18"/>
                <w:lang w:eastAsia="en-US"/>
              </w:rPr>
              <w:t xml:space="preserve"> of Swiss francs)</w:t>
            </w:r>
          </w:p>
        </w:tc>
      </w:tr>
      <w:tr w:rsidR="00FA5B68" w:rsidRPr="00FA5B68" w:rsidTr="00691105">
        <w:trPr>
          <w:trHeight w:val="71"/>
          <w:jc w:val="center"/>
        </w:trPr>
        <w:tc>
          <w:tcPr>
            <w:tcW w:w="4063" w:type="dxa"/>
            <w:shd w:val="clear" w:color="auto" w:fill="FFFFFF" w:themeFill="background1"/>
            <w:noWrap/>
            <w:vAlign w:val="center"/>
          </w:tcPr>
          <w:p w:rsidR="00FA5B68" w:rsidRPr="00FA5B68" w:rsidRDefault="00FA5B68" w:rsidP="00D908E7">
            <w:pPr>
              <w:keepNext/>
              <w:keepLines/>
              <w:rPr>
                <w:rFonts w:eastAsia="Times New Roman"/>
                <w:b/>
                <w:color w:val="000000"/>
                <w:sz w:val="8"/>
                <w:szCs w:val="8"/>
                <w:lang w:eastAsia="en-US"/>
              </w:rPr>
            </w:pPr>
          </w:p>
        </w:tc>
        <w:tc>
          <w:tcPr>
            <w:tcW w:w="1276" w:type="dxa"/>
            <w:shd w:val="clear" w:color="auto" w:fill="FFFFFF" w:themeFill="background1"/>
            <w:noWrap/>
            <w:vAlign w:val="bottom"/>
          </w:tcPr>
          <w:p w:rsidR="00FA5B68" w:rsidRPr="00FA5B68" w:rsidRDefault="00FA5B68" w:rsidP="00D908E7">
            <w:pPr>
              <w:keepNext/>
              <w:keepLines/>
              <w:jc w:val="center"/>
              <w:rPr>
                <w:rFonts w:eastAsia="Times New Roman"/>
                <w:color w:val="000000"/>
                <w:sz w:val="18"/>
                <w:szCs w:val="18"/>
                <w:lang w:eastAsia="en-US"/>
              </w:rPr>
            </w:pPr>
          </w:p>
        </w:tc>
        <w:tc>
          <w:tcPr>
            <w:tcW w:w="1086" w:type="dxa"/>
            <w:shd w:val="clear" w:color="auto" w:fill="FFFFFF" w:themeFill="background1"/>
            <w:noWrap/>
            <w:vAlign w:val="bottom"/>
          </w:tcPr>
          <w:p w:rsidR="00FA5B68" w:rsidRPr="00FA5B68" w:rsidRDefault="00FA5B68" w:rsidP="00D908E7">
            <w:pPr>
              <w:keepNext/>
              <w:keepLines/>
              <w:jc w:val="center"/>
              <w:rPr>
                <w:rFonts w:eastAsia="Times New Roman"/>
                <w:color w:val="000000"/>
                <w:sz w:val="18"/>
                <w:szCs w:val="18"/>
                <w:lang w:eastAsia="en-US"/>
              </w:rPr>
            </w:pPr>
          </w:p>
        </w:tc>
      </w:tr>
      <w:tr w:rsidR="00691105" w:rsidRPr="00FA5B68" w:rsidTr="00691105">
        <w:trPr>
          <w:trHeight w:val="255"/>
          <w:jc w:val="center"/>
        </w:trPr>
        <w:tc>
          <w:tcPr>
            <w:tcW w:w="4063" w:type="dxa"/>
            <w:shd w:val="clear" w:color="auto" w:fill="C6D9F1" w:themeFill="text2" w:themeFillTint="33"/>
            <w:noWrap/>
            <w:vAlign w:val="center"/>
            <w:hideMark/>
          </w:tcPr>
          <w:p w:rsidR="00691105" w:rsidRPr="00FA5B68" w:rsidRDefault="00691105" w:rsidP="00D908E7">
            <w:pPr>
              <w:keepNext/>
              <w:keepLines/>
              <w:rPr>
                <w:rFonts w:eastAsia="Times New Roman"/>
                <w:b/>
                <w:color w:val="000000"/>
                <w:sz w:val="18"/>
                <w:szCs w:val="18"/>
                <w:lang w:eastAsia="en-US"/>
              </w:rPr>
            </w:pPr>
          </w:p>
        </w:tc>
        <w:tc>
          <w:tcPr>
            <w:tcW w:w="1276" w:type="dxa"/>
            <w:shd w:val="clear" w:color="auto" w:fill="C6D9F1" w:themeFill="text2" w:themeFillTint="33"/>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April 30</w:t>
            </w:r>
            <w:r>
              <w:rPr>
                <w:rFonts w:eastAsia="Times New Roman"/>
                <w:color w:val="000000"/>
                <w:sz w:val="18"/>
                <w:szCs w:val="18"/>
                <w:lang w:eastAsia="en-US"/>
              </w:rPr>
              <w:t>,</w:t>
            </w:r>
            <w:r w:rsidRPr="00FA5B68">
              <w:rPr>
                <w:rFonts w:eastAsia="Times New Roman"/>
                <w:color w:val="000000"/>
                <w:sz w:val="18"/>
                <w:szCs w:val="18"/>
                <w:lang w:eastAsia="en-US"/>
              </w:rPr>
              <w:t xml:space="preserve"> 2017</w:t>
            </w:r>
          </w:p>
        </w:tc>
        <w:tc>
          <w:tcPr>
            <w:tcW w:w="1086" w:type="dxa"/>
            <w:shd w:val="clear" w:color="auto" w:fill="C6D9F1" w:themeFill="text2" w:themeFillTint="33"/>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Dec 31, 2016</w:t>
            </w:r>
          </w:p>
        </w:tc>
      </w:tr>
      <w:tr w:rsidR="00691105" w:rsidRPr="00FA5B68" w:rsidTr="00691105">
        <w:trPr>
          <w:trHeight w:val="255"/>
          <w:jc w:val="center"/>
        </w:trPr>
        <w:tc>
          <w:tcPr>
            <w:tcW w:w="4063" w:type="dxa"/>
            <w:shd w:val="clear" w:color="auto" w:fill="auto"/>
            <w:noWrap/>
            <w:vAlign w:val="bottom"/>
            <w:hideMark/>
          </w:tcPr>
          <w:p w:rsidR="00691105" w:rsidRPr="00FA5B68" w:rsidRDefault="00691105" w:rsidP="00D908E7">
            <w:pPr>
              <w:keepNext/>
              <w:keepLines/>
              <w:rPr>
                <w:rFonts w:eastAsia="Times New Roman"/>
                <w:color w:val="000000"/>
                <w:sz w:val="18"/>
                <w:szCs w:val="18"/>
                <w:lang w:eastAsia="en-US"/>
              </w:rPr>
            </w:pPr>
          </w:p>
          <w:p w:rsidR="00691105" w:rsidRPr="00FA5B68" w:rsidRDefault="00691105" w:rsidP="00D908E7">
            <w:pPr>
              <w:keepNext/>
              <w:keepLines/>
              <w:rPr>
                <w:rFonts w:eastAsia="Times New Roman"/>
                <w:color w:val="000000"/>
                <w:sz w:val="18"/>
                <w:szCs w:val="18"/>
                <w:lang w:eastAsia="en-US"/>
              </w:rPr>
            </w:pPr>
            <w:r w:rsidRPr="00FA5B68">
              <w:rPr>
                <w:rFonts w:eastAsia="Times New Roman"/>
                <w:color w:val="000000"/>
                <w:sz w:val="18"/>
                <w:szCs w:val="18"/>
                <w:lang w:eastAsia="en-US"/>
              </w:rPr>
              <w:t xml:space="preserve">Total Cash </w:t>
            </w:r>
            <w:r w:rsidR="00835290">
              <w:rPr>
                <w:rFonts w:eastAsia="Times New Roman"/>
                <w:color w:val="000000"/>
                <w:sz w:val="18"/>
                <w:szCs w:val="18"/>
                <w:lang w:eastAsia="en-US"/>
              </w:rPr>
              <w:t xml:space="preserve">and </w:t>
            </w:r>
            <w:r w:rsidR="00A51A68">
              <w:rPr>
                <w:rFonts w:eastAsia="Times New Roman"/>
                <w:color w:val="000000"/>
                <w:sz w:val="18"/>
                <w:szCs w:val="18"/>
                <w:lang w:eastAsia="en-US"/>
              </w:rPr>
              <w:t>I</w:t>
            </w:r>
            <w:r w:rsidR="00835290">
              <w:rPr>
                <w:rFonts w:eastAsia="Times New Roman"/>
                <w:color w:val="000000"/>
                <w:sz w:val="18"/>
                <w:szCs w:val="18"/>
                <w:lang w:eastAsia="en-US"/>
              </w:rPr>
              <w:t>nvestments</w:t>
            </w:r>
            <w:r w:rsidRPr="00FA5B68">
              <w:rPr>
                <w:rFonts w:eastAsia="Times New Roman"/>
                <w:color w:val="000000"/>
                <w:sz w:val="18"/>
                <w:szCs w:val="18"/>
                <w:lang w:eastAsia="en-US"/>
              </w:rPr>
              <w:t xml:space="preserve"> (including deposits)</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473.2</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542.3</w:t>
            </w:r>
          </w:p>
        </w:tc>
      </w:tr>
      <w:tr w:rsidR="00691105" w:rsidRPr="00FA5B68" w:rsidTr="00691105">
        <w:trPr>
          <w:trHeight w:val="255"/>
          <w:jc w:val="center"/>
        </w:trPr>
        <w:tc>
          <w:tcPr>
            <w:tcW w:w="4063" w:type="dxa"/>
            <w:shd w:val="clear" w:color="auto" w:fill="auto"/>
            <w:noWrap/>
            <w:vAlign w:val="bottom"/>
            <w:hideMark/>
          </w:tcPr>
          <w:p w:rsidR="00691105" w:rsidRPr="00FA5B68" w:rsidRDefault="00691105" w:rsidP="00D908E7">
            <w:pPr>
              <w:keepNext/>
              <w:keepLines/>
              <w:rPr>
                <w:rFonts w:eastAsia="Times New Roman"/>
                <w:color w:val="000000"/>
                <w:sz w:val="18"/>
                <w:szCs w:val="18"/>
                <w:lang w:eastAsia="en-US"/>
              </w:rPr>
            </w:pPr>
          </w:p>
          <w:p w:rsidR="00691105" w:rsidRPr="00FA5B68" w:rsidRDefault="00691105" w:rsidP="00D908E7">
            <w:pPr>
              <w:keepNext/>
              <w:keepLines/>
              <w:rPr>
                <w:rFonts w:eastAsia="Times New Roman"/>
                <w:color w:val="000000"/>
                <w:sz w:val="18"/>
                <w:szCs w:val="18"/>
                <w:lang w:eastAsia="en-US"/>
              </w:rPr>
            </w:pPr>
            <w:r w:rsidRPr="00FA5B68">
              <w:rPr>
                <w:rFonts w:eastAsia="Times New Roman"/>
                <w:color w:val="000000"/>
                <w:sz w:val="18"/>
                <w:szCs w:val="18"/>
                <w:lang w:eastAsia="en-US"/>
              </w:rPr>
              <w:t xml:space="preserve">Operating Reserve </w:t>
            </w:r>
          </w:p>
          <w:p w:rsidR="00691105" w:rsidRPr="00FA5B68" w:rsidRDefault="00691105" w:rsidP="00D908E7">
            <w:pPr>
              <w:keepNext/>
              <w:keepLines/>
              <w:rPr>
                <w:rFonts w:eastAsia="Times New Roman"/>
                <w:color w:val="000000"/>
                <w:sz w:val="18"/>
                <w:szCs w:val="18"/>
                <w:lang w:eastAsia="en-US"/>
              </w:rPr>
            </w:pPr>
            <w:r w:rsidRPr="00FA5B68">
              <w:rPr>
                <w:rFonts w:eastAsia="Times New Roman"/>
                <w:color w:val="000000"/>
                <w:sz w:val="18"/>
                <w:szCs w:val="18"/>
                <w:lang w:eastAsia="en-US"/>
              </w:rPr>
              <w:t xml:space="preserve">(RWCF target 2016/17) </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157.0</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157.0</w:t>
            </w:r>
          </w:p>
        </w:tc>
      </w:tr>
      <w:tr w:rsidR="00691105" w:rsidRPr="00FA5B68" w:rsidTr="00691105">
        <w:trPr>
          <w:trHeight w:val="255"/>
          <w:jc w:val="center"/>
        </w:trPr>
        <w:tc>
          <w:tcPr>
            <w:tcW w:w="4063" w:type="dxa"/>
            <w:shd w:val="clear" w:color="auto" w:fill="auto"/>
            <w:noWrap/>
            <w:vAlign w:val="bottom"/>
            <w:hideMark/>
          </w:tcPr>
          <w:p w:rsidR="00691105" w:rsidRPr="00FA5B68" w:rsidRDefault="00691105" w:rsidP="00D908E7">
            <w:pPr>
              <w:keepNext/>
              <w:keepLines/>
              <w:rPr>
                <w:rFonts w:eastAsia="Times New Roman"/>
                <w:color w:val="000000"/>
                <w:sz w:val="18"/>
                <w:szCs w:val="18"/>
                <w:lang w:eastAsia="en-US"/>
              </w:rPr>
            </w:pPr>
          </w:p>
          <w:p w:rsidR="00691105" w:rsidRPr="00FA5B68" w:rsidRDefault="00691105" w:rsidP="00D908E7">
            <w:pPr>
              <w:keepNext/>
              <w:keepLines/>
              <w:rPr>
                <w:rFonts w:eastAsia="Times New Roman"/>
                <w:color w:val="000000"/>
                <w:sz w:val="18"/>
                <w:szCs w:val="18"/>
                <w:lang w:eastAsia="en-US"/>
              </w:rPr>
            </w:pPr>
            <w:r w:rsidRPr="00FA5B68">
              <w:rPr>
                <w:rFonts w:eastAsia="Times New Roman"/>
                <w:color w:val="000000"/>
                <w:sz w:val="18"/>
                <w:szCs w:val="18"/>
                <w:lang w:eastAsia="en-US"/>
              </w:rPr>
              <w:t>Strategic Cash</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u w:val="single"/>
                <w:lang w:eastAsia="en-US"/>
              </w:rPr>
            </w:pPr>
            <w:r w:rsidRPr="00FA5B68">
              <w:rPr>
                <w:rFonts w:eastAsia="Times New Roman"/>
                <w:color w:val="000000"/>
                <w:sz w:val="18"/>
                <w:szCs w:val="18"/>
                <w:u w:val="single"/>
                <w:lang w:eastAsia="en-US"/>
              </w:rPr>
              <w:t>108.6</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u w:val="single"/>
                <w:lang w:eastAsia="en-US"/>
              </w:rPr>
            </w:pPr>
            <w:r w:rsidRPr="00FA5B68">
              <w:rPr>
                <w:rFonts w:eastAsia="Times New Roman"/>
                <w:color w:val="000000"/>
                <w:sz w:val="18"/>
                <w:szCs w:val="18"/>
                <w:u w:val="single"/>
                <w:lang w:eastAsia="en-US"/>
              </w:rPr>
              <w:t>108.6</w:t>
            </w:r>
          </w:p>
        </w:tc>
      </w:tr>
      <w:tr w:rsidR="00691105" w:rsidRPr="00FA5B68" w:rsidTr="00691105">
        <w:trPr>
          <w:trHeight w:val="424"/>
          <w:jc w:val="center"/>
        </w:trPr>
        <w:tc>
          <w:tcPr>
            <w:tcW w:w="4063" w:type="dxa"/>
            <w:shd w:val="clear" w:color="auto" w:fill="auto"/>
            <w:noWrap/>
            <w:vAlign w:val="bottom"/>
            <w:hideMark/>
          </w:tcPr>
          <w:p w:rsidR="00691105" w:rsidRPr="00FA5B68" w:rsidRDefault="00691105" w:rsidP="00D908E7">
            <w:pPr>
              <w:keepNext/>
              <w:keepLines/>
              <w:rPr>
                <w:rFonts w:eastAsia="Times New Roman"/>
                <w:color w:val="000000"/>
                <w:sz w:val="18"/>
                <w:szCs w:val="18"/>
                <w:lang w:eastAsia="en-US"/>
              </w:rPr>
            </w:pPr>
            <w:r w:rsidRPr="00FA5B68">
              <w:rPr>
                <w:rFonts w:eastAsia="Times New Roman"/>
                <w:color w:val="000000"/>
                <w:sz w:val="18"/>
                <w:szCs w:val="18"/>
                <w:lang w:eastAsia="en-US"/>
              </w:rPr>
              <w:t>Core Cash</w:t>
            </w:r>
            <w:r>
              <w:rPr>
                <w:rFonts w:eastAsia="Times New Roman"/>
                <w:color w:val="000000"/>
                <w:sz w:val="18"/>
                <w:szCs w:val="18"/>
                <w:lang w:eastAsia="en-US"/>
              </w:rPr>
              <w:t>*</w:t>
            </w:r>
          </w:p>
        </w:tc>
        <w:tc>
          <w:tcPr>
            <w:tcW w:w="127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207.6</w:t>
            </w:r>
          </w:p>
        </w:tc>
        <w:tc>
          <w:tcPr>
            <w:tcW w:w="1086" w:type="dxa"/>
            <w:shd w:val="clear" w:color="auto" w:fill="auto"/>
            <w:noWrap/>
            <w:vAlign w:val="bottom"/>
            <w:hideMark/>
          </w:tcPr>
          <w:p w:rsidR="00691105" w:rsidRPr="00FA5B68" w:rsidRDefault="00691105" w:rsidP="00D908E7">
            <w:pPr>
              <w:keepNext/>
              <w:keepLines/>
              <w:jc w:val="center"/>
              <w:rPr>
                <w:rFonts w:eastAsia="Times New Roman"/>
                <w:color w:val="000000"/>
                <w:sz w:val="18"/>
                <w:szCs w:val="18"/>
                <w:lang w:eastAsia="en-US"/>
              </w:rPr>
            </w:pPr>
            <w:r w:rsidRPr="00FA5B68">
              <w:rPr>
                <w:rFonts w:eastAsia="Times New Roman"/>
                <w:color w:val="000000"/>
                <w:sz w:val="18"/>
                <w:szCs w:val="18"/>
                <w:lang w:eastAsia="en-US"/>
              </w:rPr>
              <w:t>276.7</w:t>
            </w:r>
          </w:p>
        </w:tc>
      </w:tr>
      <w:tr w:rsidR="00B80E44" w:rsidRPr="00FA5B68" w:rsidTr="00691105">
        <w:trPr>
          <w:trHeight w:val="255"/>
          <w:jc w:val="center"/>
        </w:trPr>
        <w:tc>
          <w:tcPr>
            <w:tcW w:w="4063" w:type="dxa"/>
            <w:shd w:val="clear" w:color="auto" w:fill="C6D9F1" w:themeFill="text2" w:themeFillTint="33"/>
            <w:noWrap/>
            <w:vAlign w:val="bottom"/>
          </w:tcPr>
          <w:p w:rsidR="00B80E44" w:rsidRPr="00FA5B68" w:rsidRDefault="00B80E44" w:rsidP="00D908E7">
            <w:pPr>
              <w:keepNext/>
              <w:keepLines/>
              <w:rPr>
                <w:rFonts w:eastAsia="Times New Roman"/>
                <w:color w:val="000000"/>
                <w:sz w:val="18"/>
                <w:szCs w:val="18"/>
                <w:lang w:eastAsia="en-US"/>
              </w:rPr>
            </w:pPr>
          </w:p>
        </w:tc>
        <w:tc>
          <w:tcPr>
            <w:tcW w:w="1276" w:type="dxa"/>
            <w:shd w:val="clear" w:color="auto" w:fill="C6D9F1" w:themeFill="text2" w:themeFillTint="33"/>
            <w:noWrap/>
            <w:vAlign w:val="bottom"/>
          </w:tcPr>
          <w:p w:rsidR="00B80E44" w:rsidRPr="00FA5B68" w:rsidRDefault="00B80E44" w:rsidP="00D908E7">
            <w:pPr>
              <w:keepNext/>
              <w:keepLines/>
              <w:jc w:val="right"/>
              <w:rPr>
                <w:rFonts w:eastAsia="Times New Roman"/>
                <w:color w:val="000000"/>
                <w:sz w:val="18"/>
                <w:szCs w:val="18"/>
                <w:lang w:eastAsia="en-US"/>
              </w:rPr>
            </w:pPr>
          </w:p>
        </w:tc>
        <w:tc>
          <w:tcPr>
            <w:tcW w:w="1086" w:type="dxa"/>
            <w:shd w:val="clear" w:color="auto" w:fill="C6D9F1" w:themeFill="text2" w:themeFillTint="33"/>
            <w:noWrap/>
            <w:vAlign w:val="bottom"/>
          </w:tcPr>
          <w:p w:rsidR="00B80E44" w:rsidRPr="00FA5B68" w:rsidRDefault="00B80E44" w:rsidP="00D908E7">
            <w:pPr>
              <w:keepNext/>
              <w:keepLines/>
              <w:jc w:val="right"/>
              <w:rPr>
                <w:rFonts w:eastAsia="Times New Roman"/>
                <w:color w:val="000000"/>
                <w:sz w:val="18"/>
                <w:szCs w:val="18"/>
                <w:lang w:eastAsia="en-US"/>
              </w:rPr>
            </w:pPr>
          </w:p>
        </w:tc>
      </w:tr>
    </w:tbl>
    <w:p w:rsidR="00AD6D24" w:rsidRPr="00755C05" w:rsidRDefault="00755C05" w:rsidP="00755C05">
      <w:pPr>
        <w:pStyle w:val="ListParagraph"/>
        <w:spacing w:before="60"/>
        <w:ind w:firstLine="414"/>
        <w:rPr>
          <w:i/>
          <w:sz w:val="16"/>
          <w:szCs w:val="16"/>
        </w:rPr>
      </w:pPr>
      <w:r>
        <w:rPr>
          <w:i/>
          <w:sz w:val="16"/>
          <w:szCs w:val="16"/>
        </w:rPr>
        <w:t xml:space="preserve">    </w:t>
      </w:r>
      <w:r w:rsidRPr="00755C05">
        <w:rPr>
          <w:i/>
          <w:sz w:val="16"/>
          <w:szCs w:val="16"/>
        </w:rPr>
        <w:t xml:space="preserve">*Core Cash includes the Special Projects Reserve  </w:t>
      </w:r>
    </w:p>
    <w:p w:rsidR="00AD6D24" w:rsidRDefault="00AD6D24" w:rsidP="00AD6D24"/>
    <w:p w:rsidR="00AD6D24" w:rsidRDefault="00A51A68" w:rsidP="00207BFD">
      <w:pPr>
        <w:keepNext/>
        <w:keepLines/>
        <w:numPr>
          <w:ilvl w:val="0"/>
          <w:numId w:val="31"/>
        </w:numPr>
        <w:tabs>
          <w:tab w:val="left" w:pos="567"/>
          <w:tab w:val="left" w:pos="5670"/>
        </w:tabs>
        <w:spacing w:after="220"/>
        <w:ind w:left="0" w:firstLine="0"/>
        <w:contextualSpacing/>
      </w:pPr>
      <w:r>
        <w:t xml:space="preserve">The reduction in cash from </w:t>
      </w:r>
      <w:r w:rsidR="00AD6D24">
        <w:t xml:space="preserve">December </w:t>
      </w:r>
      <w:r>
        <w:t xml:space="preserve">31, </w:t>
      </w:r>
      <w:r w:rsidR="00AD6D24">
        <w:t>2016 to April </w:t>
      </w:r>
      <w:r>
        <w:t xml:space="preserve">30, </w:t>
      </w:r>
      <w:r w:rsidR="00AD6D24">
        <w:t>2017, resulted from the implementation of the strategy to limit the impact of current negative Swiss franc interest rates, whereby WIPO prepaid the loan to the Cantonal banks in connection with the building construction pr</w:t>
      </w:r>
      <w:r w:rsidR="00835290">
        <w:t>ojects in the amount of CHF 82.1</w:t>
      </w:r>
      <w:r w:rsidR="00AD6D24">
        <w:t xml:space="preserve"> million. </w:t>
      </w:r>
      <w:r>
        <w:t xml:space="preserve"> </w:t>
      </w:r>
      <w:r w:rsidR="00AD6D24" w:rsidRPr="00207BFD">
        <w:t>The net cash inflow in 2017 has been sufficient to enable WIPO to absorb the repayment of the construction loan and still retain substantial liquidity available for cash requirements</w:t>
      </w:r>
      <w:r w:rsidR="00AD6D24">
        <w:t xml:space="preserve">.  </w:t>
      </w:r>
    </w:p>
    <w:p w:rsidR="00AD6D24" w:rsidRDefault="00AD6D24" w:rsidP="00207BFD">
      <w:pPr>
        <w:keepNext/>
        <w:keepLines/>
        <w:tabs>
          <w:tab w:val="left" w:pos="567"/>
          <w:tab w:val="left" w:pos="5670"/>
        </w:tabs>
        <w:spacing w:after="220"/>
        <w:contextualSpacing/>
      </w:pPr>
    </w:p>
    <w:p w:rsidR="00AD6D24" w:rsidRDefault="00AD6D24" w:rsidP="00207BFD">
      <w:pPr>
        <w:keepNext/>
        <w:keepLines/>
        <w:numPr>
          <w:ilvl w:val="0"/>
          <w:numId w:val="31"/>
        </w:numPr>
        <w:tabs>
          <w:tab w:val="left" w:pos="567"/>
          <w:tab w:val="left" w:pos="5670"/>
        </w:tabs>
        <w:spacing w:after="220"/>
        <w:ind w:left="0" w:firstLine="0"/>
        <w:contextualSpacing/>
      </w:pPr>
      <w:r w:rsidRPr="00207BFD">
        <w:t xml:space="preserve">In accordance with WIPO’s Investment Policy, the Core Cash balance will be invested in 2017 while ensuring that sufficient cash can be made available to meet contingencies should it be required.  In addition, WIPO's cash balances are replenished </w:t>
      </w:r>
      <w:r w:rsidR="00FF4980">
        <w:t xml:space="preserve">on an annual basis </w:t>
      </w:r>
      <w:r w:rsidR="00B80E44" w:rsidRPr="00207BFD">
        <w:t>with operating surpluses</w:t>
      </w:r>
      <w:r w:rsidRPr="00207BFD">
        <w:t>.  </w:t>
      </w:r>
      <w:r>
        <w:t xml:space="preserve"> </w:t>
      </w:r>
    </w:p>
    <w:p w:rsidR="00B80E44" w:rsidRDefault="00B80E44" w:rsidP="00AD6D24"/>
    <w:p w:rsidR="00FC3D79" w:rsidRDefault="00FC3D79" w:rsidP="00AD6D24"/>
    <w:p w:rsidR="00B80E44" w:rsidRPr="00B80E44" w:rsidRDefault="00AD6D24" w:rsidP="00AD6D24">
      <w:pPr>
        <w:rPr>
          <w:i/>
        </w:rPr>
      </w:pPr>
      <w:r w:rsidRPr="00B80E44">
        <w:rPr>
          <w:i/>
        </w:rPr>
        <w:t>Liquidity levels of the Reserves</w:t>
      </w:r>
    </w:p>
    <w:p w:rsidR="00B80E44" w:rsidRDefault="00B80E44" w:rsidP="00AD6D24"/>
    <w:p w:rsidR="00691105" w:rsidRDefault="00AD6D24" w:rsidP="00A30BF2">
      <w:pPr>
        <w:numPr>
          <w:ilvl w:val="0"/>
          <w:numId w:val="31"/>
        </w:numPr>
        <w:tabs>
          <w:tab w:val="left" w:pos="567"/>
          <w:tab w:val="left" w:pos="5670"/>
        </w:tabs>
        <w:spacing w:after="220"/>
        <w:ind w:left="0" w:firstLine="0"/>
        <w:contextualSpacing/>
      </w:pPr>
      <w:r>
        <w:t xml:space="preserve">The liquid portion of WIPO’s net assets has been defined as the excess of its current assets over its current liabilities after certain adjustments are made for elements included in current assets and liabilities based on IPSAS requirements.  </w:t>
      </w:r>
      <w:r w:rsidR="00691105">
        <w:t>The position of the liquid portion of the net assets as per th</w:t>
      </w:r>
      <w:r w:rsidR="00114EE8">
        <w:t>e Annual Financial Statements (u</w:t>
      </w:r>
      <w:r w:rsidR="00691105">
        <w:t xml:space="preserve">naudited for 2016) evolved from 88.4 million Swiss francs at the end of 2015 to 135.6 million Swiss francs at the end of 2016. </w:t>
      </w:r>
    </w:p>
    <w:p w:rsidR="00691105" w:rsidRDefault="00691105" w:rsidP="00A30BF2">
      <w:pPr>
        <w:tabs>
          <w:tab w:val="left" w:pos="567"/>
          <w:tab w:val="left" w:pos="5670"/>
        </w:tabs>
        <w:spacing w:after="220"/>
        <w:contextualSpacing/>
      </w:pPr>
    </w:p>
    <w:p w:rsidR="00114EE8" w:rsidRDefault="00114EE8" w:rsidP="00A30BF2">
      <w:pPr>
        <w:keepNext/>
        <w:keepLines/>
        <w:numPr>
          <w:ilvl w:val="0"/>
          <w:numId w:val="31"/>
        </w:numPr>
        <w:tabs>
          <w:tab w:val="left" w:pos="567"/>
          <w:tab w:val="left" w:pos="5670"/>
        </w:tabs>
        <w:spacing w:after="220"/>
        <w:ind w:left="0" w:firstLine="0"/>
        <w:contextualSpacing/>
      </w:pPr>
      <w:r>
        <w:lastRenderedPageBreak/>
        <w:t>Certain adjustments made for elements included in current assets and liabilities based on IPSAS requirements, resulting in an estimation of the liquid portion of the net assets, are as follows:</w:t>
      </w:r>
    </w:p>
    <w:p w:rsidR="00114EE8" w:rsidRDefault="00114EE8" w:rsidP="00A30BF2">
      <w:pPr>
        <w:pStyle w:val="ListParagraph"/>
        <w:keepNext/>
        <w:keepLines/>
        <w:numPr>
          <w:ilvl w:val="0"/>
          <w:numId w:val="32"/>
        </w:numPr>
        <w:tabs>
          <w:tab w:val="left" w:pos="567"/>
          <w:tab w:val="left" w:pos="5670"/>
        </w:tabs>
        <w:spacing w:after="220"/>
      </w:pPr>
      <w:r>
        <w:t xml:space="preserve">   The current asset inventories represent the value of publications printed but not distributed or sold.  Since most of this element will not result in the receipt of cash</w:t>
      </w:r>
      <w:r w:rsidR="00A51A68">
        <w:t>,</w:t>
      </w:r>
      <w:r>
        <w:t xml:space="preserve"> it is not included in </w:t>
      </w:r>
      <w:r w:rsidR="00A51A68">
        <w:t xml:space="preserve">the </w:t>
      </w:r>
      <w:r>
        <w:t xml:space="preserve">current assets for the purpose of the calculation of </w:t>
      </w:r>
      <w:r w:rsidR="00A51A68">
        <w:t xml:space="preserve">the </w:t>
      </w:r>
      <w:r>
        <w:t xml:space="preserve">net liquid balance.  </w:t>
      </w:r>
    </w:p>
    <w:p w:rsidR="00114EE8" w:rsidRDefault="00114EE8" w:rsidP="00251C01">
      <w:pPr>
        <w:pStyle w:val="ListParagraph"/>
        <w:tabs>
          <w:tab w:val="left" w:pos="567"/>
          <w:tab w:val="left" w:pos="5670"/>
        </w:tabs>
        <w:spacing w:after="220"/>
      </w:pPr>
    </w:p>
    <w:p w:rsidR="00114EE8" w:rsidRDefault="00114EE8" w:rsidP="00251C01">
      <w:pPr>
        <w:pStyle w:val="ListParagraph"/>
        <w:numPr>
          <w:ilvl w:val="0"/>
          <w:numId w:val="32"/>
        </w:numPr>
        <w:tabs>
          <w:tab w:val="left" w:pos="567"/>
          <w:tab w:val="left" w:pos="5670"/>
        </w:tabs>
        <w:spacing w:after="220"/>
      </w:pPr>
      <w:r>
        <w:t>Advance receipts, net of the current asset Accounts Receivable PCT, represent the portion of PCT and Madrid/the Hague fees already received by WIPO in cash but for which publication has not been completed.  In accordance with IPSAS, these funds are considered advance “unearned” receipts and are not reflected in revenue until the publication date.  However, unlike other liabilities, advance receipts represent deferred revenue already</w:t>
      </w:r>
      <w:r w:rsidRPr="00207BFD">
        <w:t xml:space="preserve"> received in </w:t>
      </w:r>
      <w:r>
        <w:t>cash</w:t>
      </w:r>
      <w:r w:rsidR="00A51A68">
        <w:t>,</w:t>
      </w:r>
      <w:r>
        <w:t xml:space="preserve"> which will form part of WIPO’s revenue and surplus within a period of 12 months or less.  Therefore, the cash portion of advance receipts are not considered an offset to WIPO’s liquid assets</w:t>
      </w:r>
      <w:r w:rsidR="00A51A68">
        <w:t>,</w:t>
      </w:r>
      <w:r>
        <w:t xml:space="preserve"> since they do not result in any outflow of cash resources.  </w:t>
      </w:r>
    </w:p>
    <w:tbl>
      <w:tblPr>
        <w:tblW w:w="8601" w:type="dxa"/>
        <w:jc w:val="center"/>
        <w:tblInd w:w="-772" w:type="dxa"/>
        <w:tblLook w:val="04A0" w:firstRow="1" w:lastRow="0" w:firstColumn="1" w:lastColumn="0" w:noHBand="0" w:noVBand="1"/>
      </w:tblPr>
      <w:tblGrid>
        <w:gridCol w:w="8601"/>
      </w:tblGrid>
      <w:tr w:rsidR="00E413D0" w:rsidRPr="00FA5B68" w:rsidTr="00E413D0">
        <w:trPr>
          <w:trHeight w:val="255"/>
          <w:jc w:val="center"/>
        </w:trPr>
        <w:tc>
          <w:tcPr>
            <w:tcW w:w="8601" w:type="dxa"/>
            <w:shd w:val="clear" w:color="auto" w:fill="C6D9F1" w:themeFill="text2" w:themeFillTint="33"/>
            <w:noWrap/>
            <w:vAlign w:val="center"/>
          </w:tcPr>
          <w:p w:rsidR="00E413D0" w:rsidRDefault="00E413D0" w:rsidP="00251C01">
            <w:pPr>
              <w:keepNext/>
              <w:keepLines/>
              <w:jc w:val="center"/>
            </w:pPr>
            <w:r>
              <w:t xml:space="preserve">Table 7: Evolution of Net Liquid Reserves  </w:t>
            </w:r>
          </w:p>
          <w:p w:rsidR="00E413D0" w:rsidRPr="00FA5B68" w:rsidRDefault="00E413D0" w:rsidP="00251C01">
            <w:pPr>
              <w:keepNext/>
              <w:keepLines/>
              <w:jc w:val="center"/>
              <w:rPr>
                <w:rFonts w:asciiTheme="minorHAnsi" w:eastAsia="Times New Roman" w:hAnsiTheme="minorHAnsi" w:cstheme="minorHAnsi"/>
                <w:i/>
                <w:color w:val="000000"/>
                <w:sz w:val="18"/>
                <w:szCs w:val="18"/>
                <w:lang w:eastAsia="en-US"/>
              </w:rPr>
            </w:pPr>
            <w:r>
              <w:rPr>
                <w:rFonts w:asciiTheme="minorHAnsi" w:eastAsia="Times New Roman" w:hAnsiTheme="minorHAnsi" w:cstheme="minorHAnsi"/>
                <w:i/>
                <w:color w:val="000000"/>
                <w:sz w:val="18"/>
                <w:szCs w:val="18"/>
                <w:lang w:eastAsia="en-US"/>
              </w:rPr>
              <w:t>(in millions</w:t>
            </w:r>
            <w:r w:rsidRPr="00BF5E2E">
              <w:rPr>
                <w:rFonts w:asciiTheme="minorHAnsi" w:eastAsia="Times New Roman" w:hAnsiTheme="minorHAnsi" w:cstheme="minorHAnsi"/>
                <w:i/>
                <w:color w:val="000000"/>
                <w:sz w:val="18"/>
                <w:szCs w:val="18"/>
                <w:lang w:eastAsia="en-US"/>
              </w:rPr>
              <w:t xml:space="preserve"> of Swiss francs)</w:t>
            </w:r>
          </w:p>
        </w:tc>
      </w:tr>
    </w:tbl>
    <w:p w:rsidR="00B80E44" w:rsidRPr="00E413D0" w:rsidRDefault="00B80E44" w:rsidP="00251C01">
      <w:pPr>
        <w:keepNext/>
        <w:keepLines/>
        <w:rPr>
          <w:sz w:val="8"/>
          <w:szCs w:val="8"/>
        </w:rPr>
      </w:pPr>
    </w:p>
    <w:tbl>
      <w:tblPr>
        <w:tblW w:w="8568" w:type="dxa"/>
        <w:jc w:val="center"/>
        <w:tblInd w:w="721" w:type="dxa"/>
        <w:tblLook w:val="04A0" w:firstRow="1" w:lastRow="0" w:firstColumn="1" w:lastColumn="0" w:noHBand="0" w:noVBand="1"/>
      </w:tblPr>
      <w:tblGrid>
        <w:gridCol w:w="3576"/>
        <w:gridCol w:w="1134"/>
        <w:gridCol w:w="1417"/>
        <w:gridCol w:w="1070"/>
        <w:gridCol w:w="1371"/>
      </w:tblGrid>
      <w:tr w:rsidR="00F97C5F" w:rsidRPr="00CC305C" w:rsidTr="00691105">
        <w:trPr>
          <w:trHeight w:val="255"/>
          <w:jc w:val="center"/>
        </w:trPr>
        <w:tc>
          <w:tcPr>
            <w:tcW w:w="3576" w:type="dxa"/>
            <w:shd w:val="clear" w:color="auto" w:fill="C6D9F1" w:themeFill="text2" w:themeFillTint="33"/>
            <w:noWrap/>
            <w:tcMar>
              <w:top w:w="57" w:type="dxa"/>
              <w:bottom w:w="57" w:type="dxa"/>
            </w:tcMar>
            <w:vAlign w:val="bottom"/>
            <w:hideMark/>
          </w:tcPr>
          <w:p w:rsidR="00F97C5F" w:rsidRPr="00CE28C2" w:rsidRDefault="00F97C5F" w:rsidP="00251C01">
            <w:pPr>
              <w:keepNext/>
              <w:keepLines/>
              <w:rPr>
                <w:rFonts w:eastAsia="Times New Roman"/>
                <w:color w:val="000000"/>
                <w:sz w:val="18"/>
                <w:szCs w:val="18"/>
                <w:lang w:eastAsia="en-US"/>
              </w:rPr>
            </w:pPr>
          </w:p>
        </w:tc>
        <w:tc>
          <w:tcPr>
            <w:tcW w:w="1134" w:type="dxa"/>
            <w:shd w:val="clear" w:color="auto" w:fill="C6D9F1" w:themeFill="text2" w:themeFillTint="33"/>
            <w:noWrap/>
            <w:tcMar>
              <w:top w:w="57" w:type="dxa"/>
              <w:bottom w:w="57" w:type="dxa"/>
            </w:tcMar>
            <w:vAlign w:val="center"/>
            <w:hideMark/>
          </w:tcPr>
          <w:p w:rsidR="00F97C5F" w:rsidRPr="00CE28C2" w:rsidRDefault="00F97C5F" w:rsidP="00251C01">
            <w:pPr>
              <w:keepNext/>
              <w:keepLines/>
              <w:jc w:val="center"/>
              <w:rPr>
                <w:rFonts w:eastAsia="Times New Roman"/>
                <w:color w:val="000000"/>
                <w:sz w:val="18"/>
                <w:szCs w:val="18"/>
                <w:lang w:eastAsia="en-US"/>
              </w:rPr>
            </w:pPr>
            <w:r w:rsidRPr="00CE28C2">
              <w:rPr>
                <w:rFonts w:eastAsia="Times New Roman"/>
                <w:color w:val="000000"/>
                <w:sz w:val="18"/>
                <w:szCs w:val="18"/>
                <w:lang w:eastAsia="en-US"/>
              </w:rPr>
              <w:t>Dec 31</w:t>
            </w:r>
            <w:r w:rsidR="00E46337">
              <w:rPr>
                <w:rFonts w:eastAsia="Times New Roman"/>
                <w:color w:val="000000"/>
                <w:sz w:val="18"/>
                <w:szCs w:val="18"/>
                <w:lang w:eastAsia="en-US"/>
              </w:rPr>
              <w:t>,</w:t>
            </w:r>
            <w:r w:rsidRPr="00CE28C2">
              <w:rPr>
                <w:rFonts w:eastAsia="Times New Roman"/>
                <w:color w:val="000000"/>
                <w:sz w:val="18"/>
                <w:szCs w:val="18"/>
                <w:lang w:eastAsia="en-US"/>
              </w:rPr>
              <w:t xml:space="preserve"> 2016</w:t>
            </w:r>
          </w:p>
        </w:tc>
        <w:tc>
          <w:tcPr>
            <w:tcW w:w="1417" w:type="dxa"/>
            <w:shd w:val="clear" w:color="auto" w:fill="C6D9F1" w:themeFill="text2" w:themeFillTint="33"/>
            <w:vAlign w:val="center"/>
          </w:tcPr>
          <w:p w:rsidR="00F97C5F" w:rsidRDefault="00F97C5F" w:rsidP="00251C01">
            <w:pPr>
              <w:keepNext/>
              <w:keepLines/>
              <w:jc w:val="center"/>
              <w:rPr>
                <w:rFonts w:eastAsia="Times New Roman"/>
                <w:color w:val="000000"/>
                <w:sz w:val="18"/>
                <w:szCs w:val="18"/>
                <w:lang w:eastAsia="en-US"/>
              </w:rPr>
            </w:pPr>
            <w:r>
              <w:rPr>
                <w:rFonts w:eastAsia="Times New Roman"/>
                <w:color w:val="000000"/>
                <w:sz w:val="18"/>
                <w:szCs w:val="18"/>
                <w:lang w:eastAsia="en-US"/>
              </w:rPr>
              <w:t xml:space="preserve">Position after adjustments </w:t>
            </w:r>
          </w:p>
          <w:p w:rsidR="00F97C5F" w:rsidRPr="00CE28C2" w:rsidRDefault="00F97C5F" w:rsidP="00251C01">
            <w:pPr>
              <w:keepNext/>
              <w:keepLines/>
              <w:jc w:val="center"/>
              <w:rPr>
                <w:rFonts w:eastAsia="Times New Roman"/>
                <w:color w:val="000000"/>
                <w:sz w:val="18"/>
                <w:szCs w:val="18"/>
                <w:lang w:eastAsia="en-US"/>
              </w:rPr>
            </w:pPr>
            <w:r>
              <w:rPr>
                <w:rFonts w:eastAsia="Times New Roman"/>
                <w:color w:val="000000"/>
                <w:sz w:val="18"/>
                <w:szCs w:val="18"/>
                <w:lang w:eastAsia="en-US"/>
              </w:rPr>
              <w:t>Dec 31, 2016</w:t>
            </w:r>
          </w:p>
        </w:tc>
        <w:tc>
          <w:tcPr>
            <w:tcW w:w="1070" w:type="dxa"/>
            <w:shd w:val="clear" w:color="auto" w:fill="C6D9F1" w:themeFill="text2" w:themeFillTint="33"/>
            <w:vAlign w:val="center"/>
          </w:tcPr>
          <w:p w:rsidR="00F97C5F" w:rsidRPr="00CE28C2" w:rsidRDefault="00F97C5F" w:rsidP="00251C01">
            <w:pPr>
              <w:keepNext/>
              <w:keepLines/>
              <w:jc w:val="center"/>
              <w:rPr>
                <w:rFonts w:eastAsia="Times New Roman"/>
                <w:color w:val="000000"/>
                <w:sz w:val="18"/>
                <w:szCs w:val="18"/>
                <w:lang w:eastAsia="en-US"/>
              </w:rPr>
            </w:pPr>
            <w:r w:rsidRPr="00CE28C2">
              <w:rPr>
                <w:rFonts w:eastAsia="Times New Roman"/>
                <w:color w:val="000000"/>
                <w:sz w:val="18"/>
                <w:szCs w:val="18"/>
                <w:lang w:eastAsia="en-US"/>
              </w:rPr>
              <w:t>Dec 31</w:t>
            </w:r>
            <w:r w:rsidR="00E46337">
              <w:rPr>
                <w:rFonts w:eastAsia="Times New Roman"/>
                <w:color w:val="000000"/>
                <w:sz w:val="18"/>
                <w:szCs w:val="18"/>
                <w:lang w:eastAsia="en-US"/>
              </w:rPr>
              <w:t>,</w:t>
            </w:r>
            <w:r w:rsidRPr="00CE28C2">
              <w:rPr>
                <w:rFonts w:eastAsia="Times New Roman"/>
                <w:color w:val="000000"/>
                <w:sz w:val="18"/>
                <w:szCs w:val="18"/>
                <w:lang w:eastAsia="en-US"/>
              </w:rPr>
              <w:t xml:space="preserve"> 2015</w:t>
            </w:r>
          </w:p>
        </w:tc>
        <w:tc>
          <w:tcPr>
            <w:tcW w:w="1371" w:type="dxa"/>
            <w:shd w:val="clear" w:color="auto" w:fill="C6D9F1" w:themeFill="text2" w:themeFillTint="33"/>
            <w:vAlign w:val="center"/>
          </w:tcPr>
          <w:p w:rsidR="00F97C5F" w:rsidRDefault="00F97C5F" w:rsidP="00251C01">
            <w:pPr>
              <w:keepNext/>
              <w:keepLines/>
              <w:jc w:val="center"/>
              <w:rPr>
                <w:rFonts w:eastAsia="Times New Roman"/>
                <w:color w:val="000000"/>
                <w:sz w:val="18"/>
                <w:szCs w:val="18"/>
                <w:lang w:eastAsia="en-US"/>
              </w:rPr>
            </w:pPr>
            <w:r>
              <w:rPr>
                <w:rFonts w:eastAsia="Times New Roman"/>
                <w:color w:val="000000"/>
                <w:sz w:val="18"/>
                <w:szCs w:val="18"/>
                <w:lang w:eastAsia="en-US"/>
              </w:rPr>
              <w:t xml:space="preserve">Position after adjustments </w:t>
            </w:r>
          </w:p>
          <w:p w:rsidR="00F97C5F" w:rsidRPr="00CE28C2" w:rsidRDefault="00F97C5F" w:rsidP="00251C01">
            <w:pPr>
              <w:keepNext/>
              <w:keepLines/>
              <w:jc w:val="center"/>
              <w:rPr>
                <w:rFonts w:eastAsia="Times New Roman"/>
                <w:color w:val="000000"/>
                <w:sz w:val="18"/>
                <w:szCs w:val="18"/>
                <w:lang w:eastAsia="en-US"/>
              </w:rPr>
            </w:pPr>
            <w:r>
              <w:rPr>
                <w:rFonts w:eastAsia="Times New Roman"/>
                <w:color w:val="000000"/>
                <w:sz w:val="18"/>
                <w:szCs w:val="18"/>
                <w:lang w:eastAsia="en-US"/>
              </w:rPr>
              <w:t>Dec 31, 2015</w:t>
            </w:r>
          </w:p>
        </w:tc>
      </w:tr>
      <w:tr w:rsidR="00F97C5F" w:rsidRPr="00CC305C" w:rsidTr="00691105">
        <w:trPr>
          <w:trHeight w:val="255"/>
          <w:jc w:val="center"/>
        </w:trPr>
        <w:tc>
          <w:tcPr>
            <w:tcW w:w="3576" w:type="dxa"/>
            <w:shd w:val="clear" w:color="auto" w:fill="auto"/>
            <w:noWrap/>
            <w:tcMar>
              <w:top w:w="57" w:type="dxa"/>
              <w:bottom w:w="57" w:type="dxa"/>
            </w:tcMar>
            <w:vAlign w:val="center"/>
            <w:hideMark/>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Current Assets</w:t>
            </w:r>
          </w:p>
        </w:tc>
        <w:tc>
          <w:tcPr>
            <w:tcW w:w="1134" w:type="dxa"/>
            <w:shd w:val="clear" w:color="auto" w:fill="auto"/>
            <w:noWrap/>
            <w:tcMar>
              <w:top w:w="57" w:type="dxa"/>
              <w:bottom w:w="57" w:type="dxa"/>
            </w:tcMar>
            <w:vAlign w:val="center"/>
            <w:hideMark/>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604.4</w:t>
            </w:r>
          </w:p>
        </w:tc>
        <w:tc>
          <w:tcPr>
            <w:tcW w:w="1417"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070"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544.9</w:t>
            </w:r>
          </w:p>
        </w:tc>
        <w:tc>
          <w:tcPr>
            <w:tcW w:w="1371" w:type="dxa"/>
            <w:vAlign w:val="center"/>
          </w:tcPr>
          <w:p w:rsidR="00F97C5F" w:rsidRPr="00E413D0" w:rsidRDefault="00F97C5F" w:rsidP="00251C01">
            <w:pPr>
              <w:keepNext/>
              <w:keepLines/>
              <w:jc w:val="right"/>
              <w:rPr>
                <w:rFonts w:eastAsia="Times New Roman"/>
                <w:color w:val="000000"/>
                <w:sz w:val="18"/>
                <w:szCs w:val="18"/>
                <w:lang w:eastAsia="en-US"/>
              </w:rPr>
            </w:pP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ab/>
              <w:t>Accounts Receivable PCT</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(46.0)</w:t>
            </w:r>
          </w:p>
        </w:tc>
        <w:tc>
          <w:tcPr>
            <w:tcW w:w="1070"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371"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(36.5)</w:t>
            </w: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ab/>
              <w:t>Adjustment for inventories</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(1.5)</w:t>
            </w:r>
          </w:p>
        </w:tc>
        <w:tc>
          <w:tcPr>
            <w:tcW w:w="1070"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371"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(1.6)</w:t>
            </w: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Net liquid current assets</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556.9</w:t>
            </w:r>
          </w:p>
        </w:tc>
        <w:tc>
          <w:tcPr>
            <w:tcW w:w="1070"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371"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506.8</w:t>
            </w: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Current Liabilities</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468.8</w:t>
            </w:r>
          </w:p>
        </w:tc>
        <w:tc>
          <w:tcPr>
            <w:tcW w:w="1417"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070"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456.5</w:t>
            </w:r>
          </w:p>
        </w:tc>
        <w:tc>
          <w:tcPr>
            <w:tcW w:w="1371"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ab/>
              <w:t>Adjustment for advance receipts</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(269.6)</w:t>
            </w:r>
          </w:p>
        </w:tc>
        <w:tc>
          <w:tcPr>
            <w:tcW w:w="1070"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371" w:type="dxa"/>
            <w:vAlign w:val="center"/>
          </w:tcPr>
          <w:p w:rsidR="00F97C5F" w:rsidRPr="00E413D0" w:rsidRDefault="00F97C5F" w:rsidP="00251C01">
            <w:pPr>
              <w:keepNext/>
              <w:keepLines/>
              <w:jc w:val="right"/>
              <w:rPr>
                <w:rFonts w:eastAsia="Times New Roman"/>
                <w:color w:val="000000"/>
                <w:sz w:val="18"/>
                <w:szCs w:val="18"/>
                <w:u w:val="single"/>
                <w:lang w:eastAsia="en-US"/>
              </w:rPr>
            </w:pPr>
            <w:r w:rsidRPr="00E413D0">
              <w:rPr>
                <w:rFonts w:eastAsia="Times New Roman"/>
                <w:color w:val="000000"/>
                <w:sz w:val="18"/>
                <w:szCs w:val="18"/>
                <w:u w:val="single"/>
                <w:lang w:eastAsia="en-US"/>
              </w:rPr>
              <w:t>(249.4)</w:t>
            </w: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Net liquid current liabilities</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199.2</w:t>
            </w:r>
          </w:p>
        </w:tc>
        <w:tc>
          <w:tcPr>
            <w:tcW w:w="1070" w:type="dxa"/>
            <w:vAlign w:val="center"/>
          </w:tcPr>
          <w:p w:rsidR="00F97C5F" w:rsidRPr="00E413D0" w:rsidRDefault="00F97C5F" w:rsidP="00251C01">
            <w:pPr>
              <w:keepNext/>
              <w:keepLines/>
              <w:jc w:val="right"/>
              <w:rPr>
                <w:rFonts w:eastAsia="Times New Roman"/>
                <w:color w:val="000000"/>
                <w:sz w:val="18"/>
                <w:szCs w:val="18"/>
                <w:u w:val="single"/>
                <w:lang w:eastAsia="en-US"/>
              </w:rPr>
            </w:pPr>
          </w:p>
        </w:tc>
        <w:tc>
          <w:tcPr>
            <w:tcW w:w="1371"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207.1</w:t>
            </w:r>
          </w:p>
        </w:tc>
      </w:tr>
      <w:tr w:rsidR="005235F9" w:rsidRPr="00CC305C" w:rsidTr="00691105">
        <w:trPr>
          <w:trHeight w:val="255"/>
          <w:jc w:val="center"/>
        </w:trPr>
        <w:tc>
          <w:tcPr>
            <w:tcW w:w="3576" w:type="dxa"/>
            <w:shd w:val="clear" w:color="auto" w:fill="auto"/>
            <w:noWrap/>
            <w:tcMar>
              <w:top w:w="57" w:type="dxa"/>
              <w:bottom w:w="57" w:type="dxa"/>
            </w:tcMar>
            <w:vAlign w:val="center"/>
          </w:tcPr>
          <w:p w:rsidR="005235F9" w:rsidRPr="00E413D0" w:rsidRDefault="005235F9" w:rsidP="00251C01">
            <w:pPr>
              <w:keepNext/>
              <w:keepLines/>
              <w:rPr>
                <w:rFonts w:eastAsia="Times New Roman"/>
                <w:color w:val="000000"/>
                <w:sz w:val="18"/>
                <w:szCs w:val="18"/>
                <w:lang w:eastAsia="en-US"/>
              </w:rPr>
            </w:pPr>
            <w:r>
              <w:rPr>
                <w:rFonts w:eastAsia="Times New Roman"/>
                <w:color w:val="000000"/>
                <w:sz w:val="18"/>
                <w:szCs w:val="18"/>
                <w:lang w:eastAsia="en-US"/>
              </w:rPr>
              <w:t>Net current assets*</w:t>
            </w:r>
          </w:p>
        </w:tc>
        <w:tc>
          <w:tcPr>
            <w:tcW w:w="1134" w:type="dxa"/>
            <w:shd w:val="clear" w:color="auto" w:fill="auto"/>
            <w:noWrap/>
            <w:tcMar>
              <w:top w:w="57" w:type="dxa"/>
              <w:bottom w:w="57" w:type="dxa"/>
            </w:tcMar>
            <w:vAlign w:val="center"/>
          </w:tcPr>
          <w:p w:rsidR="005235F9" w:rsidRPr="00E413D0" w:rsidRDefault="005235F9" w:rsidP="00251C01">
            <w:pPr>
              <w:keepNext/>
              <w:keepLines/>
              <w:jc w:val="right"/>
              <w:rPr>
                <w:rFonts w:eastAsia="Times New Roman"/>
                <w:color w:val="000000"/>
                <w:sz w:val="18"/>
                <w:szCs w:val="18"/>
                <w:lang w:eastAsia="en-US"/>
              </w:rPr>
            </w:pPr>
            <w:r>
              <w:rPr>
                <w:rFonts w:eastAsia="Times New Roman"/>
                <w:color w:val="000000"/>
                <w:sz w:val="18"/>
                <w:szCs w:val="18"/>
                <w:lang w:eastAsia="en-US"/>
              </w:rPr>
              <w:t>135.6</w:t>
            </w:r>
          </w:p>
        </w:tc>
        <w:tc>
          <w:tcPr>
            <w:tcW w:w="1417" w:type="dxa"/>
            <w:vAlign w:val="center"/>
          </w:tcPr>
          <w:p w:rsidR="005235F9" w:rsidRPr="00E413D0" w:rsidRDefault="005235F9" w:rsidP="00251C01">
            <w:pPr>
              <w:keepNext/>
              <w:keepLines/>
              <w:jc w:val="right"/>
              <w:rPr>
                <w:rFonts w:eastAsia="Times New Roman"/>
                <w:color w:val="000000"/>
                <w:sz w:val="18"/>
                <w:szCs w:val="18"/>
                <w:lang w:eastAsia="en-US"/>
              </w:rPr>
            </w:pPr>
          </w:p>
        </w:tc>
        <w:tc>
          <w:tcPr>
            <w:tcW w:w="1070" w:type="dxa"/>
            <w:vAlign w:val="center"/>
          </w:tcPr>
          <w:p w:rsidR="005235F9" w:rsidRPr="00E413D0" w:rsidRDefault="005235F9" w:rsidP="00251C01">
            <w:pPr>
              <w:keepNext/>
              <w:keepLines/>
              <w:jc w:val="right"/>
              <w:rPr>
                <w:rFonts w:eastAsia="Times New Roman"/>
                <w:color w:val="000000"/>
                <w:sz w:val="18"/>
                <w:szCs w:val="18"/>
                <w:lang w:eastAsia="en-US"/>
              </w:rPr>
            </w:pPr>
            <w:r>
              <w:rPr>
                <w:rFonts w:eastAsia="Times New Roman"/>
                <w:color w:val="000000"/>
                <w:sz w:val="18"/>
                <w:szCs w:val="18"/>
                <w:lang w:eastAsia="en-US"/>
              </w:rPr>
              <w:t>88.4</w:t>
            </w:r>
          </w:p>
        </w:tc>
        <w:tc>
          <w:tcPr>
            <w:tcW w:w="1371" w:type="dxa"/>
            <w:vAlign w:val="center"/>
          </w:tcPr>
          <w:p w:rsidR="005235F9" w:rsidRDefault="005235F9" w:rsidP="00251C01">
            <w:pPr>
              <w:keepNext/>
              <w:keepLines/>
              <w:jc w:val="right"/>
              <w:rPr>
                <w:rFonts w:eastAsia="Times New Roman"/>
                <w:color w:val="000000"/>
                <w:sz w:val="18"/>
                <w:szCs w:val="18"/>
                <w:lang w:eastAsia="en-US"/>
              </w:rPr>
            </w:pPr>
          </w:p>
        </w:tc>
      </w:tr>
      <w:tr w:rsidR="00F97C5F" w:rsidRPr="00CC305C" w:rsidTr="00691105">
        <w:trPr>
          <w:trHeight w:val="255"/>
          <w:jc w:val="center"/>
        </w:trPr>
        <w:tc>
          <w:tcPr>
            <w:tcW w:w="3576" w:type="dxa"/>
            <w:shd w:val="clear" w:color="auto" w:fill="auto"/>
            <w:noWrap/>
            <w:tcMar>
              <w:top w:w="57" w:type="dxa"/>
              <w:bottom w:w="57" w:type="dxa"/>
            </w:tcMar>
            <w:vAlign w:val="center"/>
          </w:tcPr>
          <w:p w:rsidR="00F97C5F" w:rsidRPr="00E413D0" w:rsidRDefault="00F97C5F" w:rsidP="00251C01">
            <w:pPr>
              <w:keepNext/>
              <w:keepLines/>
              <w:rPr>
                <w:rFonts w:eastAsia="Times New Roman"/>
                <w:color w:val="000000"/>
                <w:sz w:val="18"/>
                <w:szCs w:val="18"/>
                <w:lang w:eastAsia="en-US"/>
              </w:rPr>
            </w:pPr>
            <w:r w:rsidRPr="00E413D0">
              <w:rPr>
                <w:rFonts w:eastAsia="Times New Roman"/>
                <w:color w:val="000000"/>
                <w:sz w:val="18"/>
                <w:szCs w:val="18"/>
                <w:lang w:eastAsia="en-US"/>
              </w:rPr>
              <w:t xml:space="preserve">Liquid portion of net assets </w:t>
            </w:r>
          </w:p>
        </w:tc>
        <w:tc>
          <w:tcPr>
            <w:tcW w:w="1134" w:type="dxa"/>
            <w:shd w:val="clear" w:color="auto" w:fill="auto"/>
            <w:noWrap/>
            <w:tcMar>
              <w:top w:w="57" w:type="dxa"/>
              <w:bottom w:w="57" w:type="dxa"/>
            </w:tcMar>
            <w:vAlign w:val="center"/>
          </w:tcPr>
          <w:p w:rsidR="00F97C5F" w:rsidRPr="00E413D0" w:rsidRDefault="00F97C5F" w:rsidP="00251C01">
            <w:pPr>
              <w:keepNext/>
              <w:keepLines/>
              <w:jc w:val="right"/>
              <w:rPr>
                <w:rFonts w:eastAsia="Times New Roman"/>
                <w:color w:val="000000"/>
                <w:sz w:val="18"/>
                <w:szCs w:val="18"/>
                <w:lang w:eastAsia="en-US"/>
              </w:rPr>
            </w:pPr>
          </w:p>
        </w:tc>
        <w:tc>
          <w:tcPr>
            <w:tcW w:w="1417" w:type="dxa"/>
            <w:vAlign w:val="center"/>
          </w:tcPr>
          <w:p w:rsidR="00F97C5F" w:rsidRPr="00E413D0" w:rsidRDefault="00F97C5F" w:rsidP="00251C01">
            <w:pPr>
              <w:keepNext/>
              <w:keepLines/>
              <w:jc w:val="right"/>
              <w:rPr>
                <w:rFonts w:eastAsia="Times New Roman"/>
                <w:color w:val="000000"/>
                <w:sz w:val="18"/>
                <w:szCs w:val="18"/>
                <w:lang w:eastAsia="en-US"/>
              </w:rPr>
            </w:pPr>
            <w:r w:rsidRPr="00E413D0">
              <w:rPr>
                <w:rFonts w:eastAsia="Times New Roman"/>
                <w:color w:val="000000"/>
                <w:sz w:val="18"/>
                <w:szCs w:val="18"/>
                <w:lang w:eastAsia="en-US"/>
              </w:rPr>
              <w:t>357.7</w:t>
            </w:r>
          </w:p>
        </w:tc>
        <w:tc>
          <w:tcPr>
            <w:tcW w:w="1070" w:type="dxa"/>
            <w:vAlign w:val="center"/>
          </w:tcPr>
          <w:p w:rsidR="00F97C5F" w:rsidRPr="00E413D0" w:rsidRDefault="00F97C5F" w:rsidP="00251C01">
            <w:pPr>
              <w:keepNext/>
              <w:keepLines/>
              <w:jc w:val="right"/>
              <w:rPr>
                <w:rFonts w:eastAsia="Times New Roman"/>
                <w:color w:val="000000"/>
                <w:sz w:val="18"/>
                <w:szCs w:val="18"/>
                <w:lang w:eastAsia="en-US"/>
              </w:rPr>
            </w:pPr>
          </w:p>
        </w:tc>
        <w:tc>
          <w:tcPr>
            <w:tcW w:w="1371" w:type="dxa"/>
            <w:vAlign w:val="center"/>
          </w:tcPr>
          <w:p w:rsidR="00F97C5F" w:rsidRPr="00E413D0" w:rsidRDefault="00E413D0" w:rsidP="00251C01">
            <w:pPr>
              <w:keepNext/>
              <w:keepLines/>
              <w:jc w:val="right"/>
              <w:rPr>
                <w:rFonts w:eastAsia="Times New Roman"/>
                <w:color w:val="000000"/>
                <w:sz w:val="18"/>
                <w:szCs w:val="18"/>
                <w:lang w:eastAsia="en-US"/>
              </w:rPr>
            </w:pPr>
            <w:r>
              <w:rPr>
                <w:rFonts w:eastAsia="Times New Roman"/>
                <w:color w:val="000000"/>
                <w:sz w:val="18"/>
                <w:szCs w:val="18"/>
                <w:lang w:eastAsia="en-US"/>
              </w:rPr>
              <w:t>29</w:t>
            </w:r>
            <w:r w:rsidR="00F97C5F" w:rsidRPr="00E413D0">
              <w:rPr>
                <w:rFonts w:eastAsia="Times New Roman"/>
                <w:color w:val="000000"/>
                <w:sz w:val="18"/>
                <w:szCs w:val="18"/>
                <w:lang w:eastAsia="en-US"/>
              </w:rPr>
              <w:t>9.7</w:t>
            </w:r>
          </w:p>
        </w:tc>
      </w:tr>
      <w:tr w:rsidR="00F97C5F" w:rsidRPr="00CC305C" w:rsidTr="00691105">
        <w:trPr>
          <w:trHeight w:val="139"/>
          <w:jc w:val="center"/>
        </w:trPr>
        <w:tc>
          <w:tcPr>
            <w:tcW w:w="3576" w:type="dxa"/>
            <w:shd w:val="clear" w:color="auto" w:fill="C6D9F1" w:themeFill="text2" w:themeFillTint="33"/>
            <w:noWrap/>
            <w:tcMar>
              <w:top w:w="57" w:type="dxa"/>
              <w:bottom w:w="57" w:type="dxa"/>
            </w:tcMar>
            <w:vAlign w:val="bottom"/>
          </w:tcPr>
          <w:p w:rsidR="00F97C5F" w:rsidRPr="00CC305C" w:rsidRDefault="00F97C5F" w:rsidP="00251C01">
            <w:pPr>
              <w:keepNext/>
              <w:keepLines/>
              <w:rPr>
                <w:rFonts w:eastAsia="Times New Roman"/>
                <w:color w:val="000000"/>
                <w:sz w:val="20"/>
                <w:lang w:eastAsia="en-US"/>
              </w:rPr>
            </w:pPr>
          </w:p>
        </w:tc>
        <w:tc>
          <w:tcPr>
            <w:tcW w:w="1134" w:type="dxa"/>
            <w:shd w:val="clear" w:color="auto" w:fill="C6D9F1" w:themeFill="text2" w:themeFillTint="33"/>
            <w:noWrap/>
            <w:tcMar>
              <w:top w:w="57" w:type="dxa"/>
              <w:bottom w:w="57" w:type="dxa"/>
            </w:tcMar>
            <w:vAlign w:val="bottom"/>
          </w:tcPr>
          <w:p w:rsidR="00F97C5F" w:rsidRPr="00CC305C" w:rsidRDefault="00F97C5F" w:rsidP="00251C01">
            <w:pPr>
              <w:keepNext/>
              <w:keepLines/>
              <w:jc w:val="right"/>
              <w:rPr>
                <w:rFonts w:eastAsia="Times New Roman"/>
                <w:color w:val="000000"/>
                <w:sz w:val="20"/>
                <w:lang w:eastAsia="en-US"/>
              </w:rPr>
            </w:pPr>
          </w:p>
        </w:tc>
        <w:tc>
          <w:tcPr>
            <w:tcW w:w="1417" w:type="dxa"/>
            <w:shd w:val="clear" w:color="auto" w:fill="C6D9F1" w:themeFill="text2" w:themeFillTint="33"/>
          </w:tcPr>
          <w:p w:rsidR="00F97C5F" w:rsidRPr="00E413D0" w:rsidRDefault="00F97C5F" w:rsidP="00251C01">
            <w:pPr>
              <w:keepNext/>
              <w:keepLines/>
              <w:jc w:val="right"/>
              <w:rPr>
                <w:rFonts w:eastAsia="Times New Roman"/>
                <w:color w:val="000000"/>
                <w:sz w:val="16"/>
                <w:szCs w:val="16"/>
                <w:lang w:eastAsia="en-US"/>
              </w:rPr>
            </w:pPr>
          </w:p>
        </w:tc>
        <w:tc>
          <w:tcPr>
            <w:tcW w:w="1070" w:type="dxa"/>
            <w:shd w:val="clear" w:color="auto" w:fill="C6D9F1" w:themeFill="text2" w:themeFillTint="33"/>
            <w:vAlign w:val="bottom"/>
          </w:tcPr>
          <w:p w:rsidR="00F97C5F" w:rsidRPr="0092207D" w:rsidRDefault="00F97C5F" w:rsidP="00251C01">
            <w:pPr>
              <w:keepNext/>
              <w:keepLines/>
              <w:jc w:val="right"/>
              <w:rPr>
                <w:rFonts w:eastAsia="Times New Roman"/>
                <w:color w:val="000000"/>
                <w:sz w:val="20"/>
                <w:lang w:eastAsia="en-US"/>
              </w:rPr>
            </w:pPr>
          </w:p>
        </w:tc>
        <w:tc>
          <w:tcPr>
            <w:tcW w:w="1371" w:type="dxa"/>
            <w:shd w:val="clear" w:color="auto" w:fill="C6D9F1" w:themeFill="text2" w:themeFillTint="33"/>
          </w:tcPr>
          <w:p w:rsidR="00F97C5F" w:rsidRPr="0092207D" w:rsidRDefault="00F97C5F" w:rsidP="00251C01">
            <w:pPr>
              <w:keepNext/>
              <w:keepLines/>
              <w:jc w:val="right"/>
              <w:rPr>
                <w:rFonts w:eastAsia="Times New Roman"/>
                <w:color w:val="000000"/>
                <w:sz w:val="20"/>
                <w:lang w:eastAsia="en-US"/>
              </w:rPr>
            </w:pPr>
          </w:p>
        </w:tc>
      </w:tr>
    </w:tbl>
    <w:p w:rsidR="00AD6D24" w:rsidRPr="005235F9" w:rsidRDefault="005235F9" w:rsidP="00251C01">
      <w:pPr>
        <w:keepNext/>
        <w:keepLines/>
        <w:rPr>
          <w:i/>
          <w:sz w:val="16"/>
          <w:szCs w:val="16"/>
        </w:rPr>
      </w:pPr>
      <w:r>
        <w:rPr>
          <w:i/>
          <w:sz w:val="16"/>
          <w:szCs w:val="16"/>
        </w:rPr>
        <w:t xml:space="preserve">      </w:t>
      </w:r>
      <w:r w:rsidRPr="005235F9">
        <w:rPr>
          <w:i/>
          <w:sz w:val="16"/>
          <w:szCs w:val="16"/>
        </w:rPr>
        <w:t xml:space="preserve">*As per </w:t>
      </w:r>
      <w:r>
        <w:rPr>
          <w:i/>
          <w:sz w:val="16"/>
          <w:szCs w:val="16"/>
        </w:rPr>
        <w:t xml:space="preserve">the </w:t>
      </w:r>
      <w:r w:rsidRPr="005235F9">
        <w:rPr>
          <w:i/>
          <w:sz w:val="16"/>
          <w:szCs w:val="16"/>
        </w:rPr>
        <w:t>Financial Statements</w:t>
      </w:r>
    </w:p>
    <w:p w:rsidR="00E46337" w:rsidRDefault="00E46337" w:rsidP="00E46337">
      <w:pPr>
        <w:keepNext/>
        <w:keepLines/>
        <w:tabs>
          <w:tab w:val="left" w:pos="567"/>
          <w:tab w:val="left" w:pos="5670"/>
        </w:tabs>
        <w:spacing w:after="220"/>
        <w:contextualSpacing/>
      </w:pPr>
    </w:p>
    <w:p w:rsidR="00AD6D24" w:rsidRDefault="00AD6D24" w:rsidP="00FF4980">
      <w:pPr>
        <w:numPr>
          <w:ilvl w:val="0"/>
          <w:numId w:val="31"/>
        </w:numPr>
        <w:tabs>
          <w:tab w:val="left" w:pos="567"/>
          <w:tab w:val="left" w:pos="5670"/>
        </w:tabs>
        <w:spacing w:after="220"/>
        <w:ind w:left="0" w:firstLine="0"/>
        <w:contextualSpacing/>
      </w:pPr>
      <w:r>
        <w:t xml:space="preserve">There are no anticipated elements that will </w:t>
      </w:r>
      <w:r w:rsidR="00835290">
        <w:t xml:space="preserve">have a </w:t>
      </w:r>
      <w:r>
        <w:t xml:space="preserve">significant </w:t>
      </w:r>
      <w:r w:rsidR="00835290">
        <w:t xml:space="preserve">negative </w:t>
      </w:r>
      <w:r>
        <w:t xml:space="preserve">impact on the future balance of liquid assets.  However, beginning in 2017, WIPO will reclassify the portion of cash invested for the Core and Strategic reserves to non-current assets since the Organization plans to hold these </w:t>
      </w:r>
      <w:r w:rsidR="0004545E">
        <w:t xml:space="preserve">reserves in </w:t>
      </w:r>
      <w:r>
        <w:t xml:space="preserve">investments </w:t>
      </w:r>
      <w:r w:rsidR="0004545E">
        <w:t xml:space="preserve">which exceed a one year timeframe in order </w:t>
      </w:r>
      <w:r>
        <w:t xml:space="preserve">to maximize return </w:t>
      </w:r>
      <w:r w:rsidR="00E413D0">
        <w:t>while</w:t>
      </w:r>
      <w:r>
        <w:t xml:space="preserve"> preserving capital.  The Strategic cash will be invested for the longer term and will result in a reduction of liquid reserves.  However, the </w:t>
      </w:r>
      <w:r w:rsidR="00CF5060">
        <w:t>C</w:t>
      </w:r>
      <w:r>
        <w:t xml:space="preserve">ore </w:t>
      </w:r>
      <w:r w:rsidR="00CF5060">
        <w:t>C</w:t>
      </w:r>
      <w:r>
        <w:t xml:space="preserve">ash will be invested </w:t>
      </w:r>
      <w:r w:rsidR="005C26F2">
        <w:t xml:space="preserve">in such a way </w:t>
      </w:r>
      <w:r>
        <w:t>as to ensure that the funds remain available should they be required to meet any contingencies.  Therefore, for future calculations of reserve liquidity</w:t>
      </w:r>
      <w:r w:rsidR="00A51A68">
        <w:t>,</w:t>
      </w:r>
      <w:r>
        <w:t xml:space="preserve"> the Core </w:t>
      </w:r>
      <w:r w:rsidR="00CF5060">
        <w:t xml:space="preserve">Cash </w:t>
      </w:r>
      <w:r>
        <w:t xml:space="preserve">investments held in funds </w:t>
      </w:r>
      <w:r w:rsidR="00A51A68">
        <w:t>that</w:t>
      </w:r>
      <w:r>
        <w:t xml:space="preserve"> can be accessed immediately, if required, will continue to be considered liquid. </w:t>
      </w:r>
    </w:p>
    <w:p w:rsidR="00FF4980" w:rsidRDefault="00FF4980" w:rsidP="00FF4980">
      <w:pPr>
        <w:keepNext/>
        <w:keepLines/>
        <w:tabs>
          <w:tab w:val="left" w:pos="567"/>
          <w:tab w:val="left" w:pos="5670"/>
        </w:tabs>
        <w:spacing w:after="220"/>
        <w:contextualSpacing/>
      </w:pPr>
    </w:p>
    <w:p w:rsidR="00FF4980" w:rsidRDefault="00FF4980" w:rsidP="00FF4980">
      <w:pPr>
        <w:numPr>
          <w:ilvl w:val="0"/>
          <w:numId w:val="31"/>
        </w:numPr>
        <w:tabs>
          <w:tab w:val="left" w:pos="567"/>
          <w:tab w:val="left" w:pos="5670"/>
        </w:tabs>
        <w:spacing w:after="220"/>
        <w:ind w:left="0" w:firstLine="0"/>
        <w:contextualSpacing/>
      </w:pPr>
      <w:r>
        <w:t xml:space="preserve">As mentioned above, </w:t>
      </w:r>
      <w:r w:rsidRPr="00207BFD">
        <w:t>WIPO</w:t>
      </w:r>
      <w:r>
        <w:t xml:space="preserve"> Reserves </w:t>
      </w:r>
      <w:r w:rsidRPr="00207BFD">
        <w:t xml:space="preserve">are replenished </w:t>
      </w:r>
      <w:r>
        <w:t xml:space="preserve">on an annual basis </w:t>
      </w:r>
      <w:r w:rsidRPr="00207BFD">
        <w:t>with operating surpluses</w:t>
      </w:r>
      <w:r w:rsidR="00A51A68">
        <w:t>,</w:t>
      </w:r>
      <w:r w:rsidRPr="00207BFD">
        <w:t xml:space="preserve"> which are projected at 24.3 million Swiss francs in 2017 (Overall Result after Reserve Expenditure) and 61.5 million Swiss francs (budgeted Operating Result before Reserve Expenditure) for the 2018</w:t>
      </w:r>
      <w:r w:rsidR="00A51A68">
        <w:t>/</w:t>
      </w:r>
      <w:r w:rsidRPr="00207BFD">
        <w:t>19 biennium.  </w:t>
      </w:r>
      <w:r>
        <w:t xml:space="preserve"> </w:t>
      </w:r>
    </w:p>
    <w:p w:rsidR="00207BFD" w:rsidRPr="00894AE4" w:rsidRDefault="00894AE4" w:rsidP="004615A6">
      <w:pPr>
        <w:rPr>
          <w:b/>
        </w:rPr>
      </w:pPr>
      <w:r w:rsidRPr="00894AE4">
        <w:rPr>
          <w:b/>
        </w:rPr>
        <w:lastRenderedPageBreak/>
        <w:t>CMP PROJECTS FOR THE BIENNIUM 2018/19 AND RESERVE POLICY PRINCIPLES</w:t>
      </w:r>
    </w:p>
    <w:p w:rsidR="00894AE4" w:rsidRDefault="00894AE4" w:rsidP="004615A6"/>
    <w:p w:rsidR="00C27D5D" w:rsidRDefault="00894AE4" w:rsidP="00894AE4">
      <w:pPr>
        <w:pStyle w:val="ListParagraph"/>
        <w:numPr>
          <w:ilvl w:val="0"/>
          <w:numId w:val="31"/>
        </w:numPr>
        <w:ind w:left="0" w:firstLine="0"/>
      </w:pPr>
      <w:r>
        <w:t xml:space="preserve">The above sections provide </w:t>
      </w:r>
      <w:r w:rsidR="00AA162B">
        <w:t xml:space="preserve">an </w:t>
      </w:r>
      <w:r>
        <w:t>analysis for the use of the Reserves as per the principles contained in the Revised Policy related to Reserves.  The principles are reproduced in Annex I</w:t>
      </w:r>
      <w:r w:rsidR="00C27D5D">
        <w:t xml:space="preserve"> for ease of reference</w:t>
      </w:r>
      <w:r>
        <w:t>.</w:t>
      </w:r>
      <w:r w:rsidR="00C27D5D">
        <w:t xml:space="preserve">  The below provides a synopsis of the analysis for each of the principles. </w:t>
      </w:r>
    </w:p>
    <w:p w:rsidR="00C27D5D" w:rsidRDefault="00C27D5D" w:rsidP="00C27D5D">
      <w:pPr>
        <w:pStyle w:val="ListParagraph"/>
        <w:ind w:left="0"/>
      </w:pPr>
    </w:p>
    <w:p w:rsidR="00C27D5D" w:rsidRPr="00C27D5D" w:rsidRDefault="00C27D5D" w:rsidP="00C27D5D">
      <w:pPr>
        <w:pStyle w:val="ListParagraph"/>
        <w:ind w:left="0"/>
        <w:rPr>
          <w:i/>
        </w:rPr>
      </w:pPr>
      <w:r w:rsidRPr="00C27D5D">
        <w:rPr>
          <w:i/>
        </w:rPr>
        <w:t xml:space="preserve">Principle 1 </w:t>
      </w:r>
    </w:p>
    <w:p w:rsidR="00C27D5D" w:rsidRDefault="00C27D5D" w:rsidP="00C27D5D">
      <w:pPr>
        <w:pStyle w:val="ListParagraph"/>
        <w:ind w:left="0"/>
      </w:pPr>
    </w:p>
    <w:p w:rsidR="00894AE4" w:rsidRDefault="00C27D5D" w:rsidP="004445A8">
      <w:pPr>
        <w:pStyle w:val="ListParagraph"/>
        <w:numPr>
          <w:ilvl w:val="0"/>
          <w:numId w:val="31"/>
        </w:numPr>
        <w:ind w:left="0" w:firstLine="0"/>
      </w:pPr>
      <w:r>
        <w:t>The balance of the Reserves (excluding WCF and Revaluation Reserve Surplus) as at end 2016 amounted to 287.7 million Swiss francs.  The proposed funding of CMP projects in the biennium 2018/19 amounting to 25.5 million Swiss francs is</w:t>
      </w:r>
      <w:r w:rsidR="00A51A68">
        <w:t>,</w:t>
      </w:r>
      <w:r>
        <w:t xml:space="preserve"> therefore</w:t>
      </w:r>
      <w:r w:rsidR="00A51A68">
        <w:t>,</w:t>
      </w:r>
      <w:r>
        <w:t xml:space="preserve"> well above the RWCF target level for 2018/19</w:t>
      </w:r>
      <w:r w:rsidR="00A51A68">
        <w:t>,</w:t>
      </w:r>
      <w:r>
        <w:t xml:space="preserve"> which amounts to 159.8 million Swiss francs.</w:t>
      </w:r>
      <w:r w:rsidR="00894AE4">
        <w:t xml:space="preserve">    </w:t>
      </w:r>
    </w:p>
    <w:p w:rsidR="00C27D5D" w:rsidRDefault="00C27D5D" w:rsidP="00C27D5D">
      <w:pPr>
        <w:pStyle w:val="ListParagraph"/>
        <w:ind w:left="0"/>
      </w:pPr>
    </w:p>
    <w:p w:rsidR="00C27D5D" w:rsidRPr="00AA162B" w:rsidRDefault="00C27D5D" w:rsidP="00D908E7">
      <w:pPr>
        <w:pStyle w:val="ListParagraph"/>
        <w:keepNext/>
        <w:keepLines/>
        <w:ind w:left="0"/>
        <w:rPr>
          <w:i/>
        </w:rPr>
      </w:pPr>
      <w:r w:rsidRPr="00AA162B">
        <w:rPr>
          <w:i/>
        </w:rPr>
        <w:t>Principle 2</w:t>
      </w:r>
    </w:p>
    <w:p w:rsidR="00C27D5D" w:rsidRDefault="00C27D5D" w:rsidP="00D908E7">
      <w:pPr>
        <w:pStyle w:val="ListParagraph"/>
        <w:keepNext/>
        <w:keepLines/>
        <w:ind w:left="0"/>
      </w:pPr>
    </w:p>
    <w:p w:rsidR="00AA162B" w:rsidRDefault="00C27D5D" w:rsidP="00D908E7">
      <w:pPr>
        <w:pStyle w:val="ListParagraph"/>
        <w:keepNext/>
        <w:keepLines/>
        <w:numPr>
          <w:ilvl w:val="0"/>
          <w:numId w:val="31"/>
        </w:numPr>
        <w:ind w:left="0" w:firstLine="0"/>
      </w:pPr>
      <w:r>
        <w:t>The calculation of the available Reserves excludes the WCF and Revaluation Reserve Surplus</w:t>
      </w:r>
      <w:r w:rsidR="00AA162B">
        <w:t xml:space="preserve"> (Tables 4 and 5 refer).  </w:t>
      </w:r>
    </w:p>
    <w:p w:rsidR="00AA162B" w:rsidRDefault="00AA162B" w:rsidP="00C27D5D">
      <w:pPr>
        <w:pStyle w:val="ListParagraph"/>
        <w:ind w:left="0"/>
      </w:pPr>
    </w:p>
    <w:p w:rsidR="00AA162B" w:rsidRPr="00AA162B" w:rsidRDefault="00AA162B" w:rsidP="00C27D5D">
      <w:pPr>
        <w:pStyle w:val="ListParagraph"/>
        <w:ind w:left="0"/>
        <w:rPr>
          <w:i/>
        </w:rPr>
      </w:pPr>
      <w:r w:rsidRPr="00AA162B">
        <w:rPr>
          <w:i/>
        </w:rPr>
        <w:t>Principle 3</w:t>
      </w:r>
    </w:p>
    <w:p w:rsidR="00AA162B" w:rsidRDefault="00AA162B" w:rsidP="00C27D5D">
      <w:pPr>
        <w:pStyle w:val="ListParagraph"/>
        <w:ind w:left="0"/>
      </w:pPr>
    </w:p>
    <w:p w:rsidR="00AA162B" w:rsidRDefault="00A51A68" w:rsidP="004445A8">
      <w:pPr>
        <w:pStyle w:val="ListParagraph"/>
        <w:numPr>
          <w:ilvl w:val="0"/>
          <w:numId w:val="31"/>
        </w:numPr>
        <w:ind w:left="0" w:firstLine="0"/>
      </w:pPr>
      <w:r>
        <w:t>The proposed projects are extra</w:t>
      </w:r>
      <w:r w:rsidR="00AA162B">
        <w:t>ordinary, one-time</w:t>
      </w:r>
      <w:r>
        <w:t>,</w:t>
      </w:r>
      <w:r w:rsidR="00AA162B">
        <w:t xml:space="preserve"> key capital investments </w:t>
      </w:r>
      <w:r>
        <w:t xml:space="preserve">related to </w:t>
      </w:r>
      <w:r w:rsidR="00AA162B">
        <w:t xml:space="preserve">either IT or premises/safety and security.  Please see </w:t>
      </w:r>
      <w:r>
        <w:t xml:space="preserve">the </w:t>
      </w:r>
      <w:r w:rsidR="00AA162B">
        <w:t>description</w:t>
      </w:r>
      <w:r>
        <w:t>s</w:t>
      </w:r>
      <w:r w:rsidR="00AA162B">
        <w:t xml:space="preserve"> of projects and their drivers in Annexes II to VII.</w:t>
      </w:r>
    </w:p>
    <w:p w:rsidR="00AA162B" w:rsidRDefault="00AA162B" w:rsidP="00C27D5D">
      <w:pPr>
        <w:pStyle w:val="ListParagraph"/>
        <w:ind w:left="0"/>
      </w:pPr>
    </w:p>
    <w:p w:rsidR="00AA162B" w:rsidRPr="00B22F66" w:rsidRDefault="00AA162B" w:rsidP="00C27D5D">
      <w:pPr>
        <w:pStyle w:val="ListParagraph"/>
        <w:ind w:left="0"/>
        <w:rPr>
          <w:i/>
        </w:rPr>
      </w:pPr>
      <w:r w:rsidRPr="00B22F66">
        <w:rPr>
          <w:i/>
        </w:rPr>
        <w:t>Principle 4</w:t>
      </w:r>
    </w:p>
    <w:p w:rsidR="00AA162B" w:rsidRDefault="00AA162B" w:rsidP="00C27D5D">
      <w:pPr>
        <w:pStyle w:val="ListParagraph"/>
        <w:ind w:left="0"/>
      </w:pPr>
    </w:p>
    <w:p w:rsidR="0071027A" w:rsidRDefault="00B22F66" w:rsidP="004445A8">
      <w:pPr>
        <w:pStyle w:val="ListParagraph"/>
        <w:numPr>
          <w:ilvl w:val="0"/>
          <w:numId w:val="31"/>
        </w:numPr>
        <w:ind w:left="0" w:firstLine="0"/>
      </w:pPr>
      <w:r>
        <w:t xml:space="preserve">Table 2 and Annex VIII </w:t>
      </w:r>
      <w:r w:rsidR="00AA162B">
        <w:t xml:space="preserve">provide a comprehensive overview of the key capital investments foreseen over the next ten years </w:t>
      </w:r>
      <w:r>
        <w:t>(2018-27) for premises, safety and security</w:t>
      </w:r>
      <w:r w:rsidR="00A51A68">
        <w:t>,</w:t>
      </w:r>
      <w:r>
        <w:t xml:space="preserve"> </w:t>
      </w:r>
      <w:r w:rsidR="00A51A68">
        <w:t>and</w:t>
      </w:r>
      <w:r w:rsidR="0071027A">
        <w:t xml:space="preserve"> ICT, including the full one-time cost of each project and/or project phases.</w:t>
      </w:r>
      <w:r w:rsidR="00AA162B">
        <w:t xml:space="preserve"> </w:t>
      </w:r>
      <w:r w:rsidR="0071027A">
        <w:t xml:space="preserve"> The annual recurring cost for each project is included in the Annexes II to VII, where relevant.  </w:t>
      </w:r>
    </w:p>
    <w:p w:rsidR="0071027A" w:rsidRDefault="0071027A" w:rsidP="004445A8">
      <w:pPr>
        <w:pStyle w:val="ListParagraph"/>
        <w:ind w:left="0"/>
      </w:pPr>
    </w:p>
    <w:p w:rsidR="00C0295A" w:rsidRDefault="0071027A" w:rsidP="004445A8">
      <w:pPr>
        <w:pStyle w:val="ListParagraph"/>
        <w:numPr>
          <w:ilvl w:val="0"/>
          <w:numId w:val="31"/>
        </w:numPr>
        <w:ind w:left="0" w:firstLine="0"/>
      </w:pPr>
      <w:r>
        <w:t>In addition, the CMP 2018-27 proposal is not estimated at having any negative impact on cash flows and liquidity levels of the Reserves (please see paragraphs 22 to 30).</w:t>
      </w:r>
    </w:p>
    <w:p w:rsidR="00C0295A" w:rsidRDefault="00C0295A" w:rsidP="00C27D5D">
      <w:pPr>
        <w:pStyle w:val="ListParagraph"/>
        <w:ind w:left="0"/>
      </w:pPr>
    </w:p>
    <w:p w:rsidR="00C0295A" w:rsidRPr="00C0295A" w:rsidRDefault="00C0295A" w:rsidP="00C27D5D">
      <w:pPr>
        <w:pStyle w:val="ListParagraph"/>
        <w:ind w:left="0"/>
        <w:rPr>
          <w:i/>
        </w:rPr>
      </w:pPr>
      <w:r w:rsidRPr="00C0295A">
        <w:rPr>
          <w:i/>
        </w:rPr>
        <w:t>Principle 5</w:t>
      </w:r>
    </w:p>
    <w:p w:rsidR="00C0295A" w:rsidRDefault="00C0295A" w:rsidP="00C27D5D">
      <w:pPr>
        <w:pStyle w:val="ListParagraph"/>
        <w:ind w:left="0"/>
      </w:pPr>
    </w:p>
    <w:p w:rsidR="00AA162B" w:rsidRDefault="00C0295A" w:rsidP="004445A8">
      <w:pPr>
        <w:pStyle w:val="ListParagraph"/>
        <w:numPr>
          <w:ilvl w:val="0"/>
          <w:numId w:val="31"/>
        </w:numPr>
        <w:ind w:left="0" w:firstLine="0"/>
      </w:pPr>
      <w:r>
        <w:t xml:space="preserve">The proposed CMP 2018-27 projects/project phases are planned for implementation in the biennium 2018/19.  </w:t>
      </w:r>
      <w:r w:rsidR="0071027A">
        <w:t xml:space="preserve">  </w:t>
      </w:r>
    </w:p>
    <w:p w:rsidR="00C23409" w:rsidRDefault="00C23409" w:rsidP="00C23409">
      <w:pPr>
        <w:pStyle w:val="ListParagraph"/>
        <w:ind w:left="0"/>
      </w:pPr>
    </w:p>
    <w:p w:rsidR="00C23409" w:rsidRDefault="00C23409" w:rsidP="004445A8">
      <w:pPr>
        <w:pStyle w:val="ListParagraph"/>
        <w:numPr>
          <w:ilvl w:val="0"/>
          <w:numId w:val="31"/>
        </w:numPr>
        <w:ind w:left="0" w:firstLine="0"/>
      </w:pPr>
      <w:r>
        <w:t>The following decision paragraph is proposed.</w:t>
      </w:r>
    </w:p>
    <w:p w:rsidR="00AA162B" w:rsidRDefault="00AA162B" w:rsidP="004445A8">
      <w:pPr>
        <w:pStyle w:val="ListParagraph"/>
        <w:ind w:left="0"/>
      </w:pPr>
    </w:p>
    <w:p w:rsidR="004445A8" w:rsidRDefault="004445A8" w:rsidP="004445A8">
      <w:pPr>
        <w:pStyle w:val="ListParagraph"/>
        <w:ind w:left="0"/>
      </w:pPr>
    </w:p>
    <w:p w:rsidR="004445A8" w:rsidRPr="004445A8" w:rsidRDefault="004445A8" w:rsidP="00DF1219">
      <w:pPr>
        <w:pStyle w:val="ListParagraph"/>
        <w:numPr>
          <w:ilvl w:val="0"/>
          <w:numId w:val="31"/>
        </w:numPr>
        <w:ind w:left="3544" w:firstLine="0"/>
        <w:rPr>
          <w:i/>
        </w:rPr>
      </w:pPr>
      <w:r w:rsidRPr="004445A8">
        <w:rPr>
          <w:i/>
        </w:rPr>
        <w:t>The Program and Budget</w:t>
      </w:r>
      <w:r w:rsidR="00DF1219">
        <w:rPr>
          <w:i/>
        </w:rPr>
        <w:t xml:space="preserve"> Committee</w:t>
      </w:r>
      <w:r w:rsidRPr="004445A8">
        <w:rPr>
          <w:i/>
        </w:rPr>
        <w:t xml:space="preserve"> recommend</w:t>
      </w:r>
      <w:r w:rsidR="00C23409">
        <w:rPr>
          <w:i/>
        </w:rPr>
        <w:t>ed</w:t>
      </w:r>
      <w:r w:rsidRPr="004445A8">
        <w:rPr>
          <w:i/>
        </w:rPr>
        <w:t xml:space="preserve"> to the </w:t>
      </w:r>
      <w:r w:rsidR="00C23409">
        <w:rPr>
          <w:i/>
        </w:rPr>
        <w:t>Assemblies</w:t>
      </w:r>
      <w:r w:rsidRPr="004445A8">
        <w:rPr>
          <w:i/>
        </w:rPr>
        <w:t xml:space="preserve"> of WIPO</w:t>
      </w:r>
      <w:r w:rsidR="00C23409">
        <w:rPr>
          <w:i/>
        </w:rPr>
        <w:t>, each as far as it is concerned,</w:t>
      </w:r>
      <w:r w:rsidRPr="004445A8">
        <w:rPr>
          <w:i/>
        </w:rPr>
        <w:t xml:space="preserve"> to approve</w:t>
      </w:r>
      <w:r w:rsidR="00DF1219">
        <w:rPr>
          <w:i/>
        </w:rPr>
        <w:t>,</w:t>
      </w:r>
      <w:r w:rsidRPr="004445A8">
        <w:rPr>
          <w:i/>
        </w:rPr>
        <w:t xml:space="preserve"> from the WIPO Reserves</w:t>
      </w:r>
      <w:r w:rsidR="00DF1219">
        <w:rPr>
          <w:i/>
        </w:rPr>
        <w:t xml:space="preserve">, </w:t>
      </w:r>
      <w:r w:rsidR="00DF1219" w:rsidRPr="004445A8">
        <w:rPr>
          <w:i/>
        </w:rPr>
        <w:t>the funding</w:t>
      </w:r>
      <w:r w:rsidRPr="004445A8">
        <w:rPr>
          <w:i/>
        </w:rPr>
        <w:t xml:space="preserve"> of the projects presented in the CMP 2018-27 for the biennium 2018/19</w:t>
      </w:r>
      <w:r w:rsidR="00DF1219">
        <w:rPr>
          <w:i/>
        </w:rPr>
        <w:t>,</w:t>
      </w:r>
      <w:r w:rsidRPr="004445A8">
        <w:rPr>
          <w:i/>
        </w:rPr>
        <w:t xml:space="preserve"> amounting to a total </w:t>
      </w:r>
      <w:r w:rsidR="00DF1219">
        <w:rPr>
          <w:i/>
        </w:rPr>
        <w:t>of 25.5 </w:t>
      </w:r>
      <w:r w:rsidRPr="004445A8">
        <w:rPr>
          <w:i/>
        </w:rPr>
        <w:t>million Swiss francs</w:t>
      </w:r>
      <w:r w:rsidR="00C23409">
        <w:rPr>
          <w:i/>
        </w:rPr>
        <w:t>.</w:t>
      </w:r>
    </w:p>
    <w:p w:rsidR="00894AE4" w:rsidRDefault="00894AE4" w:rsidP="004615A6"/>
    <w:p w:rsidR="004445A8" w:rsidRDefault="004445A8" w:rsidP="004615A6"/>
    <w:p w:rsidR="004445A8" w:rsidRDefault="004445A8" w:rsidP="004615A6"/>
    <w:p w:rsidR="00D06645" w:rsidRDefault="00D06645" w:rsidP="004615A6"/>
    <w:p w:rsidR="00207BFD" w:rsidRPr="00B601A5" w:rsidRDefault="00207BFD" w:rsidP="00207BFD">
      <w:pPr>
        <w:ind w:left="5670"/>
      </w:pPr>
      <w:r>
        <w:tab/>
      </w:r>
      <w:r w:rsidRPr="00E96C17">
        <w:t>[</w:t>
      </w:r>
      <w:r>
        <w:t>Annexes</w:t>
      </w:r>
      <w:r w:rsidRPr="00E96C17">
        <w:t xml:space="preserve"> follow]</w:t>
      </w:r>
    </w:p>
    <w:p w:rsidR="00207BFD" w:rsidRDefault="00207BFD">
      <w:pPr>
        <w:rPr>
          <w:bCs/>
          <w:iCs/>
          <w:caps/>
          <w:szCs w:val="28"/>
        </w:rPr>
        <w:sectPr w:rsidR="00207BFD" w:rsidSect="00813CB5">
          <w:headerReference w:type="default" r:id="rId14"/>
          <w:pgSz w:w="11907" w:h="16840" w:code="9"/>
          <w:pgMar w:top="1417" w:right="1417" w:bottom="1417" w:left="1417" w:header="709" w:footer="709" w:gutter="0"/>
          <w:cols w:space="720"/>
          <w:titlePg/>
          <w:docGrid w:linePitch="299"/>
        </w:sectPr>
      </w:pPr>
    </w:p>
    <w:p w:rsidR="005101D2" w:rsidRPr="00973B06" w:rsidRDefault="009C75B6" w:rsidP="00973B06">
      <w:pPr>
        <w:pStyle w:val="Heading1"/>
        <w:spacing w:before="0"/>
      </w:pPr>
      <w:r w:rsidRPr="00973B06">
        <w:lastRenderedPageBreak/>
        <w:t>ANNEX I:  REVISED POLICY RELATED TO RESERVES</w:t>
      </w:r>
    </w:p>
    <w:p w:rsidR="005101D2" w:rsidRDefault="005101D2" w:rsidP="005101D2"/>
    <w:p w:rsidR="005101D2" w:rsidRDefault="005101D2" w:rsidP="005101D2">
      <w:r>
        <w:t>Principles on the use of the Reserves and Working Capital Funds (RWCF) as per the Revised Policy related to Reserves</w:t>
      </w:r>
      <w:r>
        <w:rPr>
          <w:rStyle w:val="FootnoteReference"/>
        </w:rPr>
        <w:footnoteReference w:id="4"/>
      </w:r>
      <w:r>
        <w:t xml:space="preserve"> are as follows:  </w:t>
      </w:r>
    </w:p>
    <w:p w:rsidR="005101D2" w:rsidRDefault="005101D2" w:rsidP="005101D2"/>
    <w:p w:rsidR="005101D2" w:rsidRDefault="005101D2" w:rsidP="005101D2"/>
    <w:p w:rsidR="005101D2" w:rsidRPr="005101D2" w:rsidRDefault="005101D2" w:rsidP="005101D2">
      <w:pPr>
        <w:keepNext/>
        <w:keepLines/>
        <w:tabs>
          <w:tab w:val="left" w:pos="2970"/>
        </w:tabs>
        <w:ind w:left="567"/>
      </w:pPr>
      <w:r w:rsidRPr="005101D2">
        <w:rPr>
          <w:b/>
        </w:rPr>
        <w:t xml:space="preserve">PRINCIPLE 1:  </w:t>
      </w:r>
      <w:r w:rsidRPr="005101D2">
        <w:t xml:space="preserve">Proposals for the use of the RWCF should only pertain to the amounts available in the RWCF exceeding the target level required by WIPO’s Policy on Reserves.  This is applicable both at the level of individual Unions as well as at the level of the Organization as a whole. </w:t>
      </w:r>
    </w:p>
    <w:p w:rsidR="005101D2" w:rsidRPr="005101D2" w:rsidRDefault="005101D2" w:rsidP="005101D2">
      <w:pPr>
        <w:keepNext/>
        <w:keepLines/>
        <w:ind w:left="567"/>
      </w:pPr>
    </w:p>
    <w:p w:rsidR="005101D2" w:rsidRPr="005101D2" w:rsidRDefault="005101D2" w:rsidP="005101D2">
      <w:pPr>
        <w:pStyle w:val="ONUME"/>
        <w:widowControl w:val="0"/>
        <w:numPr>
          <w:ilvl w:val="0"/>
          <w:numId w:val="0"/>
        </w:numPr>
        <w:tabs>
          <w:tab w:val="left" w:pos="1620"/>
        </w:tabs>
        <w:spacing w:after="0"/>
        <w:ind w:left="567"/>
      </w:pPr>
      <w:r w:rsidRPr="005101D2">
        <w:rPr>
          <w:b/>
        </w:rPr>
        <w:t xml:space="preserve">PRINCIPLE 2:  </w:t>
      </w:r>
      <w:r w:rsidRPr="005101D2">
        <w:t xml:space="preserve">The calculation of the available reserves will be based on the information on the RWCF levels contained in the most recent financial statements and must take into due consideration the actual, committed and planned expenditures from reserves for the financial period(s) during which the proposed project will be implemented.  The Revaluation Reserve Surplus (which arises from the revaluation of the land on which the new building has been constructed) and the Working Capital Funds (which were established through Member States contributions) will be excluded from the calculation of the amounts available in excess of the RWCF target. </w:t>
      </w:r>
    </w:p>
    <w:p w:rsidR="005101D2" w:rsidRPr="005101D2" w:rsidRDefault="005101D2" w:rsidP="005101D2">
      <w:pPr>
        <w:ind w:left="993"/>
      </w:pPr>
    </w:p>
    <w:p w:rsidR="005101D2" w:rsidRPr="005101D2" w:rsidRDefault="005101D2" w:rsidP="005101D2">
      <w:pPr>
        <w:tabs>
          <w:tab w:val="left" w:pos="3150"/>
          <w:tab w:val="left" w:pos="3420"/>
        </w:tabs>
        <w:spacing w:after="120"/>
        <w:ind w:left="567"/>
      </w:pPr>
      <w:r w:rsidRPr="005101D2">
        <w:rPr>
          <w:b/>
        </w:rPr>
        <w:t xml:space="preserve">PRINCIPLE 3: </w:t>
      </w:r>
      <w:r w:rsidRPr="005101D2">
        <w:t>Proposals for the use of the Reserves should be for extra-ordinary, one-time capital projects and expenditures, and, under exceptional circumstances, for strategic initiatives as decided upon by the Assemblies of the Unions of WIPO.  Capital projects would typically be identified in a long-term capital master plan and may be defined as projects related to construction/refurbishment and Information and Communication Technology that are needed to keep an Organization’s facilities and systems fit-for-purpose through significant expansion or additions.</w:t>
      </w:r>
    </w:p>
    <w:p w:rsidR="005101D2" w:rsidRPr="005101D2" w:rsidRDefault="005101D2" w:rsidP="005101D2">
      <w:pPr>
        <w:pStyle w:val="ONUME"/>
        <w:widowControl w:val="0"/>
        <w:numPr>
          <w:ilvl w:val="0"/>
          <w:numId w:val="0"/>
        </w:numPr>
        <w:tabs>
          <w:tab w:val="left" w:pos="1620"/>
        </w:tabs>
        <w:spacing w:after="0"/>
        <w:ind w:left="567"/>
        <w:rPr>
          <w:b/>
        </w:rPr>
      </w:pPr>
    </w:p>
    <w:p w:rsidR="005101D2" w:rsidRPr="005101D2" w:rsidRDefault="005101D2" w:rsidP="005101D2">
      <w:pPr>
        <w:pStyle w:val="ONUME"/>
        <w:widowControl w:val="0"/>
        <w:numPr>
          <w:ilvl w:val="0"/>
          <w:numId w:val="0"/>
        </w:numPr>
        <w:tabs>
          <w:tab w:val="left" w:pos="1620"/>
        </w:tabs>
        <w:spacing w:after="0"/>
        <w:ind w:left="567"/>
      </w:pPr>
      <w:r w:rsidRPr="005101D2">
        <w:rPr>
          <w:b/>
        </w:rPr>
        <w:t xml:space="preserve">PRINCIPLE 4: </w:t>
      </w:r>
      <w:r w:rsidRPr="005101D2">
        <w:t>Proposals for the use of the Reserves should be prepared in a comprehensive manner with information on full life cycle costs of the projects, estimated benefits (which may be both financial and qualitative in nature), recurring expenditures that the Organization will be committed to budgeting for as part of the regular budget in subsequent biennia, and the impact on cash flows and liquidity levels of the Reserves.</w:t>
      </w:r>
    </w:p>
    <w:p w:rsidR="005101D2" w:rsidRPr="005101D2" w:rsidRDefault="005101D2" w:rsidP="005101D2">
      <w:pPr>
        <w:tabs>
          <w:tab w:val="left" w:pos="3150"/>
        </w:tabs>
      </w:pPr>
    </w:p>
    <w:p w:rsidR="005101D2" w:rsidRPr="005101D2" w:rsidRDefault="005101D2" w:rsidP="005101D2">
      <w:pPr>
        <w:keepNext/>
        <w:keepLines/>
        <w:tabs>
          <w:tab w:val="left" w:pos="3330"/>
          <w:tab w:val="left" w:pos="3420"/>
        </w:tabs>
        <w:ind w:left="567"/>
      </w:pPr>
      <w:r w:rsidRPr="005101D2">
        <w:rPr>
          <w:b/>
        </w:rPr>
        <w:t>PRINCIPLE 5:</w:t>
      </w:r>
      <w:r w:rsidRPr="005101D2">
        <w:t xml:space="preserve"> Proposals for the use of the Reserves may be for projects and initiatives </w:t>
      </w:r>
      <w:r w:rsidR="00A51A68">
        <w:t>that</w:t>
      </w:r>
      <w:r w:rsidRPr="005101D2">
        <w:t xml:space="preserve"> are outside the biennial financial period of the Organization and may cut across, or last for, more than one biennia.</w:t>
      </w:r>
    </w:p>
    <w:p w:rsidR="005101D2" w:rsidRDefault="005101D2">
      <w:pPr>
        <w:rPr>
          <w:bCs/>
          <w:iCs/>
          <w:caps/>
          <w:szCs w:val="28"/>
        </w:rPr>
      </w:pPr>
    </w:p>
    <w:p w:rsidR="00207BFD" w:rsidRPr="005101D2" w:rsidRDefault="00207BFD">
      <w:pPr>
        <w:rPr>
          <w:bCs/>
          <w:iCs/>
          <w:caps/>
          <w:szCs w:val="28"/>
        </w:rPr>
      </w:pPr>
    </w:p>
    <w:p w:rsidR="00207BFD" w:rsidRDefault="00207BFD" w:rsidP="00207BFD">
      <w:pPr>
        <w:tabs>
          <w:tab w:val="left" w:pos="5670"/>
        </w:tabs>
        <w:sectPr w:rsidR="00207BFD" w:rsidSect="00207BFD">
          <w:headerReference w:type="first" r:id="rId15"/>
          <w:pgSz w:w="11907" w:h="16840" w:code="9"/>
          <w:pgMar w:top="1417" w:right="1417" w:bottom="1417" w:left="1417" w:header="709" w:footer="709" w:gutter="0"/>
          <w:pgNumType w:start="1"/>
          <w:cols w:space="720"/>
          <w:titlePg/>
          <w:docGrid w:linePitch="299"/>
        </w:sectPr>
      </w:pPr>
      <w:r>
        <w:tab/>
      </w:r>
      <w:r w:rsidRPr="00E96C17">
        <w:t>[Annex II follows]</w:t>
      </w:r>
    </w:p>
    <w:p w:rsidR="00093F4A" w:rsidRPr="00973B06" w:rsidRDefault="005101D2" w:rsidP="00973B06">
      <w:pPr>
        <w:pStyle w:val="Heading1"/>
        <w:spacing w:before="0"/>
      </w:pPr>
      <w:r w:rsidRPr="00973B06">
        <w:lastRenderedPageBreak/>
        <w:t xml:space="preserve">ANNEX II: </w:t>
      </w:r>
      <w:r w:rsidR="009C75B6" w:rsidRPr="00973B06">
        <w:t xml:space="preserve"> </w:t>
      </w:r>
      <w:r w:rsidR="00A7231E" w:rsidRPr="00973B06">
        <w:t>Global IP Platform</w:t>
      </w:r>
      <w:r w:rsidR="00173FDE" w:rsidRPr="00973B06">
        <w:t xml:space="preserve"> – PHASE I</w:t>
      </w:r>
    </w:p>
    <w:p w:rsidR="00A7231E" w:rsidRDefault="00A7231E" w:rsidP="00093F4A"/>
    <w:p w:rsidR="00F15B69" w:rsidRPr="00C25C67" w:rsidRDefault="00F15B69" w:rsidP="00F15B69">
      <w:pPr>
        <w:rPr>
          <w:i/>
        </w:rPr>
      </w:pPr>
      <w:r w:rsidRPr="00C25C67">
        <w:rPr>
          <w:i/>
        </w:rPr>
        <w:t>Project objectives and expected benefits</w:t>
      </w:r>
    </w:p>
    <w:p w:rsidR="00F15B69" w:rsidRDefault="00F15B69" w:rsidP="00F15B69"/>
    <w:p w:rsidR="00F15B69" w:rsidRDefault="00F15B69" w:rsidP="00F15B69">
      <w:r>
        <w:t>The project is aimed at introducing a single common IT platform (hereinafter referred to as “the Global IP Platform”)</w:t>
      </w:r>
      <w:r w:rsidR="000A0F0F">
        <w:t>,</w:t>
      </w:r>
      <w:r>
        <w:t xml:space="preserve"> which connects multiple IT platforms of WIPO’s fee-paying services such as PCT, Madrid, and the Hague </w:t>
      </w:r>
      <w:r w:rsidR="000A0F0F">
        <w:t>S</w:t>
      </w:r>
      <w:r>
        <w:t>ystem</w:t>
      </w:r>
      <w:r w:rsidR="000A0F0F">
        <w:t>s</w:t>
      </w:r>
      <w:r>
        <w:t xml:space="preserve"> (WIPO Global IP Protection systems).  Integration with a new global payment system is foreseen</w:t>
      </w:r>
      <w:r w:rsidR="000A0F0F">
        <w:t>,</w:t>
      </w:r>
      <w:r>
        <w:t xml:space="preserve"> and the project will also explore the possibility of connecting to IT systems supporting services provided by the WIPO Arbitration and Mediation Center (AMC).  The Global IP Platform would provide a single-entry portal to users of WIPO Global Protection systems services and AMC services via a single WIPO accoun</w:t>
      </w:r>
      <w:r w:rsidR="000A0F0F">
        <w:t>t for each user and implement</w:t>
      </w:r>
      <w:r>
        <w:t xml:space="preserve"> a user-friendly navigation policy a common user interface and a central payment portal.  </w:t>
      </w:r>
    </w:p>
    <w:p w:rsidR="00F15B69" w:rsidRDefault="00F15B69" w:rsidP="00F15B69"/>
    <w:p w:rsidR="00F15B69" w:rsidRDefault="00F15B69" w:rsidP="00F15B69">
      <w:r>
        <w:t>The integration of multiple platforms is urgently needed for the International Bureau</w:t>
      </w:r>
      <w:r w:rsidR="00604B94">
        <w:t xml:space="preserve"> (IB)</w:t>
      </w:r>
      <w:r>
        <w:t xml:space="preserve"> of WIPO to cope with a significant increase in the quantity and variety of IP data managed across different business areas.  As use of the Global IP systems increases, a more integrated approach to data processing is needed to mitigate the processing overheads that would otherwise be associated with fragmented and independent data processing solutions within each service’s IT systems.</w:t>
      </w:r>
      <w:r w:rsidDel="00BC52A6">
        <w:t xml:space="preserve"> </w:t>
      </w:r>
    </w:p>
    <w:p w:rsidR="00F15B69" w:rsidRDefault="00F15B69" w:rsidP="00F15B69"/>
    <w:p w:rsidR="00F15B69" w:rsidRDefault="00F15B69" w:rsidP="00F15B69">
      <w:r>
        <w:t>The Global IP platform will build upon ICT investments WIPO has made so far and provide opportunities to make more strategic cross</w:t>
      </w:r>
      <w:r w:rsidR="000A0F0F">
        <w:t>-</w:t>
      </w:r>
      <w:r>
        <w:t xml:space="preserve">sector ICT decisions. </w:t>
      </w:r>
      <w:r w:rsidR="000A0F0F">
        <w:t xml:space="preserve"> </w:t>
      </w:r>
      <w:r>
        <w:t xml:space="preserve">Through strategic process and architectural standardization, the Global IP platform will facilitate cost containment in ICT investments across business lines and improve the degree of scalability in business solutions, while assuring operations and data quality are not compromised.  Greater responsiveness to changes in business requirements and improved system resilience are also expected.  </w:t>
      </w:r>
    </w:p>
    <w:p w:rsidR="00F15B69" w:rsidRDefault="00F15B69" w:rsidP="00F15B69"/>
    <w:p w:rsidR="00F15B69" w:rsidRDefault="00F15B69" w:rsidP="00F15B69">
      <w:r>
        <w:t xml:space="preserve">The single-entry portal, which will include a modernized payment system, will enable novice customers such as universities, SMEs and individual businesses, particularly in developing countries, to better access WIPO’s services with little prior knowledge of IP, and to easily manage fee payments.  </w:t>
      </w:r>
    </w:p>
    <w:p w:rsidR="00F15B69" w:rsidRDefault="00F15B69" w:rsidP="00F15B69">
      <w:r>
        <w:t xml:space="preserve">  </w:t>
      </w:r>
    </w:p>
    <w:p w:rsidR="00F15B69" w:rsidRDefault="00F15B69" w:rsidP="00F15B69">
      <w:r>
        <w:t>The expected benefits of the Global IP Platform project are the following:</w:t>
      </w:r>
    </w:p>
    <w:p w:rsidR="00F15B69" w:rsidRPr="002771BA" w:rsidRDefault="00F15B69" w:rsidP="00F15B69">
      <w:pPr>
        <w:rPr>
          <w:szCs w:val="22"/>
        </w:rPr>
      </w:pPr>
    </w:p>
    <w:p w:rsidR="00F15B69" w:rsidRDefault="00F15B69" w:rsidP="00F15B69">
      <w:pPr>
        <w:pStyle w:val="ListParagraph"/>
        <w:numPr>
          <w:ilvl w:val="0"/>
          <w:numId w:val="27"/>
        </w:numPr>
        <w:spacing w:after="120"/>
        <w:contextualSpacing w:val="0"/>
      </w:pPr>
      <w:r>
        <w:t xml:space="preserve">It will enable </w:t>
      </w:r>
      <w:r w:rsidRPr="00B43CE7">
        <w:t xml:space="preserve">the </w:t>
      </w:r>
      <w:r w:rsidR="000A0F0F">
        <w:t>O</w:t>
      </w:r>
      <w:r w:rsidRPr="00B43CE7">
        <w:t xml:space="preserve">rganization </w:t>
      </w:r>
      <w:r>
        <w:t>to</w:t>
      </w:r>
      <w:r w:rsidRPr="00B43CE7">
        <w:t xml:space="preserve"> make more strategic cross</w:t>
      </w:r>
      <w:r w:rsidR="000A0F0F">
        <w:t>-</w:t>
      </w:r>
      <w:r w:rsidRPr="00B43CE7">
        <w:t xml:space="preserve">sector ICT </w:t>
      </w:r>
      <w:r>
        <w:t>deci</w:t>
      </w:r>
      <w:r w:rsidRPr="00B43CE7">
        <w:t>sions</w:t>
      </w:r>
      <w:r w:rsidR="000A0F0F">
        <w:t xml:space="preserve"> and </w:t>
      </w:r>
      <w:r w:rsidRPr="00B43CE7">
        <w:t xml:space="preserve">synergize </w:t>
      </w:r>
      <w:r>
        <w:t xml:space="preserve">solutions </w:t>
      </w:r>
      <w:r w:rsidRPr="00B43CE7">
        <w:t>across business lines and IT platforms</w:t>
      </w:r>
      <w:r>
        <w:t>, facilitating cost containment in ICT investments across business lines and improving scalability and resilience in the solutions adopted.</w:t>
      </w:r>
    </w:p>
    <w:p w:rsidR="00F15B69" w:rsidRDefault="00F15B69" w:rsidP="00F15B69">
      <w:pPr>
        <w:pStyle w:val="ListParagraph"/>
        <w:numPr>
          <w:ilvl w:val="0"/>
          <w:numId w:val="27"/>
        </w:numPr>
        <w:spacing w:after="120"/>
        <w:contextualSpacing w:val="0"/>
      </w:pPr>
      <w:r>
        <w:t>The Global IP Platform will allow different IT systems of various business areas of WIPO to process common data (such as user profile data and payment data) and to manage data quality.</w:t>
      </w:r>
    </w:p>
    <w:p w:rsidR="00F15B69" w:rsidRDefault="00F15B69" w:rsidP="00F15B69">
      <w:pPr>
        <w:pStyle w:val="ListParagraph"/>
        <w:numPr>
          <w:ilvl w:val="0"/>
          <w:numId w:val="27"/>
        </w:numPr>
        <w:spacing w:after="120"/>
        <w:contextualSpacing w:val="0"/>
      </w:pPr>
      <w:r>
        <w:t xml:space="preserve">More cooperation activities with IP Offices and applicants become possible, leading to the same benefits mentioned above becoming available for IP Offices and other customers who interact with WIPO’s Global Protection systems. </w:t>
      </w:r>
    </w:p>
    <w:p w:rsidR="00F15B69" w:rsidRDefault="00F15B69" w:rsidP="00F15B69">
      <w:pPr>
        <w:pStyle w:val="ListParagraph"/>
        <w:numPr>
          <w:ilvl w:val="0"/>
          <w:numId w:val="27"/>
        </w:numPr>
        <w:spacing w:after="120"/>
        <w:contextualSpacing w:val="0"/>
      </w:pPr>
      <w:r>
        <w:t>A single</w:t>
      </w:r>
      <w:r w:rsidR="000A0F0F">
        <w:t>,</w:t>
      </w:r>
      <w:r>
        <w:t xml:space="preserve"> simple portal for customers and WIPO to process payments using modern fee payment facilities.</w:t>
      </w:r>
    </w:p>
    <w:p w:rsidR="00F15B69" w:rsidRDefault="00F15B69" w:rsidP="00F15B69">
      <w:pPr>
        <w:pStyle w:val="ListParagraph"/>
        <w:numPr>
          <w:ilvl w:val="0"/>
          <w:numId w:val="27"/>
        </w:numPr>
        <w:spacing w:after="120"/>
        <w:contextualSpacing w:val="0"/>
      </w:pPr>
      <w:r>
        <w:t xml:space="preserve">The Global IP </w:t>
      </w:r>
      <w:r w:rsidR="00D90DFC">
        <w:t>P</w:t>
      </w:r>
      <w:r>
        <w:t xml:space="preserve">latform’s single, simple and effective portal will allow WIPO to keep </w:t>
      </w:r>
      <w:r w:rsidR="00D90DFC">
        <w:t>its</w:t>
      </w:r>
      <w:r>
        <w:t xml:space="preserve"> customers informed of </w:t>
      </w:r>
      <w:r w:rsidR="00D90DFC">
        <w:t xml:space="preserve">how to </w:t>
      </w:r>
      <w:r>
        <w:t>operate and use WIPO’s full range of externally facing services in a most user-friendly manner.</w:t>
      </w:r>
      <w:r w:rsidRPr="00CD525E">
        <w:t xml:space="preserve"> </w:t>
      </w:r>
    </w:p>
    <w:p w:rsidR="00F15B69" w:rsidRDefault="00D90DFC" w:rsidP="00F15B69">
      <w:pPr>
        <w:pStyle w:val="ListParagraph"/>
        <w:numPr>
          <w:ilvl w:val="0"/>
          <w:numId w:val="27"/>
        </w:numPr>
        <w:spacing w:after="120"/>
        <w:contextualSpacing w:val="0"/>
      </w:pPr>
      <w:r>
        <w:lastRenderedPageBreak/>
        <w:t>It is a</w:t>
      </w:r>
      <w:r w:rsidR="00F15B69">
        <w:t xml:space="preserve"> powerful promotion tool for WIPO’s services by offering a</w:t>
      </w:r>
      <w:r w:rsidR="00F15B69" w:rsidRPr="00BA1AE1">
        <w:t xml:space="preserve"> new</w:t>
      </w:r>
      <w:r>
        <w:t>,</w:t>
      </w:r>
      <w:r w:rsidR="00F15B69" w:rsidRPr="00BA1AE1">
        <w:t xml:space="preserve"> consolidated and more uniform customer experience</w:t>
      </w:r>
      <w:r w:rsidR="00F15B69">
        <w:t>.</w:t>
      </w:r>
    </w:p>
    <w:p w:rsidR="00F15B69" w:rsidRDefault="00F15B69" w:rsidP="00F15B69">
      <w:pPr>
        <w:pStyle w:val="ListParagraph"/>
        <w:numPr>
          <w:ilvl w:val="0"/>
          <w:numId w:val="27"/>
        </w:numPr>
        <w:spacing w:after="120"/>
        <w:contextualSpacing w:val="0"/>
      </w:pPr>
      <w:r>
        <w:t>Access to all services will be via a robust</w:t>
      </w:r>
      <w:r w:rsidR="00D90DFC">
        <w:t>,</w:t>
      </w:r>
      <w:r>
        <w:t xml:space="preserve"> single user account, thereby enhancing the level of security and access controls to WIPO’s IT systems and data.</w:t>
      </w:r>
    </w:p>
    <w:p w:rsidR="00F15B69" w:rsidRDefault="00D90DFC" w:rsidP="00F15B69">
      <w:pPr>
        <w:pStyle w:val="ListParagraph"/>
        <w:numPr>
          <w:ilvl w:val="0"/>
          <w:numId w:val="27"/>
        </w:numPr>
        <w:spacing w:after="120"/>
        <w:contextualSpacing w:val="0"/>
      </w:pPr>
      <w:r>
        <w:t>The Global IP Platform will r</w:t>
      </w:r>
      <w:r w:rsidR="00F15B69">
        <w:t xml:space="preserve">einforce </w:t>
      </w:r>
      <w:r>
        <w:t xml:space="preserve">WIPO’s </w:t>
      </w:r>
      <w:r w:rsidR="00F15B69">
        <w:t>contribution to innovation and creativity for the benefit of all by making WIPO’s services more accessible to SMEs and individual businesses, particularly in developing countries.</w:t>
      </w:r>
    </w:p>
    <w:p w:rsidR="00F15B69" w:rsidRDefault="00604B94" w:rsidP="00F15B69">
      <w:pPr>
        <w:pStyle w:val="ListParagraph"/>
        <w:numPr>
          <w:ilvl w:val="0"/>
          <w:numId w:val="27"/>
        </w:numPr>
        <w:spacing w:after="120"/>
        <w:contextualSpacing w:val="0"/>
      </w:pPr>
      <w:r>
        <w:t>The Platform will provide a</w:t>
      </w:r>
      <w:r w:rsidR="00F15B69">
        <w:t>ccess and management of shared customer related information for the IB to facilitate its customer relations and promotion of services.</w:t>
      </w:r>
    </w:p>
    <w:p w:rsidR="00F15B69" w:rsidRDefault="00F15B69" w:rsidP="00F15B69">
      <w:pPr>
        <w:rPr>
          <w:i/>
        </w:rPr>
      </w:pPr>
    </w:p>
    <w:p w:rsidR="00F15B69" w:rsidRPr="002F77FB" w:rsidRDefault="00F15B69" w:rsidP="00F15B69">
      <w:pPr>
        <w:rPr>
          <w:i/>
        </w:rPr>
      </w:pPr>
      <w:r w:rsidRPr="002F77FB">
        <w:rPr>
          <w:i/>
        </w:rPr>
        <w:t>Project implementation</w:t>
      </w:r>
    </w:p>
    <w:p w:rsidR="00F15B69" w:rsidRDefault="00F15B69" w:rsidP="00F15B69"/>
    <w:p w:rsidR="00F15B69" w:rsidRDefault="00F15B69" w:rsidP="00F15B69">
      <w:r>
        <w:t xml:space="preserve">The project would be implemented using a phased implementation strategy.  Phase I aims at establishing and validating a design; </w:t>
      </w:r>
      <w:r w:rsidR="00604B94">
        <w:t xml:space="preserve"> </w:t>
      </w:r>
      <w:r>
        <w:t xml:space="preserve">deploying an initial showcase platform; </w:t>
      </w:r>
      <w:r w:rsidR="00604B94">
        <w:t xml:space="preserve"> </w:t>
      </w:r>
      <w:r>
        <w:t xml:space="preserve">defining a plan and framework for IT systems to migrate to the platform during later phases; </w:t>
      </w:r>
      <w:r w:rsidR="00604B94">
        <w:t xml:space="preserve"> </w:t>
      </w:r>
      <w:r>
        <w:t xml:space="preserve">and developing procedures and policy to </w:t>
      </w:r>
      <w:r w:rsidR="00604B94">
        <w:t>ensure</w:t>
      </w:r>
      <w:r>
        <w:t xml:space="preserve"> greater convergence in data processing and IT solutions across business lines. </w:t>
      </w:r>
    </w:p>
    <w:p w:rsidR="00F15B69" w:rsidRDefault="00F15B69" w:rsidP="00F15B69">
      <w:pPr>
        <w:rPr>
          <w:i/>
        </w:rPr>
      </w:pPr>
    </w:p>
    <w:p w:rsidR="00F15B69" w:rsidRDefault="00F15B69" w:rsidP="00F15B69">
      <w:pPr>
        <w:rPr>
          <w:i/>
        </w:rPr>
      </w:pPr>
    </w:p>
    <w:p w:rsidR="00F15B69" w:rsidRPr="00C07BED" w:rsidRDefault="00F15B69" w:rsidP="00F15B69">
      <w:pPr>
        <w:rPr>
          <w:i/>
        </w:rPr>
      </w:pPr>
      <w:r w:rsidRPr="00C07BED">
        <w:rPr>
          <w:i/>
        </w:rPr>
        <w:t>Drivers</w:t>
      </w:r>
    </w:p>
    <w:p w:rsidR="00F15B69" w:rsidRDefault="00F15B69" w:rsidP="00F15B69"/>
    <w:p w:rsidR="00F15B69" w:rsidRDefault="00F15B69" w:rsidP="00F15B69">
      <w:r w:rsidRPr="00436A96">
        <w:rPr>
          <w:i/>
        </w:rPr>
        <w:t>Business need</w:t>
      </w:r>
      <w:r>
        <w:t xml:space="preserve"> - a new consolidated and more uniform customer experience is becoming increasingly important given the growth in the number of users of WIPO services and the enhanced reliance by the Organization on ICT for providing its services.  The project will address this need through providing a single, simple and effective portal for WIPO’s customers to be informed of and to use WIPO’s full range of services. </w:t>
      </w:r>
    </w:p>
    <w:p w:rsidR="00F15B69" w:rsidRDefault="00F15B69" w:rsidP="00F15B69"/>
    <w:p w:rsidR="00F15B69" w:rsidRDefault="00F15B69" w:rsidP="00F15B69">
      <w:r w:rsidRPr="00436A96">
        <w:rPr>
          <w:i/>
        </w:rPr>
        <w:t>Cost efficiency</w:t>
      </w:r>
      <w:r>
        <w:t xml:space="preserve"> – cost efficiencies can be obtained</w:t>
      </w:r>
      <w:r w:rsidR="00604B94">
        <w:t xml:space="preserve"> by:</w:t>
      </w:r>
      <w:r>
        <w:t xml:space="preserve"> </w:t>
      </w:r>
      <w:r w:rsidR="00604B94">
        <w:t xml:space="preserve"> (</w:t>
      </w:r>
      <w:proofErr w:type="spellStart"/>
      <w:r w:rsidR="00604B94">
        <w:t>i</w:t>
      </w:r>
      <w:proofErr w:type="spellEnd"/>
      <w:r w:rsidR="00604B94">
        <w:t xml:space="preserve">) </w:t>
      </w:r>
      <w:r>
        <w:t xml:space="preserve">containing the cost of developing different IT systems </w:t>
      </w:r>
      <w:r w:rsidR="00604B94">
        <w:t>through</w:t>
      </w:r>
      <w:r>
        <w:t xml:space="preserve"> </w:t>
      </w:r>
      <w:r w:rsidR="00604B94">
        <w:t>the introduction</w:t>
      </w:r>
      <w:r>
        <w:t xml:space="preserve"> </w:t>
      </w:r>
      <w:r w:rsidR="00604B94">
        <w:t>of the</w:t>
      </w:r>
      <w:r>
        <w:t xml:space="preserve"> integrated </w:t>
      </w:r>
      <w:r w:rsidR="00604B94">
        <w:t>P</w:t>
      </w:r>
      <w:r>
        <w:t>latform</w:t>
      </w:r>
      <w:r w:rsidR="00604B94">
        <w:t xml:space="preserve">;  (ii) </w:t>
      </w:r>
      <w:r>
        <w:t>improving access to, and management of, shared customer information, through the interconnections among the IT systems</w:t>
      </w:r>
      <w:r w:rsidR="00604B94">
        <w:t>;</w:t>
      </w:r>
      <w:r>
        <w:t xml:space="preserve"> </w:t>
      </w:r>
      <w:r w:rsidR="00604B94">
        <w:t xml:space="preserve"> and (iii) </w:t>
      </w:r>
      <w:r>
        <w:t xml:space="preserve">providing users and IP Offices with a single customer portal, more streamlined processing of payments, and enhanced cooperation via the integrated </w:t>
      </w:r>
      <w:r w:rsidR="00604B94">
        <w:t>P</w:t>
      </w:r>
      <w:r>
        <w:t xml:space="preserve">latform with users and IP Offices.  </w:t>
      </w:r>
    </w:p>
    <w:p w:rsidR="00F15B69" w:rsidRDefault="00F15B69" w:rsidP="00F15B69"/>
    <w:p w:rsidR="00F15B69" w:rsidRDefault="00F15B69" w:rsidP="00F15B69">
      <w:r>
        <w:t>The project meets the requirements in Principle 3 of the Revised Reserve Policy as a one-time extraordinary capital project based upon its size and its scope</w:t>
      </w:r>
      <w:r w:rsidR="00604B94">
        <w:t>,</w:t>
      </w:r>
      <w:r>
        <w:t xml:space="preserve"> which extends over all the major revenue areas of the Organization.  </w:t>
      </w:r>
    </w:p>
    <w:p w:rsidR="00F15B69" w:rsidRDefault="00F15B69" w:rsidP="00F15B69"/>
    <w:p w:rsidR="00E413D0" w:rsidRDefault="00E413D0" w:rsidP="00E413D0"/>
    <w:p w:rsidR="00E413D0" w:rsidRPr="00E413D0" w:rsidRDefault="00E413D0" w:rsidP="00E413D0">
      <w:pPr>
        <w:rPr>
          <w:i/>
          <w:szCs w:val="22"/>
        </w:rPr>
      </w:pPr>
      <w:r w:rsidRPr="00E413D0">
        <w:rPr>
          <w:i/>
          <w:szCs w:val="22"/>
        </w:rPr>
        <w:t>Estimated recurring operational costs</w:t>
      </w:r>
    </w:p>
    <w:p w:rsidR="00E413D0" w:rsidRDefault="00E413D0" w:rsidP="00E413D0">
      <w:pPr>
        <w:rPr>
          <w:szCs w:val="22"/>
        </w:rPr>
      </w:pPr>
    </w:p>
    <w:p w:rsidR="00E413D0" w:rsidRDefault="00E413D0" w:rsidP="00E413D0">
      <w:pPr>
        <w:rPr>
          <w:szCs w:val="22"/>
        </w:rPr>
      </w:pPr>
      <w:r>
        <w:rPr>
          <w:szCs w:val="22"/>
        </w:rPr>
        <w:t>T</w:t>
      </w:r>
      <w:r w:rsidRPr="002F77FB">
        <w:rPr>
          <w:szCs w:val="22"/>
        </w:rPr>
        <w:t xml:space="preserve">he recurring costs of maintenance and operation </w:t>
      </w:r>
      <w:r>
        <w:rPr>
          <w:szCs w:val="22"/>
        </w:rPr>
        <w:t>of the Global IP Platform will</w:t>
      </w:r>
      <w:r w:rsidRPr="002F77FB">
        <w:rPr>
          <w:szCs w:val="22"/>
        </w:rPr>
        <w:t xml:space="preserve"> be included in successive Program and Budget proposals as part of the regular budget. </w:t>
      </w:r>
      <w:r>
        <w:rPr>
          <w:szCs w:val="22"/>
        </w:rPr>
        <w:t xml:space="preserve"> The</w:t>
      </w:r>
      <w:r w:rsidRPr="002F77FB">
        <w:rPr>
          <w:szCs w:val="22"/>
        </w:rPr>
        <w:t xml:space="preserve"> estimate</w:t>
      </w:r>
      <w:r>
        <w:rPr>
          <w:szCs w:val="22"/>
        </w:rPr>
        <w:t>d</w:t>
      </w:r>
      <w:r w:rsidRPr="002F77FB">
        <w:rPr>
          <w:szCs w:val="22"/>
        </w:rPr>
        <w:t xml:space="preserve"> recurring costs</w:t>
      </w:r>
      <w:r>
        <w:rPr>
          <w:szCs w:val="22"/>
        </w:rPr>
        <w:t xml:space="preserve"> following the completion of Phase I</w:t>
      </w:r>
      <w:r w:rsidRPr="002F77FB">
        <w:rPr>
          <w:szCs w:val="22"/>
        </w:rPr>
        <w:t xml:space="preserve"> </w:t>
      </w:r>
      <w:r>
        <w:rPr>
          <w:szCs w:val="22"/>
        </w:rPr>
        <w:t xml:space="preserve">is estimated at </w:t>
      </w:r>
      <w:r w:rsidR="00551056">
        <w:rPr>
          <w:szCs w:val="22"/>
        </w:rPr>
        <w:t>410,000</w:t>
      </w:r>
      <w:r w:rsidRPr="002F77FB">
        <w:rPr>
          <w:szCs w:val="22"/>
        </w:rPr>
        <w:t xml:space="preserve"> Swiss francs per year.</w:t>
      </w:r>
    </w:p>
    <w:p w:rsidR="00207BFD" w:rsidRDefault="00207BFD" w:rsidP="006476FE"/>
    <w:p w:rsidR="00207BFD" w:rsidRDefault="00207BFD" w:rsidP="00207BFD">
      <w:pPr>
        <w:tabs>
          <w:tab w:val="left" w:pos="5670"/>
        </w:tabs>
        <w:sectPr w:rsidR="00207BFD" w:rsidSect="00207BFD">
          <w:headerReference w:type="default" r:id="rId16"/>
          <w:headerReference w:type="first" r:id="rId17"/>
          <w:pgSz w:w="11907" w:h="16840" w:code="9"/>
          <w:pgMar w:top="1417" w:right="1417" w:bottom="1417" w:left="1417" w:header="709" w:footer="709" w:gutter="0"/>
          <w:pgNumType w:start="1"/>
          <w:cols w:space="720"/>
          <w:titlePg/>
          <w:docGrid w:linePitch="299"/>
        </w:sectPr>
      </w:pPr>
      <w:r>
        <w:tab/>
      </w:r>
      <w:r w:rsidRPr="00E96C17">
        <w:t xml:space="preserve">[Annex </w:t>
      </w:r>
      <w:r>
        <w:t>I</w:t>
      </w:r>
      <w:r w:rsidRPr="00E96C17">
        <w:t>II follows]</w:t>
      </w:r>
    </w:p>
    <w:p w:rsidR="00182AA9" w:rsidRPr="00973B06" w:rsidRDefault="005101D2" w:rsidP="00973B06">
      <w:pPr>
        <w:pStyle w:val="Heading1"/>
        <w:spacing w:before="0"/>
      </w:pPr>
      <w:r w:rsidRPr="00973B06">
        <w:lastRenderedPageBreak/>
        <w:t xml:space="preserve">ANNEX III: </w:t>
      </w:r>
      <w:r w:rsidR="009C75B6" w:rsidRPr="00973B06">
        <w:t xml:space="preserve"> </w:t>
      </w:r>
      <w:r w:rsidR="00182AA9" w:rsidRPr="00973B06">
        <w:t>Resilient and Secure Platform</w:t>
      </w:r>
      <w:r w:rsidR="0051047B" w:rsidRPr="00973B06">
        <w:t xml:space="preserve"> FOR THE PCT</w:t>
      </w:r>
      <w:r w:rsidR="00173FDE" w:rsidRPr="00973B06">
        <w:t xml:space="preserve"> – PHASE I</w:t>
      </w:r>
    </w:p>
    <w:p w:rsidR="00182AA9" w:rsidRDefault="00182AA9" w:rsidP="00182AA9"/>
    <w:p w:rsidR="0023007B" w:rsidRPr="00C25C67" w:rsidRDefault="0023007B" w:rsidP="0023007B">
      <w:pPr>
        <w:rPr>
          <w:i/>
        </w:rPr>
      </w:pPr>
      <w:r w:rsidRPr="00C25C67">
        <w:rPr>
          <w:i/>
        </w:rPr>
        <w:t>Project objectives and expected benefits</w:t>
      </w:r>
    </w:p>
    <w:p w:rsidR="0023007B" w:rsidRDefault="0023007B" w:rsidP="0023007B"/>
    <w:p w:rsidR="0023007B" w:rsidRPr="002F77FB" w:rsidRDefault="0023007B" w:rsidP="0023007B">
      <w:pPr>
        <w:rPr>
          <w:szCs w:val="22"/>
        </w:rPr>
      </w:pPr>
      <w:r w:rsidRPr="002F77FB">
        <w:rPr>
          <w:szCs w:val="22"/>
        </w:rPr>
        <w:t>The Patent Cooperation Treaty (PCT) is a cornerstone of WIPO’s assets, as it provides WIPO with its main source of revenue.</w:t>
      </w:r>
    </w:p>
    <w:p w:rsidR="0023007B" w:rsidRPr="002F77FB" w:rsidRDefault="0023007B" w:rsidP="0023007B">
      <w:pPr>
        <w:rPr>
          <w:szCs w:val="22"/>
        </w:rPr>
      </w:pPr>
    </w:p>
    <w:p w:rsidR="0023007B" w:rsidRDefault="0023007B" w:rsidP="0023007B">
      <w:pPr>
        <w:tabs>
          <w:tab w:val="left" w:pos="2160"/>
        </w:tabs>
        <w:rPr>
          <w:szCs w:val="22"/>
        </w:rPr>
      </w:pPr>
      <w:r w:rsidRPr="002F77FB">
        <w:rPr>
          <w:szCs w:val="22"/>
        </w:rPr>
        <w:t>Resilience of the PCT’s services is therefore critical to the business operations of PCT applicants and Offices.  Service interruptions have the potential to lead to backlogs at WIPO</w:t>
      </w:r>
      <w:r w:rsidR="006E606D">
        <w:rPr>
          <w:szCs w:val="22"/>
        </w:rPr>
        <w:t>,</w:t>
      </w:r>
      <w:r w:rsidRPr="002F77FB">
        <w:rPr>
          <w:szCs w:val="22"/>
        </w:rPr>
        <w:t xml:space="preserve"> as well as backlogs and</w:t>
      </w:r>
      <w:r>
        <w:rPr>
          <w:szCs w:val="22"/>
        </w:rPr>
        <w:t>/</w:t>
      </w:r>
      <w:r w:rsidRPr="002F77FB">
        <w:rPr>
          <w:szCs w:val="22"/>
        </w:rPr>
        <w:t>or loss of rights for WIPO’s customers.  Medium to large scale service disruptions are likely to damage WIPO’s reputation and income.  As organizations become increasingly more digitized, an assured continuity of services is a critical means to maintain the confidence of users of the PCT’s services and to attract new customers.</w:t>
      </w:r>
    </w:p>
    <w:p w:rsidR="0023007B" w:rsidRPr="002F77FB" w:rsidRDefault="0023007B" w:rsidP="0023007B">
      <w:pPr>
        <w:tabs>
          <w:tab w:val="left" w:pos="2160"/>
        </w:tabs>
        <w:rPr>
          <w:szCs w:val="22"/>
        </w:rPr>
      </w:pPr>
      <w:r w:rsidRPr="002F77FB">
        <w:rPr>
          <w:szCs w:val="22"/>
        </w:rPr>
        <w:t xml:space="preserve">  </w:t>
      </w:r>
    </w:p>
    <w:p w:rsidR="0023007B" w:rsidRDefault="0023007B" w:rsidP="0023007B">
      <w:pPr>
        <w:rPr>
          <w:szCs w:val="22"/>
        </w:rPr>
      </w:pPr>
      <w:r w:rsidRPr="002F77FB">
        <w:rPr>
          <w:szCs w:val="22"/>
        </w:rPr>
        <w:t xml:space="preserve">Currently, the PCT infrastructure is sharing its core services with </w:t>
      </w:r>
      <w:r>
        <w:rPr>
          <w:szCs w:val="22"/>
        </w:rPr>
        <w:t xml:space="preserve">other </w:t>
      </w:r>
      <w:r w:rsidRPr="002F77FB">
        <w:rPr>
          <w:szCs w:val="22"/>
        </w:rPr>
        <w:t>WIPO corporate services.</w:t>
      </w:r>
      <w:r>
        <w:rPr>
          <w:szCs w:val="22"/>
        </w:rPr>
        <w:t xml:space="preserve"> </w:t>
      </w:r>
      <w:r w:rsidRPr="002F77FB">
        <w:rPr>
          <w:szCs w:val="22"/>
        </w:rPr>
        <w:t xml:space="preserve"> Any potential threat impacting WIPO (</w:t>
      </w:r>
      <w:proofErr w:type="spellStart"/>
      <w:r>
        <w:rPr>
          <w:szCs w:val="22"/>
        </w:rPr>
        <w:t>c</w:t>
      </w:r>
      <w:r w:rsidRPr="002F77FB">
        <w:rPr>
          <w:szCs w:val="22"/>
        </w:rPr>
        <w:t xml:space="preserve">yber </w:t>
      </w:r>
      <w:r>
        <w:rPr>
          <w:szCs w:val="22"/>
        </w:rPr>
        <w:t>a</w:t>
      </w:r>
      <w:r w:rsidRPr="002F77FB">
        <w:rPr>
          <w:szCs w:val="22"/>
        </w:rPr>
        <w:t>ttack</w:t>
      </w:r>
      <w:proofErr w:type="spellEnd"/>
      <w:r w:rsidRPr="002F77FB">
        <w:rPr>
          <w:szCs w:val="22"/>
        </w:rPr>
        <w:t xml:space="preserve">, natural disaster, major technical failure) </w:t>
      </w:r>
      <w:r>
        <w:rPr>
          <w:szCs w:val="22"/>
        </w:rPr>
        <w:t>may</w:t>
      </w:r>
      <w:r w:rsidRPr="002F77FB">
        <w:rPr>
          <w:szCs w:val="22"/>
        </w:rPr>
        <w:t xml:space="preserve"> therefore impact the PCT.</w:t>
      </w:r>
    </w:p>
    <w:p w:rsidR="0023007B" w:rsidRPr="002F77FB" w:rsidRDefault="0023007B" w:rsidP="0023007B">
      <w:pPr>
        <w:rPr>
          <w:szCs w:val="22"/>
        </w:rPr>
      </w:pPr>
    </w:p>
    <w:p w:rsidR="0023007B" w:rsidRDefault="0023007B" w:rsidP="0023007B">
      <w:pPr>
        <w:rPr>
          <w:szCs w:val="22"/>
        </w:rPr>
      </w:pPr>
      <w:r w:rsidRPr="002F77FB">
        <w:rPr>
          <w:szCs w:val="22"/>
        </w:rPr>
        <w:t>In order to be responsive, efficient and ensure the highest level of security, WIPO needs to make sure that it builds a responsive communications interface between itself and its Member States, customers and key stakeholders.  This implies:</w:t>
      </w:r>
    </w:p>
    <w:p w:rsidR="0023007B" w:rsidRPr="002F77FB" w:rsidRDefault="0023007B" w:rsidP="0023007B">
      <w:pPr>
        <w:rPr>
          <w:szCs w:val="22"/>
        </w:rPr>
      </w:pPr>
    </w:p>
    <w:p w:rsidR="0023007B" w:rsidRPr="002F77FB" w:rsidRDefault="006E606D" w:rsidP="0023007B">
      <w:pPr>
        <w:pStyle w:val="ListParagraph"/>
        <w:numPr>
          <w:ilvl w:val="1"/>
          <w:numId w:val="29"/>
        </w:numPr>
        <w:rPr>
          <w:szCs w:val="22"/>
        </w:rPr>
      </w:pPr>
      <w:r>
        <w:rPr>
          <w:szCs w:val="22"/>
        </w:rPr>
        <w:t>i</w:t>
      </w:r>
      <w:r w:rsidR="0023007B" w:rsidRPr="002F77FB">
        <w:rPr>
          <w:szCs w:val="22"/>
        </w:rPr>
        <w:t>ncreasing the security of the systems storing and processing WIPO’s sensitive and critical PCT data</w:t>
      </w:r>
      <w:r>
        <w:rPr>
          <w:szCs w:val="22"/>
        </w:rPr>
        <w:t>;</w:t>
      </w:r>
    </w:p>
    <w:p w:rsidR="0023007B" w:rsidRPr="002F77FB" w:rsidRDefault="006E606D" w:rsidP="0023007B">
      <w:pPr>
        <w:pStyle w:val="ListParagraph"/>
        <w:numPr>
          <w:ilvl w:val="1"/>
          <w:numId w:val="29"/>
        </w:numPr>
        <w:rPr>
          <w:szCs w:val="22"/>
        </w:rPr>
      </w:pPr>
      <w:r>
        <w:rPr>
          <w:szCs w:val="22"/>
        </w:rPr>
        <w:t>i</w:t>
      </w:r>
      <w:r w:rsidR="0023007B" w:rsidRPr="002F77FB">
        <w:rPr>
          <w:szCs w:val="22"/>
        </w:rPr>
        <w:t>ncreasing the availability and resiliency of WIPO’s critical PCT business processes and related systems</w:t>
      </w:r>
      <w:r>
        <w:rPr>
          <w:szCs w:val="22"/>
        </w:rPr>
        <w:t>;</w:t>
      </w:r>
    </w:p>
    <w:p w:rsidR="0023007B" w:rsidRPr="002F77FB" w:rsidRDefault="006E606D" w:rsidP="0023007B">
      <w:pPr>
        <w:pStyle w:val="ListParagraph"/>
        <w:numPr>
          <w:ilvl w:val="1"/>
          <w:numId w:val="29"/>
        </w:numPr>
        <w:rPr>
          <w:szCs w:val="22"/>
        </w:rPr>
      </w:pPr>
      <w:r>
        <w:rPr>
          <w:szCs w:val="22"/>
        </w:rPr>
        <w:t>i</w:t>
      </w:r>
      <w:r w:rsidR="0023007B" w:rsidRPr="002F77FB">
        <w:rPr>
          <w:szCs w:val="22"/>
        </w:rPr>
        <w:t>mproving the data identification, classification and protection</w:t>
      </w:r>
      <w:r>
        <w:rPr>
          <w:szCs w:val="22"/>
        </w:rPr>
        <w:t>; and</w:t>
      </w:r>
    </w:p>
    <w:p w:rsidR="0023007B" w:rsidRPr="002F77FB" w:rsidRDefault="006E606D" w:rsidP="0023007B">
      <w:pPr>
        <w:pStyle w:val="ListParagraph"/>
        <w:numPr>
          <w:ilvl w:val="1"/>
          <w:numId w:val="29"/>
        </w:numPr>
        <w:rPr>
          <w:szCs w:val="22"/>
        </w:rPr>
      </w:pPr>
      <w:r>
        <w:rPr>
          <w:szCs w:val="22"/>
        </w:rPr>
        <w:t>i</w:t>
      </w:r>
      <w:r w:rsidR="0023007B" w:rsidRPr="002F77FB">
        <w:rPr>
          <w:szCs w:val="22"/>
        </w:rPr>
        <w:t>mproving PCT business systems agility and uniformity.</w:t>
      </w:r>
    </w:p>
    <w:p w:rsidR="0023007B" w:rsidRPr="002F77FB" w:rsidRDefault="0023007B" w:rsidP="0023007B">
      <w:pPr>
        <w:rPr>
          <w:szCs w:val="22"/>
        </w:rPr>
      </w:pPr>
    </w:p>
    <w:p w:rsidR="0023007B" w:rsidRDefault="0023007B" w:rsidP="0023007B">
      <w:pPr>
        <w:rPr>
          <w:szCs w:val="22"/>
        </w:rPr>
      </w:pPr>
      <w:r w:rsidRPr="002F77FB">
        <w:rPr>
          <w:szCs w:val="22"/>
        </w:rPr>
        <w:t>The expected benefits of the Resilient and Secure Platform for the PCT will enable the PCT to:</w:t>
      </w:r>
    </w:p>
    <w:p w:rsidR="0023007B" w:rsidRPr="002F77FB" w:rsidRDefault="0023007B" w:rsidP="0023007B">
      <w:pPr>
        <w:rPr>
          <w:szCs w:val="22"/>
        </w:rPr>
      </w:pPr>
      <w:r w:rsidRPr="002F77FB">
        <w:rPr>
          <w:szCs w:val="22"/>
        </w:rPr>
        <w:t xml:space="preserve"> </w:t>
      </w:r>
    </w:p>
    <w:p w:rsidR="0023007B" w:rsidRPr="002F77FB" w:rsidRDefault="0023007B" w:rsidP="0023007B">
      <w:pPr>
        <w:pStyle w:val="ListParagraph"/>
        <w:numPr>
          <w:ilvl w:val="0"/>
          <w:numId w:val="30"/>
        </w:numPr>
        <w:rPr>
          <w:szCs w:val="22"/>
        </w:rPr>
      </w:pPr>
      <w:r w:rsidRPr="002F77FB">
        <w:rPr>
          <w:szCs w:val="22"/>
        </w:rPr>
        <w:t>ensure adequate identification and protection of its critical data against security threats, in particular cyber-attacks, and</w:t>
      </w:r>
    </w:p>
    <w:p w:rsidR="0023007B" w:rsidRDefault="0023007B" w:rsidP="0023007B">
      <w:pPr>
        <w:pStyle w:val="ListParagraph"/>
        <w:numPr>
          <w:ilvl w:val="0"/>
          <w:numId w:val="30"/>
        </w:numPr>
        <w:rPr>
          <w:szCs w:val="22"/>
        </w:rPr>
      </w:pPr>
      <w:r w:rsidRPr="002F77FB">
        <w:rPr>
          <w:szCs w:val="22"/>
        </w:rPr>
        <w:t>provide increased services availability, resilience and continuity in case of major technical issues or disasters.</w:t>
      </w:r>
    </w:p>
    <w:p w:rsidR="0023007B" w:rsidRDefault="0023007B" w:rsidP="0023007B">
      <w:pPr>
        <w:pStyle w:val="ListParagraph"/>
        <w:rPr>
          <w:szCs w:val="22"/>
        </w:rPr>
      </w:pPr>
    </w:p>
    <w:p w:rsidR="0023007B" w:rsidRPr="002F77FB" w:rsidRDefault="0023007B" w:rsidP="0023007B">
      <w:pPr>
        <w:rPr>
          <w:szCs w:val="22"/>
        </w:rPr>
      </w:pPr>
      <w:r w:rsidRPr="002F77FB">
        <w:rPr>
          <w:szCs w:val="22"/>
        </w:rPr>
        <w:t>The Resilient and Secure Platform proposes a “System high” approach for PCT production data, with segregation of the PCT information and information systems</w:t>
      </w:r>
      <w:r w:rsidR="00646A86">
        <w:rPr>
          <w:szCs w:val="22"/>
        </w:rPr>
        <w:t xml:space="preserve"> </w:t>
      </w:r>
      <w:r w:rsidRPr="002F77FB">
        <w:rPr>
          <w:szCs w:val="22"/>
        </w:rPr>
        <w:t xml:space="preserve">(where possible, taking into consideration external facing applications constraints such as </w:t>
      </w:r>
      <w:proofErr w:type="spellStart"/>
      <w:r w:rsidRPr="002F77FB">
        <w:rPr>
          <w:szCs w:val="22"/>
        </w:rPr>
        <w:t>ePCT</w:t>
      </w:r>
      <w:proofErr w:type="spellEnd"/>
      <w:r w:rsidRPr="002F77FB">
        <w:rPr>
          <w:szCs w:val="22"/>
        </w:rPr>
        <w:t xml:space="preserve">) from the rest of WIPO’s corporate network. </w:t>
      </w:r>
      <w:r w:rsidR="00646A86">
        <w:rPr>
          <w:szCs w:val="22"/>
        </w:rPr>
        <w:t xml:space="preserve"> </w:t>
      </w:r>
      <w:r w:rsidRPr="002F77FB">
        <w:rPr>
          <w:szCs w:val="22"/>
        </w:rPr>
        <w:t>The highly confidential network will be protected using a high security segregation solution, with connections to other PCT environments (TEST, DEV) tightly controlled.</w:t>
      </w:r>
    </w:p>
    <w:p w:rsidR="0023007B" w:rsidRDefault="0023007B" w:rsidP="0023007B">
      <w:pPr>
        <w:rPr>
          <w:i/>
        </w:rPr>
      </w:pPr>
    </w:p>
    <w:p w:rsidR="0023007B" w:rsidRDefault="0023007B" w:rsidP="0023007B">
      <w:pPr>
        <w:rPr>
          <w:i/>
        </w:rPr>
      </w:pPr>
    </w:p>
    <w:p w:rsidR="0023007B" w:rsidRPr="002F77FB" w:rsidRDefault="0023007B" w:rsidP="0023007B">
      <w:pPr>
        <w:rPr>
          <w:i/>
          <w:szCs w:val="22"/>
        </w:rPr>
      </w:pPr>
      <w:r w:rsidRPr="002F77FB">
        <w:rPr>
          <w:i/>
          <w:szCs w:val="22"/>
        </w:rPr>
        <w:t xml:space="preserve">Project Implementation </w:t>
      </w:r>
    </w:p>
    <w:p w:rsidR="0023007B" w:rsidRPr="002F77FB" w:rsidRDefault="0023007B" w:rsidP="0023007B">
      <w:pPr>
        <w:rPr>
          <w:szCs w:val="22"/>
        </w:rPr>
      </w:pPr>
    </w:p>
    <w:p w:rsidR="0023007B" w:rsidRPr="002F77FB" w:rsidRDefault="0023007B" w:rsidP="0023007B">
      <w:pPr>
        <w:rPr>
          <w:szCs w:val="22"/>
        </w:rPr>
      </w:pPr>
      <w:r>
        <w:rPr>
          <w:szCs w:val="22"/>
        </w:rPr>
        <w:t>P</w:t>
      </w:r>
      <w:r w:rsidRPr="002F77FB">
        <w:rPr>
          <w:szCs w:val="22"/>
        </w:rPr>
        <w:t xml:space="preserve">hase </w:t>
      </w:r>
      <w:r>
        <w:rPr>
          <w:szCs w:val="22"/>
        </w:rPr>
        <w:t xml:space="preserve">I of the project </w:t>
      </w:r>
      <w:r w:rsidRPr="002F77FB">
        <w:rPr>
          <w:szCs w:val="22"/>
        </w:rPr>
        <w:t xml:space="preserve">aims at </w:t>
      </w:r>
      <w:r>
        <w:rPr>
          <w:szCs w:val="22"/>
        </w:rPr>
        <w:t>establi</w:t>
      </w:r>
      <w:r w:rsidR="00646A86">
        <w:rPr>
          <w:szCs w:val="22"/>
        </w:rPr>
        <w:t>sh</w:t>
      </w:r>
      <w:r>
        <w:rPr>
          <w:szCs w:val="22"/>
        </w:rPr>
        <w:t>ing</w:t>
      </w:r>
      <w:r w:rsidRPr="002F77FB">
        <w:rPr>
          <w:szCs w:val="22"/>
        </w:rPr>
        <w:t xml:space="preserve"> </w:t>
      </w:r>
      <w:r>
        <w:rPr>
          <w:szCs w:val="22"/>
        </w:rPr>
        <w:t>a</w:t>
      </w:r>
      <w:r w:rsidRPr="002F77FB">
        <w:rPr>
          <w:szCs w:val="22"/>
        </w:rPr>
        <w:t xml:space="preserve"> first Data Cent</w:t>
      </w:r>
      <w:r w:rsidR="00646A86">
        <w:rPr>
          <w:szCs w:val="22"/>
        </w:rPr>
        <w:t>e</w:t>
      </w:r>
      <w:r w:rsidRPr="002F77FB">
        <w:rPr>
          <w:szCs w:val="22"/>
        </w:rPr>
        <w:t>r (DC1), replacin</w:t>
      </w:r>
      <w:r w:rsidR="00646A86">
        <w:rPr>
          <w:szCs w:val="22"/>
        </w:rPr>
        <w:t>g the current Primary Data Cent</w:t>
      </w:r>
      <w:r w:rsidRPr="002F77FB">
        <w:rPr>
          <w:szCs w:val="22"/>
        </w:rPr>
        <w:t>e</w:t>
      </w:r>
      <w:r w:rsidR="00646A86">
        <w:rPr>
          <w:szCs w:val="22"/>
        </w:rPr>
        <w:t>r</w:t>
      </w:r>
      <w:r>
        <w:rPr>
          <w:szCs w:val="22"/>
        </w:rPr>
        <w:t xml:space="preserve"> during the biennium 2018/19.  This will include an Application Architecture design project, a User Access project</w:t>
      </w:r>
      <w:r w:rsidR="00646A86">
        <w:rPr>
          <w:szCs w:val="22"/>
        </w:rPr>
        <w:t>,</w:t>
      </w:r>
      <w:r>
        <w:rPr>
          <w:szCs w:val="22"/>
        </w:rPr>
        <w:t xml:space="preserve"> and a Data Architecture review project. </w:t>
      </w:r>
    </w:p>
    <w:p w:rsidR="0023007B" w:rsidRPr="002F77FB" w:rsidRDefault="0023007B" w:rsidP="0023007B">
      <w:pPr>
        <w:pStyle w:val="ListParagraph"/>
        <w:rPr>
          <w:szCs w:val="22"/>
        </w:rPr>
      </w:pPr>
    </w:p>
    <w:p w:rsidR="0023007B" w:rsidRDefault="0023007B" w:rsidP="0023007B">
      <w:r>
        <w:t xml:space="preserve">Notwithstanding the segregation foreseen, the impact of the Global IP Platform on </w:t>
      </w:r>
      <w:proofErr w:type="spellStart"/>
      <w:r>
        <w:t>ePCT</w:t>
      </w:r>
      <w:proofErr w:type="spellEnd"/>
      <w:r>
        <w:t xml:space="preserve"> will be examined with a view to identifying the best technical integration solution between the two platforms.</w:t>
      </w:r>
      <w:r w:rsidDel="00496BF8">
        <w:t xml:space="preserve"> </w:t>
      </w:r>
    </w:p>
    <w:p w:rsidR="0023007B" w:rsidRPr="00C07BED" w:rsidRDefault="0023007B" w:rsidP="0023007B">
      <w:pPr>
        <w:rPr>
          <w:i/>
        </w:rPr>
      </w:pPr>
      <w:r w:rsidRPr="00C07BED">
        <w:rPr>
          <w:i/>
        </w:rPr>
        <w:lastRenderedPageBreak/>
        <w:t>Drivers</w:t>
      </w:r>
    </w:p>
    <w:p w:rsidR="0023007B" w:rsidRDefault="0023007B" w:rsidP="0023007B"/>
    <w:p w:rsidR="0023007B" w:rsidRDefault="0023007B" w:rsidP="0023007B">
      <w:r w:rsidRPr="00FC392E">
        <w:rPr>
          <w:i/>
        </w:rPr>
        <w:t>Safety</w:t>
      </w:r>
      <w:r w:rsidR="00E8145F">
        <w:rPr>
          <w:i/>
        </w:rPr>
        <w:t>,</w:t>
      </w:r>
      <w:r w:rsidRPr="00FC392E">
        <w:rPr>
          <w:i/>
        </w:rPr>
        <w:t xml:space="preserve"> security</w:t>
      </w:r>
      <w:r w:rsidRPr="00646A86">
        <w:rPr>
          <w:i/>
        </w:rPr>
        <w:t xml:space="preserve"> </w:t>
      </w:r>
      <w:r w:rsidR="00E8145F" w:rsidRPr="00646A86">
        <w:rPr>
          <w:i/>
        </w:rPr>
        <w:t>and information assurance</w:t>
      </w:r>
      <w:r w:rsidR="00646A86">
        <w:t xml:space="preserve"> </w:t>
      </w:r>
      <w:r>
        <w:t>– The risk of cyberattacks is continuously increasing</w:t>
      </w:r>
      <w:r w:rsidR="00646A86">
        <w:t>,</w:t>
      </w:r>
      <w:r>
        <w:t xml:space="preserve"> and this needs to be addressed to enable the Organization to continue to function and maintain the confidence of users of the PCT services.    </w:t>
      </w:r>
    </w:p>
    <w:p w:rsidR="0023007B" w:rsidRDefault="0023007B" w:rsidP="0023007B"/>
    <w:p w:rsidR="0023007B" w:rsidRDefault="0023007B" w:rsidP="0023007B">
      <w:r w:rsidRPr="007E6B5E">
        <w:rPr>
          <w:i/>
        </w:rPr>
        <w:t>Business need</w:t>
      </w:r>
      <w:r>
        <w:t xml:space="preserve"> – WIPO depends on the safety and security of the confidential data it manages under the PCT.  Failure to protect the data from outside intervention could have catastrophic consequences, damage WIPO’s reputation and lead to reductions in revenue.</w:t>
      </w:r>
    </w:p>
    <w:p w:rsidR="0023007B" w:rsidRDefault="0023007B" w:rsidP="0023007B"/>
    <w:p w:rsidR="0023007B" w:rsidRDefault="0023007B" w:rsidP="0023007B">
      <w:r>
        <w:t>The project meets the requirements in Principle 3 of the Revised Reserve Policy as a one-time extraordinary capital project based upon its size and its scope.</w:t>
      </w:r>
    </w:p>
    <w:p w:rsidR="0023007B" w:rsidRDefault="0023007B" w:rsidP="0023007B"/>
    <w:p w:rsidR="0023007B" w:rsidRDefault="0023007B" w:rsidP="0023007B"/>
    <w:p w:rsidR="0023007B" w:rsidRPr="00E413D0" w:rsidRDefault="0023007B" w:rsidP="0023007B">
      <w:pPr>
        <w:rPr>
          <w:i/>
          <w:szCs w:val="22"/>
        </w:rPr>
      </w:pPr>
      <w:r w:rsidRPr="00E413D0">
        <w:rPr>
          <w:i/>
          <w:szCs w:val="22"/>
        </w:rPr>
        <w:t>Estimated recurring operational costs</w:t>
      </w:r>
    </w:p>
    <w:p w:rsidR="0023007B" w:rsidRDefault="0023007B" w:rsidP="0023007B"/>
    <w:p w:rsidR="0023007B" w:rsidRDefault="0023007B" w:rsidP="0023007B">
      <w:pPr>
        <w:rPr>
          <w:szCs w:val="22"/>
        </w:rPr>
      </w:pPr>
      <w:r>
        <w:rPr>
          <w:szCs w:val="22"/>
        </w:rPr>
        <w:t>T</w:t>
      </w:r>
      <w:r w:rsidRPr="002F77FB">
        <w:rPr>
          <w:szCs w:val="22"/>
        </w:rPr>
        <w:t xml:space="preserve">he recurring costs of maintenance and operation </w:t>
      </w:r>
      <w:r>
        <w:rPr>
          <w:szCs w:val="22"/>
        </w:rPr>
        <w:t>of the Data Center will</w:t>
      </w:r>
      <w:r w:rsidRPr="002F77FB">
        <w:rPr>
          <w:szCs w:val="22"/>
        </w:rPr>
        <w:t xml:space="preserve"> be included in successive Program and Budget proposals as part of the regular budget. </w:t>
      </w:r>
      <w:r>
        <w:rPr>
          <w:szCs w:val="22"/>
        </w:rPr>
        <w:t xml:space="preserve"> The</w:t>
      </w:r>
      <w:r w:rsidRPr="002F77FB">
        <w:rPr>
          <w:szCs w:val="22"/>
        </w:rPr>
        <w:t xml:space="preserve"> estimate</w:t>
      </w:r>
      <w:r>
        <w:rPr>
          <w:szCs w:val="22"/>
        </w:rPr>
        <w:t>d</w:t>
      </w:r>
      <w:r w:rsidRPr="002F77FB">
        <w:rPr>
          <w:szCs w:val="22"/>
        </w:rPr>
        <w:t xml:space="preserve"> recurring costs</w:t>
      </w:r>
      <w:r>
        <w:rPr>
          <w:szCs w:val="22"/>
        </w:rPr>
        <w:t xml:space="preserve"> following the completion of Phase I</w:t>
      </w:r>
      <w:r w:rsidRPr="002F77FB">
        <w:rPr>
          <w:szCs w:val="22"/>
        </w:rPr>
        <w:t xml:space="preserve"> </w:t>
      </w:r>
      <w:r>
        <w:rPr>
          <w:szCs w:val="22"/>
        </w:rPr>
        <w:t>is estimated at 4.06</w:t>
      </w:r>
      <w:r w:rsidRPr="002F77FB">
        <w:rPr>
          <w:szCs w:val="22"/>
        </w:rPr>
        <w:t xml:space="preserve"> million Swiss francs per year.</w:t>
      </w:r>
    </w:p>
    <w:p w:rsidR="00E413D0" w:rsidRPr="002F77FB" w:rsidRDefault="00E413D0" w:rsidP="00E413D0">
      <w:pPr>
        <w:rPr>
          <w:szCs w:val="22"/>
        </w:rPr>
      </w:pPr>
    </w:p>
    <w:p w:rsidR="00E413D0" w:rsidRDefault="00E413D0" w:rsidP="00E23B76"/>
    <w:p w:rsidR="00182AA9" w:rsidRDefault="00182AA9" w:rsidP="00182AA9"/>
    <w:p w:rsidR="0004621A" w:rsidRDefault="0004621A" w:rsidP="0004621A">
      <w:pPr>
        <w:tabs>
          <w:tab w:val="left" w:pos="5670"/>
        </w:tabs>
        <w:sectPr w:rsidR="0004621A" w:rsidSect="00207BFD">
          <w:headerReference w:type="default" r:id="rId18"/>
          <w:headerReference w:type="first" r:id="rId19"/>
          <w:pgSz w:w="11907" w:h="16840" w:code="9"/>
          <w:pgMar w:top="1417" w:right="1417" w:bottom="1417" w:left="1417" w:header="709" w:footer="709" w:gutter="0"/>
          <w:pgNumType w:start="1"/>
          <w:cols w:space="720"/>
          <w:titlePg/>
          <w:docGrid w:linePitch="299"/>
        </w:sectPr>
      </w:pPr>
      <w:r>
        <w:tab/>
      </w:r>
      <w:r w:rsidRPr="00E96C17">
        <w:t xml:space="preserve">[Annex </w:t>
      </w:r>
      <w:r>
        <w:t>IV</w:t>
      </w:r>
      <w:r w:rsidRPr="00E96C17">
        <w:t xml:space="preserve"> follows]</w:t>
      </w:r>
    </w:p>
    <w:p w:rsidR="001718CC" w:rsidRPr="00973B06" w:rsidRDefault="005101D2" w:rsidP="00973B06">
      <w:pPr>
        <w:pStyle w:val="Heading1"/>
        <w:spacing w:before="0"/>
      </w:pPr>
      <w:r w:rsidRPr="00973B06">
        <w:lastRenderedPageBreak/>
        <w:t xml:space="preserve">ANNEX IV: </w:t>
      </w:r>
      <w:r w:rsidR="009C75B6" w:rsidRPr="00973B06">
        <w:t xml:space="preserve"> </w:t>
      </w:r>
      <w:r w:rsidR="001718CC" w:rsidRPr="00973B06">
        <w:t xml:space="preserve">MADRID </w:t>
      </w:r>
      <w:r w:rsidR="0010054E" w:rsidRPr="00973B06">
        <w:t xml:space="preserve">IT </w:t>
      </w:r>
      <w:r w:rsidR="001718CC" w:rsidRPr="00973B06">
        <w:t>PLATFORM</w:t>
      </w:r>
    </w:p>
    <w:p w:rsidR="001718CC" w:rsidRDefault="001718CC" w:rsidP="001718CC"/>
    <w:p w:rsidR="001718CC" w:rsidRPr="00B264CA" w:rsidRDefault="001718CC" w:rsidP="001718CC">
      <w:pPr>
        <w:rPr>
          <w:i/>
        </w:rPr>
      </w:pPr>
      <w:r w:rsidRPr="00B264CA">
        <w:rPr>
          <w:i/>
        </w:rPr>
        <w:t xml:space="preserve">Project objectives and expected </w:t>
      </w:r>
      <w:r w:rsidR="00B264CA" w:rsidRPr="00B264CA">
        <w:rPr>
          <w:i/>
        </w:rPr>
        <w:t>benefits</w:t>
      </w:r>
    </w:p>
    <w:p w:rsidR="001718CC" w:rsidRDefault="001718CC" w:rsidP="001718CC"/>
    <w:p w:rsidR="001718CC" w:rsidRDefault="001718CC" w:rsidP="001718CC">
      <w:r>
        <w:t xml:space="preserve">The Madrid IT modernization program was completed </w:t>
      </w:r>
      <w:r w:rsidR="00811659">
        <w:t xml:space="preserve">in </w:t>
      </w:r>
      <w:r>
        <w:t>201</w:t>
      </w:r>
      <w:r w:rsidR="0010054E">
        <w:t>6</w:t>
      </w:r>
      <w:r w:rsidR="00646A86">
        <w:t>,</w:t>
      </w:r>
      <w:r>
        <w:t xml:space="preserve"> achieving </w:t>
      </w:r>
      <w:r w:rsidR="00811659">
        <w:t xml:space="preserve">the </w:t>
      </w:r>
      <w:r w:rsidR="00223C7B">
        <w:t xml:space="preserve">goal of </w:t>
      </w:r>
      <w:r w:rsidR="00811659">
        <w:t>migratin</w:t>
      </w:r>
      <w:r w:rsidR="00223C7B">
        <w:t>g</w:t>
      </w:r>
      <w:r w:rsidR="00811659">
        <w:t xml:space="preserve"> of </w:t>
      </w:r>
      <w:r>
        <w:t xml:space="preserve">IT systems based on outdated 1990s  </w:t>
      </w:r>
      <w:r w:rsidR="00223C7B">
        <w:t xml:space="preserve">legacy approached </w:t>
      </w:r>
      <w:r>
        <w:t xml:space="preserve">to a more modern IT </w:t>
      </w:r>
      <w:r w:rsidR="00223C7B">
        <w:t xml:space="preserve">technology </w:t>
      </w:r>
      <w:r>
        <w:t xml:space="preserve">and adding functions to enable </w:t>
      </w:r>
      <w:r w:rsidR="00811659">
        <w:t xml:space="preserve">selected </w:t>
      </w:r>
      <w:r>
        <w:t>electronic transactions.  However, th</w:t>
      </w:r>
      <w:r w:rsidR="00223C7B">
        <w:t xml:space="preserve">is IT system continues to be </w:t>
      </w:r>
      <w:r>
        <w:t>based on processes and administrative practices that have evolved over the long history of the Madrid Registry, rather than designed specifically to take advantage of the possibilities offered by state</w:t>
      </w:r>
      <w:r w:rsidR="00811659">
        <w:t>-</w:t>
      </w:r>
      <w:r>
        <w:t>of</w:t>
      </w:r>
      <w:r w:rsidR="00811659">
        <w:t>-</w:t>
      </w:r>
      <w:r>
        <w:t>the</w:t>
      </w:r>
      <w:r w:rsidR="00811659">
        <w:t>-</w:t>
      </w:r>
      <w:r>
        <w:t>art technological solutions.  The</w:t>
      </w:r>
      <w:r w:rsidR="0010054E">
        <w:t>re is</w:t>
      </w:r>
      <w:r w:rsidR="00646A86">
        <w:t>,</w:t>
      </w:r>
      <w:r w:rsidR="0010054E">
        <w:t xml:space="preserve"> therefore</w:t>
      </w:r>
      <w:r w:rsidR="00646A86">
        <w:t>,</w:t>
      </w:r>
      <w:r w:rsidR="0010054E">
        <w:t xml:space="preserve"> an urgent need for</w:t>
      </w:r>
      <w:r>
        <w:t xml:space="preserve"> a technological leap forward </w:t>
      </w:r>
      <w:r w:rsidR="00223C7B">
        <w:t xml:space="preserve">that can support </w:t>
      </w:r>
      <w:r>
        <w:t xml:space="preserve">optimized, efficient, resilient and flexible IT </w:t>
      </w:r>
      <w:r w:rsidR="00223C7B">
        <w:t xml:space="preserve">business processes </w:t>
      </w:r>
      <w:r>
        <w:t xml:space="preserve">that are customer-focused.  </w:t>
      </w:r>
    </w:p>
    <w:p w:rsidR="001718CC" w:rsidRDefault="001718CC" w:rsidP="001718CC"/>
    <w:p w:rsidR="001718CC" w:rsidRDefault="001718CC" w:rsidP="001718CC">
      <w:r>
        <w:t xml:space="preserve">The objective of the Madrid </w:t>
      </w:r>
      <w:r w:rsidR="0010054E">
        <w:t xml:space="preserve">IT </w:t>
      </w:r>
      <w:r>
        <w:t xml:space="preserve">Platform </w:t>
      </w:r>
      <w:r w:rsidR="0010054E">
        <w:t>project</w:t>
      </w:r>
      <w:r>
        <w:t xml:space="preserve"> is to design, plan and implement </w:t>
      </w:r>
      <w:r w:rsidR="00223C7B">
        <w:t xml:space="preserve">the core components of </w:t>
      </w:r>
      <w:r>
        <w:t xml:space="preserve">a comprehensive, state-of-the-art </w:t>
      </w:r>
      <w:r w:rsidR="00223C7B">
        <w:t xml:space="preserve">and agile </w:t>
      </w:r>
      <w:r>
        <w:t>business solution for all Madrid System services</w:t>
      </w:r>
      <w:r w:rsidR="00223C7B">
        <w:t>.</w:t>
      </w:r>
      <w:r>
        <w:t xml:space="preserve"> </w:t>
      </w:r>
      <w:r w:rsidR="00223C7B">
        <w:t xml:space="preserve">  In addition, it is expected to enable future integration of </w:t>
      </w:r>
      <w:r>
        <w:t xml:space="preserve">the Madrid System into the Global IP </w:t>
      </w:r>
      <w:r w:rsidR="0010054E">
        <w:t>Platform</w:t>
      </w:r>
      <w:r w:rsidR="00646A86">
        <w:t>,</w:t>
      </w:r>
      <w:r>
        <w:t xml:space="preserve"> </w:t>
      </w:r>
      <w:r w:rsidR="00223C7B">
        <w:t xml:space="preserve">through </w:t>
      </w:r>
      <w:r>
        <w:t>adopting, where possible, common architecture and look and feel, and achieving efficiencies through the provision of common functionalities in areas such as identity management, security and financial administration</w:t>
      </w:r>
      <w:r w:rsidR="00811659">
        <w:t>.</w:t>
      </w:r>
      <w:r>
        <w:t xml:space="preserve"> </w:t>
      </w:r>
      <w:r w:rsidR="00811659">
        <w:t xml:space="preserve"> </w:t>
      </w:r>
      <w:r>
        <w:t xml:space="preserve">The </w:t>
      </w:r>
      <w:r w:rsidR="00223C7B">
        <w:t xml:space="preserve">completed </w:t>
      </w:r>
      <w:r w:rsidR="00811659">
        <w:t xml:space="preserve">project </w:t>
      </w:r>
      <w:r>
        <w:t xml:space="preserve">is further expected to promote alignment between the </w:t>
      </w:r>
      <w:r w:rsidR="005C26F2">
        <w:t xml:space="preserve">ICT </w:t>
      </w:r>
      <w:r>
        <w:t xml:space="preserve">systems of national Offices and the </w:t>
      </w:r>
      <w:r w:rsidR="00811659">
        <w:t>IB</w:t>
      </w:r>
      <w:r>
        <w:t>, thereby improving the quality of data interchange and minimizing manual intervention.</w:t>
      </w:r>
    </w:p>
    <w:p w:rsidR="001718CC" w:rsidRDefault="001718CC" w:rsidP="001718CC"/>
    <w:p w:rsidR="001718CC" w:rsidRDefault="001718CC" w:rsidP="001718CC">
      <w:r>
        <w:t xml:space="preserve">The Madrid </w:t>
      </w:r>
      <w:r w:rsidR="0010054E">
        <w:t xml:space="preserve">IT </w:t>
      </w:r>
      <w:r>
        <w:t xml:space="preserve">Platform </w:t>
      </w:r>
      <w:r w:rsidR="00223C7B">
        <w:t xml:space="preserve">is expected to </w:t>
      </w:r>
      <w:r>
        <w:t xml:space="preserve">constitute a single </w:t>
      </w:r>
      <w:r w:rsidR="00223C7B">
        <w:t xml:space="preserve">resilient </w:t>
      </w:r>
      <w:r>
        <w:t xml:space="preserve">hub for international trademark registrations and for interaction between the IB and the Offices of Madrid System members.  </w:t>
      </w:r>
      <w:r w:rsidR="00504966">
        <w:t xml:space="preserve">The Madrid IT Platform </w:t>
      </w:r>
      <w:r w:rsidR="0010054E">
        <w:t xml:space="preserve">is </w:t>
      </w:r>
      <w:r w:rsidR="00504966">
        <w:t xml:space="preserve">therefore </w:t>
      </w:r>
      <w:r w:rsidR="0010054E">
        <w:t xml:space="preserve">expected to provide the </w:t>
      </w:r>
      <w:r>
        <w:t xml:space="preserve">following </w:t>
      </w:r>
      <w:r w:rsidR="00504966">
        <w:t>longer-</w:t>
      </w:r>
      <w:r w:rsidR="00223C7B">
        <w:t xml:space="preserve">term </w:t>
      </w:r>
      <w:r w:rsidR="0010054E">
        <w:t>benefits</w:t>
      </w:r>
      <w:r>
        <w:t>:</w:t>
      </w:r>
    </w:p>
    <w:p w:rsidR="001718CC" w:rsidRDefault="001718CC" w:rsidP="001718CC"/>
    <w:p w:rsidR="001718CC" w:rsidRDefault="00FB217E" w:rsidP="00AB747C">
      <w:pPr>
        <w:pStyle w:val="ListParagraph"/>
        <w:numPr>
          <w:ilvl w:val="0"/>
          <w:numId w:val="34"/>
        </w:numPr>
      </w:pPr>
      <w:r>
        <w:t>p</w:t>
      </w:r>
      <w:r w:rsidR="001718CC">
        <w:t xml:space="preserve">rovide applicants and holders of international registrations, Offices of Contracting Parties and the IB with real-time, synchronous </w:t>
      </w:r>
      <w:r w:rsidR="001718CC" w:rsidRPr="001C5EBF">
        <w:t>access</w:t>
      </w:r>
      <w:r w:rsidR="001718CC">
        <w:t xml:space="preserve"> to all</w:t>
      </w:r>
      <w:r w:rsidR="001718CC" w:rsidRPr="001C5EBF">
        <w:t xml:space="preserve"> in</w:t>
      </w:r>
      <w:r w:rsidR="001718CC">
        <w:t>formation and data relating to international applications and r</w:t>
      </w:r>
      <w:r w:rsidR="001718CC" w:rsidRPr="001C5EBF">
        <w:t>egistrations</w:t>
      </w:r>
      <w:r>
        <w:t>;</w:t>
      </w:r>
    </w:p>
    <w:p w:rsidR="001718CC" w:rsidRDefault="001718CC" w:rsidP="001718CC">
      <w:pPr>
        <w:pStyle w:val="ListParagraph"/>
        <w:ind w:left="567"/>
      </w:pPr>
    </w:p>
    <w:p w:rsidR="001718CC" w:rsidRDefault="00FB217E" w:rsidP="00AB747C">
      <w:pPr>
        <w:pStyle w:val="ListParagraph"/>
        <w:numPr>
          <w:ilvl w:val="0"/>
          <w:numId w:val="34"/>
        </w:numPr>
      </w:pPr>
      <w:r>
        <w:t>e</w:t>
      </w:r>
      <w:r w:rsidR="001718CC" w:rsidRPr="001C5EBF">
        <w:t xml:space="preserve">liminate uncertainty related to the transmittal or manual processing of data exchanged between </w:t>
      </w:r>
      <w:r w:rsidR="001718CC">
        <w:t xml:space="preserve">applicants and holders, Offices of Contracting Parties and </w:t>
      </w:r>
      <w:r w:rsidR="001718CC" w:rsidRPr="001C5EBF">
        <w:t>the IB</w:t>
      </w:r>
      <w:r w:rsidR="001718CC">
        <w:t xml:space="preserve">, </w:t>
      </w:r>
      <w:r w:rsidR="00504966">
        <w:t xml:space="preserve">through </w:t>
      </w:r>
      <w:r w:rsidR="001718CC">
        <w:t xml:space="preserve">improving reliability, quality and verifiability of data products and reducing the requirements for manual intervention by </w:t>
      </w:r>
      <w:r w:rsidR="00504966">
        <w:t xml:space="preserve">Madrid </w:t>
      </w:r>
      <w:r w:rsidR="001718CC">
        <w:t>examiners</w:t>
      </w:r>
      <w:r>
        <w:t>;</w:t>
      </w:r>
      <w:r w:rsidR="001718CC">
        <w:br/>
      </w:r>
    </w:p>
    <w:p w:rsidR="001718CC" w:rsidRPr="008C350E" w:rsidRDefault="00FB217E" w:rsidP="008C350E">
      <w:pPr>
        <w:pStyle w:val="NormalWeb"/>
        <w:numPr>
          <w:ilvl w:val="0"/>
          <w:numId w:val="34"/>
        </w:numPr>
        <w:rPr>
          <w:rFonts w:ascii="Arial" w:hAnsi="Arial" w:cs="Arial"/>
        </w:rPr>
      </w:pPr>
      <w:r>
        <w:rPr>
          <w:rFonts w:ascii="Arial" w:eastAsia="SimSun" w:hAnsi="Arial" w:cs="Arial"/>
          <w:sz w:val="22"/>
          <w:szCs w:val="20"/>
          <w:lang w:eastAsia="zh-CN"/>
        </w:rPr>
        <w:t>d</w:t>
      </w:r>
      <w:r w:rsidR="008C350E" w:rsidRPr="008C350E">
        <w:rPr>
          <w:rFonts w:ascii="Arial" w:eastAsia="SimSun" w:hAnsi="Arial" w:cs="Arial"/>
          <w:sz w:val="22"/>
          <w:szCs w:val="20"/>
          <w:lang w:eastAsia="zh-CN"/>
        </w:rPr>
        <w:t>eploy an effective</w:t>
      </w:r>
      <w:r w:rsidR="00504966">
        <w:rPr>
          <w:rFonts w:ascii="Arial" w:eastAsia="SimSun" w:hAnsi="Arial" w:cs="Arial"/>
          <w:sz w:val="22"/>
          <w:szCs w:val="20"/>
          <w:lang w:eastAsia="zh-CN"/>
        </w:rPr>
        <w:t>, consistent</w:t>
      </w:r>
      <w:r w:rsidR="008C350E" w:rsidRPr="008C350E">
        <w:rPr>
          <w:rFonts w:ascii="Arial" w:eastAsia="SimSun" w:hAnsi="Arial" w:cs="Arial"/>
          <w:sz w:val="22"/>
          <w:szCs w:val="20"/>
          <w:lang w:eastAsia="zh-CN"/>
        </w:rPr>
        <w:t xml:space="preserve"> and modern notification system to keep users apprised of developments on trademarks, and reduce the volume of paper communication</w:t>
      </w:r>
      <w:r>
        <w:rPr>
          <w:rFonts w:ascii="Arial" w:eastAsia="SimSun" w:hAnsi="Arial" w:cs="Arial"/>
          <w:sz w:val="22"/>
          <w:szCs w:val="20"/>
          <w:lang w:eastAsia="zh-CN"/>
        </w:rPr>
        <w:t>;</w:t>
      </w:r>
      <w:r w:rsidR="001718CC" w:rsidRPr="008C350E">
        <w:br/>
      </w:r>
    </w:p>
    <w:p w:rsidR="001718CC" w:rsidRDefault="00FB217E" w:rsidP="00AB747C">
      <w:pPr>
        <w:pStyle w:val="ListParagraph"/>
        <w:numPr>
          <w:ilvl w:val="0"/>
          <w:numId w:val="34"/>
        </w:numPr>
      </w:pPr>
      <w:r>
        <w:t>p</w:t>
      </w:r>
      <w:r w:rsidR="001718CC">
        <w:t>rovide a</w:t>
      </w:r>
      <w:r w:rsidR="001718CC" w:rsidRPr="001C5EBF">
        <w:t xml:space="preserve"> gateway to the </w:t>
      </w:r>
      <w:proofErr w:type="spellStart"/>
      <w:r w:rsidR="001718CC" w:rsidRPr="001C5EBF">
        <w:t>eMadrid</w:t>
      </w:r>
      <w:proofErr w:type="spellEnd"/>
      <w:r w:rsidR="001718CC" w:rsidRPr="001C5EBF">
        <w:t xml:space="preserve"> portal of E-service tools that support customers throughout the lifecycle of their mark</w:t>
      </w:r>
      <w:r>
        <w:t>; and,</w:t>
      </w:r>
      <w:r w:rsidR="001718CC">
        <w:br/>
      </w:r>
    </w:p>
    <w:p w:rsidR="001718CC" w:rsidRDefault="00FB217E" w:rsidP="00AB747C">
      <w:pPr>
        <w:pStyle w:val="ListParagraph"/>
        <w:numPr>
          <w:ilvl w:val="0"/>
          <w:numId w:val="34"/>
        </w:numPr>
      </w:pPr>
      <w:r>
        <w:t>c</w:t>
      </w:r>
      <w:r w:rsidR="001718CC">
        <w:t>reate a</w:t>
      </w:r>
      <w:r w:rsidR="001718CC" w:rsidRPr="001C5EBF">
        <w:t xml:space="preserve"> streamlined and resilient Madrid System where customer-focus is the primary driver</w:t>
      </w:r>
      <w:r w:rsidR="001718CC">
        <w:t xml:space="preserve">, including, </w:t>
      </w:r>
      <w:r w:rsidR="00D84167">
        <w:t>if</w:t>
      </w:r>
      <w:r w:rsidR="001718CC">
        <w:t xml:space="preserve"> necessary, the adaptation of </w:t>
      </w:r>
      <w:r w:rsidR="001718CC" w:rsidRPr="001C5EBF">
        <w:t>the legal framework and operational practices</w:t>
      </w:r>
      <w:r w:rsidR="001718CC">
        <w:t>.</w:t>
      </w:r>
    </w:p>
    <w:p w:rsidR="001718CC" w:rsidRDefault="001718CC" w:rsidP="001718CC"/>
    <w:p w:rsidR="0010054E" w:rsidRDefault="0010054E" w:rsidP="001718CC"/>
    <w:p w:rsidR="0010054E" w:rsidRPr="0010054E" w:rsidRDefault="0010054E" w:rsidP="00D84167">
      <w:pPr>
        <w:rPr>
          <w:i/>
        </w:rPr>
      </w:pPr>
      <w:r w:rsidRPr="0010054E">
        <w:rPr>
          <w:i/>
        </w:rPr>
        <w:t>Project implementation</w:t>
      </w:r>
    </w:p>
    <w:p w:rsidR="0010054E" w:rsidRDefault="0010054E" w:rsidP="00D84167"/>
    <w:p w:rsidR="00D84167" w:rsidRDefault="001718CC" w:rsidP="0010054E">
      <w:r>
        <w:t xml:space="preserve">The </w:t>
      </w:r>
      <w:r w:rsidR="00BB753C">
        <w:t xml:space="preserve">core components of the </w:t>
      </w:r>
      <w:r w:rsidR="0010054E">
        <w:t xml:space="preserve">Madrid IT Platform will be delivered </w:t>
      </w:r>
      <w:r w:rsidR="008438D1">
        <w:t xml:space="preserve">in a phased implementation manner </w:t>
      </w:r>
      <w:r w:rsidR="0010054E">
        <w:t>in the 2018/19 biennium</w:t>
      </w:r>
      <w:r w:rsidR="00504966">
        <w:t xml:space="preserve"> through analysis of business requirements, streamlining of operational processes </w:t>
      </w:r>
      <w:r w:rsidR="0010054E">
        <w:t>and build</w:t>
      </w:r>
      <w:r w:rsidR="00504966">
        <w:t>ing</w:t>
      </w:r>
      <w:r w:rsidR="0010054E">
        <w:t xml:space="preserve"> on lessons learned from the new Hague IT Platform </w:t>
      </w:r>
      <w:r w:rsidR="00504966">
        <w:t xml:space="preserve">developed </w:t>
      </w:r>
      <w:r w:rsidR="0010054E">
        <w:t xml:space="preserve">in the 2016/17 biennium. </w:t>
      </w:r>
    </w:p>
    <w:p w:rsidR="00D84167" w:rsidRDefault="00D84167" w:rsidP="00D84167"/>
    <w:p w:rsidR="001718CC" w:rsidRPr="00B264CA" w:rsidRDefault="001718CC" w:rsidP="001718CC">
      <w:pPr>
        <w:rPr>
          <w:i/>
        </w:rPr>
      </w:pPr>
      <w:r w:rsidRPr="00B264CA">
        <w:rPr>
          <w:i/>
        </w:rPr>
        <w:t>Drivers</w:t>
      </w:r>
    </w:p>
    <w:p w:rsidR="00A720F7" w:rsidRDefault="00A720F7" w:rsidP="003868F7">
      <w:pPr>
        <w:rPr>
          <w:i/>
        </w:rPr>
      </w:pPr>
    </w:p>
    <w:p w:rsidR="001718CC" w:rsidRDefault="00D84167" w:rsidP="003868F7">
      <w:r w:rsidRPr="00B264CA">
        <w:rPr>
          <w:i/>
        </w:rPr>
        <w:t>Cost efficiency</w:t>
      </w:r>
      <w:r>
        <w:t xml:space="preserve"> – the current system is primarily based </w:t>
      </w:r>
      <w:r w:rsidR="00A720F7">
        <w:t xml:space="preserve">on </w:t>
      </w:r>
      <w:r>
        <w:t xml:space="preserve">manual processing involving substantial staffing </w:t>
      </w:r>
      <w:r w:rsidR="00FB217E">
        <w:t>resources in the IB and in the O</w:t>
      </w:r>
      <w:r>
        <w:t>ffice</w:t>
      </w:r>
      <w:r w:rsidR="00FB217E">
        <w:t>s</w:t>
      </w:r>
      <w:r>
        <w:t xml:space="preserve"> of Madrid </w:t>
      </w:r>
      <w:r w:rsidR="00FB217E">
        <w:t>S</w:t>
      </w:r>
      <w:r>
        <w:t xml:space="preserve">ystem members.  The proposed system will take advantage of technological advances </w:t>
      </w:r>
      <w:r w:rsidR="00A720F7">
        <w:t>and automation opportunities</w:t>
      </w:r>
      <w:r w:rsidR="000C4998">
        <w:t>.</w:t>
      </w:r>
      <w:r>
        <w:t xml:space="preserve"> </w:t>
      </w:r>
      <w:r w:rsidR="001718CC">
        <w:t xml:space="preserve">    </w:t>
      </w:r>
    </w:p>
    <w:p w:rsidR="001718CC" w:rsidRDefault="001718CC" w:rsidP="001718CC"/>
    <w:p w:rsidR="001718CC" w:rsidRDefault="001718CC" w:rsidP="000C4998">
      <w:r w:rsidRPr="00B264CA">
        <w:rPr>
          <w:i/>
        </w:rPr>
        <w:t>Business need</w:t>
      </w:r>
      <w:r>
        <w:t xml:space="preserve"> – </w:t>
      </w:r>
      <w:r w:rsidR="000C4998">
        <w:t>the current Madrid IT system</w:t>
      </w:r>
      <w:r>
        <w:t xml:space="preserve"> </w:t>
      </w:r>
      <w:r w:rsidR="003868F7">
        <w:t xml:space="preserve">is stable and productive but is based on processes and administrative practices that evolved over many years rather than designed specifically to take advantage of </w:t>
      </w:r>
      <w:r w:rsidR="00504966">
        <w:t xml:space="preserve">evolving </w:t>
      </w:r>
      <w:r w:rsidR="003868F7">
        <w:t>state</w:t>
      </w:r>
      <w:r w:rsidR="00811659">
        <w:t>-</w:t>
      </w:r>
      <w:r w:rsidR="003868F7">
        <w:t>of</w:t>
      </w:r>
      <w:r w:rsidR="00811659">
        <w:t>-</w:t>
      </w:r>
      <w:r w:rsidR="003868F7">
        <w:t>the</w:t>
      </w:r>
      <w:r w:rsidR="00811659">
        <w:t>-</w:t>
      </w:r>
      <w:r w:rsidR="003868F7">
        <w:t xml:space="preserve">art technological solutions.  Modernization is essential to ensure the continued ability of the IB to </w:t>
      </w:r>
      <w:r w:rsidR="001617BC">
        <w:t xml:space="preserve">ensure its ability to manage the expected increase in application volume and the active international registrations.  </w:t>
      </w:r>
    </w:p>
    <w:p w:rsidR="001718CC" w:rsidRDefault="001718CC" w:rsidP="001718CC"/>
    <w:p w:rsidR="00B264CA" w:rsidRDefault="00B264CA" w:rsidP="00B264CA">
      <w:r>
        <w:t>The project meets the requirements in Principle 3 of the Revised Reserve Policy as a one-time</w:t>
      </w:r>
      <w:r w:rsidR="00FB217E">
        <w:t>,</w:t>
      </w:r>
      <w:r>
        <w:t xml:space="preserve"> extraordinary capital project based upon its size and its scope.</w:t>
      </w:r>
    </w:p>
    <w:p w:rsidR="00B264CA" w:rsidRDefault="00B264CA" w:rsidP="00B264CA"/>
    <w:p w:rsidR="0004621A" w:rsidRDefault="0004621A" w:rsidP="0004621A"/>
    <w:p w:rsidR="00E413D0" w:rsidRPr="00E413D0" w:rsidRDefault="00E413D0" w:rsidP="00E413D0">
      <w:pPr>
        <w:rPr>
          <w:i/>
          <w:szCs w:val="22"/>
        </w:rPr>
      </w:pPr>
      <w:r w:rsidRPr="00E413D0">
        <w:rPr>
          <w:i/>
          <w:szCs w:val="22"/>
        </w:rPr>
        <w:t>Estimated recurring operational costs</w:t>
      </w:r>
    </w:p>
    <w:p w:rsidR="00E413D0" w:rsidRDefault="00E413D0" w:rsidP="00E413D0">
      <w:pPr>
        <w:rPr>
          <w:szCs w:val="22"/>
        </w:rPr>
      </w:pPr>
    </w:p>
    <w:p w:rsidR="00E413D0" w:rsidRDefault="00E413D0" w:rsidP="00E413D0">
      <w:pPr>
        <w:rPr>
          <w:szCs w:val="22"/>
        </w:rPr>
      </w:pPr>
      <w:r>
        <w:rPr>
          <w:szCs w:val="22"/>
        </w:rPr>
        <w:t>T</w:t>
      </w:r>
      <w:r w:rsidRPr="002F77FB">
        <w:rPr>
          <w:szCs w:val="22"/>
        </w:rPr>
        <w:t xml:space="preserve">he recurring costs of maintenance and operation </w:t>
      </w:r>
      <w:r>
        <w:rPr>
          <w:szCs w:val="22"/>
        </w:rPr>
        <w:t>of the Madrid IT Platform will</w:t>
      </w:r>
      <w:r w:rsidRPr="002F77FB">
        <w:rPr>
          <w:szCs w:val="22"/>
        </w:rPr>
        <w:t xml:space="preserve"> </w:t>
      </w:r>
      <w:r>
        <w:rPr>
          <w:szCs w:val="22"/>
        </w:rPr>
        <w:t xml:space="preserve">in the medium to long term replace the recurring cost of the current Madrid IT System.  The costs will </w:t>
      </w:r>
      <w:r w:rsidRPr="002F77FB">
        <w:rPr>
          <w:szCs w:val="22"/>
        </w:rPr>
        <w:t xml:space="preserve">be included in successive Program and Budget proposals as part of the regular budget. </w:t>
      </w:r>
    </w:p>
    <w:p w:rsidR="00E413D0" w:rsidRDefault="00E413D0" w:rsidP="00E413D0">
      <w:pPr>
        <w:rPr>
          <w:szCs w:val="22"/>
        </w:rPr>
      </w:pPr>
    </w:p>
    <w:p w:rsidR="00E413D0" w:rsidRDefault="00E413D0" w:rsidP="0004621A"/>
    <w:p w:rsidR="0004621A" w:rsidRDefault="0004621A" w:rsidP="0004621A">
      <w:pPr>
        <w:tabs>
          <w:tab w:val="left" w:pos="5670"/>
        </w:tabs>
        <w:sectPr w:rsidR="0004621A" w:rsidSect="00207BFD">
          <w:headerReference w:type="default" r:id="rId20"/>
          <w:headerReference w:type="first" r:id="rId21"/>
          <w:pgSz w:w="11907" w:h="16840" w:code="9"/>
          <w:pgMar w:top="1417" w:right="1417" w:bottom="1417" w:left="1417" w:header="709" w:footer="709" w:gutter="0"/>
          <w:pgNumType w:start="1"/>
          <w:cols w:space="720"/>
          <w:titlePg/>
          <w:docGrid w:linePitch="299"/>
        </w:sectPr>
      </w:pPr>
      <w:r>
        <w:tab/>
      </w:r>
      <w:r w:rsidRPr="00E96C17">
        <w:t xml:space="preserve">[Annex </w:t>
      </w:r>
      <w:r>
        <w:t>V</w:t>
      </w:r>
      <w:r w:rsidRPr="00E96C17">
        <w:t xml:space="preserve"> follows]</w:t>
      </w:r>
    </w:p>
    <w:p w:rsidR="00DB1F15" w:rsidRPr="00973B06" w:rsidRDefault="005101D2" w:rsidP="00973B06">
      <w:pPr>
        <w:pStyle w:val="Heading1"/>
        <w:spacing w:before="0"/>
      </w:pPr>
      <w:r w:rsidRPr="00973B06">
        <w:lastRenderedPageBreak/>
        <w:t xml:space="preserve">ANNEX V: </w:t>
      </w:r>
      <w:r w:rsidR="009C75B6" w:rsidRPr="00973B06">
        <w:t xml:space="preserve"> </w:t>
      </w:r>
      <w:r w:rsidR="00DB1F15" w:rsidRPr="00973B06">
        <w:t>INTEGRATED CONFERENCE SERVICES PLAT</w:t>
      </w:r>
      <w:r w:rsidR="00BF2459" w:rsidRPr="00973B06">
        <w:t>FO</w:t>
      </w:r>
      <w:r w:rsidR="00DB1F15" w:rsidRPr="00973B06">
        <w:t>RM</w:t>
      </w:r>
    </w:p>
    <w:p w:rsidR="00DB1F15" w:rsidRDefault="00DB1F15" w:rsidP="00DB1F15"/>
    <w:p w:rsidR="00DB1F15" w:rsidRPr="007A2108" w:rsidRDefault="00DB1F15" w:rsidP="00DB1F15">
      <w:pPr>
        <w:rPr>
          <w:i/>
        </w:rPr>
      </w:pPr>
      <w:r w:rsidRPr="007A2108">
        <w:rPr>
          <w:i/>
        </w:rPr>
        <w:t xml:space="preserve">Project objectives and expected </w:t>
      </w:r>
      <w:r w:rsidR="007A2108" w:rsidRPr="007A2108">
        <w:rPr>
          <w:i/>
        </w:rPr>
        <w:t>benefits</w:t>
      </w:r>
    </w:p>
    <w:p w:rsidR="00DB1F15" w:rsidRDefault="00DB1F15" w:rsidP="00DB1F15"/>
    <w:p w:rsidR="0035245F" w:rsidRPr="00F22D61" w:rsidRDefault="0035245F" w:rsidP="0035245F">
      <w:pPr>
        <w:rPr>
          <w:lang w:val="en-GB"/>
        </w:rPr>
      </w:pPr>
      <w:r>
        <w:rPr>
          <w:lang w:val="en-GB"/>
        </w:rPr>
        <w:t>In</w:t>
      </w:r>
      <w:r w:rsidRPr="00F22D61">
        <w:rPr>
          <w:lang w:val="en-GB"/>
        </w:rPr>
        <w:t xml:space="preserve"> 2013</w:t>
      </w:r>
      <w:r w:rsidR="001C4865">
        <w:rPr>
          <w:lang w:val="en-GB"/>
        </w:rPr>
        <w:t>,</w:t>
      </w:r>
      <w:r>
        <w:rPr>
          <w:lang w:val="en-GB"/>
        </w:rPr>
        <w:t xml:space="preserve"> an</w:t>
      </w:r>
      <w:r w:rsidRPr="00F22D61">
        <w:rPr>
          <w:lang w:val="en-GB"/>
        </w:rPr>
        <w:t xml:space="preserve"> internal audit report </w:t>
      </w:r>
      <w:r>
        <w:rPr>
          <w:lang w:val="en-GB"/>
        </w:rPr>
        <w:t xml:space="preserve">highlighted </w:t>
      </w:r>
      <w:r w:rsidRPr="00F22D61">
        <w:rPr>
          <w:lang w:val="en-GB"/>
        </w:rPr>
        <w:t xml:space="preserve">the </w:t>
      </w:r>
      <w:r>
        <w:rPr>
          <w:lang w:val="en-GB"/>
        </w:rPr>
        <w:t xml:space="preserve">challenges </w:t>
      </w:r>
      <w:r w:rsidRPr="00F22D61">
        <w:rPr>
          <w:lang w:val="en-GB"/>
        </w:rPr>
        <w:t xml:space="preserve">of working with a </w:t>
      </w:r>
      <w:r>
        <w:rPr>
          <w:lang w:val="en-GB"/>
        </w:rPr>
        <w:t xml:space="preserve">number of </w:t>
      </w:r>
      <w:r w:rsidRPr="00F22D61">
        <w:rPr>
          <w:lang w:val="en-GB"/>
        </w:rPr>
        <w:t>stand-alone IT tools</w:t>
      </w:r>
      <w:r>
        <w:rPr>
          <w:lang w:val="en-GB"/>
        </w:rPr>
        <w:t xml:space="preserve"> in the Conference Services Area, which includes General Assemblies and other meetings.  The task to </w:t>
      </w:r>
      <w:r w:rsidRPr="00F22D61">
        <w:rPr>
          <w:lang w:val="en-GB"/>
        </w:rPr>
        <w:t>develop</w:t>
      </w:r>
      <w:r>
        <w:rPr>
          <w:lang w:val="en-GB"/>
        </w:rPr>
        <w:t>/identify</w:t>
      </w:r>
      <w:r w:rsidRPr="00F22D61">
        <w:rPr>
          <w:lang w:val="en-GB"/>
        </w:rPr>
        <w:t xml:space="preserve"> an integrated, high-performance conference-management </w:t>
      </w:r>
      <w:r>
        <w:rPr>
          <w:lang w:val="en-GB"/>
        </w:rPr>
        <w:t>solution for WIPO was recommended</w:t>
      </w:r>
      <w:r w:rsidRPr="00F22D61">
        <w:rPr>
          <w:lang w:val="en-GB"/>
        </w:rPr>
        <w:t xml:space="preserve">.  </w:t>
      </w:r>
    </w:p>
    <w:p w:rsidR="00DB1F15" w:rsidRDefault="00DB1F15" w:rsidP="00DB1F15"/>
    <w:p w:rsidR="0035245F" w:rsidRDefault="00356243" w:rsidP="0035245F">
      <w:pPr>
        <w:rPr>
          <w:lang w:val="en-GB"/>
        </w:rPr>
      </w:pPr>
      <w:r>
        <w:t xml:space="preserve">The current systems and databases </w:t>
      </w:r>
      <w:r w:rsidR="007A2108">
        <w:rPr>
          <w:lang w:val="en-GB"/>
        </w:rPr>
        <w:t>in the Conferen</w:t>
      </w:r>
      <w:r w:rsidR="00FB217E">
        <w:rPr>
          <w:lang w:val="en-GB"/>
        </w:rPr>
        <w:t>ce Services Area, which include</w:t>
      </w:r>
      <w:r w:rsidR="007A2108">
        <w:rPr>
          <w:lang w:val="en-GB"/>
        </w:rPr>
        <w:t xml:space="preserve"> General Assemblies and other meetings,</w:t>
      </w:r>
      <w:r w:rsidR="007A2108">
        <w:t xml:space="preserve"> </w:t>
      </w:r>
      <w:r>
        <w:t>have been developed and maintained over a number of years but are now reaching the end of life, as they lack key functionalit</w:t>
      </w:r>
      <w:r w:rsidR="007A2108">
        <w:t>ies</w:t>
      </w:r>
      <w:r w:rsidR="00961996">
        <w:t xml:space="preserve"> and</w:t>
      </w:r>
      <w:r>
        <w:t xml:space="preserve"> integrat</w:t>
      </w:r>
      <w:r w:rsidR="007A2108">
        <w:t>ion</w:t>
      </w:r>
      <w:r>
        <w:t xml:space="preserve"> </w:t>
      </w:r>
      <w:r w:rsidR="00961996">
        <w:t xml:space="preserve">capabilities </w:t>
      </w:r>
      <w:r>
        <w:t xml:space="preserve">and are built on tools that are not part of WIPO’s enterprise level solutions.  The ongoing maintenance of these </w:t>
      </w:r>
      <w:r w:rsidR="005C26F2">
        <w:t xml:space="preserve">disparate </w:t>
      </w:r>
      <w:r>
        <w:t xml:space="preserve">systems and databases is </w:t>
      </w:r>
      <w:r w:rsidR="00961996">
        <w:t xml:space="preserve">therefore </w:t>
      </w:r>
      <w:r>
        <w:t>becoming increasingly difficult and expensive.</w:t>
      </w:r>
      <w:r w:rsidR="00961996">
        <w:t xml:space="preserve">  The current </w:t>
      </w:r>
      <w:r w:rsidR="00961996">
        <w:rPr>
          <w:lang w:val="en-GB"/>
        </w:rPr>
        <w:t>s</w:t>
      </w:r>
      <w:r w:rsidR="0035245F">
        <w:rPr>
          <w:lang w:val="en-GB"/>
        </w:rPr>
        <w:t>ystems include</w:t>
      </w:r>
      <w:r w:rsidR="00BF2459">
        <w:rPr>
          <w:lang w:val="en-GB"/>
        </w:rPr>
        <w:t xml:space="preserve"> the Meeting </w:t>
      </w:r>
      <w:r w:rsidR="00961996">
        <w:rPr>
          <w:lang w:val="en-GB"/>
        </w:rPr>
        <w:t>D</w:t>
      </w:r>
      <w:r w:rsidR="00BF2459">
        <w:rPr>
          <w:lang w:val="en-GB"/>
        </w:rPr>
        <w:t xml:space="preserve">ocuments </w:t>
      </w:r>
      <w:r w:rsidR="00961996">
        <w:rPr>
          <w:lang w:val="en-GB"/>
        </w:rPr>
        <w:t>C</w:t>
      </w:r>
      <w:r w:rsidR="00BF2459">
        <w:rPr>
          <w:lang w:val="en-GB"/>
        </w:rPr>
        <w:t xml:space="preserve">ontacts </w:t>
      </w:r>
      <w:r w:rsidR="00961996">
        <w:rPr>
          <w:lang w:val="en-GB"/>
        </w:rPr>
        <w:t>S</w:t>
      </w:r>
      <w:r w:rsidR="00BF2459">
        <w:rPr>
          <w:lang w:val="en-GB"/>
        </w:rPr>
        <w:t xml:space="preserve">ystem (MDCS), Web </w:t>
      </w:r>
      <w:r w:rsidR="00961996">
        <w:rPr>
          <w:lang w:val="en-GB"/>
        </w:rPr>
        <w:t>R</w:t>
      </w:r>
      <w:r w:rsidR="00BF2459">
        <w:rPr>
          <w:lang w:val="en-GB"/>
        </w:rPr>
        <w:t xml:space="preserve">egistrations (WebReg), Electronic </w:t>
      </w:r>
      <w:r w:rsidR="00961996">
        <w:rPr>
          <w:lang w:val="en-GB"/>
        </w:rPr>
        <w:t>D</w:t>
      </w:r>
      <w:r w:rsidR="00BF2459">
        <w:rPr>
          <w:lang w:val="en-GB"/>
        </w:rPr>
        <w:t xml:space="preserve">ocumentation (EDOCS), Conference </w:t>
      </w:r>
      <w:r w:rsidR="00961996">
        <w:rPr>
          <w:lang w:val="en-GB"/>
        </w:rPr>
        <w:t>R</w:t>
      </w:r>
      <w:r w:rsidR="00BF2459">
        <w:rPr>
          <w:lang w:val="en-GB"/>
        </w:rPr>
        <w:t xml:space="preserve">oom </w:t>
      </w:r>
      <w:r w:rsidR="00961996">
        <w:rPr>
          <w:lang w:val="en-GB"/>
        </w:rPr>
        <w:t>B</w:t>
      </w:r>
      <w:r w:rsidR="00BF2459">
        <w:rPr>
          <w:lang w:val="en-GB"/>
        </w:rPr>
        <w:t xml:space="preserve">ook (CRB) and the Interpreters’ </w:t>
      </w:r>
      <w:r w:rsidR="00961996">
        <w:rPr>
          <w:lang w:val="en-GB"/>
        </w:rPr>
        <w:t>C</w:t>
      </w:r>
      <w:r w:rsidR="00BF2459">
        <w:rPr>
          <w:lang w:val="en-GB"/>
        </w:rPr>
        <w:t xml:space="preserve">ontact and </w:t>
      </w:r>
      <w:r w:rsidR="00961996">
        <w:rPr>
          <w:lang w:val="en-GB"/>
        </w:rPr>
        <w:t>S</w:t>
      </w:r>
      <w:r w:rsidR="00BF2459">
        <w:rPr>
          <w:lang w:val="en-GB"/>
        </w:rPr>
        <w:t xml:space="preserve">kills </w:t>
      </w:r>
      <w:r w:rsidR="00961996">
        <w:rPr>
          <w:lang w:val="en-GB"/>
        </w:rPr>
        <w:t>D</w:t>
      </w:r>
      <w:r w:rsidR="00BF2459">
        <w:rPr>
          <w:lang w:val="en-GB"/>
        </w:rPr>
        <w:t xml:space="preserve">atabase (IRCS).  </w:t>
      </w:r>
    </w:p>
    <w:p w:rsidR="0035245F" w:rsidRDefault="0035245F" w:rsidP="0035245F">
      <w:pPr>
        <w:rPr>
          <w:lang w:val="en-GB"/>
        </w:rPr>
      </w:pPr>
    </w:p>
    <w:p w:rsidR="0035245F" w:rsidRDefault="009C48F5" w:rsidP="009C6F71">
      <w:pPr>
        <w:rPr>
          <w:szCs w:val="22"/>
        </w:rPr>
      </w:pPr>
      <w:r>
        <w:rPr>
          <w:szCs w:val="22"/>
        </w:rPr>
        <w:t xml:space="preserve">In addition, and in line with </w:t>
      </w:r>
      <w:r w:rsidR="0035245F" w:rsidRPr="0083673D">
        <w:rPr>
          <w:szCs w:val="22"/>
        </w:rPr>
        <w:t xml:space="preserve">the </w:t>
      </w:r>
      <w:r>
        <w:rPr>
          <w:szCs w:val="22"/>
        </w:rPr>
        <w:t>increased</w:t>
      </w:r>
      <w:r w:rsidR="0035245F" w:rsidRPr="0083673D">
        <w:rPr>
          <w:szCs w:val="22"/>
        </w:rPr>
        <w:t xml:space="preserve"> </w:t>
      </w:r>
      <w:r>
        <w:rPr>
          <w:szCs w:val="22"/>
        </w:rPr>
        <w:t xml:space="preserve">security risks, </w:t>
      </w:r>
      <w:r w:rsidR="0035245F" w:rsidRPr="0083673D">
        <w:rPr>
          <w:szCs w:val="22"/>
        </w:rPr>
        <w:t xml:space="preserve">WIPO must consider the organizational approach to managing and delivering events, workshops, </w:t>
      </w:r>
      <w:r w:rsidR="00FB217E">
        <w:rPr>
          <w:szCs w:val="22"/>
        </w:rPr>
        <w:t xml:space="preserve">and </w:t>
      </w:r>
      <w:r w:rsidR="0035245F" w:rsidRPr="0083673D">
        <w:rPr>
          <w:szCs w:val="22"/>
        </w:rPr>
        <w:t xml:space="preserve">conferences.  An added security consideration within the UN is </w:t>
      </w:r>
      <w:r w:rsidR="00FB217E">
        <w:rPr>
          <w:szCs w:val="22"/>
        </w:rPr>
        <w:t>“</w:t>
      </w:r>
      <w:r w:rsidR="0035245F" w:rsidRPr="0083673D">
        <w:rPr>
          <w:i/>
          <w:szCs w:val="22"/>
        </w:rPr>
        <w:t>how do we know who is in/invited into UN facilities?</w:t>
      </w:r>
      <w:r w:rsidR="00FB217E">
        <w:rPr>
          <w:i/>
          <w:szCs w:val="22"/>
        </w:rPr>
        <w:t>”</w:t>
      </w:r>
      <w:r w:rsidR="0035245F" w:rsidRPr="0083673D">
        <w:rPr>
          <w:i/>
          <w:szCs w:val="22"/>
        </w:rPr>
        <w:t xml:space="preserve"> </w:t>
      </w:r>
      <w:r w:rsidR="00FB217E">
        <w:rPr>
          <w:i/>
          <w:szCs w:val="22"/>
        </w:rPr>
        <w:t xml:space="preserve"> </w:t>
      </w:r>
      <w:r w:rsidR="0035245F" w:rsidRPr="0083673D">
        <w:rPr>
          <w:szCs w:val="22"/>
        </w:rPr>
        <w:t>The registration and accreditation process administered and operated by Conference Services will most likely require a security screening protocol yet to be determined.</w:t>
      </w:r>
      <w:r w:rsidR="00BF2459">
        <w:rPr>
          <w:szCs w:val="22"/>
        </w:rPr>
        <w:t xml:space="preserve">  A validated commercial solution is required to supersede the existing systems.  The design must also meet the requirements of the </w:t>
      </w:r>
      <w:r w:rsidR="005C26F2">
        <w:rPr>
          <w:szCs w:val="22"/>
        </w:rPr>
        <w:t xml:space="preserve">Safety and </w:t>
      </w:r>
      <w:r w:rsidR="00BF2459">
        <w:rPr>
          <w:szCs w:val="22"/>
        </w:rPr>
        <w:t xml:space="preserve">Security </w:t>
      </w:r>
      <w:r w:rsidR="005C26F2">
        <w:rPr>
          <w:szCs w:val="22"/>
        </w:rPr>
        <w:t xml:space="preserve">Coordination </w:t>
      </w:r>
      <w:r w:rsidR="00BF2459">
        <w:rPr>
          <w:szCs w:val="22"/>
        </w:rPr>
        <w:t>Service and the UN Department of Safety and Security.</w:t>
      </w:r>
    </w:p>
    <w:p w:rsidR="0035245F" w:rsidRDefault="0035245F" w:rsidP="0035245F">
      <w:pPr>
        <w:rPr>
          <w:szCs w:val="22"/>
        </w:rPr>
      </w:pPr>
    </w:p>
    <w:p w:rsidR="00DB1F15" w:rsidRDefault="00DB1F15" w:rsidP="00BF2459">
      <w:r>
        <w:t>The project is expected to be completed over the period 2018-</w:t>
      </w:r>
      <w:r w:rsidR="0035245F">
        <w:t>19</w:t>
      </w:r>
      <w:r w:rsidR="00FB217E">
        <w:t>,</w:t>
      </w:r>
      <w:r w:rsidR="00BF2459">
        <w:t xml:space="preserve"> including both the design and implementation phases.</w:t>
      </w:r>
    </w:p>
    <w:p w:rsidR="00377769" w:rsidRDefault="00377769" w:rsidP="00DB1F15"/>
    <w:p w:rsidR="005C327D" w:rsidRDefault="005C327D" w:rsidP="00DB1F15">
      <w:pPr>
        <w:rPr>
          <w:i/>
        </w:rPr>
      </w:pPr>
    </w:p>
    <w:p w:rsidR="00DB1F15" w:rsidRPr="00377769" w:rsidRDefault="00DB1F15" w:rsidP="00DB1F15">
      <w:pPr>
        <w:rPr>
          <w:i/>
        </w:rPr>
      </w:pPr>
      <w:r w:rsidRPr="00377769">
        <w:rPr>
          <w:i/>
        </w:rPr>
        <w:t>Drivers</w:t>
      </w:r>
    </w:p>
    <w:p w:rsidR="00DB1F15" w:rsidRDefault="00DB1F15" w:rsidP="00DB1F15"/>
    <w:p w:rsidR="00DB1F15" w:rsidRDefault="00DB1F15" w:rsidP="0064155B">
      <w:r w:rsidRPr="00377769">
        <w:rPr>
          <w:i/>
        </w:rPr>
        <w:t>Cost efficiency</w:t>
      </w:r>
      <w:r>
        <w:t xml:space="preserve"> – the current system</w:t>
      </w:r>
      <w:r w:rsidR="0064155B">
        <w:t>s</w:t>
      </w:r>
      <w:r>
        <w:t xml:space="preserve"> </w:t>
      </w:r>
      <w:r w:rsidR="0064155B">
        <w:t>use outdated legacy software not integrated among its component parts nor into WIPO’s ERP system</w:t>
      </w:r>
      <w:r>
        <w:t xml:space="preserve">. </w:t>
      </w:r>
      <w:r w:rsidR="0064155B">
        <w:t xml:space="preserve"> An integrated model will eliminate duplication and overlap and improve the efficiency of users. </w:t>
      </w:r>
      <w:r>
        <w:t xml:space="preserve">    </w:t>
      </w:r>
    </w:p>
    <w:p w:rsidR="00DB1F15" w:rsidRDefault="00DB1F15" w:rsidP="00DB1F15"/>
    <w:p w:rsidR="00DB1F15" w:rsidRDefault="009C6F71" w:rsidP="009C6F71">
      <w:r w:rsidRPr="00AB747C">
        <w:rPr>
          <w:i/>
        </w:rPr>
        <w:t>Business need</w:t>
      </w:r>
      <w:r>
        <w:t xml:space="preserve"> – the databases utilized in support of conferences are based on out</w:t>
      </w:r>
      <w:r w:rsidR="005C327D">
        <w:t>dated</w:t>
      </w:r>
      <w:r>
        <w:t xml:space="preserve"> software</w:t>
      </w:r>
      <w:r w:rsidR="00FB217E">
        <w:t>,</w:t>
      </w:r>
      <w:r>
        <w:t xml:space="preserve"> which is </w:t>
      </w:r>
      <w:r w:rsidR="005C327D">
        <w:t>reach</w:t>
      </w:r>
      <w:r>
        <w:t>ing the end of its useful life</w:t>
      </w:r>
      <w:r w:rsidR="00DB1F15">
        <w:t xml:space="preserve">.  </w:t>
      </w:r>
      <w:r>
        <w:t>These databases and the software that produces them are crucial to the Organization</w:t>
      </w:r>
      <w:r w:rsidR="001C4865">
        <w:t>’</w:t>
      </w:r>
      <w:r>
        <w:t xml:space="preserve">s continued ability to </w:t>
      </w:r>
      <w:r w:rsidR="00AB747C">
        <w:t>effectively</w:t>
      </w:r>
      <w:r>
        <w:t xml:space="preserve"> </w:t>
      </w:r>
      <w:r w:rsidR="00AB747C">
        <w:t xml:space="preserve">organize </w:t>
      </w:r>
      <w:r>
        <w:t>events, workshops and conferences.  Replacement with a modern, integrated system will ensure</w:t>
      </w:r>
      <w:r w:rsidR="003B037D">
        <w:t xml:space="preserve"> an efficient management of resources.</w:t>
      </w:r>
      <w:r>
        <w:t xml:space="preserve"> </w:t>
      </w:r>
    </w:p>
    <w:p w:rsidR="009C6F71" w:rsidRDefault="009C6F71" w:rsidP="009C6F71"/>
    <w:p w:rsidR="009C6F71" w:rsidRDefault="00FA7D54" w:rsidP="009C6F71">
      <w:r w:rsidRPr="006250B1">
        <w:rPr>
          <w:i/>
        </w:rPr>
        <w:t>Security</w:t>
      </w:r>
      <w:r>
        <w:rPr>
          <w:i/>
        </w:rPr>
        <w:t>,</w:t>
      </w:r>
      <w:r w:rsidRPr="006250B1">
        <w:rPr>
          <w:i/>
        </w:rPr>
        <w:t xml:space="preserve"> safety</w:t>
      </w:r>
      <w:r>
        <w:rPr>
          <w:i/>
        </w:rPr>
        <w:t xml:space="preserve"> and information assurance</w:t>
      </w:r>
      <w:r>
        <w:t xml:space="preserve"> </w:t>
      </w:r>
      <w:r w:rsidR="009C6F71">
        <w:t>– the new integrated system will assist the Organization in complying with the requirements of WIPO and UN security services and help to ensure the safety and security of delegates and participants in workshops and events.</w:t>
      </w:r>
    </w:p>
    <w:p w:rsidR="00DB1F15" w:rsidRDefault="00DB1F15" w:rsidP="00DB1F15"/>
    <w:p w:rsidR="00DB1F15" w:rsidRDefault="00DB1F15" w:rsidP="00BF2459">
      <w:r>
        <w:t>The project meets the requirements of the Reserve Policy as a one-time</w:t>
      </w:r>
      <w:r w:rsidR="00FB217E">
        <w:t>,</w:t>
      </w:r>
      <w:r>
        <w:t xml:space="preserve"> extraordinary</w:t>
      </w:r>
      <w:r w:rsidR="0004621A">
        <w:t xml:space="preserve"> project.</w:t>
      </w:r>
    </w:p>
    <w:p w:rsidR="0004621A" w:rsidRDefault="0004621A" w:rsidP="0004621A"/>
    <w:p w:rsidR="005C327D" w:rsidRDefault="005C327D" w:rsidP="00E413D0">
      <w:pPr>
        <w:rPr>
          <w:i/>
          <w:szCs w:val="22"/>
        </w:rPr>
      </w:pPr>
    </w:p>
    <w:p w:rsidR="005C327D" w:rsidRDefault="005C327D" w:rsidP="00E413D0">
      <w:pPr>
        <w:rPr>
          <w:i/>
          <w:szCs w:val="22"/>
        </w:rPr>
      </w:pPr>
    </w:p>
    <w:p w:rsidR="005C327D" w:rsidRDefault="005C327D" w:rsidP="00E413D0">
      <w:pPr>
        <w:rPr>
          <w:i/>
          <w:szCs w:val="22"/>
        </w:rPr>
      </w:pPr>
    </w:p>
    <w:p w:rsidR="00E413D0" w:rsidRDefault="00E413D0" w:rsidP="00D908E7">
      <w:pPr>
        <w:keepNext/>
        <w:keepLines/>
        <w:rPr>
          <w:i/>
          <w:szCs w:val="22"/>
        </w:rPr>
      </w:pPr>
      <w:r w:rsidRPr="005C327D">
        <w:rPr>
          <w:i/>
          <w:szCs w:val="22"/>
        </w:rPr>
        <w:lastRenderedPageBreak/>
        <w:t>Estimated recurring operational costs</w:t>
      </w:r>
    </w:p>
    <w:p w:rsidR="005C327D" w:rsidRDefault="005C327D" w:rsidP="00D908E7">
      <w:pPr>
        <w:keepNext/>
        <w:keepLines/>
        <w:rPr>
          <w:i/>
          <w:szCs w:val="22"/>
        </w:rPr>
      </w:pPr>
    </w:p>
    <w:p w:rsidR="005C327D" w:rsidRDefault="005C327D" w:rsidP="00D908E7">
      <w:pPr>
        <w:keepNext/>
        <w:keepLines/>
        <w:rPr>
          <w:szCs w:val="22"/>
        </w:rPr>
      </w:pPr>
      <w:r>
        <w:rPr>
          <w:szCs w:val="22"/>
        </w:rPr>
        <w:t>T</w:t>
      </w:r>
      <w:r w:rsidRPr="002F77FB">
        <w:rPr>
          <w:szCs w:val="22"/>
        </w:rPr>
        <w:t xml:space="preserve">he recurring costs of maintenance and operation </w:t>
      </w:r>
      <w:r>
        <w:rPr>
          <w:szCs w:val="22"/>
        </w:rPr>
        <w:t xml:space="preserve">of the Integrated Conference Services Platform is estimated at 86,000 Swiss francs per year.  The costs will </w:t>
      </w:r>
      <w:r w:rsidRPr="002F77FB">
        <w:rPr>
          <w:szCs w:val="22"/>
        </w:rPr>
        <w:t xml:space="preserve">be included in successive Program and Budget proposals as part of the regular budget. </w:t>
      </w:r>
    </w:p>
    <w:p w:rsidR="005C327D" w:rsidRPr="00E413D0" w:rsidRDefault="005C327D" w:rsidP="00E413D0">
      <w:pPr>
        <w:rPr>
          <w:i/>
          <w:szCs w:val="22"/>
        </w:rPr>
      </w:pPr>
    </w:p>
    <w:p w:rsidR="00E413D0" w:rsidRDefault="0004621A" w:rsidP="0004621A">
      <w:pPr>
        <w:tabs>
          <w:tab w:val="left" w:pos="5670"/>
        </w:tabs>
      </w:pPr>
      <w:r>
        <w:tab/>
      </w:r>
    </w:p>
    <w:p w:rsidR="0004621A" w:rsidRDefault="0004621A" w:rsidP="00E413D0">
      <w:pPr>
        <w:tabs>
          <w:tab w:val="left" w:pos="5670"/>
        </w:tabs>
        <w:jc w:val="right"/>
        <w:sectPr w:rsidR="0004621A" w:rsidSect="00207BFD">
          <w:headerReference w:type="default" r:id="rId22"/>
          <w:headerReference w:type="first" r:id="rId23"/>
          <w:pgSz w:w="11907" w:h="16840" w:code="9"/>
          <w:pgMar w:top="1417" w:right="1417" w:bottom="1417" w:left="1417" w:header="709" w:footer="709" w:gutter="0"/>
          <w:pgNumType w:start="1"/>
          <w:cols w:space="720"/>
          <w:titlePg/>
          <w:docGrid w:linePitch="299"/>
        </w:sectPr>
      </w:pPr>
      <w:r w:rsidRPr="00E96C17">
        <w:t xml:space="preserve">[Annex </w:t>
      </w:r>
      <w:r>
        <w:t>VI</w:t>
      </w:r>
      <w:r w:rsidRPr="00E96C17">
        <w:t xml:space="preserve"> follows]</w:t>
      </w:r>
    </w:p>
    <w:p w:rsidR="00851D9C" w:rsidRPr="00716623" w:rsidRDefault="00851D9C" w:rsidP="00851D9C">
      <w:pPr>
        <w:pStyle w:val="Heading1"/>
        <w:spacing w:before="0"/>
      </w:pPr>
      <w:r w:rsidRPr="00716623">
        <w:lastRenderedPageBreak/>
        <w:t>ANNEX VI:  Building lifecycle refurbishment/RENOVATION FOR 2018-19</w:t>
      </w:r>
    </w:p>
    <w:p w:rsidR="00851D9C" w:rsidRPr="00716623" w:rsidRDefault="00851D9C" w:rsidP="00851D9C"/>
    <w:p w:rsidR="00851D9C" w:rsidRPr="00716623" w:rsidRDefault="00FB217E" w:rsidP="00851D9C">
      <w:r>
        <w:t>For 2018/</w:t>
      </w:r>
      <w:r w:rsidR="00851D9C" w:rsidRPr="00716623">
        <w:t>19, key priority CMP projects are required to ensure the proper functioning of some of the Organization’s major buildings and/or installations.</w:t>
      </w:r>
    </w:p>
    <w:p w:rsidR="00851D9C" w:rsidRPr="00716623" w:rsidRDefault="00851D9C" w:rsidP="00851D9C">
      <w:pPr>
        <w:rPr>
          <w:i/>
        </w:rPr>
      </w:pPr>
    </w:p>
    <w:p w:rsidR="00851D9C" w:rsidRDefault="00851D9C" w:rsidP="00851D9C">
      <w:pPr>
        <w:rPr>
          <w:i/>
        </w:rPr>
      </w:pPr>
    </w:p>
    <w:p w:rsidR="00851D9C" w:rsidRPr="00716623" w:rsidRDefault="00851D9C" w:rsidP="00851D9C">
      <w:pPr>
        <w:rPr>
          <w:i/>
        </w:rPr>
      </w:pPr>
      <w:r w:rsidRPr="00716623">
        <w:rPr>
          <w:i/>
        </w:rPr>
        <w:t>Project objectives and expected benefits</w:t>
      </w:r>
    </w:p>
    <w:p w:rsidR="00851D9C" w:rsidRPr="00716623" w:rsidRDefault="00851D9C" w:rsidP="00345017">
      <w:pPr>
        <w:pStyle w:val="Heading3"/>
        <w:spacing w:before="0" w:after="120"/>
      </w:pPr>
    </w:p>
    <w:p w:rsidR="00851D9C" w:rsidRPr="00716623" w:rsidRDefault="00851D9C" w:rsidP="00851D9C">
      <w:pPr>
        <w:pStyle w:val="Heading3"/>
        <w:spacing w:before="0" w:after="0"/>
      </w:pPr>
      <w:r w:rsidRPr="00716623">
        <w:t xml:space="preserve">Multi-media Studio </w:t>
      </w:r>
    </w:p>
    <w:p w:rsidR="00851D9C" w:rsidRPr="00716623" w:rsidRDefault="00851D9C" w:rsidP="00851D9C"/>
    <w:p w:rsidR="00851D9C" w:rsidRPr="00716623" w:rsidRDefault="00851D9C" w:rsidP="00345017">
      <w:pPr>
        <w:spacing w:after="120"/>
      </w:pPr>
      <w:r w:rsidRPr="00716623">
        <w:t xml:space="preserve">The creation of a multi-media studio will enable the Organization to </w:t>
      </w:r>
      <w:r w:rsidR="00FB217E" w:rsidRPr="00716623">
        <w:t xml:space="preserve">internally </w:t>
      </w:r>
      <w:r w:rsidRPr="00716623">
        <w:t>produce materials on developments related to intellectual property for use in communication with its Member States, for public information purposes</w:t>
      </w:r>
      <w:r>
        <w:t xml:space="preserve"> and</w:t>
      </w:r>
      <w:r w:rsidRPr="00716623">
        <w:t xml:space="preserve"> training.  </w:t>
      </w:r>
    </w:p>
    <w:p w:rsidR="00FB217E" w:rsidRDefault="00FB217E" w:rsidP="00851D9C">
      <w:pPr>
        <w:pStyle w:val="Heading3"/>
        <w:spacing w:before="0" w:after="0"/>
      </w:pPr>
    </w:p>
    <w:p w:rsidR="00851D9C" w:rsidRPr="00716623" w:rsidRDefault="00851D9C" w:rsidP="00851D9C">
      <w:pPr>
        <w:pStyle w:val="Heading3"/>
        <w:spacing w:before="0" w:after="0"/>
      </w:pPr>
      <w:r w:rsidRPr="00716623">
        <w:t>PCT Building renovations</w:t>
      </w:r>
    </w:p>
    <w:p w:rsidR="00851D9C" w:rsidRPr="00716623" w:rsidRDefault="00851D9C" w:rsidP="00851D9C"/>
    <w:p w:rsidR="00851D9C" w:rsidRPr="00716623" w:rsidRDefault="00851D9C" w:rsidP="00851D9C">
      <w:r w:rsidRPr="00716623">
        <w:t>The 2014-19 CMP included a major project covering renovations to the façade and cooling/heating systems via “active” false ceilings in the PCT building.  The bulk of these renovations are now schedule</w:t>
      </w:r>
      <w:r w:rsidR="00FB217E">
        <w:t>d to take place during the 2018/</w:t>
      </w:r>
      <w:r w:rsidRPr="00716623">
        <w:t>19 biennium.  As part of the review of the implementation of the project scope, it was determined that during the renovation phase</w:t>
      </w:r>
      <w:r w:rsidR="00FB217E">
        <w:t>,</w:t>
      </w:r>
      <w:r w:rsidRPr="00716623">
        <w:t xml:space="preserve"> other renovations to the PCT Building could be completed concurrently, thereby minimizing the disruption of the work of PCT staff, reducing the requirements for temporary movement of staff during the construction period, benefitting from worksite opportunities, cost efficiencies and cost avoidance, more efficient integration of new technology for various technical, electrical, security and safety appliances and systems and avoiding the need to re-open another major worksite throughout the whole building only a couple of years after having commissioned the initial renovation.  These additional renovations include:</w:t>
      </w:r>
    </w:p>
    <w:p w:rsidR="00851D9C" w:rsidRPr="00716623" w:rsidRDefault="00851D9C" w:rsidP="00851D9C"/>
    <w:p w:rsidR="00851D9C" w:rsidRDefault="00FB217E" w:rsidP="00FB217E">
      <w:pPr>
        <w:pStyle w:val="ListParagraph"/>
        <w:numPr>
          <w:ilvl w:val="0"/>
          <w:numId w:val="33"/>
        </w:numPr>
        <w:spacing w:after="120"/>
        <w:ind w:left="777" w:hanging="357"/>
      </w:pPr>
      <w:r>
        <w:t>r</w:t>
      </w:r>
      <w:r w:rsidR="00851D9C" w:rsidRPr="00716623">
        <w:t>eplacement of “non-active” false ceilings linked to the improvement works of the electrical, security and safety systems</w:t>
      </w:r>
      <w:r>
        <w:t>;</w:t>
      </w:r>
    </w:p>
    <w:p w:rsidR="00FB217E" w:rsidRPr="00FB217E" w:rsidRDefault="00FB217E" w:rsidP="00FB217E">
      <w:pPr>
        <w:pStyle w:val="ListParagraph"/>
        <w:spacing w:after="120"/>
        <w:ind w:left="777"/>
        <w:rPr>
          <w:sz w:val="12"/>
          <w:szCs w:val="12"/>
        </w:rPr>
      </w:pPr>
    </w:p>
    <w:p w:rsidR="00851D9C" w:rsidRPr="00716623" w:rsidRDefault="00FB217E" w:rsidP="00FB217E">
      <w:pPr>
        <w:pStyle w:val="ListParagraph"/>
        <w:numPr>
          <w:ilvl w:val="0"/>
          <w:numId w:val="33"/>
        </w:numPr>
        <w:spacing w:after="120"/>
        <w:ind w:left="777" w:hanging="357"/>
      </w:pPr>
      <w:r>
        <w:t>u</w:t>
      </w:r>
      <w:r w:rsidR="00851D9C" w:rsidRPr="00716623">
        <w:t>pgrading of smoke extractor systems</w:t>
      </w:r>
      <w:r>
        <w:t>;</w:t>
      </w:r>
    </w:p>
    <w:p w:rsidR="00FB217E" w:rsidRPr="00FB217E" w:rsidRDefault="00FB217E" w:rsidP="00FB217E">
      <w:pPr>
        <w:pStyle w:val="ListParagraph"/>
        <w:spacing w:after="120"/>
        <w:ind w:left="777"/>
        <w:rPr>
          <w:sz w:val="12"/>
          <w:szCs w:val="12"/>
        </w:rPr>
      </w:pPr>
    </w:p>
    <w:p w:rsidR="00851D9C" w:rsidRPr="00716623" w:rsidRDefault="00FB217E" w:rsidP="00FB217E">
      <w:pPr>
        <w:pStyle w:val="ListParagraph"/>
        <w:numPr>
          <w:ilvl w:val="0"/>
          <w:numId w:val="33"/>
        </w:numPr>
        <w:spacing w:after="120"/>
        <w:ind w:left="777" w:hanging="357"/>
      </w:pPr>
      <w:r>
        <w:t>m</w:t>
      </w:r>
      <w:r w:rsidR="00851D9C" w:rsidRPr="00716623">
        <w:t>odifications to doors and installation of new emergency exits to meet Swiss regulations on building evacuation</w:t>
      </w:r>
      <w:r>
        <w:t>;</w:t>
      </w:r>
      <w:r w:rsidR="00851D9C" w:rsidRPr="00716623">
        <w:t xml:space="preserve"> </w:t>
      </w:r>
    </w:p>
    <w:p w:rsidR="00FB217E" w:rsidRPr="00FB217E" w:rsidRDefault="00FB217E" w:rsidP="00FB217E">
      <w:pPr>
        <w:pStyle w:val="ListParagraph"/>
        <w:spacing w:after="120"/>
        <w:ind w:left="777"/>
        <w:rPr>
          <w:sz w:val="12"/>
          <w:szCs w:val="12"/>
        </w:rPr>
      </w:pPr>
    </w:p>
    <w:p w:rsidR="00851D9C" w:rsidRPr="00716623" w:rsidRDefault="00FB217E" w:rsidP="00FB217E">
      <w:pPr>
        <w:pStyle w:val="ListParagraph"/>
        <w:numPr>
          <w:ilvl w:val="0"/>
          <w:numId w:val="33"/>
        </w:numPr>
        <w:spacing w:after="120"/>
        <w:ind w:left="777" w:hanging="357"/>
      </w:pPr>
      <w:r>
        <w:t>a</w:t>
      </w:r>
      <w:r w:rsidR="00851D9C" w:rsidRPr="00716623">
        <w:t>dditional ventilation mechanism in certain upper floors</w:t>
      </w:r>
      <w:r>
        <w:t>;</w:t>
      </w:r>
    </w:p>
    <w:p w:rsidR="00FB217E" w:rsidRPr="00FB217E" w:rsidRDefault="00FB217E" w:rsidP="00FB217E">
      <w:pPr>
        <w:pStyle w:val="ListParagraph"/>
        <w:spacing w:after="120"/>
        <w:ind w:left="777"/>
        <w:rPr>
          <w:sz w:val="12"/>
          <w:szCs w:val="12"/>
        </w:rPr>
      </w:pPr>
    </w:p>
    <w:p w:rsidR="00851D9C" w:rsidRPr="00716623" w:rsidRDefault="00FB217E" w:rsidP="00FB217E">
      <w:pPr>
        <w:pStyle w:val="ListParagraph"/>
        <w:numPr>
          <w:ilvl w:val="0"/>
          <w:numId w:val="33"/>
        </w:numPr>
        <w:spacing w:after="120"/>
        <w:ind w:left="777" w:hanging="357"/>
      </w:pPr>
      <w:r>
        <w:t>i</w:t>
      </w:r>
      <w:r w:rsidR="00851D9C" w:rsidRPr="00716623">
        <w:t xml:space="preserve">nstallation of </w:t>
      </w:r>
      <w:r w:rsidR="005B7808">
        <w:t xml:space="preserve">a </w:t>
      </w:r>
      <w:r w:rsidR="00851D9C" w:rsidRPr="00716623">
        <w:t>new generation public address system</w:t>
      </w:r>
      <w:r>
        <w:t>; and,</w:t>
      </w:r>
    </w:p>
    <w:p w:rsidR="00FB217E" w:rsidRPr="00FB217E" w:rsidRDefault="00FB217E" w:rsidP="00FB217E">
      <w:pPr>
        <w:pStyle w:val="ListParagraph"/>
        <w:spacing w:after="120"/>
        <w:ind w:left="777"/>
        <w:rPr>
          <w:sz w:val="12"/>
          <w:szCs w:val="12"/>
        </w:rPr>
      </w:pPr>
    </w:p>
    <w:p w:rsidR="00851D9C" w:rsidRPr="00716623" w:rsidRDefault="00FB217E" w:rsidP="00FB217E">
      <w:pPr>
        <w:pStyle w:val="ListParagraph"/>
        <w:numPr>
          <w:ilvl w:val="0"/>
          <w:numId w:val="33"/>
        </w:numPr>
        <w:spacing w:after="120"/>
        <w:ind w:left="777" w:hanging="357"/>
      </w:pPr>
      <w:r>
        <w:t>m</w:t>
      </w:r>
      <w:r w:rsidR="00851D9C" w:rsidRPr="00716623">
        <w:t xml:space="preserve">ajor upgrading of </w:t>
      </w:r>
      <w:r>
        <w:t xml:space="preserve">the </w:t>
      </w:r>
      <w:r w:rsidR="00851D9C" w:rsidRPr="00716623">
        <w:t>emergency lighting system</w:t>
      </w:r>
      <w:r>
        <w:t>.</w:t>
      </w:r>
    </w:p>
    <w:p w:rsidR="00851D9C" w:rsidRPr="00716623" w:rsidRDefault="00851D9C" w:rsidP="00851D9C"/>
    <w:p w:rsidR="00851D9C" w:rsidRPr="00716623" w:rsidRDefault="00851D9C" w:rsidP="00851D9C">
      <w:pPr>
        <w:pStyle w:val="Heading3"/>
        <w:spacing w:before="0" w:after="0"/>
      </w:pPr>
      <w:r w:rsidRPr="00716623">
        <w:t>Electrical systems and mechanical installations in AB Building</w:t>
      </w:r>
    </w:p>
    <w:p w:rsidR="00851D9C" w:rsidRPr="00716623" w:rsidRDefault="00851D9C" w:rsidP="00851D9C"/>
    <w:p w:rsidR="00851D9C" w:rsidRPr="00716623" w:rsidRDefault="00851D9C" w:rsidP="00851D9C">
      <w:r w:rsidRPr="00716623">
        <w:t>Funding for enhancements is proposed in the electric</w:t>
      </w:r>
      <w:r w:rsidR="005B7808">
        <w:t>al</w:t>
      </w:r>
      <w:r w:rsidRPr="00716623">
        <w:t xml:space="preserve"> and elevator systems as follows:</w:t>
      </w:r>
    </w:p>
    <w:p w:rsidR="00851D9C" w:rsidRPr="00716623" w:rsidRDefault="00851D9C" w:rsidP="00851D9C">
      <w:pPr>
        <w:ind w:left="567"/>
      </w:pPr>
    </w:p>
    <w:p w:rsidR="00851D9C" w:rsidRPr="00716623" w:rsidRDefault="00851D9C" w:rsidP="00851D9C">
      <w:pPr>
        <w:ind w:left="567"/>
      </w:pPr>
      <w:r w:rsidRPr="00716623">
        <w:t>Electric</w:t>
      </w:r>
      <w:r w:rsidR="005B7808">
        <w:t>al</w:t>
      </w:r>
      <w:r w:rsidRPr="00716623">
        <w:t xml:space="preserve"> –upgrading of the standby power systems in the AB Building through the installation of a larger power generator to connect the entire network to mitigate power outages and to add redundancy for additional equipment and installations.  Modernization of the lighting through new technology for system and light fixtures in the AB Building. </w:t>
      </w:r>
    </w:p>
    <w:p w:rsidR="00851D9C" w:rsidRPr="00716623" w:rsidRDefault="00851D9C" w:rsidP="00851D9C">
      <w:pPr>
        <w:ind w:left="567"/>
      </w:pPr>
    </w:p>
    <w:p w:rsidR="00851D9C" w:rsidRPr="00716623" w:rsidRDefault="00851D9C" w:rsidP="00851D9C">
      <w:pPr>
        <w:ind w:left="567"/>
      </w:pPr>
      <w:r w:rsidRPr="00716623">
        <w:t xml:space="preserve">Elevators – modernization of the motor systems (through new technology) in the AB Building to ensure full continuity of </w:t>
      </w:r>
      <w:r w:rsidR="005C26F2">
        <w:t xml:space="preserve">elevator </w:t>
      </w:r>
      <w:r w:rsidRPr="00716623">
        <w:t xml:space="preserve">service and start </w:t>
      </w:r>
      <w:r w:rsidR="005B7808">
        <w:t xml:space="preserve">a </w:t>
      </w:r>
      <w:r w:rsidRPr="00716623">
        <w:t xml:space="preserve">new lifecycle.    </w:t>
      </w:r>
    </w:p>
    <w:p w:rsidR="00851D9C" w:rsidRPr="00716623" w:rsidRDefault="00851D9C" w:rsidP="00851D9C">
      <w:pPr>
        <w:rPr>
          <w:bCs/>
          <w:i/>
        </w:rPr>
      </w:pPr>
      <w:r w:rsidRPr="00716623">
        <w:rPr>
          <w:bCs/>
          <w:i/>
        </w:rPr>
        <w:lastRenderedPageBreak/>
        <w:t>Drivers</w:t>
      </w:r>
    </w:p>
    <w:p w:rsidR="00851D9C" w:rsidRPr="00716623" w:rsidRDefault="00851D9C" w:rsidP="00851D9C">
      <w:pPr>
        <w:ind w:left="567"/>
      </w:pPr>
    </w:p>
    <w:p w:rsidR="00851D9C" w:rsidRPr="00716623" w:rsidRDefault="00851D9C" w:rsidP="00851D9C">
      <w:r w:rsidRPr="00716623">
        <w:rPr>
          <w:i/>
        </w:rPr>
        <w:t>Lifecycle</w:t>
      </w:r>
      <w:r w:rsidRPr="00716623">
        <w:t xml:space="preserve"> – ensuring that the PCT Building is adequately renovated so as to ensure full utilization during its useful life and adding improvements to existing systems to upgrade them where necessary to meet current work.  Re-starting the life cycle</w:t>
      </w:r>
      <w:r w:rsidR="005B7808">
        <w:t>s</w:t>
      </w:r>
      <w:r w:rsidRPr="00716623">
        <w:t xml:space="preserve"> of the elevators and lighting system</w:t>
      </w:r>
      <w:r w:rsidR="005B7808">
        <w:t>s</w:t>
      </w:r>
      <w:r w:rsidRPr="00716623">
        <w:t xml:space="preserve"> in the AB Building.</w:t>
      </w:r>
    </w:p>
    <w:p w:rsidR="00851D9C" w:rsidRPr="00716623" w:rsidRDefault="00851D9C" w:rsidP="00851D9C"/>
    <w:p w:rsidR="00851D9C" w:rsidRPr="00716623" w:rsidRDefault="00851D9C" w:rsidP="00851D9C">
      <w:r w:rsidRPr="00716623">
        <w:rPr>
          <w:i/>
        </w:rPr>
        <w:t>Safety</w:t>
      </w:r>
      <w:r>
        <w:rPr>
          <w:i/>
        </w:rPr>
        <w:t>, security and information assurance</w:t>
      </w:r>
      <w:r w:rsidRPr="00716623">
        <w:t xml:space="preserve"> – ensuring that the PCT Buil</w:t>
      </w:r>
      <w:r w:rsidR="005B7808">
        <w:t>ding meets standards developed</w:t>
      </w:r>
      <w:r w:rsidRPr="00716623">
        <w:t xml:space="preserve"> by the United Nations Department of Safety and Security. </w:t>
      </w:r>
    </w:p>
    <w:p w:rsidR="00851D9C" w:rsidRPr="00716623" w:rsidRDefault="00851D9C" w:rsidP="00851D9C">
      <w:pPr>
        <w:ind w:left="567"/>
      </w:pPr>
    </w:p>
    <w:p w:rsidR="00851D9C" w:rsidRPr="00716623" w:rsidRDefault="00851D9C" w:rsidP="00851D9C">
      <w:r w:rsidRPr="00716623">
        <w:rPr>
          <w:i/>
        </w:rPr>
        <w:t>Regulations</w:t>
      </w:r>
      <w:r w:rsidRPr="00716623">
        <w:t xml:space="preserve"> – ensuring that the PCT Building meets recently enacted Swiss regulatory requirements related to fire safety. </w:t>
      </w:r>
    </w:p>
    <w:p w:rsidR="00851D9C" w:rsidRPr="00716623" w:rsidRDefault="00851D9C" w:rsidP="00851D9C">
      <w:pPr>
        <w:ind w:left="567"/>
      </w:pPr>
    </w:p>
    <w:p w:rsidR="00851D9C" w:rsidRPr="00716623" w:rsidRDefault="00851D9C" w:rsidP="00851D9C">
      <w:r w:rsidRPr="00716623">
        <w:rPr>
          <w:i/>
        </w:rPr>
        <w:t>Business need</w:t>
      </w:r>
      <w:r w:rsidRPr="00716623">
        <w:t xml:space="preserve"> – the creation of the multi-media studio will enable the Organization to better provide information on intellectual property to the general public and to its Member States.</w:t>
      </w:r>
    </w:p>
    <w:p w:rsidR="00851D9C" w:rsidRPr="00716623" w:rsidRDefault="00851D9C" w:rsidP="00851D9C">
      <w:pPr>
        <w:ind w:left="567"/>
      </w:pPr>
    </w:p>
    <w:p w:rsidR="00851D9C" w:rsidRPr="00716623" w:rsidRDefault="00851D9C" w:rsidP="00851D9C">
      <w:r w:rsidRPr="00716623">
        <w:rPr>
          <w:i/>
        </w:rPr>
        <w:t>Cost-efficiency</w:t>
      </w:r>
      <w:r w:rsidRPr="00716623">
        <w:t xml:space="preserve"> – the proposed works to renovate the lighting system</w:t>
      </w:r>
      <w:r w:rsidR="005B7808">
        <w:t>s</w:t>
      </w:r>
      <w:r w:rsidRPr="00716623">
        <w:t xml:space="preserve"> in the PCT and AB Buildings will result in reduced energy consumption </w:t>
      </w:r>
      <w:r w:rsidR="005B7808">
        <w:t>and</w:t>
      </w:r>
      <w:r w:rsidRPr="00716623">
        <w:t xml:space="preserve"> maintenance costs</w:t>
      </w:r>
      <w:r w:rsidR="005B7808">
        <w:t>,</w:t>
      </w:r>
      <w:r w:rsidRPr="00716623">
        <w:t xml:space="preserve"> </w:t>
      </w:r>
      <w:r w:rsidR="005B7808">
        <w:t>as well as</w:t>
      </w:r>
      <w:r w:rsidRPr="00716623">
        <w:t xml:space="preserve"> </w:t>
      </w:r>
      <w:r w:rsidR="005B7808">
        <w:t xml:space="preserve">a </w:t>
      </w:r>
      <w:r w:rsidRPr="00716623">
        <w:t>reduced carbon footprint on the environment.</w:t>
      </w:r>
    </w:p>
    <w:p w:rsidR="00851D9C" w:rsidRPr="00716623" w:rsidRDefault="00851D9C" w:rsidP="00851D9C"/>
    <w:p w:rsidR="00851D9C" w:rsidRDefault="00851D9C" w:rsidP="00851D9C">
      <w:r w:rsidRPr="00716623">
        <w:t>The building-related projects meet the requirements for utilization of the reserves as it will finance one-time</w:t>
      </w:r>
      <w:r w:rsidR="005B7808">
        <w:t>,</w:t>
      </w:r>
      <w:r w:rsidRPr="00716623">
        <w:t xml:space="preserve"> major building refurbishments and renovations.</w:t>
      </w:r>
    </w:p>
    <w:p w:rsidR="00FF31C1" w:rsidRDefault="00FF31C1" w:rsidP="00BA511B"/>
    <w:p w:rsidR="00FF31C1" w:rsidRDefault="00FF31C1" w:rsidP="00BA511B"/>
    <w:p w:rsidR="00C25034" w:rsidRDefault="00C25034" w:rsidP="00BA511B">
      <w:pPr>
        <w:rPr>
          <w:lang w:val="en-GB"/>
        </w:rPr>
      </w:pPr>
    </w:p>
    <w:p w:rsidR="00FA7D54" w:rsidRDefault="00FA7D54" w:rsidP="00BA511B">
      <w:pPr>
        <w:rPr>
          <w:lang w:val="en-GB"/>
        </w:rPr>
      </w:pPr>
    </w:p>
    <w:p w:rsidR="00FA7D54" w:rsidRPr="00FF31C1" w:rsidRDefault="00FA7D54" w:rsidP="00BA511B">
      <w:pPr>
        <w:rPr>
          <w:lang w:val="en-GB"/>
        </w:rPr>
      </w:pPr>
    </w:p>
    <w:p w:rsidR="003B05E6" w:rsidRDefault="00FD717A" w:rsidP="00FA7D54">
      <w:pPr>
        <w:jc w:val="right"/>
        <w:sectPr w:rsidR="003B05E6" w:rsidSect="00207BFD">
          <w:headerReference w:type="default" r:id="rId24"/>
          <w:headerReference w:type="first" r:id="rId25"/>
          <w:pgSz w:w="11907" w:h="16840" w:code="9"/>
          <w:pgMar w:top="1417" w:right="1417" w:bottom="1417" w:left="1417" w:header="709" w:footer="709" w:gutter="0"/>
          <w:pgNumType w:start="1"/>
          <w:cols w:space="720"/>
          <w:titlePg/>
          <w:docGrid w:linePitch="299"/>
        </w:sectPr>
      </w:pPr>
      <w:r w:rsidRPr="00E96C17">
        <w:t xml:space="preserve">[Annex </w:t>
      </w:r>
      <w:r>
        <w:t>VII</w:t>
      </w:r>
      <w:r w:rsidRPr="00E96C17">
        <w:t xml:space="preserve"> follows]</w:t>
      </w:r>
    </w:p>
    <w:p w:rsidR="008C284C" w:rsidRPr="00FD717A" w:rsidRDefault="008C284C" w:rsidP="008C284C">
      <w:pPr>
        <w:pStyle w:val="Heading2"/>
        <w:rPr>
          <w:b/>
          <w:iCs w:val="0"/>
        </w:rPr>
      </w:pPr>
      <w:r w:rsidRPr="00FD717A">
        <w:rPr>
          <w:b/>
          <w:iCs w:val="0"/>
        </w:rPr>
        <w:lastRenderedPageBreak/>
        <w:t xml:space="preserve">ANNEX VII: Safety </w:t>
      </w:r>
      <w:r>
        <w:rPr>
          <w:b/>
          <w:iCs w:val="0"/>
        </w:rPr>
        <w:t xml:space="preserve">and Security </w:t>
      </w:r>
      <w:r w:rsidRPr="00FD717A">
        <w:rPr>
          <w:b/>
          <w:iCs w:val="0"/>
        </w:rPr>
        <w:t>systems IMPROVEMENTS FOR 2018-19</w:t>
      </w:r>
    </w:p>
    <w:p w:rsidR="008C284C" w:rsidRDefault="008C284C" w:rsidP="008C284C"/>
    <w:p w:rsidR="008C284C" w:rsidRDefault="008C284C" w:rsidP="008C284C">
      <w:pPr>
        <w:rPr>
          <w:i/>
          <w:iCs/>
        </w:rPr>
      </w:pPr>
      <w:r>
        <w:rPr>
          <w:i/>
          <w:iCs/>
        </w:rPr>
        <w:t>Project objectives and expected benefits</w:t>
      </w:r>
    </w:p>
    <w:p w:rsidR="008C284C" w:rsidRDefault="008C284C" w:rsidP="008C284C">
      <w:pPr>
        <w:rPr>
          <w:rFonts w:eastAsiaTheme="minorHAnsi"/>
        </w:rPr>
      </w:pPr>
    </w:p>
    <w:p w:rsidR="008C284C" w:rsidRDefault="008C284C" w:rsidP="008C284C">
      <w:pPr>
        <w:rPr>
          <w:color w:val="000000" w:themeColor="text1"/>
        </w:rPr>
      </w:pPr>
      <w:r>
        <w:rPr>
          <w:color w:val="000000" w:themeColor="text1"/>
        </w:rPr>
        <w:t xml:space="preserve">Safety and security policies at WIPO are designed to provide a safe and secure work space for staff, delegates and visitors. </w:t>
      </w:r>
      <w:r w:rsidR="005B7808">
        <w:rPr>
          <w:color w:val="000000" w:themeColor="text1"/>
        </w:rPr>
        <w:t xml:space="preserve"> </w:t>
      </w:r>
      <w:r>
        <w:rPr>
          <w:color w:val="000000" w:themeColor="text1"/>
        </w:rPr>
        <w:t xml:space="preserve">In order to achieve this objective, it is important that WIPO ensures continuous compliance with mandatory Host Government regulations and applicable United Nations Security Management System (UNSMS) policies and standards. </w:t>
      </w:r>
      <w:r w:rsidR="005B7808">
        <w:rPr>
          <w:color w:val="000000" w:themeColor="text1"/>
        </w:rPr>
        <w:t xml:space="preserve"> </w:t>
      </w:r>
      <w:r>
        <w:rPr>
          <w:color w:val="000000" w:themeColor="text1"/>
        </w:rPr>
        <w:t xml:space="preserve">Additionally, WIPO must continuously manage the risk from external security threats while maintaining an up-to-date, sophisticated and comprehensive safety and security management infrastructure at Headquarters in a forward-leaning, technically efficient and cost-effective manner over the long term, thereby fulfilling its Duty of Care obligations to staff, delegates and visitors. </w:t>
      </w:r>
    </w:p>
    <w:p w:rsidR="002C23B5" w:rsidRDefault="002C23B5" w:rsidP="002C23B5">
      <w:pPr>
        <w:pStyle w:val="Heading3"/>
        <w:spacing w:before="0" w:after="0"/>
        <w:rPr>
          <w:rFonts w:eastAsia="Times New Roman"/>
          <w:color w:val="000000" w:themeColor="text1"/>
        </w:rPr>
      </w:pPr>
    </w:p>
    <w:p w:rsidR="008C284C" w:rsidRDefault="005C26F2" w:rsidP="008C284C">
      <w:pPr>
        <w:pStyle w:val="Heading3"/>
        <w:rPr>
          <w:rFonts w:eastAsia="Times New Roman"/>
          <w:color w:val="000000" w:themeColor="text1"/>
        </w:rPr>
      </w:pPr>
      <w:r>
        <w:rPr>
          <w:rFonts w:eastAsia="Times New Roman"/>
          <w:color w:val="000000" w:themeColor="text1"/>
        </w:rPr>
        <w:t>C</w:t>
      </w:r>
      <w:r w:rsidR="008C284C">
        <w:rPr>
          <w:rFonts w:eastAsia="Times New Roman"/>
          <w:color w:val="000000" w:themeColor="text1"/>
        </w:rPr>
        <w:t>ompliance with Swiss federal legislation and local fire regulations</w:t>
      </w:r>
    </w:p>
    <w:p w:rsidR="008C284C" w:rsidRDefault="008C284C" w:rsidP="008C284C">
      <w:pPr>
        <w:ind w:left="567"/>
        <w:rPr>
          <w:rFonts w:eastAsiaTheme="minorHAnsi"/>
          <w:color w:val="000000" w:themeColor="text1"/>
        </w:rPr>
      </w:pPr>
    </w:p>
    <w:p w:rsidR="008C284C" w:rsidRPr="000112AB" w:rsidRDefault="008C284C" w:rsidP="008C284C">
      <w:pPr>
        <w:rPr>
          <w:color w:val="000000" w:themeColor="text1"/>
        </w:rPr>
      </w:pPr>
      <w:r>
        <w:rPr>
          <w:color w:val="000000" w:themeColor="text1"/>
        </w:rPr>
        <w:t>In compliance with the</w:t>
      </w:r>
      <w:r w:rsidRPr="000112AB">
        <w:rPr>
          <w:color w:val="000000" w:themeColor="text1"/>
        </w:rPr>
        <w:t xml:space="preserve"> Swiss fire regulation ‘</w:t>
      </w:r>
      <w:r w:rsidRPr="00FA52C7">
        <w:rPr>
          <w:i/>
          <w:color w:val="000000" w:themeColor="text1"/>
        </w:rPr>
        <w:t xml:space="preserve">Association des </w:t>
      </w:r>
      <w:proofErr w:type="spellStart"/>
      <w:r w:rsidRPr="00FA52C7">
        <w:rPr>
          <w:i/>
          <w:color w:val="000000" w:themeColor="text1"/>
        </w:rPr>
        <w:t>Etablissements</w:t>
      </w:r>
      <w:proofErr w:type="spellEnd"/>
      <w:r w:rsidRPr="00FA52C7">
        <w:rPr>
          <w:i/>
          <w:color w:val="000000" w:themeColor="text1"/>
        </w:rPr>
        <w:t xml:space="preserve"> </w:t>
      </w:r>
      <w:proofErr w:type="spellStart"/>
      <w:r w:rsidRPr="00FA52C7">
        <w:rPr>
          <w:i/>
          <w:color w:val="000000" w:themeColor="text1"/>
        </w:rPr>
        <w:t>cantonaux</w:t>
      </w:r>
      <w:proofErr w:type="spellEnd"/>
      <w:r w:rsidRPr="00FA52C7">
        <w:rPr>
          <w:i/>
          <w:color w:val="000000" w:themeColor="text1"/>
        </w:rPr>
        <w:t xml:space="preserve"> </w:t>
      </w:r>
      <w:proofErr w:type="spellStart"/>
      <w:r w:rsidRPr="00FA52C7">
        <w:rPr>
          <w:i/>
          <w:color w:val="000000" w:themeColor="text1"/>
        </w:rPr>
        <w:t>d’Assurance</w:t>
      </w:r>
      <w:proofErr w:type="spellEnd"/>
      <w:r w:rsidRPr="00FA52C7">
        <w:rPr>
          <w:i/>
          <w:color w:val="000000" w:themeColor="text1"/>
        </w:rPr>
        <w:t xml:space="preserve"> </w:t>
      </w:r>
      <w:proofErr w:type="spellStart"/>
      <w:r w:rsidRPr="00FA52C7">
        <w:rPr>
          <w:i/>
          <w:color w:val="000000" w:themeColor="text1"/>
        </w:rPr>
        <w:t>Incendie</w:t>
      </w:r>
      <w:proofErr w:type="spellEnd"/>
      <w:r w:rsidRPr="00FA52C7">
        <w:rPr>
          <w:i/>
          <w:color w:val="000000" w:themeColor="text1"/>
        </w:rPr>
        <w:t xml:space="preserve">’ </w:t>
      </w:r>
      <w:r>
        <w:rPr>
          <w:color w:val="000000" w:themeColor="text1"/>
        </w:rPr>
        <w:t>(AEAI),</w:t>
      </w:r>
      <w:r w:rsidRPr="000112AB">
        <w:rPr>
          <w:color w:val="000000" w:themeColor="text1"/>
        </w:rPr>
        <w:t xml:space="preserve"> WIPO will </w:t>
      </w:r>
      <w:r>
        <w:rPr>
          <w:color w:val="000000" w:themeColor="text1"/>
        </w:rPr>
        <w:t>install</w:t>
      </w:r>
      <w:r w:rsidRPr="000112AB">
        <w:rPr>
          <w:color w:val="000000" w:themeColor="text1"/>
        </w:rPr>
        <w:t xml:space="preserve"> fire doors</w:t>
      </w:r>
      <w:r>
        <w:rPr>
          <w:color w:val="000000" w:themeColor="text1"/>
        </w:rPr>
        <w:t>/walls</w:t>
      </w:r>
      <w:r w:rsidRPr="000112AB">
        <w:rPr>
          <w:color w:val="000000" w:themeColor="text1"/>
        </w:rPr>
        <w:t xml:space="preserve"> in </w:t>
      </w:r>
      <w:r w:rsidR="00516365">
        <w:rPr>
          <w:color w:val="000000" w:themeColor="text1"/>
        </w:rPr>
        <w:t>the</w:t>
      </w:r>
      <w:r w:rsidRPr="000112AB">
        <w:rPr>
          <w:color w:val="000000" w:themeColor="text1"/>
        </w:rPr>
        <w:t xml:space="preserve"> GB</w:t>
      </w:r>
      <w:r w:rsidR="00516365">
        <w:rPr>
          <w:color w:val="000000" w:themeColor="text1"/>
        </w:rPr>
        <w:t xml:space="preserve"> Building</w:t>
      </w:r>
      <w:r>
        <w:rPr>
          <w:color w:val="000000" w:themeColor="text1"/>
        </w:rPr>
        <w:t xml:space="preserve"> to contain the spread of fire and smoke</w:t>
      </w:r>
      <w:r w:rsidRPr="000112AB">
        <w:rPr>
          <w:color w:val="000000" w:themeColor="text1"/>
        </w:rPr>
        <w:t>.</w:t>
      </w:r>
      <w:r>
        <w:rPr>
          <w:color w:val="000000" w:themeColor="text1"/>
        </w:rPr>
        <w:t xml:space="preserve"> </w:t>
      </w:r>
      <w:r w:rsidR="005B7808">
        <w:rPr>
          <w:color w:val="000000" w:themeColor="text1"/>
        </w:rPr>
        <w:t xml:space="preserve"> </w:t>
      </w:r>
      <w:r>
        <w:rPr>
          <w:color w:val="000000" w:themeColor="text1"/>
        </w:rPr>
        <w:t xml:space="preserve">The implementation will also ensure alignment with UNSMS fire and safety policy guidelines. </w:t>
      </w:r>
    </w:p>
    <w:p w:rsidR="002C23B5" w:rsidRDefault="002C23B5" w:rsidP="002C23B5">
      <w:pPr>
        <w:pStyle w:val="Heading3"/>
        <w:spacing w:before="0" w:after="0"/>
        <w:rPr>
          <w:rFonts w:eastAsia="Times New Roman"/>
          <w:color w:val="000000" w:themeColor="text1"/>
        </w:rPr>
      </w:pPr>
    </w:p>
    <w:p w:rsidR="008C284C" w:rsidRDefault="008C284C" w:rsidP="008C284C">
      <w:pPr>
        <w:pStyle w:val="Heading3"/>
        <w:rPr>
          <w:rFonts w:eastAsia="Times New Roman"/>
          <w:color w:val="000000" w:themeColor="text1"/>
        </w:rPr>
      </w:pPr>
      <w:r>
        <w:rPr>
          <w:rFonts w:eastAsia="Times New Roman"/>
          <w:color w:val="000000" w:themeColor="text1"/>
        </w:rPr>
        <w:t xml:space="preserve">Headquarters physical security management in </w:t>
      </w:r>
      <w:r w:rsidR="005C26F2">
        <w:rPr>
          <w:rFonts w:eastAsia="Times New Roman"/>
          <w:color w:val="000000" w:themeColor="text1"/>
        </w:rPr>
        <w:t xml:space="preserve">compliance </w:t>
      </w:r>
      <w:r>
        <w:rPr>
          <w:rFonts w:eastAsia="Times New Roman"/>
          <w:color w:val="000000" w:themeColor="text1"/>
        </w:rPr>
        <w:t xml:space="preserve">with UNSMS policy and identified risks </w:t>
      </w:r>
    </w:p>
    <w:p w:rsidR="008C284C" w:rsidRDefault="008C284C" w:rsidP="008C284C">
      <w:pPr>
        <w:ind w:left="567"/>
        <w:rPr>
          <w:rFonts w:eastAsiaTheme="minorHAnsi"/>
          <w:color w:val="000000" w:themeColor="text1"/>
        </w:rPr>
      </w:pPr>
    </w:p>
    <w:p w:rsidR="008C284C" w:rsidRPr="006B552E" w:rsidRDefault="008C284C" w:rsidP="008C284C">
      <w:pPr>
        <w:rPr>
          <w:color w:val="000000" w:themeColor="text1"/>
        </w:rPr>
      </w:pPr>
      <w:r w:rsidRPr="006B552E">
        <w:rPr>
          <w:color w:val="000000" w:themeColor="text1"/>
        </w:rPr>
        <w:t xml:space="preserve">In the </w:t>
      </w:r>
      <w:r>
        <w:rPr>
          <w:color w:val="000000" w:themeColor="text1"/>
        </w:rPr>
        <w:t xml:space="preserve">context of the </w:t>
      </w:r>
      <w:r w:rsidRPr="006B552E">
        <w:rPr>
          <w:color w:val="000000" w:themeColor="text1"/>
        </w:rPr>
        <w:t xml:space="preserve">evolving security threat environment </w:t>
      </w:r>
      <w:r>
        <w:rPr>
          <w:color w:val="000000" w:themeColor="text1"/>
        </w:rPr>
        <w:t xml:space="preserve">in Europe </w:t>
      </w:r>
      <w:r w:rsidRPr="006B552E">
        <w:rPr>
          <w:color w:val="000000" w:themeColor="text1"/>
        </w:rPr>
        <w:t xml:space="preserve">and in accordance with the current risks faced by the UN articulated </w:t>
      </w:r>
      <w:r>
        <w:rPr>
          <w:color w:val="000000" w:themeColor="text1"/>
        </w:rPr>
        <w:t xml:space="preserve">in </w:t>
      </w:r>
      <w:r w:rsidRPr="006B552E">
        <w:rPr>
          <w:color w:val="000000" w:themeColor="text1"/>
        </w:rPr>
        <w:t xml:space="preserve">the UN country security risk assessment for Switzerland, continual mitigation through investment in safety and security </w:t>
      </w:r>
      <w:r w:rsidR="005C26F2">
        <w:rPr>
          <w:color w:val="000000" w:themeColor="text1"/>
        </w:rPr>
        <w:t xml:space="preserve">capital </w:t>
      </w:r>
      <w:r w:rsidRPr="006B552E">
        <w:rPr>
          <w:color w:val="000000" w:themeColor="text1"/>
        </w:rPr>
        <w:t xml:space="preserve">infrastructure is required. </w:t>
      </w:r>
      <w:r w:rsidR="005B7808">
        <w:rPr>
          <w:color w:val="000000" w:themeColor="text1"/>
        </w:rPr>
        <w:t xml:space="preserve"> </w:t>
      </w:r>
      <w:r w:rsidRPr="006B552E">
        <w:rPr>
          <w:color w:val="000000" w:themeColor="text1"/>
        </w:rPr>
        <w:t xml:space="preserve">This includes the </w:t>
      </w:r>
      <w:r>
        <w:rPr>
          <w:color w:val="000000" w:themeColor="text1"/>
        </w:rPr>
        <w:t xml:space="preserve">phased </w:t>
      </w:r>
      <w:r w:rsidRPr="006B552E">
        <w:rPr>
          <w:color w:val="000000" w:themeColor="text1"/>
        </w:rPr>
        <w:t xml:space="preserve">implementation of threat containment areas, dynamic lock down systems, protective </w:t>
      </w:r>
      <w:r w:rsidR="005C26F2">
        <w:rPr>
          <w:color w:val="000000" w:themeColor="text1"/>
        </w:rPr>
        <w:t xml:space="preserve">window </w:t>
      </w:r>
      <w:r w:rsidRPr="006B552E">
        <w:rPr>
          <w:color w:val="000000" w:themeColor="text1"/>
        </w:rPr>
        <w:t xml:space="preserve">glazing and </w:t>
      </w:r>
      <w:r w:rsidR="005C26F2">
        <w:rPr>
          <w:color w:val="000000" w:themeColor="text1"/>
        </w:rPr>
        <w:t xml:space="preserve">the establishment of </w:t>
      </w:r>
      <w:r w:rsidRPr="006B552E">
        <w:rPr>
          <w:color w:val="000000" w:themeColor="text1"/>
        </w:rPr>
        <w:t>safe haven</w:t>
      </w:r>
      <w:r>
        <w:rPr>
          <w:color w:val="000000" w:themeColor="text1"/>
        </w:rPr>
        <w:t>s</w:t>
      </w:r>
      <w:r w:rsidR="005B7808">
        <w:rPr>
          <w:color w:val="000000" w:themeColor="text1"/>
        </w:rPr>
        <w:t>,</w:t>
      </w:r>
      <w:r w:rsidRPr="006B552E">
        <w:rPr>
          <w:color w:val="000000" w:themeColor="text1"/>
        </w:rPr>
        <w:t xml:space="preserve"> </w:t>
      </w:r>
      <w:r>
        <w:rPr>
          <w:color w:val="000000" w:themeColor="text1"/>
        </w:rPr>
        <w:t>starting with</w:t>
      </w:r>
      <w:r w:rsidRPr="006B552E">
        <w:rPr>
          <w:color w:val="000000" w:themeColor="text1"/>
        </w:rPr>
        <w:t xml:space="preserve"> </w:t>
      </w:r>
      <w:r>
        <w:rPr>
          <w:color w:val="000000" w:themeColor="text1"/>
        </w:rPr>
        <w:t>two</w:t>
      </w:r>
      <w:r w:rsidRPr="006B552E">
        <w:rPr>
          <w:color w:val="000000" w:themeColor="text1"/>
        </w:rPr>
        <w:t xml:space="preserve"> WIPO buildings. </w:t>
      </w:r>
    </w:p>
    <w:p w:rsidR="008C284C" w:rsidRDefault="008C284C" w:rsidP="008C284C">
      <w:pPr>
        <w:ind w:left="567" w:hanging="567"/>
        <w:rPr>
          <w:rFonts w:eastAsiaTheme="minorHAnsi"/>
        </w:rPr>
      </w:pPr>
    </w:p>
    <w:p w:rsidR="008C284C" w:rsidRDefault="008C284C" w:rsidP="008C284C">
      <w:pPr>
        <w:keepNext/>
        <w:keepLines/>
        <w:rPr>
          <w:bCs/>
          <w:i/>
        </w:rPr>
      </w:pPr>
    </w:p>
    <w:p w:rsidR="008C284C" w:rsidRDefault="008C284C" w:rsidP="008C284C">
      <w:pPr>
        <w:keepNext/>
        <w:keepLines/>
        <w:rPr>
          <w:bCs/>
          <w:i/>
        </w:rPr>
      </w:pPr>
      <w:r>
        <w:rPr>
          <w:bCs/>
          <w:i/>
        </w:rPr>
        <w:t>Drivers</w:t>
      </w:r>
    </w:p>
    <w:p w:rsidR="008C284C" w:rsidRDefault="008C284C" w:rsidP="008C284C">
      <w:pPr>
        <w:keepNext/>
        <w:keepLines/>
      </w:pPr>
    </w:p>
    <w:p w:rsidR="008C284C" w:rsidRDefault="00FA7D54" w:rsidP="008C284C">
      <w:pPr>
        <w:rPr>
          <w:i/>
        </w:rPr>
      </w:pPr>
      <w:r w:rsidRPr="006250B1">
        <w:rPr>
          <w:i/>
        </w:rPr>
        <w:t>Security</w:t>
      </w:r>
      <w:r>
        <w:rPr>
          <w:i/>
        </w:rPr>
        <w:t>,</w:t>
      </w:r>
      <w:r w:rsidRPr="006250B1">
        <w:rPr>
          <w:i/>
        </w:rPr>
        <w:t xml:space="preserve"> safety</w:t>
      </w:r>
      <w:r>
        <w:rPr>
          <w:i/>
        </w:rPr>
        <w:t xml:space="preserve"> and information assurance </w:t>
      </w:r>
      <w:r w:rsidR="008C284C">
        <w:rPr>
          <w:i/>
        </w:rPr>
        <w:t xml:space="preserve">- </w:t>
      </w:r>
      <w:r w:rsidR="008C284C" w:rsidRPr="005B7C92">
        <w:t xml:space="preserve">ensuring that WIPO’s security management system remains relevant and up-to-date in line with industry best practices and commensurate with identified security risks posed by external </w:t>
      </w:r>
      <w:r w:rsidR="008C284C">
        <w:t xml:space="preserve">security </w:t>
      </w:r>
      <w:r w:rsidR="008C284C" w:rsidRPr="005B7C92">
        <w:t>threat</w:t>
      </w:r>
      <w:r w:rsidR="008C284C">
        <w:t>s</w:t>
      </w:r>
      <w:r w:rsidR="008C284C" w:rsidRPr="005B7C92">
        <w:t>.</w:t>
      </w:r>
    </w:p>
    <w:p w:rsidR="008C284C" w:rsidRDefault="008C284C" w:rsidP="008C284C">
      <w:pPr>
        <w:rPr>
          <w:i/>
        </w:rPr>
      </w:pPr>
    </w:p>
    <w:p w:rsidR="008C284C" w:rsidRDefault="008C284C" w:rsidP="008C284C">
      <w:pPr>
        <w:rPr>
          <w:i/>
        </w:rPr>
      </w:pPr>
      <w:r>
        <w:rPr>
          <w:i/>
        </w:rPr>
        <w:t>Regulations</w:t>
      </w:r>
      <w:r>
        <w:t xml:space="preserve">  </w:t>
      </w:r>
      <w:r>
        <w:rPr>
          <w:i/>
        </w:rPr>
        <w:t xml:space="preserve">– </w:t>
      </w:r>
      <w:r w:rsidRPr="005B7C92">
        <w:t xml:space="preserve">ensure that WIPO facilities </w:t>
      </w:r>
      <w:r>
        <w:t>maintain compliance with applicable UN Security Management System (UNSMS) policy and standards, Host Government federal legislation</w:t>
      </w:r>
      <w:r w:rsidR="005B7808">
        <w:t>,</w:t>
      </w:r>
      <w:r>
        <w:t xml:space="preserve"> and local Geneva fire and safety regulation.</w:t>
      </w:r>
      <w:r>
        <w:rPr>
          <w:i/>
        </w:rPr>
        <w:t xml:space="preserve"> </w:t>
      </w:r>
    </w:p>
    <w:p w:rsidR="008C284C" w:rsidRDefault="008C284C" w:rsidP="008C284C">
      <w:pPr>
        <w:rPr>
          <w:i/>
        </w:rPr>
      </w:pPr>
    </w:p>
    <w:p w:rsidR="008C284C" w:rsidRDefault="008C284C" w:rsidP="008C284C">
      <w:r>
        <w:rPr>
          <w:i/>
        </w:rPr>
        <w:t xml:space="preserve">Cost Efficiency  </w:t>
      </w:r>
      <w:r w:rsidRPr="00134217">
        <w:t xml:space="preserve">– through alignment of physical works with other planned CMP initiatives to minimize disruption </w:t>
      </w:r>
      <w:r>
        <w:t xml:space="preserve">periods </w:t>
      </w:r>
      <w:r w:rsidRPr="00134217">
        <w:t xml:space="preserve">and maximize cost efficiencies through common project management services and </w:t>
      </w:r>
      <w:r>
        <w:t xml:space="preserve">implementation of </w:t>
      </w:r>
      <w:r w:rsidRPr="00134217">
        <w:t>works.</w:t>
      </w:r>
      <w:r>
        <w:t xml:space="preserve"> </w:t>
      </w:r>
    </w:p>
    <w:p w:rsidR="008C284C" w:rsidRDefault="008C284C" w:rsidP="008C284C"/>
    <w:p w:rsidR="008C284C" w:rsidRDefault="008C284C" w:rsidP="008C284C">
      <w:r>
        <w:t xml:space="preserve">The project meets the requirements for utilization of the reserves as it will finance </w:t>
      </w:r>
      <w:r w:rsidR="005C26F2">
        <w:t xml:space="preserve">a </w:t>
      </w:r>
      <w:r>
        <w:t>one-time major building refurbishment and renovations.</w:t>
      </w:r>
    </w:p>
    <w:p w:rsidR="00FF31C1" w:rsidRDefault="00FF31C1" w:rsidP="00BA511B"/>
    <w:p w:rsidR="00FD717A" w:rsidRDefault="00FD717A" w:rsidP="00BA511B"/>
    <w:p w:rsidR="00FD717A" w:rsidRDefault="00895921" w:rsidP="00895921">
      <w:pPr>
        <w:tabs>
          <w:tab w:val="left" w:pos="5670"/>
        </w:tabs>
      </w:pPr>
      <w:r>
        <w:tab/>
      </w:r>
    </w:p>
    <w:p w:rsidR="00895921" w:rsidRDefault="00895921" w:rsidP="00FD717A">
      <w:pPr>
        <w:tabs>
          <w:tab w:val="left" w:pos="5670"/>
        </w:tabs>
        <w:jc w:val="right"/>
        <w:sectPr w:rsidR="00895921" w:rsidSect="003B05E6">
          <w:headerReference w:type="first" r:id="rId26"/>
          <w:type w:val="evenPage"/>
          <w:pgSz w:w="11907" w:h="16840" w:code="9"/>
          <w:pgMar w:top="1417" w:right="1417" w:bottom="1417" w:left="1417" w:header="709" w:footer="709" w:gutter="0"/>
          <w:pgNumType w:start="1"/>
          <w:cols w:space="720"/>
          <w:titlePg/>
          <w:docGrid w:linePitch="299"/>
        </w:sectPr>
      </w:pPr>
      <w:r w:rsidRPr="00E96C17">
        <w:t xml:space="preserve">[Annex </w:t>
      </w:r>
      <w:r>
        <w:t>VII</w:t>
      </w:r>
      <w:r w:rsidR="00FD717A">
        <w:t>I</w:t>
      </w:r>
      <w:r w:rsidRPr="00E96C17">
        <w:t xml:space="preserve"> follows]</w:t>
      </w:r>
    </w:p>
    <w:p w:rsidR="00895921" w:rsidRPr="00973B06" w:rsidRDefault="00895921" w:rsidP="00895921">
      <w:pPr>
        <w:pStyle w:val="Heading1"/>
        <w:spacing w:before="0"/>
      </w:pPr>
      <w:r w:rsidRPr="00973B06">
        <w:lastRenderedPageBreak/>
        <w:t>ANNEX VI</w:t>
      </w:r>
      <w:r w:rsidR="00AA162B">
        <w:t>I</w:t>
      </w:r>
      <w:r>
        <w:t>I</w:t>
      </w:r>
      <w:r w:rsidRPr="00973B06">
        <w:t xml:space="preserve">:  </w:t>
      </w:r>
      <w:r>
        <w:t>CAPITAL MASTER PLAN FOR PREMISES, SAFETY AND SECURITY FOR THE PERIOD 2018-2027</w:t>
      </w:r>
    </w:p>
    <w:p w:rsidR="00895921" w:rsidRDefault="00CB3654" w:rsidP="008E6E53">
      <w:pPr>
        <w:spacing w:before="240"/>
        <w:jc w:val="center"/>
      </w:pPr>
      <w:r w:rsidRPr="00CB3654">
        <w:rPr>
          <w:noProof/>
          <w:lang w:eastAsia="en-US"/>
        </w:rPr>
        <w:drawing>
          <wp:inline distT="0" distB="0" distL="0" distR="0" wp14:anchorId="15226F62" wp14:editId="6517D193">
            <wp:extent cx="13748011" cy="78676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57542" cy="7873104"/>
                    </a:xfrm>
                    <a:prstGeom prst="rect">
                      <a:avLst/>
                    </a:prstGeom>
                    <a:noFill/>
                    <a:ln>
                      <a:noFill/>
                    </a:ln>
                  </pic:spPr>
                </pic:pic>
              </a:graphicData>
            </a:graphic>
          </wp:inline>
        </w:drawing>
      </w:r>
    </w:p>
    <w:p w:rsidR="00895921" w:rsidRDefault="00895921" w:rsidP="00E52514">
      <w:pPr>
        <w:tabs>
          <w:tab w:val="left" w:pos="9639"/>
        </w:tabs>
        <w:jc w:val="center"/>
      </w:pPr>
    </w:p>
    <w:p w:rsidR="008E6E53" w:rsidRDefault="00895921" w:rsidP="009D27D3">
      <w:pPr>
        <w:tabs>
          <w:tab w:val="left" w:pos="15876"/>
        </w:tabs>
        <w:jc w:val="right"/>
      </w:pPr>
      <w:r>
        <w:tab/>
      </w:r>
    </w:p>
    <w:p w:rsidR="008E6E53" w:rsidRDefault="008E6E53" w:rsidP="009D27D3">
      <w:pPr>
        <w:tabs>
          <w:tab w:val="left" w:pos="15876"/>
        </w:tabs>
        <w:jc w:val="right"/>
      </w:pPr>
    </w:p>
    <w:p w:rsidR="00FF31C1" w:rsidRPr="00093F4A" w:rsidRDefault="0004621A" w:rsidP="009D27D3">
      <w:pPr>
        <w:tabs>
          <w:tab w:val="left" w:pos="15876"/>
        </w:tabs>
        <w:jc w:val="right"/>
      </w:pPr>
      <w:r w:rsidRPr="00E96C17">
        <w:t>[</w:t>
      </w:r>
      <w:r>
        <w:t xml:space="preserve">End of </w:t>
      </w:r>
      <w:r w:rsidRPr="00E96C17">
        <w:t xml:space="preserve">Annex </w:t>
      </w:r>
      <w:r>
        <w:t>V</w:t>
      </w:r>
      <w:r w:rsidR="00FD717A">
        <w:t>I</w:t>
      </w:r>
      <w:r w:rsidR="00895921">
        <w:t>I</w:t>
      </w:r>
      <w:r>
        <w:t>I and of document]</w:t>
      </w:r>
    </w:p>
    <w:sectPr w:rsidR="00FF31C1" w:rsidRPr="00093F4A" w:rsidSect="00895921">
      <w:headerReference w:type="default" r:id="rId28"/>
      <w:headerReference w:type="first" r:id="rId29"/>
      <w:pgSz w:w="23814" w:h="16840" w:orient="landscape" w:code="8"/>
      <w:pgMar w:top="1418" w:right="1134" w:bottom="1418"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AD" w:rsidRDefault="00C36FAD" w:rsidP="00D83854">
      <w:r>
        <w:separator/>
      </w:r>
    </w:p>
  </w:endnote>
  <w:endnote w:type="continuationSeparator" w:id="0">
    <w:p w:rsidR="00C36FAD" w:rsidRDefault="00C36FAD" w:rsidP="00D8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AD" w:rsidRDefault="00C36FAD" w:rsidP="00D83854">
      <w:r>
        <w:separator/>
      </w:r>
    </w:p>
  </w:footnote>
  <w:footnote w:type="continuationSeparator" w:id="0">
    <w:p w:rsidR="00C36FAD" w:rsidRDefault="00C36FAD" w:rsidP="00D83854">
      <w:r>
        <w:continuationSeparator/>
      </w:r>
    </w:p>
  </w:footnote>
  <w:footnote w:id="1">
    <w:p w:rsidR="00C36FAD" w:rsidRDefault="00C36FAD" w:rsidP="00C33FF4">
      <w:pPr>
        <w:pStyle w:val="FootnoteText"/>
      </w:pPr>
      <w:r>
        <w:rPr>
          <w:rStyle w:val="FootnoteReference"/>
        </w:rPr>
        <w:footnoteRef/>
      </w:r>
      <w:r>
        <w:t xml:space="preserve"> See document WO/PBC/15/7 Rev.</w:t>
      </w:r>
    </w:p>
  </w:footnote>
  <w:footnote w:id="2">
    <w:p w:rsidR="00C36FAD" w:rsidRDefault="00C36FAD">
      <w:pPr>
        <w:pStyle w:val="FootnoteText"/>
      </w:pPr>
      <w:r>
        <w:rPr>
          <w:rStyle w:val="FootnoteReference"/>
        </w:rPr>
        <w:footnoteRef/>
      </w:r>
      <w:r>
        <w:t xml:space="preserve"> Please see document WO/PBC/23/8 </w:t>
      </w:r>
    </w:p>
  </w:footnote>
  <w:footnote w:id="3">
    <w:p w:rsidR="00C36FAD" w:rsidRPr="00CA458E" w:rsidRDefault="00C36FAD">
      <w:pPr>
        <w:pStyle w:val="FootnoteText"/>
      </w:pPr>
      <w:r>
        <w:rPr>
          <w:rStyle w:val="FootnoteReference"/>
        </w:rPr>
        <w:footnoteRef/>
      </w:r>
      <w:r>
        <w:t xml:space="preserve"> </w:t>
      </w:r>
      <w:r w:rsidRPr="00CA458E">
        <w:rPr>
          <w:i/>
          <w:sz w:val="16"/>
          <w:szCs w:val="16"/>
        </w:rPr>
        <w:t>The projection d</w:t>
      </w:r>
      <w:r w:rsidRPr="00CA458E">
        <w:rPr>
          <w:rFonts w:eastAsia="Times New Roman"/>
          <w:i/>
          <w:color w:val="000000"/>
          <w:sz w:val="16"/>
          <w:szCs w:val="16"/>
          <w:lang w:eastAsia="en-US"/>
        </w:rPr>
        <w:t>o</w:t>
      </w:r>
      <w:r>
        <w:rPr>
          <w:rFonts w:eastAsia="Times New Roman"/>
          <w:i/>
          <w:color w:val="000000"/>
          <w:sz w:val="16"/>
          <w:szCs w:val="16"/>
          <w:lang w:eastAsia="en-US"/>
        </w:rPr>
        <w:t>es not take into account the projected Overall Result after Reserve Expenditure for 2017, which amounts to 24.3 million Swiss francs</w:t>
      </w:r>
    </w:p>
  </w:footnote>
  <w:footnote w:id="4">
    <w:p w:rsidR="00C36FAD" w:rsidRDefault="00C36FAD" w:rsidP="005101D2">
      <w:pPr>
        <w:pStyle w:val="FootnoteText"/>
      </w:pPr>
      <w:r>
        <w:rPr>
          <w:rStyle w:val="FootnoteReference"/>
        </w:rPr>
        <w:footnoteRef/>
      </w:r>
      <w:r>
        <w:t xml:space="preserve"> Document WO/PBC/23/8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 xml:space="preserve">page </w:t>
    </w:r>
    <w:r>
      <w:fldChar w:fldCharType="begin"/>
    </w:r>
    <w:r>
      <w:instrText xml:space="preserve"> PAGE   \* MERGEFORMAT </w:instrText>
    </w:r>
    <w:r>
      <w:fldChar w:fldCharType="separate"/>
    </w:r>
    <w:r w:rsidR="00290AE7">
      <w:rPr>
        <w:noProof/>
      </w:rPr>
      <w:t>10</w:t>
    </w:r>
    <w:r>
      <w:rPr>
        <w:noProof/>
      </w:rPr>
      <w:fldChar w:fldCharType="end"/>
    </w:r>
  </w:p>
  <w:p w:rsidR="00C36FAD" w:rsidRPr="00207BFD" w:rsidRDefault="00C36FAD" w:rsidP="00207BFD">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ANNEX V</w:t>
    </w:r>
  </w:p>
  <w:p w:rsidR="00C36FAD" w:rsidRDefault="00C36FAD" w:rsidP="00207BFD">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04621A" w:rsidRDefault="00C36FAD" w:rsidP="00207BFD">
    <w:pPr>
      <w:jc w:val="right"/>
      <w:rPr>
        <w:lang w:val="fr-FR"/>
      </w:rPr>
    </w:pPr>
    <w:r w:rsidRPr="0004621A">
      <w:rPr>
        <w:lang w:val="fr-FR"/>
      </w:rPr>
      <w:t>WO/PBC/2</w:t>
    </w:r>
    <w:r>
      <w:rPr>
        <w:lang w:val="fr-FR"/>
      </w:rPr>
      <w:t>6</w:t>
    </w:r>
    <w:r w:rsidRPr="0004621A">
      <w:rPr>
        <w:lang w:val="fr-FR"/>
      </w:rPr>
      <w:t>/9</w:t>
    </w:r>
  </w:p>
  <w:p w:rsidR="00C36FAD" w:rsidRPr="0004621A" w:rsidRDefault="00C36FAD" w:rsidP="00895921">
    <w:pPr>
      <w:pStyle w:val="Header"/>
      <w:jc w:val="right"/>
      <w:rPr>
        <w:lang w:val="fr-FR"/>
      </w:rPr>
    </w:pPr>
    <w:proofErr w:type="spellStart"/>
    <w:r w:rsidRPr="0004621A">
      <w:rPr>
        <w:lang w:val="fr-FR"/>
      </w:rPr>
      <w:t>Annex</w:t>
    </w:r>
    <w:proofErr w:type="spellEnd"/>
    <w:r w:rsidRPr="0004621A">
      <w:rPr>
        <w:lang w:val="fr-FR"/>
      </w:rPr>
      <w:t xml:space="preserve"> </w:t>
    </w:r>
    <w:r>
      <w:rPr>
        <w:lang w:val="fr-FR"/>
      </w:rPr>
      <w:t>V</w:t>
    </w:r>
    <w:r w:rsidRPr="0004621A">
      <w:rPr>
        <w:lang w:val="fr-FR"/>
      </w:rPr>
      <w:t xml:space="preserve">I, page </w:t>
    </w:r>
    <w:r>
      <w:fldChar w:fldCharType="begin"/>
    </w:r>
    <w:r w:rsidRPr="0004621A">
      <w:rPr>
        <w:lang w:val="fr-FR"/>
      </w:rPr>
      <w:instrText xml:space="preserve"> PAGE   \* MERGEFORMAT </w:instrText>
    </w:r>
    <w:r>
      <w:fldChar w:fldCharType="separate"/>
    </w:r>
    <w:r w:rsidR="00290AE7">
      <w:rPr>
        <w:noProof/>
        <w:lang w:val="fr-FR"/>
      </w:rPr>
      <w:t>2</w:t>
    </w:r>
    <w:r>
      <w:rPr>
        <w:noProof/>
      </w:rPr>
      <w:fldChar w:fldCharType="end"/>
    </w:r>
  </w:p>
  <w:p w:rsidR="00C36FAD" w:rsidRPr="0004621A" w:rsidRDefault="00C36FAD" w:rsidP="00207BFD">
    <w:pPr>
      <w:pStyle w:val="Header"/>
      <w:jc w:val="right"/>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895921">
    <w:pPr>
      <w:pStyle w:val="Header"/>
      <w:jc w:val="right"/>
    </w:pPr>
    <w:r>
      <w:t>ANNEX VI</w:t>
    </w:r>
  </w:p>
  <w:p w:rsidR="00C36FAD" w:rsidRDefault="00C36FAD" w:rsidP="00207BFD">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895921">
    <w:pPr>
      <w:pStyle w:val="Header"/>
      <w:jc w:val="right"/>
    </w:pPr>
    <w:r>
      <w:t>ANNEX VII</w:t>
    </w:r>
  </w:p>
  <w:p w:rsidR="00C36FAD" w:rsidRDefault="00C36FAD" w:rsidP="00207BFD">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207BFD" w:rsidRDefault="00C36FAD" w:rsidP="00207BFD">
    <w:pPr>
      <w:jc w:val="right"/>
      <w:rPr>
        <w:lang w:val="fr-FR"/>
      </w:rPr>
    </w:pPr>
    <w:r w:rsidRPr="00207BFD">
      <w:rPr>
        <w:lang w:val="fr-FR"/>
      </w:rPr>
      <w:t>WO/PBC/24/9</w:t>
    </w:r>
  </w:p>
  <w:p w:rsidR="00C36FAD" w:rsidRPr="00207BFD" w:rsidRDefault="00C36FAD" w:rsidP="009C75B6">
    <w:pPr>
      <w:pStyle w:val="Header"/>
      <w:jc w:val="right"/>
      <w:rPr>
        <w:lang w:val="fr-FR"/>
      </w:rPr>
    </w:pPr>
    <w:proofErr w:type="spellStart"/>
    <w:r w:rsidRPr="00207BFD">
      <w:rPr>
        <w:lang w:val="fr-FR"/>
      </w:rPr>
      <w:t>Annex</w:t>
    </w:r>
    <w:proofErr w:type="spellEnd"/>
    <w:r w:rsidRPr="00207BFD">
      <w:rPr>
        <w:lang w:val="fr-FR"/>
      </w:rPr>
      <w:t xml:space="preserve"> </w:t>
    </w:r>
    <w:r>
      <w:rPr>
        <w:lang w:val="fr-FR"/>
      </w:rPr>
      <w:t>VI</w:t>
    </w:r>
    <w:r w:rsidRPr="00207BFD">
      <w:rPr>
        <w:lang w:val="fr-FR"/>
      </w:rPr>
      <w:t xml:space="preserve">, page </w:t>
    </w:r>
    <w:r>
      <w:fldChar w:fldCharType="begin"/>
    </w:r>
    <w:r w:rsidRPr="00207BFD">
      <w:rPr>
        <w:lang w:val="fr-FR"/>
      </w:rPr>
      <w:instrText xml:space="preserve"> PAGE   \* MERGEFORMAT </w:instrText>
    </w:r>
    <w:r>
      <w:fldChar w:fldCharType="separate"/>
    </w:r>
    <w:r>
      <w:rPr>
        <w:noProof/>
        <w:lang w:val="fr-FR"/>
      </w:rPr>
      <w:t>2</w:t>
    </w:r>
    <w:r>
      <w:rPr>
        <w:noProof/>
      </w:rPr>
      <w:fldChar w:fldCharType="end"/>
    </w:r>
  </w:p>
  <w:p w:rsidR="00C36FAD" w:rsidRPr="00207BFD" w:rsidRDefault="00C36FAD" w:rsidP="00207BFD">
    <w:pPr>
      <w:pStyle w:val="Header"/>
      <w:jc w:val="right"/>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04621A">
    <w:pPr>
      <w:pStyle w:val="Header"/>
      <w:jc w:val="right"/>
    </w:pPr>
    <w:r>
      <w:t>ANNEX VIII</w:t>
    </w:r>
  </w:p>
  <w:p w:rsidR="00C36FAD" w:rsidRDefault="00C36FAD" w:rsidP="00207B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ANNEX I</w:t>
    </w:r>
  </w:p>
  <w:p w:rsidR="00C36FAD" w:rsidRDefault="00C36FAD" w:rsidP="00207BF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04621A" w:rsidRDefault="00C36FAD" w:rsidP="00207BFD">
    <w:pPr>
      <w:jc w:val="right"/>
      <w:rPr>
        <w:lang w:val="fr-FR"/>
      </w:rPr>
    </w:pPr>
    <w:r w:rsidRPr="0004621A">
      <w:rPr>
        <w:lang w:val="fr-FR"/>
      </w:rPr>
      <w:t>WO/PBC/2</w:t>
    </w:r>
    <w:r>
      <w:rPr>
        <w:lang w:val="fr-FR"/>
      </w:rPr>
      <w:t>6</w:t>
    </w:r>
    <w:r w:rsidRPr="0004621A">
      <w:rPr>
        <w:lang w:val="fr-FR"/>
      </w:rPr>
      <w:t>/9</w:t>
    </w:r>
  </w:p>
  <w:p w:rsidR="00C36FAD" w:rsidRPr="0004621A" w:rsidRDefault="00C36FAD" w:rsidP="00207BFD">
    <w:pPr>
      <w:pStyle w:val="Header"/>
      <w:jc w:val="right"/>
      <w:rPr>
        <w:lang w:val="fr-FR"/>
      </w:rPr>
    </w:pPr>
    <w:proofErr w:type="spellStart"/>
    <w:r w:rsidRPr="0004621A">
      <w:rPr>
        <w:lang w:val="fr-FR"/>
      </w:rPr>
      <w:t>Annex</w:t>
    </w:r>
    <w:proofErr w:type="spellEnd"/>
    <w:r w:rsidRPr="0004621A">
      <w:rPr>
        <w:lang w:val="fr-FR"/>
      </w:rPr>
      <w:t xml:space="preserve"> II, page </w:t>
    </w:r>
    <w:r>
      <w:fldChar w:fldCharType="begin"/>
    </w:r>
    <w:r w:rsidRPr="0004621A">
      <w:rPr>
        <w:lang w:val="fr-FR"/>
      </w:rPr>
      <w:instrText xml:space="preserve"> PAGE   \* MERGEFORMAT </w:instrText>
    </w:r>
    <w:r>
      <w:fldChar w:fldCharType="separate"/>
    </w:r>
    <w:r w:rsidR="00290AE7">
      <w:rPr>
        <w:noProof/>
        <w:lang w:val="fr-FR"/>
      </w:rPr>
      <w:t>2</w:t>
    </w:r>
    <w:r>
      <w:rPr>
        <w:noProof/>
      </w:rPr>
      <w:fldChar w:fldCharType="end"/>
    </w:r>
  </w:p>
  <w:p w:rsidR="00C36FAD" w:rsidRPr="0004621A" w:rsidRDefault="00C36FAD" w:rsidP="00207BFD">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ANNEX II</w:t>
    </w:r>
  </w:p>
  <w:p w:rsidR="00C36FAD" w:rsidRDefault="00C36FAD" w:rsidP="00207BF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04621A" w:rsidRDefault="00C36FAD" w:rsidP="00207BFD">
    <w:pPr>
      <w:jc w:val="right"/>
      <w:rPr>
        <w:lang w:val="fr-FR"/>
      </w:rPr>
    </w:pPr>
    <w:r w:rsidRPr="0004621A">
      <w:rPr>
        <w:lang w:val="fr-FR"/>
      </w:rPr>
      <w:t>WO/PBC/2</w:t>
    </w:r>
    <w:r>
      <w:rPr>
        <w:lang w:val="fr-FR"/>
      </w:rPr>
      <w:t>6</w:t>
    </w:r>
    <w:r w:rsidRPr="0004621A">
      <w:rPr>
        <w:lang w:val="fr-FR"/>
      </w:rPr>
      <w:t>/9</w:t>
    </w:r>
  </w:p>
  <w:p w:rsidR="00C36FAD" w:rsidRPr="0004621A" w:rsidRDefault="00C36FAD" w:rsidP="00207BFD">
    <w:pPr>
      <w:pStyle w:val="Header"/>
      <w:jc w:val="right"/>
      <w:rPr>
        <w:lang w:val="fr-FR"/>
      </w:rPr>
    </w:pPr>
    <w:proofErr w:type="spellStart"/>
    <w:r w:rsidRPr="0004621A">
      <w:rPr>
        <w:lang w:val="fr-FR"/>
      </w:rPr>
      <w:t>Annex</w:t>
    </w:r>
    <w:proofErr w:type="spellEnd"/>
    <w:r w:rsidRPr="0004621A">
      <w:rPr>
        <w:lang w:val="fr-FR"/>
      </w:rPr>
      <w:t xml:space="preserve"> I</w:t>
    </w:r>
    <w:r>
      <w:rPr>
        <w:lang w:val="fr-FR"/>
      </w:rPr>
      <w:t>I</w:t>
    </w:r>
    <w:r w:rsidRPr="0004621A">
      <w:rPr>
        <w:lang w:val="fr-FR"/>
      </w:rPr>
      <w:t xml:space="preserve">I, page </w:t>
    </w:r>
    <w:r>
      <w:fldChar w:fldCharType="begin"/>
    </w:r>
    <w:r w:rsidRPr="0004621A">
      <w:rPr>
        <w:lang w:val="fr-FR"/>
      </w:rPr>
      <w:instrText xml:space="preserve"> PAGE   \* MERGEFORMAT </w:instrText>
    </w:r>
    <w:r>
      <w:fldChar w:fldCharType="separate"/>
    </w:r>
    <w:r w:rsidR="00290AE7">
      <w:rPr>
        <w:noProof/>
        <w:lang w:val="fr-FR"/>
      </w:rPr>
      <w:t>2</w:t>
    </w:r>
    <w:r>
      <w:rPr>
        <w:noProof/>
      </w:rPr>
      <w:fldChar w:fldCharType="end"/>
    </w:r>
  </w:p>
  <w:p w:rsidR="00C36FAD" w:rsidRPr="0004621A" w:rsidRDefault="00C36FAD" w:rsidP="00207BFD">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ANNEX III</w:t>
    </w:r>
  </w:p>
  <w:p w:rsidR="00C36FAD" w:rsidRDefault="00C36FAD" w:rsidP="00207BF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04621A" w:rsidRDefault="00C36FAD" w:rsidP="00207BFD">
    <w:pPr>
      <w:jc w:val="right"/>
      <w:rPr>
        <w:lang w:val="fr-FR"/>
      </w:rPr>
    </w:pPr>
    <w:r w:rsidRPr="0004621A">
      <w:rPr>
        <w:lang w:val="fr-FR"/>
      </w:rPr>
      <w:t>WO/PBC/2</w:t>
    </w:r>
    <w:r>
      <w:rPr>
        <w:lang w:val="fr-FR"/>
      </w:rPr>
      <w:t>6</w:t>
    </w:r>
    <w:r w:rsidRPr="0004621A">
      <w:rPr>
        <w:lang w:val="fr-FR"/>
      </w:rPr>
      <w:t>/9</w:t>
    </w:r>
  </w:p>
  <w:p w:rsidR="00C36FAD" w:rsidRPr="0004621A" w:rsidRDefault="00C36FAD" w:rsidP="009C75B6">
    <w:pPr>
      <w:pStyle w:val="Header"/>
      <w:jc w:val="right"/>
      <w:rPr>
        <w:lang w:val="fr-FR"/>
      </w:rPr>
    </w:pPr>
    <w:proofErr w:type="spellStart"/>
    <w:r w:rsidRPr="0004621A">
      <w:rPr>
        <w:lang w:val="fr-FR"/>
      </w:rPr>
      <w:t>Annex</w:t>
    </w:r>
    <w:proofErr w:type="spellEnd"/>
    <w:r w:rsidRPr="0004621A">
      <w:rPr>
        <w:lang w:val="fr-FR"/>
      </w:rPr>
      <w:t xml:space="preserve"> I</w:t>
    </w:r>
    <w:r>
      <w:rPr>
        <w:lang w:val="fr-FR"/>
      </w:rPr>
      <w:t>V</w:t>
    </w:r>
    <w:r w:rsidRPr="0004621A">
      <w:rPr>
        <w:lang w:val="fr-FR"/>
      </w:rPr>
      <w:t xml:space="preserve">, page </w:t>
    </w:r>
    <w:r>
      <w:fldChar w:fldCharType="begin"/>
    </w:r>
    <w:r w:rsidRPr="0004621A">
      <w:rPr>
        <w:lang w:val="fr-FR"/>
      </w:rPr>
      <w:instrText xml:space="preserve"> PAGE   \* MERGEFORMAT </w:instrText>
    </w:r>
    <w:r>
      <w:fldChar w:fldCharType="separate"/>
    </w:r>
    <w:r w:rsidR="00290AE7">
      <w:rPr>
        <w:noProof/>
        <w:lang w:val="fr-FR"/>
      </w:rPr>
      <w:t>2</w:t>
    </w:r>
    <w:r>
      <w:rPr>
        <w:noProof/>
      </w:rPr>
      <w:fldChar w:fldCharType="end"/>
    </w:r>
  </w:p>
  <w:p w:rsidR="00C36FAD" w:rsidRPr="0004621A" w:rsidRDefault="00C36FAD" w:rsidP="00207BFD">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Default="00C36FAD" w:rsidP="00207BFD">
    <w:pPr>
      <w:jc w:val="right"/>
    </w:pPr>
    <w:r>
      <w:t>WO/PBC/26/9</w:t>
    </w:r>
  </w:p>
  <w:p w:rsidR="00C36FAD" w:rsidRDefault="00C36FAD" w:rsidP="00207BFD">
    <w:pPr>
      <w:pStyle w:val="Header"/>
      <w:jc w:val="right"/>
    </w:pPr>
    <w:r>
      <w:t>ANNEX IV</w:t>
    </w:r>
  </w:p>
  <w:p w:rsidR="00C36FAD" w:rsidRDefault="00C36FAD" w:rsidP="00207BF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AD" w:rsidRPr="0004621A" w:rsidRDefault="00C36FAD" w:rsidP="00207BFD">
    <w:pPr>
      <w:jc w:val="right"/>
      <w:rPr>
        <w:lang w:val="fr-FR"/>
      </w:rPr>
    </w:pPr>
    <w:r w:rsidRPr="0004621A">
      <w:rPr>
        <w:lang w:val="fr-FR"/>
      </w:rPr>
      <w:t>WO/PBC/2</w:t>
    </w:r>
    <w:r>
      <w:rPr>
        <w:lang w:val="fr-FR"/>
      </w:rPr>
      <w:t>6</w:t>
    </w:r>
    <w:r w:rsidRPr="0004621A">
      <w:rPr>
        <w:lang w:val="fr-FR"/>
      </w:rPr>
      <w:t>/9</w:t>
    </w:r>
  </w:p>
  <w:p w:rsidR="00C36FAD" w:rsidRPr="0004621A" w:rsidRDefault="00C36FAD" w:rsidP="00207BFD">
    <w:pPr>
      <w:pStyle w:val="Header"/>
      <w:jc w:val="right"/>
      <w:rPr>
        <w:lang w:val="fr-FR"/>
      </w:rPr>
    </w:pPr>
    <w:proofErr w:type="spellStart"/>
    <w:r w:rsidRPr="0004621A">
      <w:rPr>
        <w:lang w:val="fr-FR"/>
      </w:rPr>
      <w:t>Annex</w:t>
    </w:r>
    <w:proofErr w:type="spellEnd"/>
    <w:r w:rsidRPr="0004621A">
      <w:rPr>
        <w:lang w:val="fr-FR"/>
      </w:rPr>
      <w:t xml:space="preserve"> </w:t>
    </w:r>
    <w:r>
      <w:rPr>
        <w:lang w:val="fr-FR"/>
      </w:rPr>
      <w:t>V</w:t>
    </w:r>
    <w:r w:rsidRPr="0004621A">
      <w:rPr>
        <w:lang w:val="fr-FR"/>
      </w:rPr>
      <w:t xml:space="preserve">, page </w:t>
    </w:r>
    <w:r>
      <w:fldChar w:fldCharType="begin"/>
    </w:r>
    <w:r w:rsidRPr="0004621A">
      <w:rPr>
        <w:lang w:val="fr-FR"/>
      </w:rPr>
      <w:instrText xml:space="preserve"> PAGE   \* MERGEFORMAT </w:instrText>
    </w:r>
    <w:r>
      <w:fldChar w:fldCharType="separate"/>
    </w:r>
    <w:r w:rsidR="00290AE7">
      <w:rPr>
        <w:noProof/>
        <w:lang w:val="fr-FR"/>
      </w:rPr>
      <w:t>2</w:t>
    </w:r>
    <w:r>
      <w:rPr>
        <w:noProof/>
      </w:rPr>
      <w:fldChar w:fldCharType="end"/>
    </w:r>
  </w:p>
  <w:p w:rsidR="00C36FAD" w:rsidRPr="0004621A" w:rsidRDefault="00C36FAD" w:rsidP="00207BF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F6953CB"/>
    <w:multiLevelType w:val="hybridMultilevel"/>
    <w:tmpl w:val="BC2447DE"/>
    <w:lvl w:ilvl="0" w:tplc="DFEE2808">
      <w:start w:val="27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597882"/>
    <w:multiLevelType w:val="hybridMultilevel"/>
    <w:tmpl w:val="CB005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1C06"/>
    <w:multiLevelType w:val="hybridMultilevel"/>
    <w:tmpl w:val="ABF8D9AC"/>
    <w:lvl w:ilvl="0" w:tplc="100C0001">
      <w:start w:val="1"/>
      <w:numFmt w:val="bullet"/>
      <w:lvlText w:val=""/>
      <w:lvlJc w:val="left"/>
      <w:pPr>
        <w:ind w:left="778" w:hanging="360"/>
      </w:pPr>
      <w:rPr>
        <w:rFonts w:ascii="Symbol" w:hAnsi="Symbo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6">
    <w:nsid w:val="22BB164B"/>
    <w:multiLevelType w:val="hybridMultilevel"/>
    <w:tmpl w:val="D584B60C"/>
    <w:lvl w:ilvl="0" w:tplc="87984120">
      <w:start w:val="1"/>
      <w:numFmt w:val="lowerRoman"/>
      <w:lvlText w:val="(%1)"/>
      <w:lvlJc w:val="left"/>
      <w:pPr>
        <w:ind w:left="720" w:hanging="360"/>
      </w:pPr>
      <w:rPr>
        <w:rFonts w:ascii="Arial" w:hAnsi="Arial" w:cs="Arial"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539C6"/>
    <w:multiLevelType w:val="hybridMultilevel"/>
    <w:tmpl w:val="DD300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85B20"/>
    <w:multiLevelType w:val="hybridMultilevel"/>
    <w:tmpl w:val="20780070"/>
    <w:lvl w:ilvl="0" w:tplc="7CC65126">
      <w:start w:val="1"/>
      <w:numFmt w:val="decimal"/>
      <w:lvlText w:val="%1."/>
      <w:lvlJc w:val="left"/>
      <w:pPr>
        <w:ind w:left="720" w:hanging="360"/>
      </w:pPr>
      <w:rPr>
        <w:b w:val="0"/>
        <w:bCs w:val="0"/>
      </w:rPr>
    </w:lvl>
    <w:lvl w:ilvl="1" w:tplc="87984120">
      <w:start w:val="1"/>
      <w:numFmt w:val="lowerRoman"/>
      <w:lvlText w:val="(%2)"/>
      <w:lvlJc w:val="left"/>
      <w:pPr>
        <w:ind w:left="1440" w:hanging="360"/>
      </w:pPr>
      <w:rPr>
        <w:rFonts w:ascii="Arial" w:hAnsi="Arial" w:cs="Arial" w:hint="default"/>
        <w:sz w:val="21"/>
        <w:szCs w:val="2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17373"/>
    <w:multiLevelType w:val="hybridMultilevel"/>
    <w:tmpl w:val="8DB8656C"/>
    <w:lvl w:ilvl="0" w:tplc="0538A8FE">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23799"/>
    <w:multiLevelType w:val="hybridMultilevel"/>
    <w:tmpl w:val="507A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D5DCC"/>
    <w:multiLevelType w:val="hybridMultilevel"/>
    <w:tmpl w:val="0DE8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E7BF8"/>
    <w:multiLevelType w:val="hybridMultilevel"/>
    <w:tmpl w:val="6AF2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D03E7A"/>
    <w:multiLevelType w:val="hybridMultilevel"/>
    <w:tmpl w:val="1158CE02"/>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433A1"/>
    <w:multiLevelType w:val="hybridMultilevel"/>
    <w:tmpl w:val="ACBC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94C6A"/>
    <w:multiLevelType w:val="hybridMultilevel"/>
    <w:tmpl w:val="FE50C8F8"/>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D670EA"/>
    <w:multiLevelType w:val="hybridMultilevel"/>
    <w:tmpl w:val="0252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512A0"/>
    <w:multiLevelType w:val="hybridMultilevel"/>
    <w:tmpl w:val="D74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B1340"/>
    <w:multiLevelType w:val="hybridMultilevel"/>
    <w:tmpl w:val="52862DE6"/>
    <w:lvl w:ilvl="0" w:tplc="DFEE2808">
      <w:start w:val="270"/>
      <w:numFmt w:val="bullet"/>
      <w:lvlText w:val="-"/>
      <w:lvlJc w:val="left"/>
      <w:pPr>
        <w:ind w:left="778" w:hanging="360"/>
      </w:pPr>
      <w:rPr>
        <w:rFonts w:ascii="Arial" w:eastAsia="SimSun" w:hAnsi="Arial" w:cs="Aria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20">
    <w:nsid w:val="58103276"/>
    <w:multiLevelType w:val="hybridMultilevel"/>
    <w:tmpl w:val="50342B02"/>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2796B"/>
    <w:multiLevelType w:val="hybridMultilevel"/>
    <w:tmpl w:val="9D764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F15563"/>
    <w:multiLevelType w:val="hybridMultilevel"/>
    <w:tmpl w:val="06D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971702"/>
    <w:multiLevelType w:val="hybridMultilevel"/>
    <w:tmpl w:val="EC4E2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26741"/>
    <w:multiLevelType w:val="hybridMultilevel"/>
    <w:tmpl w:val="F3886446"/>
    <w:lvl w:ilvl="0" w:tplc="5EBCA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nsid w:val="69FE7540"/>
    <w:multiLevelType w:val="hybridMultilevel"/>
    <w:tmpl w:val="CC7E92C4"/>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16638"/>
    <w:multiLevelType w:val="hybridMultilevel"/>
    <w:tmpl w:val="8034B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00E65"/>
    <w:multiLevelType w:val="hybridMultilevel"/>
    <w:tmpl w:val="BD002F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nsid w:val="7043784B"/>
    <w:multiLevelType w:val="hybridMultilevel"/>
    <w:tmpl w:val="560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43FAC"/>
    <w:multiLevelType w:val="hybridMultilevel"/>
    <w:tmpl w:val="F06E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6CC4620"/>
    <w:multiLevelType w:val="hybridMultilevel"/>
    <w:tmpl w:val="94CCF9CC"/>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E84FC5"/>
    <w:multiLevelType w:val="hybridMultilevel"/>
    <w:tmpl w:val="EB8A8CEE"/>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A70109"/>
    <w:multiLevelType w:val="hybridMultilevel"/>
    <w:tmpl w:val="D4880E24"/>
    <w:lvl w:ilvl="0" w:tplc="0809000F">
      <w:start w:val="1"/>
      <w:numFmt w:val="decimal"/>
      <w:lvlText w:val="%1."/>
      <w:lvlJc w:val="left"/>
      <w:pPr>
        <w:ind w:left="720" w:hanging="360"/>
      </w:pPr>
      <w:rPr>
        <w:rFonts w:hint="default"/>
      </w:rPr>
    </w:lvl>
    <w:lvl w:ilvl="1" w:tplc="87984120">
      <w:start w:val="1"/>
      <w:numFmt w:val="lowerRoman"/>
      <w:lvlText w:val="(%2)"/>
      <w:lvlJc w:val="left"/>
      <w:pPr>
        <w:ind w:left="1440" w:hanging="360"/>
      </w:pPr>
      <w:rPr>
        <w:rFonts w:ascii="Arial" w:hAnsi="Arial" w:cs="Arial" w:hint="default"/>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32"/>
  </w:num>
  <w:num w:numId="4">
    <w:abstractNumId w:val="26"/>
  </w:num>
  <w:num w:numId="5">
    <w:abstractNumId w:val="0"/>
  </w:num>
  <w:num w:numId="6">
    <w:abstractNumId w:val="22"/>
  </w:num>
  <w:num w:numId="7">
    <w:abstractNumId w:val="7"/>
  </w:num>
  <w:num w:numId="8">
    <w:abstractNumId w:val="25"/>
  </w:num>
  <w:num w:numId="9">
    <w:abstractNumId w:val="4"/>
  </w:num>
  <w:num w:numId="10">
    <w:abstractNumId w:val="23"/>
  </w:num>
  <w:num w:numId="11">
    <w:abstractNumId w:val="21"/>
  </w:num>
  <w:num w:numId="12">
    <w:abstractNumId w:val="28"/>
  </w:num>
  <w:num w:numId="13">
    <w:abstractNumId w:val="31"/>
  </w:num>
  <w:num w:numId="14">
    <w:abstractNumId w:val="12"/>
  </w:num>
  <w:num w:numId="15">
    <w:abstractNumId w:val="24"/>
  </w:num>
  <w:num w:numId="16">
    <w:abstractNumId w:val="5"/>
  </w:num>
  <w:num w:numId="17">
    <w:abstractNumId w:val="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0"/>
  </w:num>
  <w:num w:numId="21">
    <w:abstractNumId w:val="18"/>
  </w:num>
  <w:num w:numId="22">
    <w:abstractNumId w:val="9"/>
  </w:num>
  <w:num w:numId="23">
    <w:abstractNumId w:val="15"/>
  </w:num>
  <w:num w:numId="24">
    <w:abstractNumId w:val="1"/>
  </w:num>
  <w:num w:numId="25">
    <w:abstractNumId w:val="33"/>
  </w:num>
  <w:num w:numId="26">
    <w:abstractNumId w:val="11"/>
  </w:num>
  <w:num w:numId="27">
    <w:abstractNumId w:val="13"/>
  </w:num>
  <w:num w:numId="28">
    <w:abstractNumId w:val="29"/>
  </w:num>
  <w:num w:numId="29">
    <w:abstractNumId w:val="35"/>
  </w:num>
  <w:num w:numId="30">
    <w:abstractNumId w:val="27"/>
  </w:num>
  <w:num w:numId="31">
    <w:abstractNumId w:val="8"/>
  </w:num>
  <w:num w:numId="32">
    <w:abstractNumId w:val="6"/>
  </w:num>
  <w:num w:numId="33">
    <w:abstractNumId w:val="19"/>
  </w:num>
  <w:num w:numId="34">
    <w:abstractNumId w:val="20"/>
  </w:num>
  <w:num w:numId="35">
    <w:abstractNumId w:val="17"/>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7A"/>
    <w:rsid w:val="00011824"/>
    <w:rsid w:val="00011C66"/>
    <w:rsid w:val="000200CF"/>
    <w:rsid w:val="00026EAC"/>
    <w:rsid w:val="0003042D"/>
    <w:rsid w:val="00033E56"/>
    <w:rsid w:val="00040809"/>
    <w:rsid w:val="00040FDF"/>
    <w:rsid w:val="0004545E"/>
    <w:rsid w:val="0004621A"/>
    <w:rsid w:val="00051179"/>
    <w:rsid w:val="00061674"/>
    <w:rsid w:val="00062073"/>
    <w:rsid w:val="00063B55"/>
    <w:rsid w:val="00064B27"/>
    <w:rsid w:val="00066A75"/>
    <w:rsid w:val="000733CC"/>
    <w:rsid w:val="00080032"/>
    <w:rsid w:val="00080399"/>
    <w:rsid w:val="00080E57"/>
    <w:rsid w:val="00090CC3"/>
    <w:rsid w:val="00093F4A"/>
    <w:rsid w:val="00095D91"/>
    <w:rsid w:val="000A0F0F"/>
    <w:rsid w:val="000A14B7"/>
    <w:rsid w:val="000A3E5D"/>
    <w:rsid w:val="000A52FE"/>
    <w:rsid w:val="000B1D60"/>
    <w:rsid w:val="000C47FD"/>
    <w:rsid w:val="000C4998"/>
    <w:rsid w:val="000C4CD2"/>
    <w:rsid w:val="000C7049"/>
    <w:rsid w:val="000C7785"/>
    <w:rsid w:val="000D29E6"/>
    <w:rsid w:val="000D3314"/>
    <w:rsid w:val="000D3644"/>
    <w:rsid w:val="000D5F5B"/>
    <w:rsid w:val="000F09CE"/>
    <w:rsid w:val="000F0FB7"/>
    <w:rsid w:val="000F228A"/>
    <w:rsid w:val="000F5E56"/>
    <w:rsid w:val="0010054E"/>
    <w:rsid w:val="00104C70"/>
    <w:rsid w:val="00106ABB"/>
    <w:rsid w:val="00107169"/>
    <w:rsid w:val="001122D3"/>
    <w:rsid w:val="00114EE8"/>
    <w:rsid w:val="0013762C"/>
    <w:rsid w:val="001419B4"/>
    <w:rsid w:val="00146525"/>
    <w:rsid w:val="001617BC"/>
    <w:rsid w:val="001667C9"/>
    <w:rsid w:val="0017043C"/>
    <w:rsid w:val="001718CC"/>
    <w:rsid w:val="001735FF"/>
    <w:rsid w:val="00173FDE"/>
    <w:rsid w:val="0018205C"/>
    <w:rsid w:val="00182AA9"/>
    <w:rsid w:val="00187721"/>
    <w:rsid w:val="00190B57"/>
    <w:rsid w:val="0019259C"/>
    <w:rsid w:val="00194298"/>
    <w:rsid w:val="00194FAB"/>
    <w:rsid w:val="00197BF4"/>
    <w:rsid w:val="001A06F4"/>
    <w:rsid w:val="001A3413"/>
    <w:rsid w:val="001A6CD3"/>
    <w:rsid w:val="001B4DF4"/>
    <w:rsid w:val="001B60AD"/>
    <w:rsid w:val="001C2541"/>
    <w:rsid w:val="001C4865"/>
    <w:rsid w:val="001D1FE7"/>
    <w:rsid w:val="001D4851"/>
    <w:rsid w:val="001E54F8"/>
    <w:rsid w:val="001F24E3"/>
    <w:rsid w:val="00201B22"/>
    <w:rsid w:val="002049AA"/>
    <w:rsid w:val="0020788D"/>
    <w:rsid w:val="00207BFD"/>
    <w:rsid w:val="00214BCA"/>
    <w:rsid w:val="00221618"/>
    <w:rsid w:val="00223C7B"/>
    <w:rsid w:val="00226F0B"/>
    <w:rsid w:val="0023007B"/>
    <w:rsid w:val="00234B88"/>
    <w:rsid w:val="002417F4"/>
    <w:rsid w:val="0024444B"/>
    <w:rsid w:val="00245C66"/>
    <w:rsid w:val="00251C01"/>
    <w:rsid w:val="00252C39"/>
    <w:rsid w:val="00273294"/>
    <w:rsid w:val="00275137"/>
    <w:rsid w:val="002771BA"/>
    <w:rsid w:val="00284D5B"/>
    <w:rsid w:val="00284EE1"/>
    <w:rsid w:val="002861E5"/>
    <w:rsid w:val="00290252"/>
    <w:rsid w:val="00290AE7"/>
    <w:rsid w:val="00290D03"/>
    <w:rsid w:val="00292242"/>
    <w:rsid w:val="002A3AAC"/>
    <w:rsid w:val="002B207F"/>
    <w:rsid w:val="002B35EF"/>
    <w:rsid w:val="002B6780"/>
    <w:rsid w:val="002C04F5"/>
    <w:rsid w:val="002C2304"/>
    <w:rsid w:val="002C23B5"/>
    <w:rsid w:val="002F135C"/>
    <w:rsid w:val="002F7014"/>
    <w:rsid w:val="002F77FB"/>
    <w:rsid w:val="00322EB5"/>
    <w:rsid w:val="0032390A"/>
    <w:rsid w:val="00331982"/>
    <w:rsid w:val="00335CA1"/>
    <w:rsid w:val="00345017"/>
    <w:rsid w:val="0035245F"/>
    <w:rsid w:val="00352FA4"/>
    <w:rsid w:val="00355B1E"/>
    <w:rsid w:val="00356243"/>
    <w:rsid w:val="003573F0"/>
    <w:rsid w:val="00371DFE"/>
    <w:rsid w:val="00372A12"/>
    <w:rsid w:val="00374A36"/>
    <w:rsid w:val="00377769"/>
    <w:rsid w:val="00384DB6"/>
    <w:rsid w:val="003868F7"/>
    <w:rsid w:val="00396E12"/>
    <w:rsid w:val="003A7FE7"/>
    <w:rsid w:val="003B037D"/>
    <w:rsid w:val="003B05E6"/>
    <w:rsid w:val="003B1985"/>
    <w:rsid w:val="003C25B2"/>
    <w:rsid w:val="003C25D8"/>
    <w:rsid w:val="003C51B4"/>
    <w:rsid w:val="003C7F9F"/>
    <w:rsid w:val="003E4CC5"/>
    <w:rsid w:val="003F2F9A"/>
    <w:rsid w:val="00400E2A"/>
    <w:rsid w:val="00401C27"/>
    <w:rsid w:val="00405ECF"/>
    <w:rsid w:val="004105E2"/>
    <w:rsid w:val="00425D78"/>
    <w:rsid w:val="00431118"/>
    <w:rsid w:val="0043347A"/>
    <w:rsid w:val="004348A1"/>
    <w:rsid w:val="004350C7"/>
    <w:rsid w:val="00436A96"/>
    <w:rsid w:val="00437181"/>
    <w:rsid w:val="0044082F"/>
    <w:rsid w:val="004445A8"/>
    <w:rsid w:val="00447D87"/>
    <w:rsid w:val="004556F5"/>
    <w:rsid w:val="00460C2F"/>
    <w:rsid w:val="004615A6"/>
    <w:rsid w:val="00470A2A"/>
    <w:rsid w:val="00481F42"/>
    <w:rsid w:val="004827D6"/>
    <w:rsid w:val="00482837"/>
    <w:rsid w:val="0048572C"/>
    <w:rsid w:val="004860C9"/>
    <w:rsid w:val="00486738"/>
    <w:rsid w:val="00497490"/>
    <w:rsid w:val="0049794C"/>
    <w:rsid w:val="00497BD2"/>
    <w:rsid w:val="004C23E8"/>
    <w:rsid w:val="004E0B03"/>
    <w:rsid w:val="004E0BD1"/>
    <w:rsid w:val="004E7110"/>
    <w:rsid w:val="004F7559"/>
    <w:rsid w:val="00500E10"/>
    <w:rsid w:val="00503ADA"/>
    <w:rsid w:val="00504966"/>
    <w:rsid w:val="005101D2"/>
    <w:rsid w:val="0051047B"/>
    <w:rsid w:val="00516365"/>
    <w:rsid w:val="005174E1"/>
    <w:rsid w:val="005235F9"/>
    <w:rsid w:val="00525858"/>
    <w:rsid w:val="00527D27"/>
    <w:rsid w:val="00541F39"/>
    <w:rsid w:val="005444C4"/>
    <w:rsid w:val="00551056"/>
    <w:rsid w:val="005760A9"/>
    <w:rsid w:val="00581E45"/>
    <w:rsid w:val="00582B6C"/>
    <w:rsid w:val="0059122A"/>
    <w:rsid w:val="005B7808"/>
    <w:rsid w:val="005C126C"/>
    <w:rsid w:val="005C26F2"/>
    <w:rsid w:val="005C327D"/>
    <w:rsid w:val="005C6A80"/>
    <w:rsid w:val="005D3BBC"/>
    <w:rsid w:val="005D7C23"/>
    <w:rsid w:val="005E013D"/>
    <w:rsid w:val="005E16FA"/>
    <w:rsid w:val="005E226A"/>
    <w:rsid w:val="005F1CAB"/>
    <w:rsid w:val="005F5996"/>
    <w:rsid w:val="005F68FF"/>
    <w:rsid w:val="006012D2"/>
    <w:rsid w:val="00603A36"/>
    <w:rsid w:val="00604792"/>
    <w:rsid w:val="00604B94"/>
    <w:rsid w:val="006112C9"/>
    <w:rsid w:val="00611A6B"/>
    <w:rsid w:val="0061246F"/>
    <w:rsid w:val="00620A95"/>
    <w:rsid w:val="00622AAE"/>
    <w:rsid w:val="00623B29"/>
    <w:rsid w:val="006250B1"/>
    <w:rsid w:val="00625F97"/>
    <w:rsid w:val="00634275"/>
    <w:rsid w:val="0064155B"/>
    <w:rsid w:val="00646A86"/>
    <w:rsid w:val="006476FE"/>
    <w:rsid w:val="00653B7A"/>
    <w:rsid w:val="00691105"/>
    <w:rsid w:val="0069268D"/>
    <w:rsid w:val="006A256F"/>
    <w:rsid w:val="006A27BE"/>
    <w:rsid w:val="006A73F2"/>
    <w:rsid w:val="006C0887"/>
    <w:rsid w:val="006C165A"/>
    <w:rsid w:val="006C379E"/>
    <w:rsid w:val="006D2D44"/>
    <w:rsid w:val="006E606D"/>
    <w:rsid w:val="006F7707"/>
    <w:rsid w:val="00702E1E"/>
    <w:rsid w:val="0071027A"/>
    <w:rsid w:val="00714347"/>
    <w:rsid w:val="00715559"/>
    <w:rsid w:val="007231D8"/>
    <w:rsid w:val="0072641B"/>
    <w:rsid w:val="00730476"/>
    <w:rsid w:val="00736B7E"/>
    <w:rsid w:val="00753464"/>
    <w:rsid w:val="00755C05"/>
    <w:rsid w:val="007710F4"/>
    <w:rsid w:val="00773CB9"/>
    <w:rsid w:val="00774E21"/>
    <w:rsid w:val="00782B49"/>
    <w:rsid w:val="00783E32"/>
    <w:rsid w:val="0078664B"/>
    <w:rsid w:val="00787511"/>
    <w:rsid w:val="00793653"/>
    <w:rsid w:val="007A2108"/>
    <w:rsid w:val="007B136D"/>
    <w:rsid w:val="007B240C"/>
    <w:rsid w:val="007C36A3"/>
    <w:rsid w:val="007D53C7"/>
    <w:rsid w:val="007D7B44"/>
    <w:rsid w:val="007E6B5E"/>
    <w:rsid w:val="007E6B7D"/>
    <w:rsid w:val="007F4A91"/>
    <w:rsid w:val="007F6B25"/>
    <w:rsid w:val="00804DB7"/>
    <w:rsid w:val="0080625D"/>
    <w:rsid w:val="00806E47"/>
    <w:rsid w:val="00811659"/>
    <w:rsid w:val="00813CB5"/>
    <w:rsid w:val="00832549"/>
    <w:rsid w:val="00835290"/>
    <w:rsid w:val="008438D1"/>
    <w:rsid w:val="00843D71"/>
    <w:rsid w:val="00850C08"/>
    <w:rsid w:val="00851D9C"/>
    <w:rsid w:val="00872963"/>
    <w:rsid w:val="00881824"/>
    <w:rsid w:val="008861D5"/>
    <w:rsid w:val="00894AE4"/>
    <w:rsid w:val="00894DB5"/>
    <w:rsid w:val="00895921"/>
    <w:rsid w:val="008B092D"/>
    <w:rsid w:val="008B4DB9"/>
    <w:rsid w:val="008B7186"/>
    <w:rsid w:val="008C284C"/>
    <w:rsid w:val="008C2ECF"/>
    <w:rsid w:val="008C350E"/>
    <w:rsid w:val="008C75DC"/>
    <w:rsid w:val="008D0387"/>
    <w:rsid w:val="008E5052"/>
    <w:rsid w:val="008E6E53"/>
    <w:rsid w:val="008F4D76"/>
    <w:rsid w:val="00911806"/>
    <w:rsid w:val="0091509E"/>
    <w:rsid w:val="00915483"/>
    <w:rsid w:val="0092101F"/>
    <w:rsid w:val="0092207D"/>
    <w:rsid w:val="009354E4"/>
    <w:rsid w:val="00942303"/>
    <w:rsid w:val="00954BCB"/>
    <w:rsid w:val="009556CE"/>
    <w:rsid w:val="009603A5"/>
    <w:rsid w:val="00961996"/>
    <w:rsid w:val="009667F9"/>
    <w:rsid w:val="00970894"/>
    <w:rsid w:val="0097212C"/>
    <w:rsid w:val="00973B06"/>
    <w:rsid w:val="00980D47"/>
    <w:rsid w:val="00987143"/>
    <w:rsid w:val="0099107E"/>
    <w:rsid w:val="009B0223"/>
    <w:rsid w:val="009C06D7"/>
    <w:rsid w:val="009C48F5"/>
    <w:rsid w:val="009C6F71"/>
    <w:rsid w:val="009C7018"/>
    <w:rsid w:val="009C75B6"/>
    <w:rsid w:val="009D27D3"/>
    <w:rsid w:val="009D4512"/>
    <w:rsid w:val="00A162C5"/>
    <w:rsid w:val="00A20C9C"/>
    <w:rsid w:val="00A26BD6"/>
    <w:rsid w:val="00A30BF2"/>
    <w:rsid w:val="00A32631"/>
    <w:rsid w:val="00A40CB1"/>
    <w:rsid w:val="00A416AE"/>
    <w:rsid w:val="00A51A68"/>
    <w:rsid w:val="00A52A50"/>
    <w:rsid w:val="00A545FE"/>
    <w:rsid w:val="00A55A5F"/>
    <w:rsid w:val="00A70747"/>
    <w:rsid w:val="00A720F7"/>
    <w:rsid w:val="00A7231E"/>
    <w:rsid w:val="00A95462"/>
    <w:rsid w:val="00AA162B"/>
    <w:rsid w:val="00AB747C"/>
    <w:rsid w:val="00AC0770"/>
    <w:rsid w:val="00AC5671"/>
    <w:rsid w:val="00AC6C69"/>
    <w:rsid w:val="00AD0F36"/>
    <w:rsid w:val="00AD4B21"/>
    <w:rsid w:val="00AD6D24"/>
    <w:rsid w:val="00AF0542"/>
    <w:rsid w:val="00B03E5E"/>
    <w:rsid w:val="00B1492D"/>
    <w:rsid w:val="00B22F66"/>
    <w:rsid w:val="00B25249"/>
    <w:rsid w:val="00B264CA"/>
    <w:rsid w:val="00B35A79"/>
    <w:rsid w:val="00B36C2B"/>
    <w:rsid w:val="00B4685C"/>
    <w:rsid w:val="00B471A7"/>
    <w:rsid w:val="00B53115"/>
    <w:rsid w:val="00B80E44"/>
    <w:rsid w:val="00B83F7E"/>
    <w:rsid w:val="00B85BA1"/>
    <w:rsid w:val="00B85D3C"/>
    <w:rsid w:val="00B921CB"/>
    <w:rsid w:val="00BA511B"/>
    <w:rsid w:val="00BB3E02"/>
    <w:rsid w:val="00BB5A80"/>
    <w:rsid w:val="00BB753C"/>
    <w:rsid w:val="00BF2459"/>
    <w:rsid w:val="00C0295A"/>
    <w:rsid w:val="00C04A28"/>
    <w:rsid w:val="00C07BED"/>
    <w:rsid w:val="00C15272"/>
    <w:rsid w:val="00C220CE"/>
    <w:rsid w:val="00C23409"/>
    <w:rsid w:val="00C24AE0"/>
    <w:rsid w:val="00C25034"/>
    <w:rsid w:val="00C25C67"/>
    <w:rsid w:val="00C27D5D"/>
    <w:rsid w:val="00C33FF4"/>
    <w:rsid w:val="00C34889"/>
    <w:rsid w:val="00C36FAD"/>
    <w:rsid w:val="00C3752C"/>
    <w:rsid w:val="00C42894"/>
    <w:rsid w:val="00C454C9"/>
    <w:rsid w:val="00C52082"/>
    <w:rsid w:val="00C554EC"/>
    <w:rsid w:val="00C64CF5"/>
    <w:rsid w:val="00C730BD"/>
    <w:rsid w:val="00C74667"/>
    <w:rsid w:val="00C83B65"/>
    <w:rsid w:val="00C853CC"/>
    <w:rsid w:val="00C94BA1"/>
    <w:rsid w:val="00CA058B"/>
    <w:rsid w:val="00CA458E"/>
    <w:rsid w:val="00CA5E06"/>
    <w:rsid w:val="00CA6F47"/>
    <w:rsid w:val="00CB3654"/>
    <w:rsid w:val="00CC49C4"/>
    <w:rsid w:val="00CF16A2"/>
    <w:rsid w:val="00CF37CA"/>
    <w:rsid w:val="00CF5060"/>
    <w:rsid w:val="00CF6833"/>
    <w:rsid w:val="00D06645"/>
    <w:rsid w:val="00D166BA"/>
    <w:rsid w:val="00D224A7"/>
    <w:rsid w:val="00D30DA4"/>
    <w:rsid w:val="00D32AA3"/>
    <w:rsid w:val="00D34959"/>
    <w:rsid w:val="00D36186"/>
    <w:rsid w:val="00D43026"/>
    <w:rsid w:val="00D45F87"/>
    <w:rsid w:val="00D54B7D"/>
    <w:rsid w:val="00D63F20"/>
    <w:rsid w:val="00D640D3"/>
    <w:rsid w:val="00D64B6C"/>
    <w:rsid w:val="00D83854"/>
    <w:rsid w:val="00D84167"/>
    <w:rsid w:val="00D908E7"/>
    <w:rsid w:val="00D90DFC"/>
    <w:rsid w:val="00D93619"/>
    <w:rsid w:val="00DA44D1"/>
    <w:rsid w:val="00DB1104"/>
    <w:rsid w:val="00DB1F15"/>
    <w:rsid w:val="00DB70A6"/>
    <w:rsid w:val="00DC14C5"/>
    <w:rsid w:val="00DC61EA"/>
    <w:rsid w:val="00DE3CDE"/>
    <w:rsid w:val="00DF1219"/>
    <w:rsid w:val="00E0315F"/>
    <w:rsid w:val="00E115AC"/>
    <w:rsid w:val="00E13D8B"/>
    <w:rsid w:val="00E20CEB"/>
    <w:rsid w:val="00E23B76"/>
    <w:rsid w:val="00E254CC"/>
    <w:rsid w:val="00E31CC4"/>
    <w:rsid w:val="00E35F27"/>
    <w:rsid w:val="00E4111B"/>
    <w:rsid w:val="00E413D0"/>
    <w:rsid w:val="00E46337"/>
    <w:rsid w:val="00E52514"/>
    <w:rsid w:val="00E567E5"/>
    <w:rsid w:val="00E71B92"/>
    <w:rsid w:val="00E71D73"/>
    <w:rsid w:val="00E75704"/>
    <w:rsid w:val="00E8145F"/>
    <w:rsid w:val="00E81B0E"/>
    <w:rsid w:val="00E95A3E"/>
    <w:rsid w:val="00E97F0B"/>
    <w:rsid w:val="00EA6DBC"/>
    <w:rsid w:val="00EB0B88"/>
    <w:rsid w:val="00EB4EF9"/>
    <w:rsid w:val="00EC02D9"/>
    <w:rsid w:val="00EC50A6"/>
    <w:rsid w:val="00ED285D"/>
    <w:rsid w:val="00ED694E"/>
    <w:rsid w:val="00EF1F5E"/>
    <w:rsid w:val="00EF5D02"/>
    <w:rsid w:val="00EF6BD0"/>
    <w:rsid w:val="00EF6C4D"/>
    <w:rsid w:val="00F005FF"/>
    <w:rsid w:val="00F021AE"/>
    <w:rsid w:val="00F15B69"/>
    <w:rsid w:val="00F22A9E"/>
    <w:rsid w:val="00F2666A"/>
    <w:rsid w:val="00F35355"/>
    <w:rsid w:val="00F373B5"/>
    <w:rsid w:val="00F56C27"/>
    <w:rsid w:val="00F613CD"/>
    <w:rsid w:val="00F6375B"/>
    <w:rsid w:val="00F644D5"/>
    <w:rsid w:val="00F647E7"/>
    <w:rsid w:val="00F72166"/>
    <w:rsid w:val="00F97C5F"/>
    <w:rsid w:val="00FA0EA3"/>
    <w:rsid w:val="00FA2C25"/>
    <w:rsid w:val="00FA5B68"/>
    <w:rsid w:val="00FA6F7E"/>
    <w:rsid w:val="00FA71B8"/>
    <w:rsid w:val="00FA7D54"/>
    <w:rsid w:val="00FB1239"/>
    <w:rsid w:val="00FB217E"/>
    <w:rsid w:val="00FC361C"/>
    <w:rsid w:val="00FC392E"/>
    <w:rsid w:val="00FC3D79"/>
    <w:rsid w:val="00FC73E5"/>
    <w:rsid w:val="00FD1959"/>
    <w:rsid w:val="00FD717A"/>
    <w:rsid w:val="00FD7501"/>
    <w:rsid w:val="00FF31C1"/>
    <w:rsid w:val="00FF4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190B57"/>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hAnsi="Arial" w:cs="Arial"/>
      <w:sz w:val="22"/>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eastAsia="zh-CN"/>
    </w:rPr>
  </w:style>
  <w:style w:type="character" w:customStyle="1" w:styleId="HeaderChar">
    <w:name w:val="Header Char"/>
    <w:basedOn w:val="DefaultParagraphFont"/>
    <w:link w:val="Header"/>
    <w:uiPriority w:val="99"/>
    <w:rsid w:val="00E567E5"/>
    <w:rPr>
      <w:rFonts w:ascii="Arial" w:eastAsia="SimSun" w:hAnsi="Arial" w:cs="Arial"/>
      <w:sz w:val="22"/>
      <w:lang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8C284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7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190B57"/>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hAnsi="Arial" w:cs="Arial"/>
      <w:sz w:val="22"/>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eastAsia="zh-CN"/>
    </w:rPr>
  </w:style>
  <w:style w:type="character" w:customStyle="1" w:styleId="HeaderChar">
    <w:name w:val="Header Char"/>
    <w:basedOn w:val="DefaultParagraphFont"/>
    <w:link w:val="Header"/>
    <w:uiPriority w:val="99"/>
    <w:rsid w:val="00E567E5"/>
    <w:rPr>
      <w:rFonts w:ascii="Arial" w:eastAsia="SimSun" w:hAnsi="Arial" w:cs="Arial"/>
      <w:sz w:val="22"/>
      <w:lang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8C284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6137">
      <w:bodyDiv w:val="1"/>
      <w:marLeft w:val="0"/>
      <w:marRight w:val="0"/>
      <w:marTop w:val="0"/>
      <w:marBottom w:val="0"/>
      <w:divBdr>
        <w:top w:val="none" w:sz="0" w:space="0" w:color="auto"/>
        <w:left w:val="none" w:sz="0" w:space="0" w:color="auto"/>
        <w:bottom w:val="none" w:sz="0" w:space="0" w:color="auto"/>
        <w:right w:val="none" w:sz="0" w:space="0" w:color="auto"/>
      </w:divBdr>
    </w:div>
    <w:div w:id="242833405">
      <w:bodyDiv w:val="1"/>
      <w:marLeft w:val="0"/>
      <w:marRight w:val="0"/>
      <w:marTop w:val="0"/>
      <w:marBottom w:val="0"/>
      <w:divBdr>
        <w:top w:val="none" w:sz="0" w:space="0" w:color="auto"/>
        <w:left w:val="none" w:sz="0" w:space="0" w:color="auto"/>
        <w:bottom w:val="none" w:sz="0" w:space="0" w:color="auto"/>
        <w:right w:val="none" w:sz="0" w:space="0" w:color="auto"/>
      </w:divBdr>
    </w:div>
    <w:div w:id="364332285">
      <w:bodyDiv w:val="1"/>
      <w:marLeft w:val="0"/>
      <w:marRight w:val="0"/>
      <w:marTop w:val="0"/>
      <w:marBottom w:val="0"/>
      <w:divBdr>
        <w:top w:val="none" w:sz="0" w:space="0" w:color="auto"/>
        <w:left w:val="none" w:sz="0" w:space="0" w:color="auto"/>
        <w:bottom w:val="none" w:sz="0" w:space="0" w:color="auto"/>
        <w:right w:val="none" w:sz="0" w:space="0" w:color="auto"/>
      </w:divBdr>
    </w:div>
    <w:div w:id="439761012">
      <w:bodyDiv w:val="1"/>
      <w:marLeft w:val="0"/>
      <w:marRight w:val="0"/>
      <w:marTop w:val="0"/>
      <w:marBottom w:val="0"/>
      <w:divBdr>
        <w:top w:val="none" w:sz="0" w:space="0" w:color="auto"/>
        <w:left w:val="none" w:sz="0" w:space="0" w:color="auto"/>
        <w:bottom w:val="none" w:sz="0" w:space="0" w:color="auto"/>
        <w:right w:val="none" w:sz="0" w:space="0" w:color="auto"/>
      </w:divBdr>
    </w:div>
    <w:div w:id="483275653">
      <w:bodyDiv w:val="1"/>
      <w:marLeft w:val="0"/>
      <w:marRight w:val="0"/>
      <w:marTop w:val="0"/>
      <w:marBottom w:val="0"/>
      <w:divBdr>
        <w:top w:val="none" w:sz="0" w:space="0" w:color="auto"/>
        <w:left w:val="none" w:sz="0" w:space="0" w:color="auto"/>
        <w:bottom w:val="none" w:sz="0" w:space="0" w:color="auto"/>
        <w:right w:val="none" w:sz="0" w:space="0" w:color="auto"/>
      </w:divBdr>
    </w:div>
    <w:div w:id="561327156">
      <w:bodyDiv w:val="1"/>
      <w:marLeft w:val="0"/>
      <w:marRight w:val="0"/>
      <w:marTop w:val="0"/>
      <w:marBottom w:val="0"/>
      <w:divBdr>
        <w:top w:val="none" w:sz="0" w:space="0" w:color="auto"/>
        <w:left w:val="none" w:sz="0" w:space="0" w:color="auto"/>
        <w:bottom w:val="none" w:sz="0" w:space="0" w:color="auto"/>
        <w:right w:val="none" w:sz="0" w:space="0" w:color="auto"/>
      </w:divBdr>
    </w:div>
    <w:div w:id="642583610">
      <w:bodyDiv w:val="1"/>
      <w:marLeft w:val="0"/>
      <w:marRight w:val="0"/>
      <w:marTop w:val="0"/>
      <w:marBottom w:val="0"/>
      <w:divBdr>
        <w:top w:val="none" w:sz="0" w:space="0" w:color="auto"/>
        <w:left w:val="none" w:sz="0" w:space="0" w:color="auto"/>
        <w:bottom w:val="none" w:sz="0" w:space="0" w:color="auto"/>
        <w:right w:val="none" w:sz="0" w:space="0" w:color="auto"/>
      </w:divBdr>
    </w:div>
    <w:div w:id="668289672">
      <w:bodyDiv w:val="1"/>
      <w:marLeft w:val="0"/>
      <w:marRight w:val="0"/>
      <w:marTop w:val="0"/>
      <w:marBottom w:val="0"/>
      <w:divBdr>
        <w:top w:val="none" w:sz="0" w:space="0" w:color="auto"/>
        <w:left w:val="none" w:sz="0" w:space="0" w:color="auto"/>
        <w:bottom w:val="none" w:sz="0" w:space="0" w:color="auto"/>
        <w:right w:val="none" w:sz="0" w:space="0" w:color="auto"/>
      </w:divBdr>
    </w:div>
    <w:div w:id="669529500">
      <w:bodyDiv w:val="1"/>
      <w:marLeft w:val="0"/>
      <w:marRight w:val="0"/>
      <w:marTop w:val="0"/>
      <w:marBottom w:val="0"/>
      <w:divBdr>
        <w:top w:val="none" w:sz="0" w:space="0" w:color="auto"/>
        <w:left w:val="none" w:sz="0" w:space="0" w:color="auto"/>
        <w:bottom w:val="none" w:sz="0" w:space="0" w:color="auto"/>
        <w:right w:val="none" w:sz="0" w:space="0" w:color="auto"/>
      </w:divBdr>
    </w:div>
    <w:div w:id="687682915">
      <w:bodyDiv w:val="1"/>
      <w:marLeft w:val="0"/>
      <w:marRight w:val="0"/>
      <w:marTop w:val="0"/>
      <w:marBottom w:val="0"/>
      <w:divBdr>
        <w:top w:val="none" w:sz="0" w:space="0" w:color="auto"/>
        <w:left w:val="none" w:sz="0" w:space="0" w:color="auto"/>
        <w:bottom w:val="none" w:sz="0" w:space="0" w:color="auto"/>
        <w:right w:val="none" w:sz="0" w:space="0" w:color="auto"/>
      </w:divBdr>
    </w:div>
    <w:div w:id="714353782">
      <w:bodyDiv w:val="1"/>
      <w:marLeft w:val="0"/>
      <w:marRight w:val="0"/>
      <w:marTop w:val="0"/>
      <w:marBottom w:val="0"/>
      <w:divBdr>
        <w:top w:val="none" w:sz="0" w:space="0" w:color="auto"/>
        <w:left w:val="none" w:sz="0" w:space="0" w:color="auto"/>
        <w:bottom w:val="none" w:sz="0" w:space="0" w:color="auto"/>
        <w:right w:val="none" w:sz="0" w:space="0" w:color="auto"/>
      </w:divBdr>
    </w:div>
    <w:div w:id="724960209">
      <w:bodyDiv w:val="1"/>
      <w:marLeft w:val="0"/>
      <w:marRight w:val="0"/>
      <w:marTop w:val="0"/>
      <w:marBottom w:val="0"/>
      <w:divBdr>
        <w:top w:val="none" w:sz="0" w:space="0" w:color="auto"/>
        <w:left w:val="none" w:sz="0" w:space="0" w:color="auto"/>
        <w:bottom w:val="none" w:sz="0" w:space="0" w:color="auto"/>
        <w:right w:val="none" w:sz="0" w:space="0" w:color="auto"/>
      </w:divBdr>
    </w:div>
    <w:div w:id="729353510">
      <w:bodyDiv w:val="1"/>
      <w:marLeft w:val="0"/>
      <w:marRight w:val="0"/>
      <w:marTop w:val="0"/>
      <w:marBottom w:val="0"/>
      <w:divBdr>
        <w:top w:val="none" w:sz="0" w:space="0" w:color="auto"/>
        <w:left w:val="none" w:sz="0" w:space="0" w:color="auto"/>
        <w:bottom w:val="none" w:sz="0" w:space="0" w:color="auto"/>
        <w:right w:val="none" w:sz="0" w:space="0" w:color="auto"/>
      </w:divBdr>
    </w:div>
    <w:div w:id="831338856">
      <w:bodyDiv w:val="1"/>
      <w:marLeft w:val="0"/>
      <w:marRight w:val="0"/>
      <w:marTop w:val="0"/>
      <w:marBottom w:val="0"/>
      <w:divBdr>
        <w:top w:val="none" w:sz="0" w:space="0" w:color="auto"/>
        <w:left w:val="none" w:sz="0" w:space="0" w:color="auto"/>
        <w:bottom w:val="none" w:sz="0" w:space="0" w:color="auto"/>
        <w:right w:val="none" w:sz="0" w:space="0" w:color="auto"/>
      </w:divBdr>
    </w:div>
    <w:div w:id="886187773">
      <w:bodyDiv w:val="1"/>
      <w:marLeft w:val="0"/>
      <w:marRight w:val="0"/>
      <w:marTop w:val="0"/>
      <w:marBottom w:val="0"/>
      <w:divBdr>
        <w:top w:val="none" w:sz="0" w:space="0" w:color="auto"/>
        <w:left w:val="none" w:sz="0" w:space="0" w:color="auto"/>
        <w:bottom w:val="none" w:sz="0" w:space="0" w:color="auto"/>
        <w:right w:val="none" w:sz="0" w:space="0" w:color="auto"/>
      </w:divBdr>
    </w:div>
    <w:div w:id="929434812">
      <w:bodyDiv w:val="1"/>
      <w:marLeft w:val="0"/>
      <w:marRight w:val="0"/>
      <w:marTop w:val="0"/>
      <w:marBottom w:val="0"/>
      <w:divBdr>
        <w:top w:val="none" w:sz="0" w:space="0" w:color="auto"/>
        <w:left w:val="none" w:sz="0" w:space="0" w:color="auto"/>
        <w:bottom w:val="none" w:sz="0" w:space="0" w:color="auto"/>
        <w:right w:val="none" w:sz="0" w:space="0" w:color="auto"/>
      </w:divBdr>
    </w:div>
    <w:div w:id="936988453">
      <w:bodyDiv w:val="1"/>
      <w:marLeft w:val="0"/>
      <w:marRight w:val="0"/>
      <w:marTop w:val="0"/>
      <w:marBottom w:val="0"/>
      <w:divBdr>
        <w:top w:val="none" w:sz="0" w:space="0" w:color="auto"/>
        <w:left w:val="none" w:sz="0" w:space="0" w:color="auto"/>
        <w:bottom w:val="none" w:sz="0" w:space="0" w:color="auto"/>
        <w:right w:val="none" w:sz="0" w:space="0" w:color="auto"/>
      </w:divBdr>
    </w:div>
    <w:div w:id="973635559">
      <w:bodyDiv w:val="1"/>
      <w:marLeft w:val="0"/>
      <w:marRight w:val="0"/>
      <w:marTop w:val="0"/>
      <w:marBottom w:val="0"/>
      <w:divBdr>
        <w:top w:val="none" w:sz="0" w:space="0" w:color="auto"/>
        <w:left w:val="none" w:sz="0" w:space="0" w:color="auto"/>
        <w:bottom w:val="none" w:sz="0" w:space="0" w:color="auto"/>
        <w:right w:val="none" w:sz="0" w:space="0" w:color="auto"/>
      </w:divBdr>
    </w:div>
    <w:div w:id="1305544905">
      <w:bodyDiv w:val="1"/>
      <w:marLeft w:val="0"/>
      <w:marRight w:val="0"/>
      <w:marTop w:val="0"/>
      <w:marBottom w:val="0"/>
      <w:divBdr>
        <w:top w:val="none" w:sz="0" w:space="0" w:color="auto"/>
        <w:left w:val="none" w:sz="0" w:space="0" w:color="auto"/>
        <w:bottom w:val="none" w:sz="0" w:space="0" w:color="auto"/>
        <w:right w:val="none" w:sz="0" w:space="0" w:color="auto"/>
      </w:divBdr>
    </w:div>
    <w:div w:id="1355884413">
      <w:bodyDiv w:val="1"/>
      <w:marLeft w:val="0"/>
      <w:marRight w:val="0"/>
      <w:marTop w:val="0"/>
      <w:marBottom w:val="0"/>
      <w:divBdr>
        <w:top w:val="none" w:sz="0" w:space="0" w:color="auto"/>
        <w:left w:val="none" w:sz="0" w:space="0" w:color="auto"/>
        <w:bottom w:val="none" w:sz="0" w:space="0" w:color="auto"/>
        <w:right w:val="none" w:sz="0" w:space="0" w:color="auto"/>
      </w:divBdr>
    </w:div>
    <w:div w:id="1520046114">
      <w:bodyDiv w:val="1"/>
      <w:marLeft w:val="0"/>
      <w:marRight w:val="0"/>
      <w:marTop w:val="0"/>
      <w:marBottom w:val="0"/>
      <w:divBdr>
        <w:top w:val="none" w:sz="0" w:space="0" w:color="auto"/>
        <w:left w:val="none" w:sz="0" w:space="0" w:color="auto"/>
        <w:bottom w:val="none" w:sz="0" w:space="0" w:color="auto"/>
        <w:right w:val="none" w:sz="0" w:space="0" w:color="auto"/>
      </w:divBdr>
    </w:div>
    <w:div w:id="1823541823">
      <w:bodyDiv w:val="1"/>
      <w:marLeft w:val="0"/>
      <w:marRight w:val="0"/>
      <w:marTop w:val="0"/>
      <w:marBottom w:val="0"/>
      <w:divBdr>
        <w:top w:val="none" w:sz="0" w:space="0" w:color="auto"/>
        <w:left w:val="none" w:sz="0" w:space="0" w:color="auto"/>
        <w:bottom w:val="none" w:sz="0" w:space="0" w:color="auto"/>
        <w:right w:val="none" w:sz="0" w:space="0" w:color="auto"/>
      </w:divBdr>
    </w:div>
    <w:div w:id="1864705211">
      <w:bodyDiv w:val="1"/>
      <w:marLeft w:val="0"/>
      <w:marRight w:val="0"/>
      <w:marTop w:val="0"/>
      <w:marBottom w:val="0"/>
      <w:divBdr>
        <w:top w:val="none" w:sz="0" w:space="0" w:color="auto"/>
        <w:left w:val="none" w:sz="0" w:space="0" w:color="auto"/>
        <w:bottom w:val="none" w:sz="0" w:space="0" w:color="auto"/>
        <w:right w:val="none" w:sz="0" w:space="0" w:color="auto"/>
      </w:divBdr>
    </w:div>
    <w:div w:id="1901280633">
      <w:bodyDiv w:val="1"/>
      <w:marLeft w:val="0"/>
      <w:marRight w:val="0"/>
      <w:marTop w:val="0"/>
      <w:marBottom w:val="0"/>
      <w:divBdr>
        <w:top w:val="none" w:sz="0" w:space="0" w:color="auto"/>
        <w:left w:val="none" w:sz="0" w:space="0" w:color="auto"/>
        <w:bottom w:val="none" w:sz="0" w:space="0" w:color="auto"/>
        <w:right w:val="none" w:sz="0" w:space="0" w:color="auto"/>
      </w:divBdr>
    </w:div>
    <w:div w:id="2110809098">
      <w:bodyDiv w:val="1"/>
      <w:marLeft w:val="0"/>
      <w:marRight w:val="0"/>
      <w:marTop w:val="0"/>
      <w:marBottom w:val="0"/>
      <w:divBdr>
        <w:top w:val="none" w:sz="0" w:space="0" w:color="auto"/>
        <w:left w:val="none" w:sz="0" w:space="0" w:color="auto"/>
        <w:bottom w:val="none" w:sz="0" w:space="0" w:color="auto"/>
        <w:right w:val="none" w:sz="0" w:space="0" w:color="auto"/>
      </w:divBdr>
    </w:div>
    <w:div w:id="2132703240">
      <w:bodyDiv w:val="1"/>
      <w:marLeft w:val="0"/>
      <w:marRight w:val="0"/>
      <w:marTop w:val="0"/>
      <w:marBottom w:val="0"/>
      <w:divBdr>
        <w:top w:val="none" w:sz="0" w:space="0" w:color="auto"/>
        <w:left w:val="none" w:sz="0" w:space="0" w:color="auto"/>
        <w:bottom w:val="none" w:sz="0" w:space="0" w:color="auto"/>
        <w:right w:val="none" w:sz="0" w:space="0" w:color="auto"/>
      </w:divBdr>
    </w:div>
    <w:div w:id="2134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image" Target="media/image2.emf"/><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image" Target="media/image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2E88-3A6B-400D-9B08-7E28E3F5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7125</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Michael Gotthainer</dc:creator>
  <cp:lastModifiedBy>ZEBARJADI-SAR Nahal</cp:lastModifiedBy>
  <cp:revision>5</cp:revision>
  <cp:lastPrinted>2017-06-16T07:02:00Z</cp:lastPrinted>
  <dcterms:created xsi:type="dcterms:W3CDTF">2017-06-16T07:00:00Z</dcterms:created>
  <dcterms:modified xsi:type="dcterms:W3CDTF">2017-06-21T13:37:00Z</dcterms:modified>
</cp:coreProperties>
</file>