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0" w:name="Code"/>
            <w:bookmarkEnd w:id="0"/>
            <w:r w:rsidR="00CA72C7">
              <w:rPr>
                <w:rFonts w:ascii="Arial Black" w:hAnsi="Arial Black"/>
                <w:caps/>
                <w:sz w:val="15"/>
              </w:rPr>
              <w:t>13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A72C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87118">
            <w:pPr>
              <w:jc w:val="right"/>
              <w:rPr>
                <w:rFonts w:ascii="Arial Black" w:hAnsi="Arial Black"/>
                <w:caps/>
                <w:sz w:val="15"/>
              </w:rPr>
            </w:pPr>
            <w:r w:rsidRPr="0090731E">
              <w:rPr>
                <w:rFonts w:ascii="Arial Black" w:hAnsi="Arial Black"/>
                <w:caps/>
                <w:sz w:val="15"/>
              </w:rPr>
              <w:t xml:space="preserve">DATE: </w:t>
            </w:r>
            <w:bookmarkStart w:id="2" w:name="Date"/>
            <w:bookmarkEnd w:id="2"/>
            <w:r w:rsidR="00391D6B">
              <w:rPr>
                <w:rFonts w:ascii="Arial Black" w:hAnsi="Arial Black"/>
                <w:caps/>
                <w:sz w:val="15"/>
              </w:rPr>
              <w:t>juLY</w:t>
            </w:r>
            <w:r w:rsidR="00CA72C7">
              <w:rPr>
                <w:rFonts w:ascii="Arial Black" w:hAnsi="Arial Black"/>
                <w:caps/>
                <w:sz w:val="15"/>
              </w:rPr>
              <w:t xml:space="preserve"> </w:t>
            </w:r>
            <w:r w:rsidR="00B87118">
              <w:rPr>
                <w:rFonts w:ascii="Arial Black" w:hAnsi="Arial Black"/>
                <w:caps/>
                <w:sz w:val="15"/>
              </w:rPr>
              <w:t>7</w:t>
            </w:r>
            <w:r w:rsidR="00CA72C7">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CA72C7" w:rsidP="008B2CC1">
      <w:pPr>
        <w:rPr>
          <w:caps/>
          <w:sz w:val="24"/>
        </w:rPr>
      </w:pPr>
      <w:bookmarkStart w:id="3" w:name="TitleOfDoc"/>
      <w:bookmarkEnd w:id="3"/>
      <w:r>
        <w:rPr>
          <w:caps/>
          <w:sz w:val="24"/>
        </w:rPr>
        <w:t xml:space="preserve">final report on the new construction project and </w:t>
      </w:r>
      <w:r w:rsidR="004B155C">
        <w:rPr>
          <w:caps/>
          <w:sz w:val="24"/>
        </w:rPr>
        <w:br/>
      </w:r>
      <w:r>
        <w:rPr>
          <w:caps/>
          <w:sz w:val="24"/>
        </w:rPr>
        <w:t>the new conference hall project</w:t>
      </w:r>
    </w:p>
    <w:p w:rsidR="008B2CC1" w:rsidRPr="008B2CC1" w:rsidRDefault="008B2CC1" w:rsidP="008B2CC1"/>
    <w:p w:rsidR="008B2CC1" w:rsidRPr="008B2CC1" w:rsidRDefault="00CA72C7" w:rsidP="008B2CC1">
      <w:pPr>
        <w:rPr>
          <w:i/>
        </w:rPr>
      </w:pPr>
      <w:bookmarkStart w:id="4" w:name="Prepared"/>
      <w:bookmarkEnd w:id="4"/>
      <w:r>
        <w:rPr>
          <w:i/>
        </w:rPr>
        <w:t>Prepared by the Secretariat</w:t>
      </w:r>
    </w:p>
    <w:p w:rsidR="00AC205C" w:rsidRDefault="00AC205C"/>
    <w:p w:rsidR="000F5E56" w:rsidRDefault="000F5E56"/>
    <w:p w:rsidR="002928D3" w:rsidRDefault="002928D3"/>
    <w:p w:rsidR="002928D3" w:rsidRDefault="002928D3" w:rsidP="0053057A"/>
    <w:p w:rsidR="00CA72C7" w:rsidRPr="00A71142" w:rsidRDefault="00CA72C7" w:rsidP="00CA72C7">
      <w:pPr>
        <w:rPr>
          <w:b/>
        </w:rPr>
      </w:pPr>
      <w:r w:rsidRPr="00A71142">
        <w:rPr>
          <w:b/>
        </w:rPr>
        <w:t>INTRODUCTION</w:t>
      </w:r>
    </w:p>
    <w:p w:rsidR="00CA72C7" w:rsidRDefault="00CA72C7" w:rsidP="00CA72C7"/>
    <w:p w:rsidR="00CA72C7" w:rsidRDefault="00CA72C7" w:rsidP="00C22AA0">
      <w:pPr>
        <w:numPr>
          <w:ilvl w:val="0"/>
          <w:numId w:val="7"/>
        </w:numPr>
      </w:pPr>
      <w:r w:rsidRPr="002372A6">
        <w:t xml:space="preserve">The purpose of this document is </w:t>
      </w:r>
      <w:r>
        <w:t xml:space="preserve">to </w:t>
      </w:r>
      <w:r w:rsidRPr="002372A6">
        <w:t>present to</w:t>
      </w:r>
      <w:r>
        <w:t xml:space="preserve"> the </w:t>
      </w:r>
      <w:r w:rsidRPr="002372A6">
        <w:t>Program a</w:t>
      </w:r>
      <w:r>
        <w:t>nd Budget Committee (“the PBC”) the final</w:t>
      </w:r>
      <w:r w:rsidRPr="002372A6">
        <w:t xml:space="preserve"> report</w:t>
      </w:r>
      <w:r w:rsidR="00E64469">
        <w:t xml:space="preserve"> </w:t>
      </w:r>
      <w:r w:rsidRPr="002372A6">
        <w:t xml:space="preserve">on </w:t>
      </w:r>
      <w:r>
        <w:t xml:space="preserve">the </w:t>
      </w:r>
      <w:r w:rsidRPr="002372A6">
        <w:t xml:space="preserve">New Construction Project </w:t>
      </w:r>
      <w:r w:rsidR="00EA057A">
        <w:t xml:space="preserve">(NCP) </w:t>
      </w:r>
      <w:r>
        <w:t xml:space="preserve">and the New Conference Hall  Project </w:t>
      </w:r>
      <w:r w:rsidR="00EA057A">
        <w:t xml:space="preserve">(NCHP) </w:t>
      </w:r>
      <w:r w:rsidRPr="002372A6">
        <w:t xml:space="preserve">covering the period since </w:t>
      </w:r>
      <w:r>
        <w:t>September 2015</w:t>
      </w:r>
      <w:r w:rsidRPr="002372A6">
        <w:t xml:space="preserve">, date </w:t>
      </w:r>
      <w:r>
        <w:t xml:space="preserve">on which the last </w:t>
      </w:r>
      <w:r w:rsidRPr="002372A6">
        <w:t xml:space="preserve">progress report for </w:t>
      </w:r>
      <w:r>
        <w:t>t</w:t>
      </w:r>
      <w:r w:rsidRPr="002372A6">
        <w:t>he</w:t>
      </w:r>
      <w:r>
        <w:t xml:space="preserve"> P</w:t>
      </w:r>
      <w:r w:rsidRPr="002372A6">
        <w:t>roje</w:t>
      </w:r>
      <w:r>
        <w:t>cts was presented to the PBC (document WO/PBC/24/13</w:t>
      </w:r>
      <w:r w:rsidRPr="002372A6">
        <w:t>)</w:t>
      </w:r>
      <w:r>
        <w:t>.</w:t>
      </w:r>
      <w:r w:rsidR="00B818FA">
        <w:t xml:space="preserve">  </w:t>
      </w:r>
      <w:r w:rsidR="004B3FDB">
        <w:t>It also presents the lessons learned from managing the two Projects.</w:t>
      </w:r>
    </w:p>
    <w:p w:rsidR="00C22AA0" w:rsidRDefault="00C22AA0" w:rsidP="00C22AA0"/>
    <w:p w:rsidR="00CA72C7" w:rsidRPr="00904DAB" w:rsidRDefault="00904DAB" w:rsidP="00904DAB">
      <w:pPr>
        <w:keepNext/>
        <w:keepLines/>
        <w:rPr>
          <w:b/>
        </w:rPr>
      </w:pPr>
      <w:r>
        <w:rPr>
          <w:b/>
        </w:rPr>
        <w:t>A.  </w:t>
      </w:r>
      <w:r w:rsidR="00E64469" w:rsidRPr="00904DAB">
        <w:rPr>
          <w:b/>
        </w:rPr>
        <w:t>FINAL</w:t>
      </w:r>
      <w:r w:rsidRPr="00904DAB">
        <w:rPr>
          <w:b/>
        </w:rPr>
        <w:t xml:space="preserve"> </w:t>
      </w:r>
      <w:r w:rsidR="00567B0D" w:rsidRPr="00904DAB">
        <w:rPr>
          <w:b/>
        </w:rPr>
        <w:t xml:space="preserve">OPERATIONAL </w:t>
      </w:r>
      <w:r w:rsidRPr="00904DAB">
        <w:rPr>
          <w:b/>
        </w:rPr>
        <w:t>REPORT</w:t>
      </w:r>
    </w:p>
    <w:p w:rsidR="00CA72C7" w:rsidRPr="00EC5D71" w:rsidRDefault="00CA72C7" w:rsidP="00CA72C7"/>
    <w:p w:rsidR="00300789" w:rsidRDefault="00B02FA9" w:rsidP="00E64469">
      <w:pPr>
        <w:pStyle w:val="ListParagraph"/>
        <w:numPr>
          <w:ilvl w:val="0"/>
          <w:numId w:val="7"/>
        </w:numPr>
      </w:pPr>
      <w:r>
        <w:t>T</w:t>
      </w:r>
      <w:r w:rsidR="00E64469">
        <w:t xml:space="preserve">he only </w:t>
      </w:r>
      <w:r w:rsidR="00B818FA">
        <w:t xml:space="preserve">major </w:t>
      </w:r>
      <w:r w:rsidR="00E64469">
        <w:t>item</w:t>
      </w:r>
      <w:r w:rsidR="00CA72C7">
        <w:t xml:space="preserve"> which </w:t>
      </w:r>
      <w:r w:rsidR="00835281">
        <w:t>remained to be</w:t>
      </w:r>
      <w:r w:rsidR="00E64469">
        <w:t xml:space="preserve"> completed by the end of 2015 </w:t>
      </w:r>
      <w:r w:rsidR="0001290D">
        <w:t>relating</w:t>
      </w:r>
      <w:r>
        <w:t xml:space="preserve"> to the </w:t>
      </w:r>
      <w:r w:rsidR="00C41439" w:rsidRPr="00C41439">
        <w:t xml:space="preserve">NCP </w:t>
      </w:r>
      <w:r w:rsidR="00E64469">
        <w:t xml:space="preserve">was </w:t>
      </w:r>
      <w:r w:rsidR="002E703C">
        <w:t>the replacement and repair work</w:t>
      </w:r>
      <w:r w:rsidR="00E64469">
        <w:t xml:space="preserve"> </w:t>
      </w:r>
      <w:r w:rsidR="002E703C">
        <w:t>to</w:t>
      </w:r>
      <w:r w:rsidR="00E64469">
        <w:t xml:space="preserve"> </w:t>
      </w:r>
      <w:r w:rsidR="00E64469" w:rsidRPr="00E82C02">
        <w:t>windows on the ground floor</w:t>
      </w:r>
      <w:r w:rsidR="00835281">
        <w:t xml:space="preserve">, </w:t>
      </w:r>
      <w:r w:rsidR="002E703C">
        <w:t>which</w:t>
      </w:r>
      <w:r w:rsidR="00835281">
        <w:t xml:space="preserve"> was duly completed </w:t>
      </w:r>
      <w:r w:rsidR="00481257">
        <w:t>by mid-December 2015</w:t>
      </w:r>
      <w:r w:rsidR="005D3995">
        <w:t xml:space="preserve"> </w:t>
      </w:r>
      <w:r w:rsidR="00B818FA">
        <w:t xml:space="preserve">and financed from funds retained from the former </w:t>
      </w:r>
      <w:r w:rsidR="005D3995">
        <w:t>general contractor</w:t>
      </w:r>
      <w:r w:rsidR="00835281">
        <w:t>.</w:t>
      </w:r>
      <w:r w:rsidR="002E703C">
        <w:t xml:space="preserve">  For the purpose</w:t>
      </w:r>
      <w:r w:rsidR="00B818FA">
        <w:t xml:space="preserve"> of completeness, it is noted that the implementation of several items of a minor scope had to be deferred, mainly due to a question of workload </w:t>
      </w:r>
      <w:r w:rsidR="004B3FDB">
        <w:t>planning</w:t>
      </w:r>
      <w:r w:rsidR="00B818FA">
        <w:t>.  Such items are now expected to be dealt with by the end of 2016</w:t>
      </w:r>
      <w:r w:rsidR="000D26AB">
        <w:t>.</w:t>
      </w:r>
      <w:r w:rsidR="00B818FA">
        <w:t xml:space="preserve"> </w:t>
      </w:r>
      <w:r w:rsidR="000D26AB">
        <w:t xml:space="preserve"> The corresponding commitments are reflected in Annex II</w:t>
      </w:r>
      <w:r w:rsidR="00B818FA">
        <w:t>.</w:t>
      </w:r>
    </w:p>
    <w:p w:rsidR="00300789" w:rsidRDefault="00300789" w:rsidP="00300789">
      <w:pPr>
        <w:pStyle w:val="ListParagraph"/>
        <w:ind w:left="0"/>
      </w:pPr>
    </w:p>
    <w:p w:rsidR="0020537A" w:rsidRDefault="00C41439" w:rsidP="006901E5">
      <w:pPr>
        <w:pStyle w:val="ListParagraph"/>
        <w:numPr>
          <w:ilvl w:val="0"/>
          <w:numId w:val="7"/>
        </w:numPr>
      </w:pPr>
      <w:r>
        <w:t>Likewise, i</w:t>
      </w:r>
      <w:r w:rsidR="00904DAB">
        <w:t>n respect of</w:t>
      </w:r>
      <w:r w:rsidR="00300789">
        <w:t xml:space="preserve"> the </w:t>
      </w:r>
      <w:r>
        <w:t>NCHP</w:t>
      </w:r>
      <w:r w:rsidR="00904DAB">
        <w:t>,</w:t>
      </w:r>
      <w:r w:rsidR="00B818FA">
        <w:t xml:space="preserve"> a number of </w:t>
      </w:r>
      <w:r w:rsidR="0080534D">
        <w:t>minor</w:t>
      </w:r>
      <w:r w:rsidR="00481257">
        <w:t xml:space="preserve"> </w:t>
      </w:r>
      <w:r w:rsidR="0080534D">
        <w:t xml:space="preserve">outstanding </w:t>
      </w:r>
      <w:r w:rsidR="00835281">
        <w:t>items</w:t>
      </w:r>
      <w:r w:rsidR="0001290D">
        <w:t xml:space="preserve"> </w:t>
      </w:r>
      <w:r w:rsidR="00B818FA">
        <w:t xml:space="preserve">had to be deferred, </w:t>
      </w:r>
      <w:r w:rsidR="0001290D">
        <w:t>but</w:t>
      </w:r>
      <w:r w:rsidR="00835281">
        <w:t xml:space="preserve"> </w:t>
      </w:r>
      <w:r w:rsidR="00EA057A">
        <w:t>are expected to be</w:t>
      </w:r>
      <w:r w:rsidR="0080534D">
        <w:t xml:space="preserve"> </w:t>
      </w:r>
      <w:r w:rsidR="00835281">
        <w:t xml:space="preserve">completed by </w:t>
      </w:r>
      <w:r w:rsidR="00481257">
        <w:t>the end of 2016</w:t>
      </w:r>
      <w:r w:rsidR="000D26AB">
        <w:t>.  The corresponding commitments are reflected in Annex II</w:t>
      </w:r>
      <w:r w:rsidR="0020537A">
        <w:t xml:space="preserve">.  </w:t>
      </w:r>
    </w:p>
    <w:p w:rsidR="002928D3" w:rsidRPr="007664FD" w:rsidRDefault="002928D3"/>
    <w:p w:rsidR="00731F90" w:rsidRDefault="006901E5" w:rsidP="007664FD">
      <w:pPr>
        <w:keepNext/>
        <w:keepLines/>
        <w:rPr>
          <w:b/>
        </w:rPr>
      </w:pPr>
      <w:r>
        <w:rPr>
          <w:b/>
        </w:rPr>
        <w:lastRenderedPageBreak/>
        <w:t>B.  </w:t>
      </w:r>
      <w:r w:rsidR="007F7EA8">
        <w:rPr>
          <w:b/>
        </w:rPr>
        <w:t xml:space="preserve">SUMMARY OF THE </w:t>
      </w:r>
      <w:r w:rsidR="00731F90" w:rsidRPr="00C45A9D">
        <w:rPr>
          <w:b/>
        </w:rPr>
        <w:t xml:space="preserve">BUDGET AND </w:t>
      </w:r>
      <w:r w:rsidR="007F7EA8">
        <w:rPr>
          <w:b/>
        </w:rPr>
        <w:t xml:space="preserve">EXPENDITURE </w:t>
      </w:r>
      <w:r w:rsidR="00731F90" w:rsidRPr="00C45A9D">
        <w:rPr>
          <w:b/>
        </w:rPr>
        <w:t xml:space="preserve">SITUATION </w:t>
      </w:r>
    </w:p>
    <w:p w:rsidR="00731F90" w:rsidRDefault="00731F90" w:rsidP="007664FD">
      <w:pPr>
        <w:keepNext/>
        <w:keepLines/>
      </w:pPr>
    </w:p>
    <w:p w:rsidR="00731F90" w:rsidRDefault="006901E5" w:rsidP="00731F90">
      <w:pPr>
        <w:numPr>
          <w:ilvl w:val="0"/>
          <w:numId w:val="7"/>
        </w:numPr>
      </w:pPr>
      <w:r>
        <w:t>In respect of the</w:t>
      </w:r>
      <w:r w:rsidR="00C41439">
        <w:t xml:space="preserve"> NCP</w:t>
      </w:r>
      <w:r>
        <w:t xml:space="preserve">, </w:t>
      </w:r>
      <w:r w:rsidR="000D26AB">
        <w:t xml:space="preserve">as at the date of this document, </w:t>
      </w:r>
      <w:r>
        <w:t>t</w:t>
      </w:r>
      <w:r w:rsidR="00731F90">
        <w:t xml:space="preserve">he </w:t>
      </w:r>
      <w:r w:rsidR="000D26AB">
        <w:t xml:space="preserve">total </w:t>
      </w:r>
      <w:r w:rsidR="00731F90">
        <w:t xml:space="preserve">unspent and uncommitted </w:t>
      </w:r>
      <w:r w:rsidR="000D26AB">
        <w:t xml:space="preserve">resources </w:t>
      </w:r>
      <w:r w:rsidR="00731F90">
        <w:t>amount</w:t>
      </w:r>
      <w:r w:rsidR="000D26AB">
        <w:t>ed</w:t>
      </w:r>
      <w:r w:rsidR="00731F90">
        <w:t xml:space="preserve"> </w:t>
      </w:r>
      <w:r w:rsidR="000D26AB">
        <w:t xml:space="preserve">to </w:t>
      </w:r>
      <w:r w:rsidR="006147BD" w:rsidRPr="00B818FA">
        <w:t>167,308</w:t>
      </w:r>
      <w:r w:rsidR="006147BD">
        <w:t> Swiss francs</w:t>
      </w:r>
      <w:r w:rsidR="001039AC">
        <w:t xml:space="preserve">.  This compares with </w:t>
      </w:r>
      <w:r w:rsidR="00731F90">
        <w:t xml:space="preserve">the </w:t>
      </w:r>
      <w:r w:rsidR="0001290D">
        <w:t xml:space="preserve">revised budget </w:t>
      </w:r>
      <w:r>
        <w:t xml:space="preserve">of </w:t>
      </w:r>
      <w:r w:rsidR="0001290D" w:rsidRPr="00B818FA">
        <w:t>157,642,643</w:t>
      </w:r>
      <w:r w:rsidR="0001290D">
        <w:t> Swiss francs</w:t>
      </w:r>
      <w:r>
        <w:t xml:space="preserve"> </w:t>
      </w:r>
      <w:r w:rsidR="00731F90">
        <w:t>that had been approved by the Assemblies</w:t>
      </w:r>
      <w:r>
        <w:t xml:space="preserve"> up to </w:t>
      </w:r>
      <w:r w:rsidR="0001290D" w:rsidRPr="00B818FA">
        <w:t>2015</w:t>
      </w:r>
      <w:r w:rsidR="00CF537D">
        <w:t xml:space="preserve"> (see</w:t>
      </w:r>
      <w:r>
        <w:t xml:space="preserve"> </w:t>
      </w:r>
      <w:r w:rsidR="00CF537D">
        <w:t>Annex </w:t>
      </w:r>
      <w:r w:rsidRPr="0001290D">
        <w:t>II</w:t>
      </w:r>
      <w:r w:rsidR="00CF537D">
        <w:t>)</w:t>
      </w:r>
      <w:r w:rsidR="00731F90" w:rsidRPr="0001290D">
        <w:t>.</w:t>
      </w:r>
      <w:r w:rsidR="004B3FDB">
        <w:t xml:space="preserve">  This amount will be </w:t>
      </w:r>
      <w:r w:rsidR="000D26AB">
        <w:t xml:space="preserve">returned </w:t>
      </w:r>
      <w:r w:rsidR="004B3FDB">
        <w:t>to the Reserves of the Organization.</w:t>
      </w:r>
    </w:p>
    <w:p w:rsidR="00731F90" w:rsidRDefault="00731F90" w:rsidP="00731F90"/>
    <w:p w:rsidR="00060571" w:rsidRDefault="006901E5" w:rsidP="0080534D">
      <w:pPr>
        <w:numPr>
          <w:ilvl w:val="0"/>
          <w:numId w:val="7"/>
        </w:numPr>
      </w:pPr>
      <w:r>
        <w:t>In respect of the</w:t>
      </w:r>
      <w:r w:rsidR="00C41439">
        <w:t xml:space="preserve"> NCHP</w:t>
      </w:r>
      <w:r w:rsidRPr="004B3FDB">
        <w:t>,</w:t>
      </w:r>
      <w:r>
        <w:t xml:space="preserve"> </w:t>
      </w:r>
      <w:r w:rsidR="004B3FDB">
        <w:t>the final discussions have been completed with, and final accounts agreed by, all 108 entities</w:t>
      </w:r>
      <w:r w:rsidR="008F54A5">
        <w:t xml:space="preserve"> required to complete the construction</w:t>
      </w:r>
      <w:r w:rsidR="004B3FDB">
        <w:t xml:space="preserve">, </w:t>
      </w:r>
      <w:r w:rsidR="00F923FE">
        <w:t xml:space="preserve">such as </w:t>
      </w:r>
      <w:r w:rsidR="004B3FDB">
        <w:t>construction companies and suppliers, as well as firms of professional specialists and experts</w:t>
      </w:r>
      <w:r w:rsidR="00C41439">
        <w:t>, including the architect</w:t>
      </w:r>
      <w:r w:rsidR="004B3FDB">
        <w:t xml:space="preserve">.  </w:t>
      </w:r>
      <w:r w:rsidR="000D26AB">
        <w:t xml:space="preserve">As at the date of this document, the total </w:t>
      </w:r>
      <w:r w:rsidR="0001290D">
        <w:t xml:space="preserve">unspent and uncommitted </w:t>
      </w:r>
      <w:r w:rsidR="000D26AB">
        <w:t xml:space="preserve">resources </w:t>
      </w:r>
      <w:r w:rsidR="0001290D">
        <w:t>amount</w:t>
      </w:r>
      <w:r w:rsidR="000D26AB">
        <w:t>ed</w:t>
      </w:r>
      <w:r w:rsidR="0001290D">
        <w:t xml:space="preserve"> </w:t>
      </w:r>
      <w:r w:rsidR="000D26AB">
        <w:t xml:space="preserve">to </w:t>
      </w:r>
      <w:r w:rsidR="006147BD" w:rsidRPr="00B818FA">
        <w:t>1,048,665</w:t>
      </w:r>
      <w:r w:rsidR="006147BD">
        <w:t> Swiss francs</w:t>
      </w:r>
      <w:r w:rsidR="008F54A5">
        <w:t xml:space="preserve">. This compares with </w:t>
      </w:r>
      <w:r w:rsidR="0001290D">
        <w:t xml:space="preserve">the revised budget of </w:t>
      </w:r>
      <w:r w:rsidR="0001290D" w:rsidRPr="00B818FA">
        <w:t>78,700,000</w:t>
      </w:r>
      <w:r w:rsidR="0001290D">
        <w:t xml:space="preserve"> Swiss francs that had been approved by the Assemblies up to </w:t>
      </w:r>
      <w:r w:rsidR="0001290D" w:rsidRPr="00B818FA">
        <w:t>2015</w:t>
      </w:r>
      <w:r w:rsidR="00CF537D">
        <w:t xml:space="preserve"> (see Annex </w:t>
      </w:r>
      <w:r w:rsidR="00CF537D" w:rsidRPr="0001290D">
        <w:t>II</w:t>
      </w:r>
      <w:r w:rsidR="00CF537D">
        <w:t>)</w:t>
      </w:r>
      <w:r w:rsidR="0001290D">
        <w:t xml:space="preserve">.  </w:t>
      </w:r>
      <w:r w:rsidR="0080534D">
        <w:t xml:space="preserve">Once the final verifications on remaining minor </w:t>
      </w:r>
      <w:r w:rsidR="00CF537D">
        <w:t xml:space="preserve">finishing </w:t>
      </w:r>
      <w:r w:rsidR="0080534D">
        <w:t xml:space="preserve">works </w:t>
      </w:r>
      <w:r w:rsidR="00CF537D">
        <w:t>will have been carried out</w:t>
      </w:r>
      <w:r w:rsidR="0080534D">
        <w:t xml:space="preserve"> by the end of 2016, </w:t>
      </w:r>
      <w:r w:rsidR="008C4DD1">
        <w:t>the final balance</w:t>
      </w:r>
      <w:r w:rsidR="004B3FDB">
        <w:t xml:space="preserve"> will be </w:t>
      </w:r>
      <w:r w:rsidR="000D26AB">
        <w:t xml:space="preserve">returned </w:t>
      </w:r>
      <w:r w:rsidR="004B3FDB">
        <w:t>to the Reserves of the Organization.</w:t>
      </w:r>
    </w:p>
    <w:p w:rsidR="00D70194" w:rsidRDefault="00D70194" w:rsidP="00D70194"/>
    <w:p w:rsidR="00731F90" w:rsidRDefault="00D70194" w:rsidP="004B3FDB">
      <w:pPr>
        <w:numPr>
          <w:ilvl w:val="0"/>
          <w:numId w:val="7"/>
        </w:numPr>
      </w:pPr>
      <w:r>
        <w:t xml:space="preserve">When considering the </w:t>
      </w:r>
      <w:r w:rsidRPr="00C41439">
        <w:t>two projects together</w:t>
      </w:r>
      <w:r>
        <w:t xml:space="preserve">, </w:t>
      </w:r>
      <w:r w:rsidR="004B3FDB">
        <w:t>total expenditure</w:t>
      </w:r>
      <w:r w:rsidR="00604933">
        <w:t xml:space="preserve"> and remaining commitments</w:t>
      </w:r>
      <w:r w:rsidR="000D26AB">
        <w:t>,</w:t>
      </w:r>
      <w:r w:rsidR="004B3FDB">
        <w:t xml:space="preserve"> </w:t>
      </w:r>
      <w:r w:rsidR="000D26AB">
        <w:t xml:space="preserve">as at the date of this document, amounted to </w:t>
      </w:r>
      <w:r w:rsidR="004B3FDB" w:rsidRPr="003D37FE">
        <w:t>235,1</w:t>
      </w:r>
      <w:r w:rsidR="00604933">
        <w:t>13</w:t>
      </w:r>
      <w:r w:rsidR="004B3FDB" w:rsidRPr="003D37FE">
        <w:t>,</w:t>
      </w:r>
      <w:r w:rsidR="00604933">
        <w:t>023</w:t>
      </w:r>
      <w:r w:rsidR="004B3FDB">
        <w:t> Swiss francs as compared to the initial</w:t>
      </w:r>
      <w:r w:rsidR="00677568">
        <w:t>ly</w:t>
      </w:r>
      <w:r w:rsidR="004B3FDB">
        <w:t xml:space="preserve"> approved budget of </w:t>
      </w:r>
      <w:r w:rsidR="004B3FDB" w:rsidRPr="003D37FE">
        <w:t>229,942,643</w:t>
      </w:r>
      <w:r w:rsidR="004B3FDB">
        <w:t xml:space="preserve"> Swiss francs, representing an increase of </w:t>
      </w:r>
      <w:r w:rsidR="004B3FDB" w:rsidRPr="003D37FE">
        <w:t>2.2</w:t>
      </w:r>
      <w:r w:rsidR="004B3FDB">
        <w:t>5</w:t>
      </w:r>
      <w:r w:rsidR="004B3FDB" w:rsidRPr="003D37FE">
        <w:t> percent</w:t>
      </w:r>
      <w:r w:rsidR="004B3FDB">
        <w:t xml:space="preserve"> over the initial approved budget.</w:t>
      </w:r>
    </w:p>
    <w:p w:rsidR="00731F90" w:rsidRDefault="00731F90"/>
    <w:p w:rsidR="00731F90" w:rsidRPr="00EC5D71" w:rsidRDefault="0080534D" w:rsidP="00731F90">
      <w:pPr>
        <w:keepNext/>
        <w:keepLines/>
        <w:rPr>
          <w:b/>
        </w:rPr>
      </w:pPr>
      <w:r>
        <w:rPr>
          <w:b/>
        </w:rPr>
        <w:t>C.  </w:t>
      </w:r>
      <w:r w:rsidR="00731F90" w:rsidRPr="00EC5D71">
        <w:rPr>
          <w:b/>
        </w:rPr>
        <w:t>OVERSIGHT AND AUDIT</w:t>
      </w:r>
      <w:r w:rsidR="007F7EA8">
        <w:rPr>
          <w:b/>
        </w:rPr>
        <w:t xml:space="preserve"> </w:t>
      </w:r>
    </w:p>
    <w:p w:rsidR="00731F90" w:rsidRDefault="00731F90" w:rsidP="00731F90">
      <w:pPr>
        <w:keepNext/>
        <w:keepLines/>
      </w:pPr>
    </w:p>
    <w:p w:rsidR="00731F90" w:rsidRDefault="00D702C7" w:rsidP="00731F90">
      <w:pPr>
        <w:numPr>
          <w:ilvl w:val="0"/>
          <w:numId w:val="7"/>
        </w:numPr>
      </w:pPr>
      <w:r>
        <w:t>Between June 2006 and December 2015, t</w:t>
      </w:r>
      <w:r w:rsidR="00731F90">
        <w:t>he</w:t>
      </w:r>
      <w:r w:rsidR="00731F90" w:rsidRPr="001546E0">
        <w:t xml:space="preserve"> Secretariat </w:t>
      </w:r>
      <w:r w:rsidR="00731F90">
        <w:t>presented</w:t>
      </w:r>
      <w:r>
        <w:t xml:space="preserve"> progress reports, or provided information or documentation, on</w:t>
      </w:r>
      <w:r w:rsidR="00731F90">
        <w:t xml:space="preserve"> </w:t>
      </w:r>
      <w:r w:rsidR="00014E3D">
        <w:t xml:space="preserve">the </w:t>
      </w:r>
      <w:r w:rsidR="0087040F">
        <w:t>NCP</w:t>
      </w:r>
      <w:r w:rsidR="00014E3D">
        <w:t xml:space="preserve"> </w:t>
      </w:r>
      <w:r w:rsidR="00731F90" w:rsidRPr="001546E0">
        <w:t xml:space="preserve">to the </w:t>
      </w:r>
      <w:r w:rsidR="00731F90">
        <w:t xml:space="preserve">WIPO Audit Committee </w:t>
      </w:r>
      <w:r>
        <w:t xml:space="preserve">and subsequently </w:t>
      </w:r>
      <w:r w:rsidR="00F96431">
        <w:t>to</w:t>
      </w:r>
      <w:r w:rsidR="00731F90">
        <w:t xml:space="preserve"> the </w:t>
      </w:r>
      <w:r w:rsidR="00731F90" w:rsidRPr="001546E0">
        <w:t>Independent Advisory a</w:t>
      </w:r>
      <w:r>
        <w:t>nd Oversight Committee (IAOC)</w:t>
      </w:r>
      <w:r w:rsidR="00F96431">
        <w:t xml:space="preserve">.  Likewise for </w:t>
      </w:r>
      <w:r w:rsidR="00014E3D">
        <w:t xml:space="preserve">the </w:t>
      </w:r>
      <w:r w:rsidR="00C41439">
        <w:t xml:space="preserve">NCHP </w:t>
      </w:r>
      <w:r w:rsidR="00014E3D">
        <w:t>since 2008</w:t>
      </w:r>
      <w:r w:rsidR="00731F90">
        <w:t>.</w:t>
      </w:r>
    </w:p>
    <w:p w:rsidR="00731F90" w:rsidRDefault="00731F90" w:rsidP="00731F90"/>
    <w:p w:rsidR="00731F90" w:rsidRPr="00742168" w:rsidRDefault="00E47882" w:rsidP="00731F90">
      <w:pPr>
        <w:numPr>
          <w:ilvl w:val="0"/>
          <w:numId w:val="7"/>
        </w:numPr>
      </w:pPr>
      <w:r>
        <w:t xml:space="preserve">The </w:t>
      </w:r>
      <w:r w:rsidR="00731F90" w:rsidRPr="00742168">
        <w:t xml:space="preserve">Internal Oversight Division (IOD) </w:t>
      </w:r>
      <w:r>
        <w:t xml:space="preserve">issued an </w:t>
      </w:r>
      <w:r w:rsidRPr="00742168">
        <w:t xml:space="preserve">audit report </w:t>
      </w:r>
      <w:r w:rsidR="00731F90" w:rsidRPr="00742168">
        <w:t>in June 2013</w:t>
      </w:r>
      <w:r>
        <w:t xml:space="preserve"> </w:t>
      </w:r>
      <w:r w:rsidR="00C41439">
        <w:t xml:space="preserve">relating to the NCP and NCHP, </w:t>
      </w:r>
      <w:r>
        <w:t>with six recommendations, all of which have been implemented.  T</w:t>
      </w:r>
      <w:r w:rsidR="00731F90" w:rsidRPr="00742168">
        <w:t>here are no outstanding recommendations in respect of the Projects.</w:t>
      </w:r>
    </w:p>
    <w:p w:rsidR="00731F90" w:rsidRPr="00EA057A" w:rsidRDefault="00731F90" w:rsidP="00731F90">
      <w:pPr>
        <w:rPr>
          <w:highlight w:val="yellow"/>
        </w:rPr>
      </w:pPr>
    </w:p>
    <w:p w:rsidR="00731F90" w:rsidRPr="00742168" w:rsidRDefault="00E47882" w:rsidP="00D702C7">
      <w:pPr>
        <w:numPr>
          <w:ilvl w:val="0"/>
          <w:numId w:val="7"/>
        </w:numPr>
      </w:pPr>
      <w:r>
        <w:t>T</w:t>
      </w:r>
      <w:r w:rsidR="00731F90" w:rsidRPr="00D702C7">
        <w:t xml:space="preserve">he External Auditors </w:t>
      </w:r>
      <w:r>
        <w:t xml:space="preserve">issued an </w:t>
      </w:r>
      <w:r w:rsidRPr="00D702C7">
        <w:t xml:space="preserve">audit report </w:t>
      </w:r>
      <w:r w:rsidR="00731F90" w:rsidRPr="00D702C7">
        <w:t xml:space="preserve">in August 2014 relating to the </w:t>
      </w:r>
      <w:r w:rsidR="00C41439">
        <w:t>NCHP</w:t>
      </w:r>
      <w:r w:rsidR="00DE59C0">
        <w:t>.</w:t>
      </w:r>
      <w:r w:rsidR="00C41439">
        <w:rPr>
          <w:rStyle w:val="FootnoteReference"/>
        </w:rPr>
        <w:footnoteReference w:id="2"/>
      </w:r>
      <w:r w:rsidR="00DE59C0">
        <w:t xml:space="preserve">  O</w:t>
      </w:r>
      <w:r w:rsidR="00DE59C0" w:rsidRPr="00D702C7">
        <w:t xml:space="preserve">ut of the ten recommendations contained </w:t>
      </w:r>
      <w:r w:rsidR="00DE59C0">
        <w:t xml:space="preserve">therein, </w:t>
      </w:r>
      <w:r w:rsidR="00731F90" w:rsidRPr="00D702C7">
        <w:t>eight have been closed by the Auditors.</w:t>
      </w:r>
      <w:r w:rsidR="00CD3CC1">
        <w:t xml:space="preserve"> </w:t>
      </w:r>
      <w:r w:rsidR="00D702C7">
        <w:t xml:space="preserve"> </w:t>
      </w:r>
      <w:r w:rsidR="00D702C7" w:rsidRPr="00C22AA0">
        <w:t xml:space="preserve">As </w:t>
      </w:r>
      <w:r w:rsidR="008F0E73">
        <w:t xml:space="preserve">for </w:t>
      </w:r>
      <w:r w:rsidR="008F0E73" w:rsidRPr="00C22AA0">
        <w:t xml:space="preserve">the </w:t>
      </w:r>
      <w:r w:rsidR="008F0E73">
        <w:t xml:space="preserve">two </w:t>
      </w:r>
      <w:r w:rsidR="008F0E73" w:rsidRPr="00C22AA0">
        <w:t>remaining recommendations</w:t>
      </w:r>
      <w:r w:rsidR="008F0E73">
        <w:t>, Management is</w:t>
      </w:r>
      <w:r w:rsidR="008F0E73" w:rsidRPr="00C22AA0">
        <w:t xml:space="preserve"> </w:t>
      </w:r>
      <w:r w:rsidR="00D702C7" w:rsidRPr="00C22AA0">
        <w:t xml:space="preserve">awaiting a response </w:t>
      </w:r>
      <w:r w:rsidR="008F0E73" w:rsidRPr="00C22AA0">
        <w:t xml:space="preserve">from the </w:t>
      </w:r>
      <w:r w:rsidR="008F0E73">
        <w:t xml:space="preserve">External </w:t>
      </w:r>
      <w:r w:rsidR="008F0E73" w:rsidRPr="00C22AA0">
        <w:t>Auditors</w:t>
      </w:r>
      <w:r w:rsidR="008F0E73">
        <w:t xml:space="preserve"> on their status.</w:t>
      </w:r>
    </w:p>
    <w:p w:rsidR="00F1002D" w:rsidRDefault="00F1002D" w:rsidP="00F1002D">
      <w:pPr>
        <w:pStyle w:val="ListParagraph"/>
        <w:ind w:left="0"/>
      </w:pPr>
    </w:p>
    <w:p w:rsidR="00F1002D" w:rsidRPr="00EA057A" w:rsidRDefault="00A41D8E" w:rsidP="00F1002D">
      <w:pPr>
        <w:pStyle w:val="ListParagraph"/>
        <w:ind w:left="0"/>
        <w:rPr>
          <w:b/>
        </w:rPr>
      </w:pPr>
      <w:r>
        <w:rPr>
          <w:b/>
        </w:rPr>
        <w:t>D</w:t>
      </w:r>
      <w:bookmarkStart w:id="5" w:name="_GoBack"/>
      <w:bookmarkEnd w:id="5"/>
      <w:r w:rsidR="00EA057A" w:rsidRPr="00EA057A">
        <w:rPr>
          <w:b/>
        </w:rPr>
        <w:t>.  </w:t>
      </w:r>
      <w:r w:rsidR="00114410" w:rsidRPr="00EA057A">
        <w:rPr>
          <w:b/>
        </w:rPr>
        <w:t>LESSONS LEARNED</w:t>
      </w:r>
    </w:p>
    <w:p w:rsidR="00114410" w:rsidRDefault="00114410" w:rsidP="00F1002D">
      <w:pPr>
        <w:pStyle w:val="ListParagraph"/>
        <w:ind w:left="0"/>
      </w:pPr>
    </w:p>
    <w:p w:rsidR="00715BC1" w:rsidRDefault="00F01B53" w:rsidP="00F01B53">
      <w:pPr>
        <w:pStyle w:val="ListParagraph"/>
        <w:numPr>
          <w:ilvl w:val="0"/>
          <w:numId w:val="7"/>
        </w:numPr>
      </w:pPr>
      <w:r>
        <w:t xml:space="preserve">As an introduction to the lessons learned, it is useful to recall that the two </w:t>
      </w:r>
      <w:proofErr w:type="gramStart"/>
      <w:r>
        <w:t>construction</w:t>
      </w:r>
      <w:proofErr w:type="gramEnd"/>
      <w:r>
        <w:t xml:space="preserve"> projects</w:t>
      </w:r>
      <w:r w:rsidR="007D5C23">
        <w:t xml:space="preserve"> (NCP and NCHP)</w:t>
      </w:r>
      <w:r w:rsidR="002E703C">
        <w:t>,</w:t>
      </w:r>
      <w:r w:rsidR="009368CA">
        <w:t xml:space="preserve"> completed between 2006 and 2016</w:t>
      </w:r>
      <w:r w:rsidR="002E703C">
        <w:t>,</w:t>
      </w:r>
      <w:r>
        <w:t xml:space="preserve"> were </w:t>
      </w:r>
      <w:r w:rsidR="008F0E73">
        <w:t>the first construction projects</w:t>
      </w:r>
      <w:r w:rsidR="007C34E4">
        <w:t xml:space="preserve"> </w:t>
      </w:r>
      <w:r>
        <w:t>of such a magnitude</w:t>
      </w:r>
      <w:r w:rsidR="00CB152A">
        <w:t xml:space="preserve">, </w:t>
      </w:r>
      <w:r w:rsidR="007C34E4">
        <w:t xml:space="preserve">complexity </w:t>
      </w:r>
      <w:r w:rsidR="00CB152A">
        <w:t xml:space="preserve">and cost </w:t>
      </w:r>
      <w:r>
        <w:t xml:space="preserve">that WIPO </w:t>
      </w:r>
      <w:r w:rsidR="002E703C">
        <w:t xml:space="preserve">has </w:t>
      </w:r>
      <w:r>
        <w:t>ever ha</w:t>
      </w:r>
      <w:r w:rsidR="00E322BD">
        <w:t>d to f</w:t>
      </w:r>
      <w:r w:rsidR="008F0E73">
        <w:t>ully manage on its own.  In this</w:t>
      </w:r>
      <w:r w:rsidR="00E322BD">
        <w:t xml:space="preserve"> context, t</w:t>
      </w:r>
      <w:r w:rsidR="007C34E4">
        <w:t xml:space="preserve">he </w:t>
      </w:r>
      <w:r w:rsidR="00E322BD">
        <w:t xml:space="preserve">additional challenges </w:t>
      </w:r>
      <w:r w:rsidR="008F0E73">
        <w:t xml:space="preserve">faced </w:t>
      </w:r>
      <w:r w:rsidR="009368CA">
        <w:t xml:space="preserve">in respect of the </w:t>
      </w:r>
      <w:r w:rsidR="007D5C23">
        <w:t>NCHP</w:t>
      </w:r>
      <w:r w:rsidR="009368CA">
        <w:t xml:space="preserve"> </w:t>
      </w:r>
      <w:r w:rsidR="00E322BD">
        <w:t xml:space="preserve">were twofold:  </w:t>
      </w:r>
      <w:r w:rsidR="007C34E4">
        <w:t>(</w:t>
      </w:r>
      <w:proofErr w:type="spellStart"/>
      <w:r w:rsidR="007C34E4">
        <w:t>i</w:t>
      </w:r>
      <w:proofErr w:type="spellEnd"/>
      <w:r w:rsidR="007C34E4">
        <w:t>) </w:t>
      </w:r>
      <w:r>
        <w:t xml:space="preserve">the </w:t>
      </w:r>
      <w:r w:rsidR="007C34E4">
        <w:t xml:space="preserve">architectural and engineering </w:t>
      </w:r>
      <w:r>
        <w:t>complexity</w:t>
      </w:r>
      <w:r w:rsidR="007C34E4">
        <w:t xml:space="preserve"> (with a 35-meter long cantilever</w:t>
      </w:r>
      <w:r w:rsidR="00E322BD">
        <w:t xml:space="preserve"> and </w:t>
      </w:r>
      <w:r w:rsidR="008F0E73">
        <w:t xml:space="preserve">an </w:t>
      </w:r>
      <w:r w:rsidR="00715BC1">
        <w:t xml:space="preserve">almost exclusively </w:t>
      </w:r>
      <w:r w:rsidR="008F0E73">
        <w:t>wood structure)</w:t>
      </w:r>
      <w:proofErr w:type="gramStart"/>
      <w:r w:rsidR="007C34E4">
        <w:t>;  and</w:t>
      </w:r>
      <w:proofErr w:type="gramEnd"/>
      <w:r w:rsidR="007C34E4">
        <w:t xml:space="preserve"> (ii) the fact that the Secretariat took over the direct and full management of the worksite after the contract with the former general contr</w:t>
      </w:r>
      <w:r w:rsidR="00E322BD">
        <w:t xml:space="preserve">actor was terminated during </w:t>
      </w:r>
      <w:r w:rsidR="007C34E4">
        <w:t>construction</w:t>
      </w:r>
      <w:r>
        <w:t xml:space="preserve">.  </w:t>
      </w:r>
    </w:p>
    <w:p w:rsidR="00F01B53" w:rsidRDefault="00F01B53" w:rsidP="00F1002D">
      <w:pPr>
        <w:pStyle w:val="ListParagraph"/>
        <w:ind w:left="0"/>
      </w:pPr>
    </w:p>
    <w:p w:rsidR="00060571" w:rsidRDefault="006901E5" w:rsidP="00060571">
      <w:pPr>
        <w:pStyle w:val="ListParagraph"/>
        <w:numPr>
          <w:ilvl w:val="0"/>
          <w:numId w:val="7"/>
        </w:numPr>
      </w:pPr>
      <w:r>
        <w:t>The lessons learned are grouped under the follow</w:t>
      </w:r>
      <w:r w:rsidR="00CB152A">
        <w:t>ing categories:  (1)</w:t>
      </w:r>
      <w:r w:rsidR="0031569F">
        <w:t> governance</w:t>
      </w:r>
      <w:proofErr w:type="gramStart"/>
      <w:r w:rsidR="0031569F">
        <w:t xml:space="preserve">; </w:t>
      </w:r>
      <w:r>
        <w:t xml:space="preserve"> </w:t>
      </w:r>
      <w:r w:rsidR="00CB152A">
        <w:t>(</w:t>
      </w:r>
      <w:proofErr w:type="gramEnd"/>
      <w:r w:rsidR="00CB152A">
        <w:t>2</w:t>
      </w:r>
      <w:r>
        <w:t>) </w:t>
      </w:r>
      <w:r w:rsidR="007C34E4">
        <w:t>worksite opportunities</w:t>
      </w:r>
      <w:r w:rsidR="00AF3A8F">
        <w:t>, project modifications</w:t>
      </w:r>
      <w:r w:rsidR="007C34E4">
        <w:t xml:space="preserve"> and cost avoidance</w:t>
      </w:r>
      <w:r w:rsidR="0031569F">
        <w:t xml:space="preserve">; </w:t>
      </w:r>
      <w:r w:rsidR="00CB152A">
        <w:t xml:space="preserve"> (3</w:t>
      </w:r>
      <w:r w:rsidR="00014E3D">
        <w:t>) relations with the Host Country federal, cantonal and municipal authorities</w:t>
      </w:r>
      <w:r w:rsidR="006B48FA">
        <w:t xml:space="preserve">;  </w:t>
      </w:r>
      <w:r w:rsidR="00CB152A">
        <w:t>(4</w:t>
      </w:r>
      <w:r w:rsidR="0031569F">
        <w:t>) what could have been done differently</w:t>
      </w:r>
      <w:r w:rsidR="00055441">
        <w:t xml:space="preserve"> or earlier</w:t>
      </w:r>
      <w:r w:rsidR="006B48FA">
        <w:t xml:space="preserve">;  and </w:t>
      </w:r>
      <w:r w:rsidR="00CB152A">
        <w:t>(5</w:t>
      </w:r>
      <w:r w:rsidR="006B48FA" w:rsidRPr="006B48FA">
        <w:t>)</w:t>
      </w:r>
      <w:r w:rsidR="006B48FA">
        <w:t> importance of s</w:t>
      </w:r>
      <w:r w:rsidR="00DB7FAC">
        <w:t>haring experience between</w:t>
      </w:r>
      <w:r w:rsidR="006B48FA" w:rsidRPr="006B48FA">
        <w:t xml:space="preserve"> UN-family agencies</w:t>
      </w:r>
      <w:r w:rsidR="00E322BD">
        <w:t xml:space="preserve"> and related international and regional organizations</w:t>
      </w:r>
      <w:r w:rsidR="00114410" w:rsidRPr="006B48FA">
        <w:t>.</w:t>
      </w:r>
    </w:p>
    <w:p w:rsidR="00114410" w:rsidRDefault="00114410" w:rsidP="00114410">
      <w:pPr>
        <w:pStyle w:val="ListParagraph"/>
        <w:ind w:left="0"/>
      </w:pPr>
    </w:p>
    <w:p w:rsidR="0031569F" w:rsidRPr="00D0206E" w:rsidRDefault="0031569F" w:rsidP="00AA24F0">
      <w:pPr>
        <w:pStyle w:val="ListParagraph"/>
        <w:keepNext/>
        <w:numPr>
          <w:ilvl w:val="0"/>
          <w:numId w:val="11"/>
        </w:numPr>
        <w:ind w:left="1134" w:hanging="567"/>
        <w:rPr>
          <w:b/>
        </w:rPr>
      </w:pPr>
      <w:r w:rsidRPr="00D0206E">
        <w:rPr>
          <w:b/>
        </w:rPr>
        <w:t>Governance</w:t>
      </w:r>
    </w:p>
    <w:p w:rsidR="00281A24" w:rsidRDefault="00281A24" w:rsidP="00A9354E">
      <w:pPr>
        <w:keepNext/>
      </w:pPr>
    </w:p>
    <w:p w:rsidR="00D0206E" w:rsidRPr="0060466D" w:rsidRDefault="008F0E73" w:rsidP="0060466D">
      <w:pPr>
        <w:pStyle w:val="ListParagraph"/>
        <w:keepNext/>
        <w:numPr>
          <w:ilvl w:val="1"/>
          <w:numId w:val="7"/>
        </w:numPr>
        <w:tabs>
          <w:tab w:val="clear" w:pos="1440"/>
          <w:tab w:val="left" w:pos="567"/>
        </w:tabs>
        <w:ind w:left="567" w:hanging="567"/>
        <w:rPr>
          <w:i/>
        </w:rPr>
      </w:pPr>
      <w:r w:rsidRPr="0060466D">
        <w:rPr>
          <w:i/>
        </w:rPr>
        <w:t xml:space="preserve">Experience gained from the </w:t>
      </w:r>
      <w:r w:rsidR="007D5C23">
        <w:rPr>
          <w:i/>
        </w:rPr>
        <w:t xml:space="preserve">NCP </w:t>
      </w:r>
      <w:r w:rsidR="00D0206E" w:rsidRPr="0060466D">
        <w:rPr>
          <w:i/>
        </w:rPr>
        <w:t xml:space="preserve">used as a basis for the </w:t>
      </w:r>
      <w:r w:rsidR="007D5C23">
        <w:rPr>
          <w:i/>
        </w:rPr>
        <w:t>NCHP</w:t>
      </w:r>
    </w:p>
    <w:p w:rsidR="00D0206E" w:rsidRDefault="00D0206E" w:rsidP="00A9354E">
      <w:pPr>
        <w:keepNext/>
      </w:pPr>
    </w:p>
    <w:p w:rsidR="009D4214" w:rsidRDefault="001E07F9" w:rsidP="004F5B20">
      <w:pPr>
        <w:pStyle w:val="ListParagraph"/>
        <w:numPr>
          <w:ilvl w:val="0"/>
          <w:numId w:val="7"/>
        </w:numPr>
      </w:pPr>
      <w:r>
        <w:t xml:space="preserve">The experience gained since 2006 with the management of the </w:t>
      </w:r>
      <w:r w:rsidR="007D5C23">
        <w:t>NCP</w:t>
      </w:r>
      <w:r>
        <w:t xml:space="preserve"> gave the Secretariat</w:t>
      </w:r>
      <w:r w:rsidR="009D4214">
        <w:t xml:space="preserve">, for the purposes of the </w:t>
      </w:r>
      <w:r w:rsidR="007D5C23">
        <w:t>NCHP</w:t>
      </w:r>
      <w:r w:rsidR="009D4214">
        <w:t>,</w:t>
      </w:r>
      <w:r>
        <w:t xml:space="preserve"> </w:t>
      </w:r>
      <w:r w:rsidR="008F0E73">
        <w:t xml:space="preserve">a solid basis to </w:t>
      </w:r>
      <w:r w:rsidR="00DB7FAC">
        <w:t>work from</w:t>
      </w:r>
      <w:r w:rsidR="008F0E73">
        <w:t>:  (</w:t>
      </w:r>
      <w:proofErr w:type="spellStart"/>
      <w:r w:rsidR="008F0E73">
        <w:t>i</w:t>
      </w:r>
      <w:proofErr w:type="spellEnd"/>
      <w:r w:rsidR="008F0E73">
        <w:t xml:space="preserve">)  the </w:t>
      </w:r>
      <w:r w:rsidR="009D4214">
        <w:t xml:space="preserve">existing </w:t>
      </w:r>
      <w:r w:rsidR="008F0E73">
        <w:t>Project Ma</w:t>
      </w:r>
      <w:r w:rsidR="009D4214">
        <w:t>nagement structure (external management through the Project Pilot, internal management through the Construction Committee and internal monitoring through the Internal Project Monitoring Team, Proj</w:t>
      </w:r>
      <w:r w:rsidR="008F0E73">
        <w:t xml:space="preserve">ect Charter and Risk Registers);  (ii)  the </w:t>
      </w:r>
      <w:r w:rsidR="009D4214">
        <w:t>existing contractual financing framework</w:t>
      </w:r>
      <w:r w:rsidR="008F0E73">
        <w:t xml:space="preserve">; </w:t>
      </w:r>
      <w:r w:rsidR="009D4214">
        <w:t xml:space="preserve"> and </w:t>
      </w:r>
      <w:r w:rsidR="008F0E73">
        <w:t>(iii)  </w:t>
      </w:r>
      <w:r w:rsidR="009D4214">
        <w:t xml:space="preserve">the existing </w:t>
      </w:r>
      <w:r w:rsidR="008F0E73">
        <w:t>oversight framework</w:t>
      </w:r>
      <w:r w:rsidR="009D4214">
        <w:t xml:space="preserve"> (External Auditor, WIPO Audit Committee</w:t>
      </w:r>
      <w:r w:rsidR="008F0E73">
        <w:t>/IAOC</w:t>
      </w:r>
      <w:r w:rsidR="009D4214">
        <w:t xml:space="preserve"> and Internal Audit</w:t>
      </w:r>
      <w:r w:rsidR="005676F9">
        <w:t>/Internal Oversight Division</w:t>
      </w:r>
      <w:r w:rsidR="009D4214">
        <w:t>).</w:t>
      </w:r>
      <w:r w:rsidR="009D4214">
        <w:rPr>
          <w:rStyle w:val="FootnoteReference"/>
        </w:rPr>
        <w:footnoteReference w:id="3"/>
      </w:r>
      <w:r w:rsidR="009D4214">
        <w:t xml:space="preserve">  </w:t>
      </w:r>
      <w:r w:rsidR="00D0206E">
        <w:t>In practice, all administrative units</w:t>
      </w:r>
      <w:r w:rsidR="005A216C">
        <w:rPr>
          <w:rStyle w:val="FootnoteReference"/>
        </w:rPr>
        <w:footnoteReference w:id="4"/>
      </w:r>
      <w:r w:rsidR="00D0206E">
        <w:t xml:space="preserve"> involved in the actual planning and implementation of the projects, as well as the future users, were </w:t>
      </w:r>
      <w:r w:rsidR="00B92A13">
        <w:t>pro</w:t>
      </w:r>
      <w:r w:rsidR="00B92A13">
        <w:noBreakHyphen/>
      </w:r>
      <w:r w:rsidR="005676F9">
        <w:t xml:space="preserve">actively </w:t>
      </w:r>
      <w:r w:rsidR="00D0206E">
        <w:t xml:space="preserve">associated in the process from the very early stages, which reduced the risk of </w:t>
      </w:r>
      <w:r w:rsidR="00B92A13">
        <w:t>re</w:t>
      </w:r>
      <w:r w:rsidR="00B92A13">
        <w:noBreakHyphen/>
      </w:r>
      <w:r w:rsidR="008C4DD1">
        <w:t>design and the need for</w:t>
      </w:r>
      <w:r w:rsidR="005676F9">
        <w:t xml:space="preserve"> retro-fitting</w:t>
      </w:r>
      <w:r w:rsidR="00D0206E">
        <w:t xml:space="preserve"> in the course of the </w:t>
      </w:r>
      <w:r w:rsidR="00F923FE">
        <w:t>project</w:t>
      </w:r>
      <w:r w:rsidR="00EC3B8B">
        <w:t>.</w:t>
      </w:r>
    </w:p>
    <w:p w:rsidR="009D4214" w:rsidRDefault="009D4214" w:rsidP="00D0206E"/>
    <w:p w:rsidR="00D0206E" w:rsidRPr="0060466D" w:rsidRDefault="0060466D" w:rsidP="0060466D">
      <w:pPr>
        <w:keepNext/>
        <w:tabs>
          <w:tab w:val="left" w:pos="567"/>
        </w:tabs>
        <w:ind w:left="567" w:hanging="567"/>
        <w:rPr>
          <w:i/>
        </w:rPr>
      </w:pPr>
      <w:r>
        <w:rPr>
          <w:i/>
        </w:rPr>
        <w:t>(b)</w:t>
      </w:r>
      <w:r>
        <w:rPr>
          <w:i/>
        </w:rPr>
        <w:tab/>
      </w:r>
      <w:r w:rsidR="00D0206E" w:rsidRPr="0060466D">
        <w:rPr>
          <w:i/>
        </w:rPr>
        <w:t xml:space="preserve">Reinforcement of the existing management structure with new dedicated measures to fit the </w:t>
      </w:r>
      <w:r w:rsidR="005676F9" w:rsidRPr="0060466D">
        <w:rPr>
          <w:i/>
        </w:rPr>
        <w:t>demands of the</w:t>
      </w:r>
      <w:r w:rsidR="00D0206E" w:rsidRPr="0060466D">
        <w:rPr>
          <w:i/>
        </w:rPr>
        <w:t xml:space="preserve"> more complex </w:t>
      </w:r>
      <w:r w:rsidR="007D5C23">
        <w:rPr>
          <w:i/>
        </w:rPr>
        <w:t>NCHP</w:t>
      </w:r>
    </w:p>
    <w:p w:rsidR="00D0206E" w:rsidRDefault="00D0206E" w:rsidP="00A9354E">
      <w:pPr>
        <w:keepNext/>
      </w:pPr>
    </w:p>
    <w:p w:rsidR="007521B3" w:rsidRPr="007D5C23" w:rsidRDefault="009D4214" w:rsidP="004F5B20">
      <w:pPr>
        <w:pStyle w:val="ListParagraph"/>
        <w:numPr>
          <w:ilvl w:val="0"/>
          <w:numId w:val="7"/>
        </w:numPr>
      </w:pPr>
      <w:r w:rsidRPr="007D5C23">
        <w:t xml:space="preserve">The </w:t>
      </w:r>
      <w:r w:rsidR="00AF3A8F" w:rsidRPr="007D5C23">
        <w:t xml:space="preserve">initial, well established and </w:t>
      </w:r>
      <w:r w:rsidR="00D0206E" w:rsidRPr="007D5C23">
        <w:t>proven</w:t>
      </w:r>
      <w:r w:rsidR="00AF3A8F" w:rsidRPr="007D5C23">
        <w:t xml:space="preserve"> </w:t>
      </w:r>
      <w:r w:rsidRPr="007D5C23">
        <w:t>management structure was comple</w:t>
      </w:r>
      <w:r w:rsidR="005676F9" w:rsidRPr="007D5C23">
        <w:t>men</w:t>
      </w:r>
      <w:r w:rsidRPr="007D5C23">
        <w:t xml:space="preserve">ted, as from 2012, with the measures </w:t>
      </w:r>
      <w:r w:rsidR="001039AC">
        <w:t xml:space="preserve">described below </w:t>
      </w:r>
      <w:r w:rsidRPr="007D5C23">
        <w:t>in order to c</w:t>
      </w:r>
      <w:r w:rsidR="00E47882" w:rsidRPr="007D5C23">
        <w:t>ope, as smoothly as possible with the consequences of</w:t>
      </w:r>
      <w:r w:rsidRPr="007D5C23">
        <w:t xml:space="preserve"> </w:t>
      </w:r>
      <w:r w:rsidR="00E47882" w:rsidRPr="007D5C23">
        <w:t>the shift, during the worksite of the New Conference Hall, from a general contractor framework to a framework without a general contractor (“classical mandate”)</w:t>
      </w:r>
      <w:r w:rsidRPr="007D5C23">
        <w:rPr>
          <w:rStyle w:val="FootnoteReference"/>
        </w:rPr>
        <w:footnoteReference w:id="5"/>
      </w:r>
      <w:r w:rsidR="0036460B" w:rsidRPr="007D5C23">
        <w:t>.</w:t>
      </w:r>
    </w:p>
    <w:p w:rsidR="007521B3" w:rsidRPr="007D5C23" w:rsidRDefault="007521B3" w:rsidP="007521B3">
      <w:pPr>
        <w:pStyle w:val="ListParagraph"/>
      </w:pPr>
    </w:p>
    <w:p w:rsidR="007521B3" w:rsidRPr="007D5C23" w:rsidRDefault="0036460B" w:rsidP="004F5B20">
      <w:pPr>
        <w:pStyle w:val="ListParagraph"/>
        <w:numPr>
          <w:ilvl w:val="0"/>
          <w:numId w:val="7"/>
        </w:numPr>
      </w:pPr>
      <w:r w:rsidRPr="007D5C23">
        <w:t xml:space="preserve">The first </w:t>
      </w:r>
      <w:r w:rsidR="008C4DD1" w:rsidRPr="007D5C23">
        <w:t>measure</w:t>
      </w:r>
      <w:r w:rsidR="007521B3" w:rsidRPr="007D5C23">
        <w:t xml:space="preserve"> </w:t>
      </w:r>
      <w:r w:rsidRPr="007D5C23">
        <w:t xml:space="preserve">was the establishment of a sub-committee, the Construction Management and Coordination Committee (CMCC), by delegation from the Construction Committee, </w:t>
      </w:r>
      <w:r w:rsidR="007521B3" w:rsidRPr="007D5C23">
        <w:t xml:space="preserve">with sufficient level of authority and autonomy, </w:t>
      </w:r>
      <w:r w:rsidRPr="007D5C23">
        <w:t xml:space="preserve">to create </w:t>
      </w:r>
      <w:r w:rsidR="00FB32E1" w:rsidRPr="007D5C23">
        <w:t xml:space="preserve">a body </w:t>
      </w:r>
      <w:r w:rsidRPr="007D5C23">
        <w:t>with the necessary competence, experience, agility and</w:t>
      </w:r>
      <w:r w:rsidR="007521B3" w:rsidRPr="007D5C23">
        <w:t xml:space="preserve"> reactivity</w:t>
      </w:r>
      <w:r w:rsidR="005676F9" w:rsidRPr="007D5C23">
        <w:t xml:space="preserve"> to take day-to-day decisions</w:t>
      </w:r>
      <w:r w:rsidRPr="007D5C23">
        <w:t xml:space="preserve">.  The CMCC </w:t>
      </w:r>
      <w:r w:rsidR="005676F9" w:rsidRPr="007D5C23">
        <w:t>met on a daily basis</w:t>
      </w:r>
      <w:r w:rsidRPr="007D5C23">
        <w:t xml:space="preserve"> </w:t>
      </w:r>
      <w:r w:rsidR="005676F9" w:rsidRPr="007D5C23">
        <w:t xml:space="preserve">to </w:t>
      </w:r>
      <w:r w:rsidR="007521B3" w:rsidRPr="007D5C23">
        <w:t xml:space="preserve">review and adjust the worksite timetable, </w:t>
      </w:r>
      <w:r w:rsidRPr="007D5C23">
        <w:t>priorities</w:t>
      </w:r>
      <w:r w:rsidR="007521B3" w:rsidRPr="007D5C23">
        <w:t xml:space="preserve">, and manage risks, approve various project implementation items, review or propose project modifications, </w:t>
      </w:r>
      <w:r w:rsidRPr="007D5C23">
        <w:t xml:space="preserve">and </w:t>
      </w:r>
      <w:r w:rsidR="007521B3" w:rsidRPr="007D5C23">
        <w:t>examine new</w:t>
      </w:r>
      <w:r w:rsidRPr="007D5C23">
        <w:t xml:space="preserve"> demands and needs</w:t>
      </w:r>
      <w:r w:rsidR="007521B3" w:rsidRPr="007D5C23">
        <w:t xml:space="preserve"> </w:t>
      </w:r>
      <w:r w:rsidR="005676F9" w:rsidRPr="007D5C23">
        <w:t xml:space="preserve">as </w:t>
      </w:r>
      <w:r w:rsidR="007521B3" w:rsidRPr="007D5C23">
        <w:t>communicated by the future users of the new facilities.  Regular reports on its activities were</w:t>
      </w:r>
      <w:r w:rsidRPr="007D5C23">
        <w:t xml:space="preserve"> presented to the monthly sessions of the Construction Committee, and approval was sought from the latter in cases of principle and/or project modifications of a large scope and nature.</w:t>
      </w:r>
    </w:p>
    <w:p w:rsidR="007521B3" w:rsidRPr="007D5C23" w:rsidRDefault="007521B3" w:rsidP="007521B3">
      <w:pPr>
        <w:pStyle w:val="ListParagraph"/>
      </w:pPr>
    </w:p>
    <w:p w:rsidR="001E07F9" w:rsidRPr="007D5C23" w:rsidRDefault="0036460B" w:rsidP="004F5B20">
      <w:pPr>
        <w:pStyle w:val="ListParagraph"/>
        <w:numPr>
          <w:ilvl w:val="0"/>
          <w:numId w:val="7"/>
        </w:numPr>
      </w:pPr>
      <w:r w:rsidRPr="007D5C23">
        <w:t xml:space="preserve">The second </w:t>
      </w:r>
      <w:r w:rsidR="008C4DD1" w:rsidRPr="007D5C23">
        <w:t>measure</w:t>
      </w:r>
      <w:r w:rsidR="007521B3" w:rsidRPr="007D5C23">
        <w:t xml:space="preserve">, operational only for the </w:t>
      </w:r>
      <w:r w:rsidR="007D5C23" w:rsidRPr="007D5C23">
        <w:t>NCHP</w:t>
      </w:r>
      <w:r w:rsidR="007521B3" w:rsidRPr="007D5C23">
        <w:t>,</w:t>
      </w:r>
      <w:r w:rsidRPr="007D5C23">
        <w:t xml:space="preserve"> was the establishment of a</w:t>
      </w:r>
      <w:r w:rsidR="007D5C23" w:rsidRPr="007D5C23">
        <w:t>n ad hoc</w:t>
      </w:r>
      <w:r w:rsidRPr="007D5C23">
        <w:t xml:space="preserve"> </w:t>
      </w:r>
      <w:r w:rsidR="007D5C23" w:rsidRPr="007D5C23">
        <w:t xml:space="preserve">committee </w:t>
      </w:r>
      <w:r w:rsidR="005676F9" w:rsidRPr="007D5C23">
        <w:t>dedicated</w:t>
      </w:r>
      <w:r w:rsidR="007D5C23" w:rsidRPr="007D5C23">
        <w:t xml:space="preserve"> to</w:t>
      </w:r>
      <w:r w:rsidR="005676F9" w:rsidRPr="007D5C23">
        <w:t xml:space="preserve"> construction contracts</w:t>
      </w:r>
      <w:r w:rsidRPr="007D5C23">
        <w:t xml:space="preserve">, the Conference Hall Ad Hoc </w:t>
      </w:r>
      <w:r w:rsidR="008C4DD1" w:rsidRPr="007D5C23">
        <w:t xml:space="preserve">Contracts Committee (CHACC), independent </w:t>
      </w:r>
      <w:r w:rsidRPr="007D5C23">
        <w:t xml:space="preserve">from the Contracts Review Committee (CRC), in order to create </w:t>
      </w:r>
      <w:r w:rsidR="005676F9" w:rsidRPr="007D5C23">
        <w:t>a body</w:t>
      </w:r>
      <w:r w:rsidRPr="007D5C23">
        <w:t xml:space="preserve"> with the necessary </w:t>
      </w:r>
      <w:r w:rsidR="005676F9" w:rsidRPr="007D5C23">
        <w:t xml:space="preserve">autonomy, </w:t>
      </w:r>
      <w:r w:rsidRPr="007D5C23">
        <w:t xml:space="preserve">agility and reactivity </w:t>
      </w:r>
      <w:r w:rsidR="005676F9" w:rsidRPr="007D5C23">
        <w:t>that was better suited to</w:t>
      </w:r>
      <w:r w:rsidRPr="007D5C23">
        <w:t xml:space="preserve"> the needs of worksite</w:t>
      </w:r>
      <w:r w:rsidR="007D5C23">
        <w:t xml:space="preserve"> related contracts</w:t>
      </w:r>
      <w:r w:rsidRPr="007D5C23">
        <w:t xml:space="preserve"> (i.e., </w:t>
      </w:r>
      <w:r w:rsidR="005676F9" w:rsidRPr="007D5C23">
        <w:t xml:space="preserve">the threshold for referral to the CHACC was increased to 200,000 Swiss francs and the CHACC met </w:t>
      </w:r>
      <w:r w:rsidRPr="007D5C23">
        <w:t xml:space="preserve">on a weekly basis when needed, </w:t>
      </w:r>
      <w:r w:rsidR="005676F9" w:rsidRPr="007D5C23">
        <w:t>rather than</w:t>
      </w:r>
      <w:r w:rsidRPr="007D5C23">
        <w:t xml:space="preserve"> the monthly periodicity of the meetings of the CRC</w:t>
      </w:r>
      <w:r w:rsidR="005676F9" w:rsidRPr="007D5C23">
        <w:t xml:space="preserve"> where</w:t>
      </w:r>
      <w:r w:rsidRPr="007D5C23">
        <w:t xml:space="preserve"> the threshold for </w:t>
      </w:r>
      <w:r w:rsidR="005676F9" w:rsidRPr="007D5C23">
        <w:t xml:space="preserve">referral was </w:t>
      </w:r>
      <w:r w:rsidRPr="007D5C23">
        <w:t>100,000 Swiss francs</w:t>
      </w:r>
      <w:r w:rsidR="005676F9" w:rsidRPr="007D5C23">
        <w:t>)</w:t>
      </w:r>
      <w:r w:rsidR="00C1189D" w:rsidRPr="007D5C23">
        <w:t>.</w:t>
      </w:r>
      <w:r w:rsidR="002E703C" w:rsidRPr="007D5C23">
        <w:t xml:space="preserve">  See also item 4, below.</w:t>
      </w:r>
    </w:p>
    <w:p w:rsidR="00861642" w:rsidRPr="007D5C23" w:rsidRDefault="00861642" w:rsidP="00861642">
      <w:pPr>
        <w:pStyle w:val="ListParagraph"/>
      </w:pPr>
    </w:p>
    <w:p w:rsidR="00861642" w:rsidRPr="007D5C23" w:rsidRDefault="00861642" w:rsidP="004F5B20">
      <w:pPr>
        <w:pStyle w:val="ListParagraph"/>
        <w:numPr>
          <w:ilvl w:val="0"/>
          <w:numId w:val="7"/>
        </w:numPr>
      </w:pPr>
      <w:r w:rsidRPr="007D5C23">
        <w:t xml:space="preserve">The third measure was the engagement of a financial expert with experience in large construction projects, </w:t>
      </w:r>
      <w:r w:rsidR="00F10C43" w:rsidRPr="007D5C23">
        <w:t xml:space="preserve">who was </w:t>
      </w:r>
      <w:r w:rsidRPr="007D5C23">
        <w:t xml:space="preserve">mandated to analyze </w:t>
      </w:r>
      <w:r w:rsidR="007D5C23">
        <w:t xml:space="preserve">and reconcile </w:t>
      </w:r>
      <w:r w:rsidRPr="007D5C23">
        <w:t xml:space="preserve">the </w:t>
      </w:r>
      <w:r w:rsidR="007D5C23">
        <w:t xml:space="preserve">budget and associated expenditure and encumbrances from both a project and </w:t>
      </w:r>
      <w:r w:rsidR="00774624">
        <w:t xml:space="preserve">a </w:t>
      </w:r>
      <w:r w:rsidR="007D5C23">
        <w:t xml:space="preserve">financial perspective.  This greatly facilitated the process for </w:t>
      </w:r>
      <w:r w:rsidR="00F10C43" w:rsidRPr="007D5C23">
        <w:t>validating the request for additional budget presented by the Secretariat in 2014.</w:t>
      </w:r>
    </w:p>
    <w:p w:rsidR="007C34E4" w:rsidRDefault="007C34E4" w:rsidP="007C34E4">
      <w:pPr>
        <w:pStyle w:val="ListParagraph"/>
        <w:ind w:left="0"/>
      </w:pPr>
    </w:p>
    <w:p w:rsidR="00D0206E" w:rsidRPr="00D0206E" w:rsidRDefault="0060466D" w:rsidP="0060466D">
      <w:pPr>
        <w:pStyle w:val="ListParagraph"/>
        <w:keepNext/>
        <w:tabs>
          <w:tab w:val="left" w:pos="567"/>
        </w:tabs>
        <w:ind w:left="567" w:hanging="567"/>
        <w:rPr>
          <w:i/>
        </w:rPr>
      </w:pPr>
      <w:r>
        <w:rPr>
          <w:i/>
        </w:rPr>
        <w:t>(c)</w:t>
      </w:r>
      <w:r>
        <w:rPr>
          <w:i/>
        </w:rPr>
        <w:tab/>
      </w:r>
      <w:r w:rsidR="00D0206E" w:rsidRPr="00D0206E">
        <w:rPr>
          <w:i/>
        </w:rPr>
        <w:t xml:space="preserve">Ability to analyze the circumstances, constraints and risks and </w:t>
      </w:r>
      <w:r w:rsidR="008C4DD1">
        <w:rPr>
          <w:i/>
        </w:rPr>
        <w:t xml:space="preserve">the agility to re-strategize and </w:t>
      </w:r>
      <w:r w:rsidR="00D0206E" w:rsidRPr="00D0206E">
        <w:rPr>
          <w:i/>
        </w:rPr>
        <w:t>re-prioritize</w:t>
      </w:r>
      <w:r w:rsidR="008C4DD1">
        <w:rPr>
          <w:i/>
        </w:rPr>
        <w:t>,</w:t>
      </w:r>
      <w:r w:rsidR="00D0206E" w:rsidRPr="00D0206E">
        <w:rPr>
          <w:i/>
        </w:rPr>
        <w:t xml:space="preserve"> as </w:t>
      </w:r>
      <w:r w:rsidR="008C4DD1">
        <w:rPr>
          <w:i/>
        </w:rPr>
        <w:t>necessary</w:t>
      </w:r>
    </w:p>
    <w:p w:rsidR="00D0206E" w:rsidRDefault="00D0206E" w:rsidP="00E47882">
      <w:pPr>
        <w:pStyle w:val="ListParagraph"/>
        <w:keepNext/>
        <w:ind w:left="0"/>
      </w:pPr>
    </w:p>
    <w:p w:rsidR="00986541" w:rsidRPr="007D5C23" w:rsidRDefault="00986541" w:rsidP="00986541">
      <w:pPr>
        <w:pStyle w:val="ListParagraph"/>
        <w:numPr>
          <w:ilvl w:val="0"/>
          <w:numId w:val="7"/>
        </w:numPr>
      </w:pPr>
      <w:r w:rsidRPr="007D5C23">
        <w:t xml:space="preserve">In </w:t>
      </w:r>
      <w:r w:rsidR="007521B3" w:rsidRPr="007D5C23">
        <w:t xml:space="preserve">respect of the </w:t>
      </w:r>
      <w:r w:rsidR="007D5C23" w:rsidRPr="007D5C23">
        <w:t>NCP</w:t>
      </w:r>
      <w:r w:rsidR="005676F9" w:rsidRPr="007D5C23">
        <w:t xml:space="preserve">, the </w:t>
      </w:r>
      <w:r w:rsidR="00A013C5" w:rsidRPr="007D5C23">
        <w:t>in-house premises management</w:t>
      </w:r>
      <w:r w:rsidR="005676F9" w:rsidRPr="007D5C23">
        <w:t xml:space="preserve"> </w:t>
      </w:r>
      <w:r w:rsidR="007521B3" w:rsidRPr="007D5C23">
        <w:t xml:space="preserve">had </w:t>
      </w:r>
      <w:r w:rsidR="00F90627" w:rsidRPr="007D5C23">
        <w:t xml:space="preserve">the capacity and the authority </w:t>
      </w:r>
      <w:r w:rsidR="007521B3" w:rsidRPr="007D5C23">
        <w:t xml:space="preserve">to review </w:t>
      </w:r>
      <w:r w:rsidR="005676F9" w:rsidRPr="007D5C23">
        <w:t xml:space="preserve">and stagger the </w:t>
      </w:r>
      <w:r w:rsidR="007521B3" w:rsidRPr="007D5C23">
        <w:t>date of handover of the New Building</w:t>
      </w:r>
      <w:r w:rsidR="00A013C5" w:rsidRPr="007D5C23">
        <w:t xml:space="preserve"> in spring 2011</w:t>
      </w:r>
      <w:r w:rsidR="005676F9" w:rsidRPr="007D5C23">
        <w:t>,</w:t>
      </w:r>
      <w:r w:rsidR="007521B3" w:rsidRPr="007D5C23">
        <w:t xml:space="preserve"> </w:t>
      </w:r>
      <w:r w:rsidR="005676F9" w:rsidRPr="007D5C23">
        <w:t xml:space="preserve">floor by floor and area by area, while finishing works were continuing.  </w:t>
      </w:r>
      <w:r w:rsidR="00906A76" w:rsidRPr="007D5C23">
        <w:t xml:space="preserve">Proceeding </w:t>
      </w:r>
      <w:r w:rsidR="00440A9C" w:rsidRPr="007D5C23">
        <w:t>in this manner</w:t>
      </w:r>
      <w:r w:rsidR="00906A76" w:rsidRPr="007D5C23">
        <w:t xml:space="preserve"> had become </w:t>
      </w:r>
      <w:r w:rsidR="00F90627" w:rsidRPr="007D5C23">
        <w:t xml:space="preserve">essential </w:t>
      </w:r>
      <w:r w:rsidR="00440A9C" w:rsidRPr="007D5C23">
        <w:t>to move staff from</w:t>
      </w:r>
      <w:r w:rsidR="00F90627" w:rsidRPr="007D5C23">
        <w:t xml:space="preserve"> the rented </w:t>
      </w:r>
      <w:r w:rsidR="00440A9C" w:rsidRPr="007D5C23">
        <w:t>premises to the New B</w:t>
      </w:r>
      <w:r w:rsidR="00F90627" w:rsidRPr="007D5C23">
        <w:t xml:space="preserve">uilding </w:t>
      </w:r>
      <w:r w:rsidR="00440A9C" w:rsidRPr="007D5C23">
        <w:t xml:space="preserve">and ensure that the rented premises would be vacated before the contractual deadline </w:t>
      </w:r>
      <w:r w:rsidR="00F90627" w:rsidRPr="007D5C23">
        <w:t xml:space="preserve">without having to resort to exceptional measures (such as temporary swing space) or </w:t>
      </w:r>
      <w:r w:rsidR="00440A9C" w:rsidRPr="007D5C23">
        <w:t xml:space="preserve">incurring </w:t>
      </w:r>
      <w:r w:rsidR="00F90627" w:rsidRPr="007D5C23">
        <w:t>additional cost.</w:t>
      </w:r>
    </w:p>
    <w:p w:rsidR="00986541" w:rsidRDefault="00986541" w:rsidP="007C34E4">
      <w:pPr>
        <w:pStyle w:val="ListParagraph"/>
        <w:ind w:left="0"/>
      </w:pPr>
    </w:p>
    <w:p w:rsidR="00316489" w:rsidRDefault="00F90627" w:rsidP="004E75B0">
      <w:pPr>
        <w:pStyle w:val="ListParagraph"/>
        <w:numPr>
          <w:ilvl w:val="0"/>
          <w:numId w:val="7"/>
        </w:numPr>
      </w:pPr>
      <w:r>
        <w:t xml:space="preserve">In respect of the </w:t>
      </w:r>
      <w:r w:rsidR="007D5C23">
        <w:t>NCHP</w:t>
      </w:r>
      <w:r>
        <w:t xml:space="preserve">, </w:t>
      </w:r>
      <w:r w:rsidR="004E75B0">
        <w:t>and after the termination of the contract with the former general contractor, t</w:t>
      </w:r>
      <w:r w:rsidR="0060466D">
        <w:t>he CMCC</w:t>
      </w:r>
      <w:r w:rsidR="004E75B0">
        <w:t xml:space="preserve"> proved to be crucial in reaching timely decisions and implementing these on a daily basis so as to </w:t>
      </w:r>
      <w:r w:rsidR="004E75B0" w:rsidRPr="007D5C23">
        <w:t>ensure that the worksite was not paralyzed</w:t>
      </w:r>
      <w:r w:rsidR="004E75B0">
        <w:t xml:space="preserve"> in any way.  Even though the</w:t>
      </w:r>
      <w:r>
        <w:t xml:space="preserve"> </w:t>
      </w:r>
      <w:r w:rsidRPr="007D5C23">
        <w:t xml:space="preserve">initial date of handover </w:t>
      </w:r>
      <w:r w:rsidR="004E75B0" w:rsidRPr="007D5C23">
        <w:t xml:space="preserve">of the New Conference Hall </w:t>
      </w:r>
      <w:r w:rsidRPr="007D5C23">
        <w:t>had to be postponed</w:t>
      </w:r>
      <w:r>
        <w:t xml:space="preserve">, the </w:t>
      </w:r>
      <w:r w:rsidR="008C4DD1">
        <w:t xml:space="preserve">timely establishment of the </w:t>
      </w:r>
      <w:r w:rsidR="00440A9C">
        <w:t xml:space="preserve">CMCC </w:t>
      </w:r>
      <w:r w:rsidR="0060466D">
        <w:t xml:space="preserve">(see paragraph </w:t>
      </w:r>
      <w:r w:rsidR="0060466D" w:rsidRPr="0060466D">
        <w:t>14</w:t>
      </w:r>
      <w:r w:rsidR="0060466D">
        <w:t xml:space="preserve">, above) </w:t>
      </w:r>
      <w:r>
        <w:t>was able</w:t>
      </w:r>
      <w:r w:rsidR="00440A9C">
        <w:t xml:space="preserve"> to</w:t>
      </w:r>
      <w:r>
        <w:t xml:space="preserve"> ensure </w:t>
      </w:r>
      <w:r w:rsidR="008C4DD1">
        <w:t>that there was a decision making body with the necessary agility and delegated authority to complete</w:t>
      </w:r>
      <w:r w:rsidR="004E75B0">
        <w:t xml:space="preserve"> </w:t>
      </w:r>
      <w:r>
        <w:t>the construction of the</w:t>
      </w:r>
      <w:r w:rsidR="00440A9C">
        <w:t xml:space="preserve"> new facilities for a handover i</w:t>
      </w:r>
      <w:r>
        <w:t xml:space="preserve">n time for the </w:t>
      </w:r>
      <w:r w:rsidR="005B7847">
        <w:t xml:space="preserve">September </w:t>
      </w:r>
      <w:r w:rsidR="00440A9C">
        <w:t>2014 WIPO Assemblies.</w:t>
      </w:r>
    </w:p>
    <w:p w:rsidR="0031569F" w:rsidRDefault="0031569F" w:rsidP="0031569F">
      <w:pPr>
        <w:pStyle w:val="ListParagraph"/>
        <w:ind w:left="0"/>
      </w:pPr>
    </w:p>
    <w:p w:rsidR="00D0206E" w:rsidRPr="00EC3B8B" w:rsidRDefault="0060466D" w:rsidP="0060466D">
      <w:pPr>
        <w:pStyle w:val="ListParagraph"/>
        <w:keepNext/>
        <w:tabs>
          <w:tab w:val="left" w:pos="567"/>
        </w:tabs>
        <w:ind w:left="567" w:hanging="567"/>
        <w:rPr>
          <w:i/>
        </w:rPr>
      </w:pPr>
      <w:r>
        <w:rPr>
          <w:i/>
        </w:rPr>
        <w:t>(d)</w:t>
      </w:r>
      <w:r>
        <w:rPr>
          <w:i/>
        </w:rPr>
        <w:tab/>
      </w:r>
      <w:r w:rsidR="00EC3B8B" w:rsidRPr="00EC3B8B">
        <w:rPr>
          <w:i/>
        </w:rPr>
        <w:t>Solid contractual provisions in construction contracts</w:t>
      </w:r>
    </w:p>
    <w:p w:rsidR="00EC3B8B" w:rsidRDefault="00EC3B8B" w:rsidP="00A9354E">
      <w:pPr>
        <w:pStyle w:val="ListParagraph"/>
        <w:keepNext/>
        <w:ind w:left="0"/>
      </w:pPr>
    </w:p>
    <w:p w:rsidR="006B48FA" w:rsidRDefault="005B7847" w:rsidP="006B48FA">
      <w:pPr>
        <w:pStyle w:val="ListParagraph"/>
        <w:numPr>
          <w:ilvl w:val="0"/>
          <w:numId w:val="7"/>
        </w:numPr>
      </w:pPr>
      <w:r>
        <w:t>From the viewpoint of good contractual practice, t</w:t>
      </w:r>
      <w:r w:rsidR="006B48FA">
        <w:t xml:space="preserve">he contract with the </w:t>
      </w:r>
      <w:r>
        <w:t xml:space="preserve">former </w:t>
      </w:r>
      <w:r w:rsidR="006B48FA">
        <w:t xml:space="preserve">general contractor provided the </w:t>
      </w:r>
      <w:r w:rsidR="006B48FA" w:rsidRPr="007D5C23">
        <w:t>obligation for it to sub-contract only to companies which woul</w:t>
      </w:r>
      <w:r w:rsidR="004E75B0" w:rsidRPr="007D5C23">
        <w:t>d be obligated to accept a take</w:t>
      </w:r>
      <w:r w:rsidR="006B48FA" w:rsidRPr="007D5C23">
        <w:t>over of their contract</w:t>
      </w:r>
      <w:r w:rsidR="006B48FA">
        <w:t xml:space="preserve"> by WIPO, without any modifications (in particular the agreed price), should the contract between WIPO and the general contractor be terminated.  The circumstances leading to a contract termination having materialized one year after the beginning of the worksite for the</w:t>
      </w:r>
      <w:r w:rsidR="007D5C23">
        <w:t xml:space="preserve"> NCHP</w:t>
      </w:r>
      <w:r w:rsidR="006B48FA">
        <w:t xml:space="preserve">, the provision gave the </w:t>
      </w:r>
      <w:r w:rsidR="00440A9C">
        <w:t>Secretariat</w:t>
      </w:r>
      <w:r w:rsidR="006B48FA">
        <w:t xml:space="preserve"> a solid basis not only to take over the 20 then-existing contracts with sub-contractors, but also to award contracts</w:t>
      </w:r>
      <w:r w:rsidR="00440A9C">
        <w:t>, on the same conditions and agreed price,</w:t>
      </w:r>
      <w:r w:rsidR="006B48FA">
        <w:t xml:space="preserve"> to </w:t>
      </w:r>
      <w:r>
        <w:t xml:space="preserve">a large number of </w:t>
      </w:r>
      <w:r w:rsidR="006B48FA">
        <w:t xml:space="preserve">sub-contractors </w:t>
      </w:r>
      <w:r w:rsidR="00DB7FAC">
        <w:t>who</w:t>
      </w:r>
      <w:r w:rsidR="006B48FA">
        <w:t xml:space="preserve"> had made bids before the contract termination.  As a result, the interests of WIPO were well preserved </w:t>
      </w:r>
      <w:r w:rsidR="00440A9C">
        <w:t xml:space="preserve">and costs contained, </w:t>
      </w:r>
      <w:r w:rsidR="006B48FA">
        <w:t xml:space="preserve">since all the </w:t>
      </w:r>
      <w:r w:rsidR="00440A9C">
        <w:t xml:space="preserve">sub-contractors </w:t>
      </w:r>
      <w:r w:rsidR="006B48FA">
        <w:t>concerned had confirmed their willingness and full engagement for completing the project for WIPO.</w:t>
      </w:r>
      <w:r w:rsidR="00440A9C">
        <w:rPr>
          <w:rStyle w:val="FootnoteReference"/>
        </w:rPr>
        <w:footnoteReference w:id="6"/>
      </w:r>
      <w:r w:rsidR="006B48FA">
        <w:t xml:space="preserve">  The utilization of such a contractual provision in a WIPO contract had not been needed in any previous construction-related contract, until this particular case, when it proved extremely beneficial to WIPO’s interests.</w:t>
      </w:r>
    </w:p>
    <w:p w:rsidR="00FA0547" w:rsidRDefault="00FA0547" w:rsidP="00FA0547">
      <w:pPr>
        <w:pStyle w:val="ListParagraph"/>
        <w:ind w:left="0"/>
      </w:pPr>
    </w:p>
    <w:p w:rsidR="00FA0547" w:rsidRDefault="00FA0547" w:rsidP="00FA0547">
      <w:pPr>
        <w:pStyle w:val="ListParagraph"/>
        <w:numPr>
          <w:ilvl w:val="0"/>
          <w:numId w:val="7"/>
        </w:numPr>
      </w:pPr>
      <w:r>
        <w:t xml:space="preserve">The requirement of </w:t>
      </w:r>
      <w:r w:rsidRPr="007D5C23">
        <w:t>bank guarantees at first demand to cover</w:t>
      </w:r>
      <w:r w:rsidR="00604933">
        <w:t xml:space="preserve"> the cost of</w:t>
      </w:r>
      <w:r w:rsidRPr="007D5C23">
        <w:t xml:space="preserve"> defects</w:t>
      </w:r>
      <w:r w:rsidR="004E75B0">
        <w:t xml:space="preserve"> that may be </w:t>
      </w:r>
      <w:r w:rsidR="00604933">
        <w:t>discover</w:t>
      </w:r>
      <w:r w:rsidR="004E75B0">
        <w:t xml:space="preserve">ed </w:t>
      </w:r>
      <w:r w:rsidR="00DB7FAC">
        <w:t>during</w:t>
      </w:r>
      <w:r w:rsidR="004E75B0">
        <w:t xml:space="preserve"> a</w:t>
      </w:r>
      <w:r>
        <w:t xml:space="preserve"> period of two years after handover of the construction or installation was included in all the construction companies or suppliers contracts.</w:t>
      </w:r>
    </w:p>
    <w:p w:rsidR="00EC3B8B" w:rsidRDefault="00EC3B8B" w:rsidP="00EC3B8B">
      <w:pPr>
        <w:pStyle w:val="ListParagraph"/>
        <w:ind w:left="0"/>
      </w:pPr>
    </w:p>
    <w:p w:rsidR="00EC3B8B" w:rsidRDefault="00EC3B8B" w:rsidP="006B48FA">
      <w:pPr>
        <w:pStyle w:val="ListParagraph"/>
        <w:numPr>
          <w:ilvl w:val="0"/>
          <w:numId w:val="7"/>
        </w:numPr>
      </w:pPr>
      <w:r w:rsidRPr="007D5C23">
        <w:t xml:space="preserve">Penalties for delay </w:t>
      </w:r>
      <w:r>
        <w:t>were included in some, but not all, the contracts.  Those included in the construction companies</w:t>
      </w:r>
      <w:r w:rsidR="004E75B0">
        <w:t>’</w:t>
      </w:r>
      <w:r>
        <w:t xml:space="preserve"> contracts were activated and penalties were calculated, agreed, and paid to WIPO</w:t>
      </w:r>
      <w:r w:rsidR="004E75B0">
        <w:t>.</w:t>
      </w:r>
      <w:r>
        <w:t xml:space="preserve">  </w:t>
      </w:r>
      <w:r w:rsidR="002E703C">
        <w:t>See also item 4, below.</w:t>
      </w:r>
    </w:p>
    <w:p w:rsidR="00AF3A8F" w:rsidRDefault="00AF3A8F" w:rsidP="00CB5FD4"/>
    <w:p w:rsidR="00CB5FD4" w:rsidRPr="00CB5FD4" w:rsidRDefault="00F10C43" w:rsidP="0060466D">
      <w:pPr>
        <w:keepNext/>
        <w:tabs>
          <w:tab w:val="left" w:pos="567"/>
        </w:tabs>
        <w:ind w:left="567" w:hanging="567"/>
        <w:rPr>
          <w:i/>
        </w:rPr>
      </w:pPr>
      <w:r>
        <w:rPr>
          <w:i/>
        </w:rPr>
        <w:t>(e</w:t>
      </w:r>
      <w:r w:rsidR="0060466D">
        <w:rPr>
          <w:i/>
        </w:rPr>
        <w:t>)</w:t>
      </w:r>
      <w:r w:rsidR="0060466D">
        <w:rPr>
          <w:i/>
        </w:rPr>
        <w:tab/>
      </w:r>
      <w:r w:rsidR="00CB5FD4" w:rsidRPr="00CB5FD4">
        <w:rPr>
          <w:i/>
        </w:rPr>
        <w:t>Expanded mandates for certain professional specialists</w:t>
      </w:r>
      <w:r w:rsidR="00244B7F">
        <w:rPr>
          <w:i/>
        </w:rPr>
        <w:t xml:space="preserve"> once the contract with the former general contractor had been terminated</w:t>
      </w:r>
    </w:p>
    <w:p w:rsidR="00CB5FD4" w:rsidRDefault="00CB5FD4" w:rsidP="00244B7F">
      <w:pPr>
        <w:keepNext/>
      </w:pPr>
    </w:p>
    <w:p w:rsidR="00E47882" w:rsidRDefault="005B7847" w:rsidP="0031569F">
      <w:pPr>
        <w:pStyle w:val="ListParagraph"/>
        <w:numPr>
          <w:ilvl w:val="0"/>
          <w:numId w:val="7"/>
        </w:numPr>
      </w:pPr>
      <w:r>
        <w:t>Ex</w:t>
      </w:r>
      <w:r w:rsidR="0031569F">
        <w:t xml:space="preserve">panded mandates </w:t>
      </w:r>
      <w:r>
        <w:t xml:space="preserve">were drawn </w:t>
      </w:r>
      <w:r w:rsidR="00244B7F">
        <w:t xml:space="preserve">up </w:t>
      </w:r>
      <w:r w:rsidR="0031569F">
        <w:t xml:space="preserve">for </w:t>
      </w:r>
      <w:r>
        <w:t xml:space="preserve">all professional specialists, including the </w:t>
      </w:r>
      <w:r w:rsidR="0031569F">
        <w:t xml:space="preserve">architect, </w:t>
      </w:r>
      <w:r>
        <w:t xml:space="preserve">the </w:t>
      </w:r>
      <w:r w:rsidR="0031569F">
        <w:t xml:space="preserve">pilot and </w:t>
      </w:r>
      <w:r>
        <w:t xml:space="preserve">the </w:t>
      </w:r>
      <w:r w:rsidR="0031569F">
        <w:t>engineers</w:t>
      </w:r>
      <w:r w:rsidR="00244B7F">
        <w:t xml:space="preserve"> to re</w:t>
      </w:r>
      <w:r w:rsidR="003E42FB">
        <w:t>-</w:t>
      </w:r>
      <w:r w:rsidR="00244B7F">
        <w:t xml:space="preserve">delegate various elements of the role and responsibilities of the </w:t>
      </w:r>
      <w:r w:rsidR="00B3107C">
        <w:t xml:space="preserve">former </w:t>
      </w:r>
      <w:r w:rsidR="00244B7F">
        <w:t>general contractor</w:t>
      </w:r>
      <w:r>
        <w:t xml:space="preserve">.  </w:t>
      </w:r>
    </w:p>
    <w:p w:rsidR="00E47882" w:rsidRDefault="00E47882" w:rsidP="00E47882">
      <w:pPr>
        <w:pStyle w:val="ListParagraph"/>
        <w:ind w:left="0"/>
      </w:pPr>
    </w:p>
    <w:p w:rsidR="0031569F" w:rsidRDefault="00B3107C" w:rsidP="0031569F">
      <w:pPr>
        <w:pStyle w:val="ListParagraph"/>
        <w:numPr>
          <w:ilvl w:val="0"/>
          <w:numId w:val="7"/>
        </w:numPr>
      </w:pPr>
      <w:r>
        <w:t>In addition, other elements of the role and responsibilities of the former general contractor were re</w:t>
      </w:r>
      <w:r w:rsidR="003E42FB">
        <w:t>-</w:t>
      </w:r>
      <w:r>
        <w:t xml:space="preserve">delegated to in-house administrative units (in particular in respect of monitoring the </w:t>
      </w:r>
      <w:r>
        <w:lastRenderedPageBreak/>
        <w:t xml:space="preserve">contracts with the </w:t>
      </w:r>
      <w:r w:rsidR="003E42FB">
        <w:t>80</w:t>
      </w:r>
      <w:r>
        <w:t xml:space="preserve">-odd sub-contractors </w:t>
      </w:r>
      <w:r w:rsidR="003E42FB">
        <w:t>and suppliers, managing invoices, payments and other transactions, as well as related administrative overhead</w:t>
      </w:r>
      <w:r w:rsidR="00DB7FAC">
        <w:t>s</w:t>
      </w:r>
      <w:r w:rsidR="003E42FB">
        <w:t xml:space="preserve">). </w:t>
      </w:r>
      <w:r>
        <w:t xml:space="preserve"> </w:t>
      </w:r>
      <w:r w:rsidR="005B7847">
        <w:t>Th</w:t>
      </w:r>
      <w:r w:rsidR="00AF3A8F">
        <w:t>at,</w:t>
      </w:r>
      <w:r w:rsidR="005B7847">
        <w:t xml:space="preserve"> </w:t>
      </w:r>
      <w:r w:rsidR="00AF3A8F">
        <w:t>together</w:t>
      </w:r>
      <w:r w:rsidR="005B7847">
        <w:t xml:space="preserve"> with reinforced internal management structure and additional resources</w:t>
      </w:r>
      <w:r w:rsidR="00AF3A8F">
        <w:t>,</w:t>
      </w:r>
      <w:r w:rsidR="00CB5FD4">
        <w:t xml:space="preserve"> was</w:t>
      </w:r>
      <w:r w:rsidR="005B7847">
        <w:t xml:space="preserve"> </w:t>
      </w:r>
      <w:proofErr w:type="gramStart"/>
      <w:r w:rsidR="005B7847">
        <w:t>key</w:t>
      </w:r>
      <w:proofErr w:type="gramEnd"/>
      <w:r w:rsidR="005B7847">
        <w:t xml:space="preserve"> to the successful completion </w:t>
      </w:r>
      <w:r w:rsidR="00CB5FD4">
        <w:t>of the Project</w:t>
      </w:r>
      <w:r w:rsidR="005B7847">
        <w:t>.</w:t>
      </w:r>
    </w:p>
    <w:p w:rsidR="0031569F" w:rsidRDefault="0031569F" w:rsidP="00CB5FD4"/>
    <w:p w:rsidR="00CB5FD4" w:rsidRPr="00CB5FD4" w:rsidRDefault="00F10C43" w:rsidP="0060466D">
      <w:pPr>
        <w:keepNext/>
        <w:tabs>
          <w:tab w:val="left" w:pos="567"/>
        </w:tabs>
        <w:ind w:left="567" w:hanging="567"/>
        <w:rPr>
          <w:i/>
        </w:rPr>
      </w:pPr>
      <w:r>
        <w:rPr>
          <w:i/>
        </w:rPr>
        <w:t>(f</w:t>
      </w:r>
      <w:r w:rsidR="0060466D">
        <w:rPr>
          <w:i/>
        </w:rPr>
        <w:t>)</w:t>
      </w:r>
      <w:r w:rsidR="0060466D">
        <w:rPr>
          <w:i/>
        </w:rPr>
        <w:tab/>
      </w:r>
      <w:r w:rsidR="00CB5FD4" w:rsidRPr="00CB5FD4">
        <w:rPr>
          <w:i/>
        </w:rPr>
        <w:t xml:space="preserve">Seeking and securing early approval of additional budget needs </w:t>
      </w:r>
      <w:r w:rsidR="00244B7F">
        <w:rPr>
          <w:i/>
        </w:rPr>
        <w:t>from Member States</w:t>
      </w:r>
    </w:p>
    <w:p w:rsidR="00CB5FD4" w:rsidRPr="00CB5FD4" w:rsidRDefault="00CB5FD4" w:rsidP="00A9354E">
      <w:pPr>
        <w:keepNext/>
      </w:pPr>
    </w:p>
    <w:p w:rsidR="0031569F" w:rsidRDefault="00AF3A8F" w:rsidP="0031569F">
      <w:pPr>
        <w:pStyle w:val="ListParagraph"/>
        <w:numPr>
          <w:ilvl w:val="0"/>
          <w:numId w:val="7"/>
        </w:numPr>
      </w:pPr>
      <w:r>
        <w:t>The</w:t>
      </w:r>
      <w:r w:rsidR="0031569F">
        <w:t xml:space="preserve"> </w:t>
      </w:r>
      <w:r w:rsidR="00CB5FD4">
        <w:t>question</w:t>
      </w:r>
      <w:r w:rsidR="0031569F">
        <w:t xml:space="preserve"> </w:t>
      </w:r>
      <w:r w:rsidR="001039AC">
        <w:t xml:space="preserve">of </w:t>
      </w:r>
      <w:r w:rsidR="00CB5FD4">
        <w:t>whether</w:t>
      </w:r>
      <w:r w:rsidR="0031569F">
        <w:t xml:space="preserve"> </w:t>
      </w:r>
      <w:r w:rsidR="00CB5FD4">
        <w:t xml:space="preserve">potential </w:t>
      </w:r>
      <w:r w:rsidR="0031569F">
        <w:t xml:space="preserve">additional </w:t>
      </w:r>
      <w:r w:rsidR="00CB5FD4">
        <w:t>funds were needed</w:t>
      </w:r>
      <w:r>
        <w:t xml:space="preserve"> was </w:t>
      </w:r>
      <w:r w:rsidR="00CB5FD4">
        <w:t xml:space="preserve">continuously assessed, qualified and, </w:t>
      </w:r>
      <w:r w:rsidR="001039AC">
        <w:t>where necessary</w:t>
      </w:r>
      <w:r w:rsidR="00CB5FD4">
        <w:t xml:space="preserve">, presented with justification to the relevant bodies (PBC and Assemblies) </w:t>
      </w:r>
      <w:r w:rsidR="00F10C43">
        <w:t>in a timely manner and well</w:t>
      </w:r>
      <w:r w:rsidR="00CB5FD4">
        <w:t xml:space="preserve"> before further commitments were made with contractors.  The main</w:t>
      </w:r>
      <w:r w:rsidR="00DB7FAC">
        <w:t xml:space="preserve"> concern was to avoid being in a</w:t>
      </w:r>
      <w:r w:rsidR="00CB5FD4">
        <w:t xml:space="preserve"> situation </w:t>
      </w:r>
      <w:r w:rsidR="00F10C43">
        <w:t xml:space="preserve">where, in the interests of project implementation, commitments would be entered into </w:t>
      </w:r>
      <w:r w:rsidR="00CB5FD4">
        <w:t>with contractors</w:t>
      </w:r>
      <w:r w:rsidR="00EF40B6">
        <w:t xml:space="preserve"> and work</w:t>
      </w:r>
      <w:r w:rsidR="00244B7F">
        <w:t xml:space="preserve"> </w:t>
      </w:r>
      <w:r w:rsidR="00F10C43">
        <w:t>carried out</w:t>
      </w:r>
      <w:r w:rsidR="00244B7F">
        <w:t>,</w:t>
      </w:r>
      <w:r w:rsidR="00CB5FD4">
        <w:t xml:space="preserve"> but payment of final invoices would have to be put on hold until such time as an additional budget had been approved by Member States.</w:t>
      </w:r>
    </w:p>
    <w:p w:rsidR="00114410" w:rsidRDefault="00114410" w:rsidP="0031569F"/>
    <w:p w:rsidR="0031569F" w:rsidRPr="00C22AA0" w:rsidRDefault="00EE4E31" w:rsidP="00A9354E">
      <w:pPr>
        <w:keepNext/>
        <w:ind w:left="567"/>
        <w:rPr>
          <w:b/>
        </w:rPr>
      </w:pPr>
      <w:r>
        <w:rPr>
          <w:b/>
        </w:rPr>
        <w:t>(2</w:t>
      </w:r>
      <w:r w:rsidR="0060466D">
        <w:rPr>
          <w:b/>
        </w:rPr>
        <w:t>)</w:t>
      </w:r>
      <w:r w:rsidR="0060466D">
        <w:rPr>
          <w:b/>
        </w:rPr>
        <w:tab/>
      </w:r>
      <w:r w:rsidR="0031569F" w:rsidRPr="00C22AA0">
        <w:rPr>
          <w:b/>
        </w:rPr>
        <w:t>Worksite opportunities</w:t>
      </w:r>
      <w:r w:rsidR="00EF6EE0">
        <w:rPr>
          <w:b/>
        </w:rPr>
        <w:t>, project modifications</w:t>
      </w:r>
      <w:r w:rsidR="0031569F" w:rsidRPr="00C22AA0">
        <w:rPr>
          <w:b/>
        </w:rPr>
        <w:t xml:space="preserve"> and cost avoidance</w:t>
      </w:r>
    </w:p>
    <w:p w:rsidR="0031569F" w:rsidRDefault="0031569F" w:rsidP="00A9354E">
      <w:pPr>
        <w:keepNext/>
      </w:pPr>
    </w:p>
    <w:p w:rsidR="004A05FA" w:rsidRDefault="0031569F" w:rsidP="00731F90">
      <w:pPr>
        <w:pStyle w:val="ListParagraph"/>
        <w:numPr>
          <w:ilvl w:val="0"/>
          <w:numId w:val="7"/>
        </w:numPr>
      </w:pPr>
      <w:r>
        <w:t xml:space="preserve">Cost avoidance </w:t>
      </w:r>
      <w:r w:rsidR="00CB5FD4">
        <w:t xml:space="preserve">was </w:t>
      </w:r>
      <w:r w:rsidR="00761AD7">
        <w:t>achieved on several occasions</w:t>
      </w:r>
      <w:r w:rsidR="00CB5FD4">
        <w:t xml:space="preserve"> through</w:t>
      </w:r>
      <w:r>
        <w:t xml:space="preserve"> the ability </w:t>
      </w:r>
      <w:r w:rsidR="00CB5FD4">
        <w:t xml:space="preserve">of the </w:t>
      </w:r>
      <w:r w:rsidR="00244B7F">
        <w:t>CMCC</w:t>
      </w:r>
      <w:r w:rsidR="00CB5FD4">
        <w:t xml:space="preserve"> </w:t>
      </w:r>
      <w:r>
        <w:t>to react swiftly</w:t>
      </w:r>
      <w:r w:rsidR="00244B7F">
        <w:t xml:space="preserve"> on the worksite</w:t>
      </w:r>
      <w:r>
        <w:t xml:space="preserve">, avoiding </w:t>
      </w:r>
      <w:r w:rsidR="00244B7F">
        <w:t xml:space="preserve">unnecessary </w:t>
      </w:r>
      <w:r>
        <w:t>temporary features</w:t>
      </w:r>
      <w:r w:rsidR="00CB5FD4">
        <w:t xml:space="preserve"> which would have had to be </w:t>
      </w:r>
      <w:r w:rsidR="00244B7F">
        <w:t xml:space="preserve">reworked, on the one hand, and the integration of modifications and/or enhancements that brought with them </w:t>
      </w:r>
      <w:r w:rsidR="00761AD7">
        <w:t>early benefits to the overall project objectives</w:t>
      </w:r>
      <w:r w:rsidR="00244B7F">
        <w:t xml:space="preserve"> at no or minimal additional costs, on the other.  </w:t>
      </w:r>
      <w:r w:rsidR="00EF6EE0">
        <w:t xml:space="preserve">Examples of project modifications </w:t>
      </w:r>
      <w:r w:rsidR="00244B7F">
        <w:t xml:space="preserve">and/or enhancements </w:t>
      </w:r>
      <w:r w:rsidR="00EF6EE0">
        <w:t xml:space="preserve">introduced during the worksite of the New Conference Hall which have become essential features and have brought significant benefits from a variety of standpoints include:  the addition of a </w:t>
      </w:r>
      <w:r w:rsidR="004A05FA">
        <w:t>door</w:t>
      </w:r>
      <w:r w:rsidR="00EF6EE0">
        <w:t xml:space="preserve"> near the podium for more efficient and less time-consuming </w:t>
      </w:r>
      <w:r w:rsidR="00244B7F">
        <w:t>access and the redesign</w:t>
      </w:r>
      <w:r w:rsidR="00EF6EE0">
        <w:t xml:space="preserve"> of a number of d</w:t>
      </w:r>
      <w:r w:rsidR="004A05FA">
        <w:t xml:space="preserve">esks </w:t>
      </w:r>
      <w:r w:rsidR="00EF6EE0">
        <w:t>in the New Hall for persons with disabilities</w:t>
      </w:r>
      <w:r w:rsidR="00FA0547">
        <w:t>.</w:t>
      </w:r>
    </w:p>
    <w:p w:rsidR="0099183A" w:rsidRDefault="0099183A" w:rsidP="0099183A">
      <w:pPr>
        <w:pStyle w:val="ListParagraph"/>
        <w:ind w:left="0"/>
      </w:pPr>
    </w:p>
    <w:p w:rsidR="0031569F" w:rsidRPr="00C22AA0" w:rsidRDefault="00EE4E31" w:rsidP="00FA0547">
      <w:pPr>
        <w:pStyle w:val="ListParagraph"/>
        <w:keepNext/>
        <w:ind w:left="567"/>
        <w:rPr>
          <w:b/>
        </w:rPr>
      </w:pPr>
      <w:r>
        <w:rPr>
          <w:b/>
        </w:rPr>
        <w:t>(3</w:t>
      </w:r>
      <w:r w:rsidR="0060466D">
        <w:rPr>
          <w:b/>
        </w:rPr>
        <w:t>)</w:t>
      </w:r>
      <w:r w:rsidR="0060466D">
        <w:rPr>
          <w:b/>
        </w:rPr>
        <w:tab/>
      </w:r>
      <w:r w:rsidR="00055441">
        <w:rPr>
          <w:b/>
        </w:rPr>
        <w:t xml:space="preserve">Relations with the </w:t>
      </w:r>
      <w:r w:rsidR="0031569F" w:rsidRPr="00C22AA0">
        <w:rPr>
          <w:b/>
        </w:rPr>
        <w:t>Host Country federal, cantonal and municipal authorities</w:t>
      </w:r>
    </w:p>
    <w:p w:rsidR="0031569F" w:rsidRDefault="0031569F" w:rsidP="00FA0547">
      <w:pPr>
        <w:pStyle w:val="ListParagraph"/>
        <w:keepNext/>
        <w:ind w:left="0"/>
      </w:pPr>
    </w:p>
    <w:p w:rsidR="00FA0547" w:rsidRDefault="00FA0547" w:rsidP="00FA0547">
      <w:pPr>
        <w:pStyle w:val="ListParagraph"/>
        <w:numPr>
          <w:ilvl w:val="0"/>
          <w:numId w:val="7"/>
        </w:numPr>
      </w:pPr>
      <w:r>
        <w:t xml:space="preserve">Applications were deposited and </w:t>
      </w:r>
      <w:r w:rsidRPr="007D5C23">
        <w:t>building permits were obtained</w:t>
      </w:r>
      <w:r>
        <w:t xml:space="preserve"> from the cantonal authorities for the New Building, as well as for the New Conference Hall, and various additional permits due to modifications introduced during the respective worksites.  The high quality professional relations established between the </w:t>
      </w:r>
      <w:r w:rsidR="00244B7F">
        <w:t>CMCC</w:t>
      </w:r>
      <w:r>
        <w:t xml:space="preserve">, the pilot, the architect and the engineers, on the one hand, and the cantonal and city authorities, on the other, were instrumental in ensuring </w:t>
      </w:r>
      <w:r w:rsidR="00604933">
        <w:t xml:space="preserve">an early understanding of expectations </w:t>
      </w:r>
      <w:r>
        <w:t>with, as neede</w:t>
      </w:r>
      <w:r w:rsidR="00B92A13">
        <w:t>d, face-to-face meetings and on</w:t>
      </w:r>
      <w:r w:rsidR="00B92A13">
        <w:noBreakHyphen/>
      </w:r>
      <w:r>
        <w:t>site visits, inclu</w:t>
      </w:r>
      <w:r w:rsidR="00244B7F">
        <w:t>ding all stakeholders, thereby</w:t>
      </w:r>
      <w:r>
        <w:t xml:space="preserve"> leading to a sound and efficient overall process.</w:t>
      </w:r>
    </w:p>
    <w:p w:rsidR="00FA0547" w:rsidRDefault="00FA0547" w:rsidP="00FA0547">
      <w:pPr>
        <w:pStyle w:val="ListParagraph"/>
        <w:ind w:left="0"/>
      </w:pPr>
    </w:p>
    <w:p w:rsidR="00FA0547" w:rsidRDefault="00FA0547" w:rsidP="00FA0547">
      <w:pPr>
        <w:pStyle w:val="ListParagraph"/>
        <w:numPr>
          <w:ilvl w:val="0"/>
          <w:numId w:val="7"/>
        </w:numPr>
      </w:pPr>
      <w:r>
        <w:t xml:space="preserve">In addition, the </w:t>
      </w:r>
      <w:r w:rsidRPr="007D5C23">
        <w:t xml:space="preserve">Host Country was consulted </w:t>
      </w:r>
      <w:r>
        <w:t>on certain issues conc</w:t>
      </w:r>
      <w:r w:rsidR="00774624">
        <w:t>erning the implementation of UN H-MOSS security measures</w:t>
      </w:r>
      <w:r>
        <w:t xml:space="preserve"> or the public right of way</w:t>
      </w:r>
      <w:r w:rsidR="00774624">
        <w:t xml:space="preserve"> on the WIPO Campus</w:t>
      </w:r>
      <w:r w:rsidR="007D5C23">
        <w:t>, even though this was not required under the Host Country Agreement</w:t>
      </w:r>
      <w:r w:rsidR="00774624">
        <w:t xml:space="preserve"> on all subjects</w:t>
      </w:r>
      <w:r w:rsidR="007D5C23">
        <w:t xml:space="preserve">.  </w:t>
      </w:r>
      <w:r w:rsidR="00244B7F">
        <w:t>This cooperation and collaboration reinforced the good-will which already exists between the Organization and the Host Country</w:t>
      </w:r>
      <w:r>
        <w:t>.</w:t>
      </w:r>
    </w:p>
    <w:p w:rsidR="0031569F" w:rsidRDefault="0031569F" w:rsidP="0099183A">
      <w:pPr>
        <w:pStyle w:val="ListParagraph"/>
        <w:ind w:left="0"/>
      </w:pPr>
    </w:p>
    <w:p w:rsidR="006B48FA" w:rsidRPr="00C22AA0" w:rsidRDefault="00EE4E31" w:rsidP="00347EA9">
      <w:pPr>
        <w:keepNext/>
        <w:ind w:left="567"/>
        <w:rPr>
          <w:b/>
        </w:rPr>
      </w:pPr>
      <w:r>
        <w:rPr>
          <w:b/>
        </w:rPr>
        <w:t>(4</w:t>
      </w:r>
      <w:r w:rsidR="0060466D">
        <w:rPr>
          <w:b/>
        </w:rPr>
        <w:t>)</w:t>
      </w:r>
      <w:r w:rsidR="0060466D">
        <w:rPr>
          <w:b/>
        </w:rPr>
        <w:tab/>
      </w:r>
      <w:r w:rsidR="006B48FA" w:rsidRPr="00C22AA0">
        <w:rPr>
          <w:b/>
        </w:rPr>
        <w:t>What could have been done differently</w:t>
      </w:r>
      <w:r w:rsidR="00EC3B8B" w:rsidRPr="00C22AA0">
        <w:rPr>
          <w:b/>
        </w:rPr>
        <w:t xml:space="preserve"> or </w:t>
      </w:r>
      <w:proofErr w:type="gramStart"/>
      <w:r w:rsidR="00EC3B8B" w:rsidRPr="00C22AA0">
        <w:rPr>
          <w:b/>
        </w:rPr>
        <w:t>earlier</w:t>
      </w:r>
      <w:proofErr w:type="gramEnd"/>
    </w:p>
    <w:p w:rsidR="006B48FA" w:rsidRDefault="006B48FA" w:rsidP="00347EA9">
      <w:pPr>
        <w:keepNext/>
      </w:pPr>
    </w:p>
    <w:p w:rsidR="00EC3B8B" w:rsidRDefault="00EC3B8B" w:rsidP="00EC3B8B">
      <w:pPr>
        <w:pStyle w:val="ListParagraph"/>
        <w:numPr>
          <w:ilvl w:val="0"/>
          <w:numId w:val="7"/>
        </w:numPr>
      </w:pPr>
      <w:r w:rsidRPr="007D5C23">
        <w:t xml:space="preserve">Penalties for delay </w:t>
      </w:r>
      <w:r>
        <w:t>could have been included in more contracts and, in particular, in the contracts with professio</w:t>
      </w:r>
      <w:r w:rsidR="00244B7F">
        <w:t>nal specialists, from the start</w:t>
      </w:r>
      <w:r w:rsidR="00E924C9">
        <w:t>.  This would, however, have to be balanced with</w:t>
      </w:r>
      <w:r>
        <w:t xml:space="preserve"> </w:t>
      </w:r>
      <w:r w:rsidR="00E924C9">
        <w:t xml:space="preserve">the potential disadvantage that </w:t>
      </w:r>
      <w:r w:rsidR="00F9521F">
        <w:t>th</w:t>
      </w:r>
      <w:r>
        <w:t xml:space="preserve">e specialists would </w:t>
      </w:r>
      <w:r w:rsidR="001039AC">
        <w:t>incorporate</w:t>
      </w:r>
      <w:r>
        <w:t xml:space="preserve"> the risk of having to pay a penalty in their price offer, which </w:t>
      </w:r>
      <w:r w:rsidR="00F9521F">
        <w:t xml:space="preserve">in turn </w:t>
      </w:r>
      <w:r>
        <w:t xml:space="preserve">would have </w:t>
      </w:r>
      <w:r w:rsidR="00F9521F">
        <w:t>a</w:t>
      </w:r>
      <w:r>
        <w:t>ffect</w:t>
      </w:r>
      <w:r w:rsidR="00F9521F">
        <w:t>ed</w:t>
      </w:r>
      <w:r>
        <w:t xml:space="preserve"> </w:t>
      </w:r>
      <w:r w:rsidR="00F9521F">
        <w:t>the overall</w:t>
      </w:r>
      <w:r>
        <w:t xml:space="preserve"> </w:t>
      </w:r>
      <w:r w:rsidR="00E924C9">
        <w:t>budget</w:t>
      </w:r>
      <w:r>
        <w:t>.</w:t>
      </w:r>
    </w:p>
    <w:p w:rsidR="00EC3B8B" w:rsidRDefault="00EC3B8B" w:rsidP="0031569F"/>
    <w:p w:rsidR="006B48FA" w:rsidRDefault="00E924C9" w:rsidP="006B48FA">
      <w:pPr>
        <w:pStyle w:val="ListParagraph"/>
        <w:numPr>
          <w:ilvl w:val="0"/>
          <w:numId w:val="7"/>
        </w:numPr>
      </w:pPr>
      <w:r>
        <w:t xml:space="preserve">An </w:t>
      </w:r>
      <w:r w:rsidRPr="007D5C23">
        <w:t>e</w:t>
      </w:r>
      <w:r w:rsidR="00F10C43" w:rsidRPr="007D5C23">
        <w:t>arlier introduction of certain</w:t>
      </w:r>
      <w:r w:rsidR="008B45FB" w:rsidRPr="007D5C23">
        <w:t xml:space="preserve"> measures</w:t>
      </w:r>
      <w:r w:rsidR="008B45FB">
        <w:t xml:space="preserve"> </w:t>
      </w:r>
      <w:r>
        <w:t xml:space="preserve">would have brought more flexibility under the prevailing framework:  </w:t>
      </w:r>
      <w:r w:rsidR="008B45FB">
        <w:t xml:space="preserve">earlier establishment of the </w:t>
      </w:r>
      <w:r w:rsidR="00EC3B8B" w:rsidRPr="00DB7FAC">
        <w:rPr>
          <w:i/>
        </w:rPr>
        <w:t>ad hoc</w:t>
      </w:r>
      <w:r w:rsidR="00EC3B8B">
        <w:t xml:space="preserve"> contracts </w:t>
      </w:r>
      <w:r w:rsidR="008B45FB">
        <w:t>committee</w:t>
      </w:r>
      <w:r w:rsidR="00EC3B8B">
        <w:t xml:space="preserve"> (</w:t>
      </w:r>
      <w:r w:rsidR="00DB7FAC">
        <w:t>such as</w:t>
      </w:r>
      <w:r w:rsidR="00EC3B8B">
        <w:t xml:space="preserve"> the CHACC)</w:t>
      </w:r>
      <w:r w:rsidR="008B45FB">
        <w:t xml:space="preserve"> and earlier application of a higher threshold for the types of tender procedures.</w:t>
      </w:r>
    </w:p>
    <w:p w:rsidR="00B02353" w:rsidRDefault="00B02353" w:rsidP="00AA24F0"/>
    <w:p w:rsidR="00B02353" w:rsidRDefault="00B02353" w:rsidP="006B48FA">
      <w:pPr>
        <w:pStyle w:val="ListParagraph"/>
        <w:numPr>
          <w:ilvl w:val="0"/>
          <w:numId w:val="7"/>
        </w:numPr>
      </w:pPr>
      <w:r>
        <w:lastRenderedPageBreak/>
        <w:t>More attention could have been given at the outset</w:t>
      </w:r>
      <w:r w:rsidR="002E703C">
        <w:t xml:space="preserve"> (i.e., when the direct worksite management was taken over in-house)</w:t>
      </w:r>
      <w:r>
        <w:t xml:space="preserve"> to </w:t>
      </w:r>
      <w:r w:rsidRPr="007D5C23">
        <w:t>re-clarifying the roles and responsibilities of the professional specialists</w:t>
      </w:r>
      <w:r>
        <w:t xml:space="preserve"> (architect, pilot and engineers) and the interactions and dependencies between them, in order to avoid later discovery of gaps between the respective areas of responsibilities and corresponding expectations, as compared to the expectations of Project Management.</w:t>
      </w:r>
      <w:r w:rsidR="002E703C">
        <w:t xml:space="preserve">  </w:t>
      </w:r>
      <w:r w:rsidR="007D5C23">
        <w:t>The engagement of a financial expert with experience in large construction projects at the time when the direct worksite management was taken over in-house would also have been helpful</w:t>
      </w:r>
      <w:r w:rsidR="002E703C">
        <w:t>.</w:t>
      </w:r>
    </w:p>
    <w:p w:rsidR="006B48FA" w:rsidRDefault="006B48FA" w:rsidP="0031569F"/>
    <w:p w:rsidR="0031569F" w:rsidRPr="003F0ECE" w:rsidRDefault="00EE4E31" w:rsidP="0060466D">
      <w:pPr>
        <w:keepNext/>
        <w:ind w:left="1134" w:hanging="567"/>
        <w:rPr>
          <w:b/>
        </w:rPr>
      </w:pPr>
      <w:r>
        <w:rPr>
          <w:b/>
        </w:rPr>
        <w:t>(5</w:t>
      </w:r>
      <w:r w:rsidR="0060466D">
        <w:rPr>
          <w:b/>
        </w:rPr>
        <w:t>) </w:t>
      </w:r>
      <w:r w:rsidR="0060466D">
        <w:rPr>
          <w:b/>
        </w:rPr>
        <w:tab/>
        <w:t>I</w:t>
      </w:r>
      <w:r w:rsidR="006B48FA" w:rsidRPr="003F0ECE">
        <w:rPr>
          <w:b/>
        </w:rPr>
        <w:t>mportance of s</w:t>
      </w:r>
      <w:r w:rsidR="0031569F" w:rsidRPr="003F0ECE">
        <w:rPr>
          <w:b/>
        </w:rPr>
        <w:t xml:space="preserve">haring of experience </w:t>
      </w:r>
      <w:r w:rsidR="00DB7FAC">
        <w:rPr>
          <w:b/>
        </w:rPr>
        <w:t xml:space="preserve">between </w:t>
      </w:r>
      <w:r w:rsidR="006B48FA" w:rsidRPr="003F0ECE">
        <w:rPr>
          <w:b/>
        </w:rPr>
        <w:t>UN-family agencies</w:t>
      </w:r>
      <w:r w:rsidR="00055441">
        <w:rPr>
          <w:b/>
        </w:rPr>
        <w:t xml:space="preserve"> and related international and regional organizations</w:t>
      </w:r>
    </w:p>
    <w:p w:rsidR="006B48FA" w:rsidRDefault="006B48FA" w:rsidP="00F9521F">
      <w:pPr>
        <w:keepNext/>
      </w:pPr>
    </w:p>
    <w:p w:rsidR="0031569F" w:rsidRDefault="0031569F" w:rsidP="0031569F">
      <w:pPr>
        <w:pStyle w:val="ListParagraph"/>
        <w:numPr>
          <w:ilvl w:val="0"/>
          <w:numId w:val="7"/>
        </w:numPr>
      </w:pPr>
      <w:r w:rsidRPr="004F5B20">
        <w:t xml:space="preserve">Sharing of experience </w:t>
      </w:r>
      <w:r>
        <w:t xml:space="preserve">has been ongoing for a number of years </w:t>
      </w:r>
      <w:r w:rsidRPr="004F5B20">
        <w:t xml:space="preserve">with several </w:t>
      </w:r>
      <w:r>
        <w:t>UN agencies either in the framework of the annual meetings of the worldwide Inter-Agency Network of Facilities Managers (INFM)</w:t>
      </w:r>
      <w:r w:rsidR="00E322BD">
        <w:rPr>
          <w:rStyle w:val="FootnoteReference"/>
        </w:rPr>
        <w:footnoteReference w:id="7"/>
      </w:r>
      <w:r>
        <w:t>, or on the occasion of specific multilateral or bilateral meetings organized between Geneva-based UN agencies, some of which were hosted at WIPO.  Common themes on major construction or renovation projects covered the choices</w:t>
      </w:r>
      <w:r w:rsidR="001039AC">
        <w:t>,</w:t>
      </w:r>
      <w:r>
        <w:t xml:space="preserve"> and reasoning thereof, on best strategies, implementation measures and modalities, relating to project management structure, contractual approach, roles and responsibilities of the various stakeholders, reactiv</w:t>
      </w:r>
      <w:r w:rsidR="00DB7FAC">
        <w:t>ity to unforeseen circumstances and</w:t>
      </w:r>
      <w:r>
        <w:t xml:space="preserve"> challenges in meeting deadlines.</w:t>
      </w:r>
      <w:r w:rsidR="00F9521F">
        <w:t xml:space="preserve">  As part of sharing knowledge and experience, th</w:t>
      </w:r>
      <w:r w:rsidR="003C0409">
        <w:t xml:space="preserve">ese types of exchanges will </w:t>
      </w:r>
      <w:r w:rsidR="00F9521F">
        <w:t>continue</w:t>
      </w:r>
      <w:r w:rsidR="003C0409">
        <w:t xml:space="preserve"> in view </w:t>
      </w:r>
      <w:r w:rsidR="00604933">
        <w:t xml:space="preserve">of the interest expressed and </w:t>
      </w:r>
      <w:r w:rsidR="003C0409">
        <w:t>of the number and scope of major construction or renovation projects that several UN agencies have been or are currently undertaking over the next five to ten years.</w:t>
      </w:r>
    </w:p>
    <w:p w:rsidR="005E7E00" w:rsidRDefault="005E7E00" w:rsidP="005E7E00">
      <w:pPr>
        <w:pStyle w:val="ListParagraph"/>
        <w:ind w:left="0"/>
      </w:pPr>
    </w:p>
    <w:p w:rsidR="005E7E00" w:rsidRDefault="005E7E00" w:rsidP="0031569F">
      <w:pPr>
        <w:pStyle w:val="ListParagraph"/>
        <w:numPr>
          <w:ilvl w:val="0"/>
          <w:numId w:val="7"/>
        </w:numPr>
      </w:pPr>
      <w:r>
        <w:t>The following decision paragraph is proposed.</w:t>
      </w:r>
    </w:p>
    <w:p w:rsidR="00475A95" w:rsidRDefault="00475A95" w:rsidP="00475A95"/>
    <w:p w:rsidR="00475A95" w:rsidRPr="00475A95" w:rsidRDefault="004C2514" w:rsidP="00475A95">
      <w:pPr>
        <w:pStyle w:val="Endofdocument-Annex"/>
        <w:rPr>
          <w:i/>
        </w:rPr>
      </w:pPr>
      <w:r w:rsidRPr="00DA3AE8">
        <w:rPr>
          <w:i/>
        </w:rPr>
        <w:t>3</w:t>
      </w:r>
      <w:r w:rsidR="005E7E00">
        <w:rPr>
          <w:i/>
        </w:rPr>
        <w:t>3</w:t>
      </w:r>
      <w:r w:rsidR="00475A95" w:rsidRPr="00DA3AE8">
        <w:rPr>
          <w:i/>
        </w:rPr>
        <w:t>.</w:t>
      </w:r>
      <w:r w:rsidR="00475A95" w:rsidRPr="00475A95">
        <w:rPr>
          <w:i/>
        </w:rPr>
        <w:tab/>
        <w:t xml:space="preserve">The Program and Budget Committee </w:t>
      </w:r>
      <w:r w:rsidR="005E7E00">
        <w:rPr>
          <w:i/>
        </w:rPr>
        <w:t>(PBC) took note of the contents of</w:t>
      </w:r>
      <w:r w:rsidR="00475A95" w:rsidRPr="00475A95">
        <w:rPr>
          <w:i/>
        </w:rPr>
        <w:t xml:space="preserve"> document</w:t>
      </w:r>
      <w:r w:rsidR="005E7E00">
        <w:rPr>
          <w:i/>
        </w:rPr>
        <w:t xml:space="preserve"> WO/PBC/25/13</w:t>
      </w:r>
      <w:r w:rsidR="00677568">
        <w:rPr>
          <w:i/>
        </w:rPr>
        <w:t>, including the return of final unspent project balances to the Reserves of the Organiza</w:t>
      </w:r>
      <w:r w:rsidR="00E07CC0">
        <w:rPr>
          <w:i/>
        </w:rPr>
        <w:t>t</w:t>
      </w:r>
      <w:r w:rsidR="00677568">
        <w:rPr>
          <w:i/>
        </w:rPr>
        <w:t>ion as per paragraphs 4 and</w:t>
      </w:r>
      <w:r w:rsidR="00E07CC0">
        <w:rPr>
          <w:i/>
        </w:rPr>
        <w:t> </w:t>
      </w:r>
      <w:r w:rsidR="00F923FE">
        <w:rPr>
          <w:i/>
        </w:rPr>
        <w:t>5</w:t>
      </w:r>
      <w:r w:rsidR="00475A95" w:rsidRPr="00475A95">
        <w:rPr>
          <w:i/>
        </w:rPr>
        <w:t>.</w:t>
      </w:r>
    </w:p>
    <w:p w:rsidR="00475A95" w:rsidRDefault="00475A95" w:rsidP="00475A95">
      <w:pPr>
        <w:pStyle w:val="ListParagraph"/>
        <w:ind w:left="0"/>
      </w:pPr>
    </w:p>
    <w:p w:rsidR="00475A95" w:rsidRDefault="00475A95" w:rsidP="00475A95">
      <w:pPr>
        <w:pStyle w:val="ListParagraph"/>
        <w:ind w:left="0"/>
        <w:jc w:val="right"/>
      </w:pPr>
      <w:r>
        <w:t>[Annexes follow]</w:t>
      </w:r>
    </w:p>
    <w:p w:rsidR="00475A95" w:rsidRDefault="00475A95" w:rsidP="00475A95"/>
    <w:p w:rsidR="007673D6" w:rsidRDefault="007673D6" w:rsidP="0099183A">
      <w:pPr>
        <w:sectPr w:rsidR="007673D6" w:rsidSect="00CA72C7">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tbl>
      <w:tblPr>
        <w:tblStyle w:val="TableGrid"/>
        <w:tblW w:w="8969" w:type="dxa"/>
        <w:jc w:val="center"/>
        <w:tblInd w:w="-659" w:type="dxa"/>
        <w:tblLayout w:type="fixed"/>
        <w:tblLook w:val="04A0" w:firstRow="1" w:lastRow="0" w:firstColumn="1" w:lastColumn="0" w:noHBand="0" w:noVBand="1"/>
      </w:tblPr>
      <w:tblGrid>
        <w:gridCol w:w="924"/>
        <w:gridCol w:w="1559"/>
        <w:gridCol w:w="1718"/>
        <w:gridCol w:w="1531"/>
        <w:gridCol w:w="1629"/>
        <w:gridCol w:w="1608"/>
      </w:tblGrid>
      <w:tr w:rsidR="00F1176B" w:rsidRPr="00FD0683" w:rsidTr="00895AAC">
        <w:trPr>
          <w:trHeight w:val="529"/>
          <w:jc w:val="center"/>
        </w:trPr>
        <w:tc>
          <w:tcPr>
            <w:tcW w:w="8969" w:type="dxa"/>
            <w:gridSpan w:val="6"/>
            <w:tcBorders>
              <w:top w:val="single" w:sz="4" w:space="0" w:color="auto"/>
              <w:bottom w:val="single" w:sz="4" w:space="0" w:color="auto"/>
            </w:tcBorders>
            <w:shd w:val="clear" w:color="auto" w:fill="D9D9D9" w:themeFill="background1" w:themeFillShade="D9"/>
            <w:vAlign w:val="center"/>
          </w:tcPr>
          <w:p w:rsidR="00F1176B" w:rsidRPr="00FD0683" w:rsidRDefault="00F1176B" w:rsidP="00803A30">
            <w:pPr>
              <w:spacing w:line="360" w:lineRule="auto"/>
              <w:jc w:val="center"/>
              <w:rPr>
                <w:b/>
                <w:sz w:val="18"/>
              </w:rPr>
            </w:pPr>
            <w:r w:rsidRPr="00FD0683">
              <w:rPr>
                <w:b/>
                <w:sz w:val="18"/>
              </w:rPr>
              <w:lastRenderedPageBreak/>
              <w:t>List of progress reports and other documents presented to the PBC and the Assemblies (2006-2016)</w:t>
            </w:r>
          </w:p>
        </w:tc>
      </w:tr>
      <w:tr w:rsidR="00F1176B" w:rsidRPr="00FD0683" w:rsidTr="00895AAC">
        <w:trPr>
          <w:trHeight w:val="759"/>
          <w:jc w:val="center"/>
        </w:trPr>
        <w:tc>
          <w:tcPr>
            <w:tcW w:w="924" w:type="dxa"/>
            <w:vMerge w:val="restart"/>
            <w:tcBorders>
              <w:top w:val="single" w:sz="4" w:space="0" w:color="auto"/>
            </w:tcBorders>
            <w:shd w:val="clear" w:color="auto" w:fill="F2F2F2" w:themeFill="background1" w:themeFillShade="F2"/>
            <w:vAlign w:val="center"/>
          </w:tcPr>
          <w:p w:rsidR="00F1176B" w:rsidRPr="00FD0683" w:rsidRDefault="00F1176B" w:rsidP="00803A30">
            <w:pPr>
              <w:spacing w:line="360" w:lineRule="auto"/>
              <w:rPr>
                <w:b/>
                <w:sz w:val="14"/>
              </w:rPr>
            </w:pPr>
            <w:r w:rsidRPr="00FD0683">
              <w:rPr>
                <w:b/>
                <w:sz w:val="14"/>
              </w:rPr>
              <w:t>Year</w:t>
            </w:r>
          </w:p>
        </w:tc>
        <w:tc>
          <w:tcPr>
            <w:tcW w:w="1559" w:type="dxa"/>
            <w:vMerge w:val="restart"/>
            <w:tcBorders>
              <w:top w:val="single" w:sz="4" w:space="0" w:color="auto"/>
            </w:tcBorders>
            <w:shd w:val="clear" w:color="auto" w:fill="F2F2F2" w:themeFill="background1" w:themeFillShade="F2"/>
            <w:vAlign w:val="center"/>
          </w:tcPr>
          <w:p w:rsidR="00F1176B" w:rsidRPr="00FD0683" w:rsidRDefault="00F1176B" w:rsidP="00803A30">
            <w:pPr>
              <w:spacing w:line="360" w:lineRule="auto"/>
              <w:rPr>
                <w:b/>
                <w:sz w:val="14"/>
              </w:rPr>
            </w:pPr>
            <w:r w:rsidRPr="00FD0683">
              <w:rPr>
                <w:b/>
                <w:sz w:val="14"/>
              </w:rPr>
              <w:t>Month of session</w:t>
            </w:r>
          </w:p>
        </w:tc>
        <w:tc>
          <w:tcPr>
            <w:tcW w:w="1718" w:type="dxa"/>
            <w:vMerge w:val="restart"/>
            <w:tcBorders>
              <w:top w:val="single" w:sz="4" w:space="0" w:color="auto"/>
            </w:tcBorders>
            <w:shd w:val="clear" w:color="auto" w:fill="F2F2F2" w:themeFill="background1" w:themeFillShade="F2"/>
            <w:vAlign w:val="center"/>
          </w:tcPr>
          <w:p w:rsidR="00F1176B" w:rsidRPr="00FD0683" w:rsidRDefault="00F1176B" w:rsidP="00803A30">
            <w:pPr>
              <w:spacing w:line="360" w:lineRule="auto"/>
              <w:rPr>
                <w:b/>
                <w:sz w:val="14"/>
              </w:rPr>
            </w:pPr>
            <w:r w:rsidRPr="00FD0683">
              <w:rPr>
                <w:b/>
                <w:sz w:val="14"/>
              </w:rPr>
              <w:t>PBC document</w:t>
            </w:r>
          </w:p>
        </w:tc>
        <w:tc>
          <w:tcPr>
            <w:tcW w:w="1531" w:type="dxa"/>
            <w:vMerge w:val="restart"/>
            <w:tcBorders>
              <w:top w:val="single" w:sz="4" w:space="0" w:color="auto"/>
            </w:tcBorders>
            <w:shd w:val="clear" w:color="auto" w:fill="F2F2F2" w:themeFill="background1" w:themeFillShade="F2"/>
            <w:vAlign w:val="center"/>
          </w:tcPr>
          <w:p w:rsidR="00F1176B" w:rsidRPr="00FD0683" w:rsidRDefault="00F1176B" w:rsidP="00803A30">
            <w:pPr>
              <w:spacing w:line="360" w:lineRule="auto"/>
              <w:rPr>
                <w:b/>
                <w:sz w:val="14"/>
              </w:rPr>
            </w:pPr>
            <w:r w:rsidRPr="00FD0683">
              <w:rPr>
                <w:b/>
                <w:sz w:val="14"/>
              </w:rPr>
              <w:t>Assemblies document</w:t>
            </w:r>
          </w:p>
        </w:tc>
        <w:tc>
          <w:tcPr>
            <w:tcW w:w="3237" w:type="dxa"/>
            <w:gridSpan w:val="2"/>
            <w:tcBorders>
              <w:top w:val="single" w:sz="4" w:space="0" w:color="auto"/>
            </w:tcBorders>
            <w:shd w:val="clear" w:color="auto" w:fill="F2F2F2" w:themeFill="background1" w:themeFillShade="F2"/>
            <w:vAlign w:val="center"/>
          </w:tcPr>
          <w:p w:rsidR="00F1176B" w:rsidRPr="00FD0683" w:rsidRDefault="00F1176B" w:rsidP="00803A30">
            <w:pPr>
              <w:spacing w:line="276" w:lineRule="auto"/>
              <w:rPr>
                <w:b/>
                <w:sz w:val="14"/>
              </w:rPr>
            </w:pPr>
            <w:r w:rsidRPr="00FD0683">
              <w:rPr>
                <w:b/>
                <w:sz w:val="14"/>
              </w:rPr>
              <w:t>Progress reports, or proposals,</w:t>
            </w:r>
          </w:p>
          <w:p w:rsidR="00F1176B" w:rsidRPr="00FD0683" w:rsidRDefault="00F1176B" w:rsidP="00803A30">
            <w:pPr>
              <w:spacing w:line="276" w:lineRule="auto"/>
              <w:rPr>
                <w:b/>
                <w:sz w:val="14"/>
              </w:rPr>
            </w:pPr>
            <w:r w:rsidRPr="00FD0683">
              <w:rPr>
                <w:b/>
                <w:sz w:val="14"/>
              </w:rPr>
              <w:t>or updates on projects</w:t>
            </w:r>
          </w:p>
        </w:tc>
      </w:tr>
      <w:tr w:rsidR="00F1176B" w:rsidRPr="00FD0683" w:rsidTr="00895AAC">
        <w:trPr>
          <w:trHeight w:val="328"/>
          <w:jc w:val="center"/>
        </w:trPr>
        <w:tc>
          <w:tcPr>
            <w:tcW w:w="924" w:type="dxa"/>
            <w:vMerge/>
            <w:tcBorders>
              <w:bottom w:val="nil"/>
            </w:tcBorders>
            <w:shd w:val="clear" w:color="auto" w:fill="F2F2F2" w:themeFill="background1" w:themeFillShade="F2"/>
            <w:vAlign w:val="center"/>
          </w:tcPr>
          <w:p w:rsidR="00F1176B" w:rsidRPr="00FD0683" w:rsidRDefault="00F1176B" w:rsidP="00803A30">
            <w:pPr>
              <w:spacing w:before="240" w:after="240" w:line="360" w:lineRule="auto"/>
              <w:rPr>
                <w:b/>
                <w:sz w:val="14"/>
              </w:rPr>
            </w:pPr>
          </w:p>
        </w:tc>
        <w:tc>
          <w:tcPr>
            <w:tcW w:w="1559" w:type="dxa"/>
            <w:vMerge/>
            <w:shd w:val="clear" w:color="auto" w:fill="F2F2F2" w:themeFill="background1" w:themeFillShade="F2"/>
            <w:vAlign w:val="center"/>
          </w:tcPr>
          <w:p w:rsidR="00F1176B" w:rsidRPr="00FD0683" w:rsidRDefault="00F1176B" w:rsidP="00803A30">
            <w:pPr>
              <w:spacing w:before="240" w:after="240" w:line="360" w:lineRule="auto"/>
              <w:rPr>
                <w:b/>
                <w:sz w:val="14"/>
              </w:rPr>
            </w:pPr>
          </w:p>
        </w:tc>
        <w:tc>
          <w:tcPr>
            <w:tcW w:w="1718" w:type="dxa"/>
            <w:vMerge/>
            <w:shd w:val="clear" w:color="auto" w:fill="F2F2F2" w:themeFill="background1" w:themeFillShade="F2"/>
            <w:vAlign w:val="center"/>
          </w:tcPr>
          <w:p w:rsidR="00F1176B" w:rsidRPr="00FD0683" w:rsidRDefault="00F1176B" w:rsidP="00803A30">
            <w:pPr>
              <w:spacing w:before="240" w:after="240" w:line="360" w:lineRule="auto"/>
              <w:rPr>
                <w:b/>
                <w:sz w:val="14"/>
              </w:rPr>
            </w:pPr>
          </w:p>
        </w:tc>
        <w:tc>
          <w:tcPr>
            <w:tcW w:w="1531" w:type="dxa"/>
            <w:vMerge/>
            <w:shd w:val="clear" w:color="auto" w:fill="F2F2F2" w:themeFill="background1" w:themeFillShade="F2"/>
            <w:vAlign w:val="center"/>
          </w:tcPr>
          <w:p w:rsidR="00F1176B" w:rsidRPr="00FD0683" w:rsidRDefault="00F1176B" w:rsidP="00803A30">
            <w:pPr>
              <w:spacing w:before="240" w:after="240" w:line="360" w:lineRule="auto"/>
              <w:rPr>
                <w:b/>
                <w:sz w:val="14"/>
              </w:rPr>
            </w:pPr>
          </w:p>
        </w:tc>
        <w:tc>
          <w:tcPr>
            <w:tcW w:w="1629" w:type="dxa"/>
            <w:shd w:val="clear" w:color="auto" w:fill="F2F2F2" w:themeFill="background1" w:themeFillShade="F2"/>
          </w:tcPr>
          <w:p w:rsidR="00F1176B" w:rsidRPr="00FD0683" w:rsidRDefault="00F1176B" w:rsidP="00803A30">
            <w:pPr>
              <w:spacing w:before="240" w:after="240" w:line="276" w:lineRule="auto"/>
              <w:rPr>
                <w:b/>
                <w:sz w:val="14"/>
              </w:rPr>
            </w:pPr>
            <w:r w:rsidRPr="00FD0683">
              <w:rPr>
                <w:b/>
                <w:sz w:val="14"/>
              </w:rPr>
              <w:t>Project NCP</w:t>
            </w:r>
          </w:p>
        </w:tc>
        <w:tc>
          <w:tcPr>
            <w:tcW w:w="1608" w:type="dxa"/>
            <w:shd w:val="clear" w:color="auto" w:fill="F2F2F2" w:themeFill="background1" w:themeFillShade="F2"/>
          </w:tcPr>
          <w:p w:rsidR="00F1176B" w:rsidRPr="00FD0683" w:rsidRDefault="00F1176B" w:rsidP="00803A30">
            <w:pPr>
              <w:spacing w:before="240" w:after="240" w:line="276" w:lineRule="auto"/>
              <w:rPr>
                <w:b/>
                <w:sz w:val="14"/>
              </w:rPr>
            </w:pPr>
            <w:r w:rsidRPr="00FD0683">
              <w:rPr>
                <w:b/>
                <w:sz w:val="14"/>
              </w:rPr>
              <w:t>Project NCHP</w:t>
            </w:r>
          </w:p>
        </w:tc>
      </w:tr>
      <w:tr w:rsidR="00F1176B" w:rsidRPr="00F379B5" w:rsidTr="00895AAC">
        <w:trPr>
          <w:trHeight w:val="397"/>
          <w:jc w:val="center"/>
        </w:trPr>
        <w:tc>
          <w:tcPr>
            <w:tcW w:w="924" w:type="dxa"/>
            <w:tcBorders>
              <w:bottom w:val="nil"/>
            </w:tcBorders>
            <w:vAlign w:val="center"/>
          </w:tcPr>
          <w:p w:rsidR="00F1176B" w:rsidRPr="00F379B5" w:rsidRDefault="00F1176B" w:rsidP="00803A30">
            <w:pPr>
              <w:rPr>
                <w:sz w:val="14"/>
                <w:szCs w:val="14"/>
              </w:rPr>
            </w:pPr>
            <w:r w:rsidRPr="00F379B5">
              <w:rPr>
                <w:sz w:val="14"/>
                <w:szCs w:val="14"/>
              </w:rPr>
              <w:t>2006</w:t>
            </w:r>
          </w:p>
        </w:tc>
        <w:tc>
          <w:tcPr>
            <w:tcW w:w="1559" w:type="dxa"/>
            <w:vAlign w:val="center"/>
          </w:tcPr>
          <w:p w:rsidR="00F1176B" w:rsidRDefault="00F1176B" w:rsidP="00803A30">
            <w:pPr>
              <w:spacing w:line="276" w:lineRule="auto"/>
              <w:rPr>
                <w:sz w:val="14"/>
                <w:szCs w:val="14"/>
              </w:rPr>
            </w:pPr>
            <w:r w:rsidRPr="00F379B5">
              <w:rPr>
                <w:sz w:val="14"/>
                <w:szCs w:val="14"/>
              </w:rPr>
              <w:t>July</w:t>
            </w:r>
          </w:p>
          <w:p w:rsidR="00F1176B" w:rsidRPr="00F379B5" w:rsidRDefault="00F1176B" w:rsidP="00803A30">
            <w:pPr>
              <w:spacing w:line="276" w:lineRule="auto"/>
              <w:rPr>
                <w:sz w:val="14"/>
                <w:szCs w:val="14"/>
              </w:rPr>
            </w:pPr>
            <w:r>
              <w:rPr>
                <w:sz w:val="14"/>
                <w:szCs w:val="14"/>
              </w:rPr>
              <w:t>September/October</w:t>
            </w:r>
          </w:p>
        </w:tc>
        <w:tc>
          <w:tcPr>
            <w:tcW w:w="1718" w:type="dxa"/>
            <w:vAlign w:val="center"/>
          </w:tcPr>
          <w:p w:rsidR="00F1176B" w:rsidRPr="00F379B5" w:rsidRDefault="00F1176B" w:rsidP="00803A30">
            <w:pPr>
              <w:rPr>
                <w:sz w:val="14"/>
                <w:szCs w:val="14"/>
              </w:rPr>
            </w:pPr>
            <w:r w:rsidRPr="00F379B5">
              <w:rPr>
                <w:sz w:val="14"/>
                <w:szCs w:val="14"/>
              </w:rPr>
              <w:t>WO/PBC/10/4</w:t>
            </w:r>
          </w:p>
        </w:tc>
        <w:tc>
          <w:tcPr>
            <w:tcW w:w="1531" w:type="dxa"/>
            <w:vAlign w:val="center"/>
          </w:tcPr>
          <w:p w:rsidR="00F1176B" w:rsidRPr="00F379B5" w:rsidRDefault="00F1176B" w:rsidP="00803A30">
            <w:pPr>
              <w:rPr>
                <w:sz w:val="14"/>
                <w:szCs w:val="14"/>
              </w:rPr>
            </w:pPr>
            <w:r w:rsidRPr="00F379B5">
              <w:rPr>
                <w:sz w:val="14"/>
                <w:szCs w:val="14"/>
              </w:rPr>
              <w:t>A/42/13</w:t>
            </w:r>
          </w:p>
        </w:tc>
        <w:tc>
          <w:tcPr>
            <w:tcW w:w="1629" w:type="dxa"/>
            <w:vAlign w:val="center"/>
          </w:tcPr>
          <w:p w:rsidR="00F1176B" w:rsidRPr="00F379B5" w:rsidRDefault="00F1176B" w:rsidP="00803A30">
            <w:pPr>
              <w:jc w:val="center"/>
              <w:rPr>
                <w:sz w:val="14"/>
                <w:szCs w:val="14"/>
              </w:rPr>
            </w:pPr>
            <w:r w:rsidRPr="00F379B5">
              <w:rPr>
                <w:sz w:val="14"/>
                <w:szCs w:val="14"/>
              </w:rPr>
              <w:t>x</w:t>
            </w:r>
          </w:p>
        </w:tc>
        <w:tc>
          <w:tcPr>
            <w:tcW w:w="1608" w:type="dxa"/>
            <w:vAlign w:val="center"/>
          </w:tcPr>
          <w:p w:rsidR="00F1176B" w:rsidRPr="00F379B5" w:rsidRDefault="00F1176B" w:rsidP="00803A30">
            <w:pPr>
              <w:jc w:val="center"/>
              <w:rPr>
                <w:sz w:val="14"/>
                <w:szCs w:val="14"/>
              </w:rPr>
            </w:pPr>
          </w:p>
        </w:tc>
      </w:tr>
      <w:tr w:rsidR="00F1176B" w:rsidRPr="00F379B5" w:rsidTr="00895AAC">
        <w:trPr>
          <w:trHeight w:val="397"/>
          <w:jc w:val="center"/>
        </w:trPr>
        <w:tc>
          <w:tcPr>
            <w:tcW w:w="924" w:type="dxa"/>
            <w:tcBorders>
              <w:top w:val="nil"/>
            </w:tcBorders>
            <w:vAlign w:val="center"/>
          </w:tcPr>
          <w:p w:rsidR="00F1176B" w:rsidRPr="00F379B5" w:rsidRDefault="00F1176B" w:rsidP="00803A30">
            <w:pPr>
              <w:rPr>
                <w:sz w:val="14"/>
                <w:szCs w:val="14"/>
              </w:rPr>
            </w:pPr>
          </w:p>
        </w:tc>
        <w:tc>
          <w:tcPr>
            <w:tcW w:w="1559" w:type="dxa"/>
            <w:vAlign w:val="center"/>
          </w:tcPr>
          <w:p w:rsidR="00F1176B" w:rsidRPr="00F379B5" w:rsidRDefault="00F1176B" w:rsidP="00803A30">
            <w:pPr>
              <w:rPr>
                <w:sz w:val="14"/>
                <w:szCs w:val="14"/>
              </w:rPr>
            </w:pPr>
            <w:r w:rsidRPr="00F379B5">
              <w:rPr>
                <w:sz w:val="14"/>
                <w:szCs w:val="14"/>
              </w:rPr>
              <w:t>December</w:t>
            </w:r>
          </w:p>
        </w:tc>
        <w:tc>
          <w:tcPr>
            <w:tcW w:w="1718" w:type="dxa"/>
            <w:vAlign w:val="center"/>
          </w:tcPr>
          <w:p w:rsidR="00F1176B" w:rsidRPr="00F379B5" w:rsidRDefault="00F1176B" w:rsidP="00803A30">
            <w:pPr>
              <w:rPr>
                <w:sz w:val="14"/>
                <w:szCs w:val="14"/>
              </w:rPr>
            </w:pPr>
            <w:r w:rsidRPr="00F379B5">
              <w:rPr>
                <w:sz w:val="14"/>
                <w:szCs w:val="14"/>
              </w:rPr>
              <w:t>WO/PBC/IM/3/06/5</w:t>
            </w:r>
          </w:p>
        </w:tc>
        <w:tc>
          <w:tcPr>
            <w:tcW w:w="1531" w:type="dxa"/>
            <w:vAlign w:val="center"/>
          </w:tcPr>
          <w:p w:rsidR="00F1176B" w:rsidRPr="00F379B5" w:rsidRDefault="00F1176B" w:rsidP="00803A30">
            <w:pPr>
              <w:rPr>
                <w:sz w:val="14"/>
                <w:szCs w:val="14"/>
              </w:rPr>
            </w:pPr>
          </w:p>
        </w:tc>
        <w:tc>
          <w:tcPr>
            <w:tcW w:w="1629" w:type="dxa"/>
            <w:vAlign w:val="center"/>
          </w:tcPr>
          <w:p w:rsidR="00F1176B" w:rsidRPr="00F379B5" w:rsidRDefault="00F1176B" w:rsidP="00803A30">
            <w:pPr>
              <w:jc w:val="center"/>
              <w:rPr>
                <w:sz w:val="14"/>
                <w:szCs w:val="14"/>
              </w:rPr>
            </w:pPr>
            <w:r>
              <w:rPr>
                <w:sz w:val="14"/>
                <w:szCs w:val="14"/>
              </w:rPr>
              <w:t>x</w:t>
            </w:r>
          </w:p>
        </w:tc>
        <w:tc>
          <w:tcPr>
            <w:tcW w:w="1608" w:type="dxa"/>
            <w:vAlign w:val="center"/>
          </w:tcPr>
          <w:p w:rsidR="00F1176B" w:rsidRPr="00F379B5" w:rsidRDefault="00F1176B" w:rsidP="00803A30">
            <w:pPr>
              <w:jc w:val="center"/>
              <w:rPr>
                <w:sz w:val="14"/>
                <w:szCs w:val="14"/>
              </w:rPr>
            </w:pPr>
          </w:p>
        </w:tc>
      </w:tr>
      <w:tr w:rsidR="00F1176B" w:rsidRPr="00F379B5" w:rsidTr="00895AAC">
        <w:trPr>
          <w:trHeight w:val="397"/>
          <w:jc w:val="center"/>
        </w:trPr>
        <w:tc>
          <w:tcPr>
            <w:tcW w:w="924" w:type="dxa"/>
            <w:tcBorders>
              <w:bottom w:val="nil"/>
            </w:tcBorders>
            <w:vAlign w:val="center"/>
          </w:tcPr>
          <w:p w:rsidR="00F1176B" w:rsidRPr="00F379B5" w:rsidRDefault="00F1176B" w:rsidP="00803A30">
            <w:pPr>
              <w:rPr>
                <w:sz w:val="14"/>
                <w:szCs w:val="14"/>
              </w:rPr>
            </w:pPr>
            <w:r w:rsidRPr="00F379B5">
              <w:rPr>
                <w:sz w:val="14"/>
                <w:szCs w:val="14"/>
              </w:rPr>
              <w:t>2007</w:t>
            </w:r>
          </w:p>
        </w:tc>
        <w:tc>
          <w:tcPr>
            <w:tcW w:w="1559" w:type="dxa"/>
            <w:vAlign w:val="center"/>
          </w:tcPr>
          <w:p w:rsidR="00F1176B" w:rsidRPr="00F379B5" w:rsidRDefault="00F1176B" w:rsidP="00803A30">
            <w:pPr>
              <w:rPr>
                <w:sz w:val="14"/>
                <w:szCs w:val="14"/>
              </w:rPr>
            </w:pPr>
            <w:r w:rsidRPr="00F379B5">
              <w:rPr>
                <w:sz w:val="14"/>
                <w:szCs w:val="14"/>
              </w:rPr>
              <w:t>June</w:t>
            </w:r>
          </w:p>
        </w:tc>
        <w:tc>
          <w:tcPr>
            <w:tcW w:w="1718" w:type="dxa"/>
            <w:vAlign w:val="center"/>
          </w:tcPr>
          <w:p w:rsidR="00F1176B" w:rsidRPr="00F379B5" w:rsidRDefault="00F1176B" w:rsidP="00803A30">
            <w:pPr>
              <w:rPr>
                <w:sz w:val="14"/>
                <w:szCs w:val="14"/>
              </w:rPr>
            </w:pPr>
            <w:r w:rsidRPr="00F379B5">
              <w:rPr>
                <w:sz w:val="14"/>
                <w:szCs w:val="14"/>
              </w:rPr>
              <w:t>WO/PBC/11/13</w:t>
            </w:r>
          </w:p>
        </w:tc>
        <w:tc>
          <w:tcPr>
            <w:tcW w:w="1531" w:type="dxa"/>
            <w:vAlign w:val="center"/>
          </w:tcPr>
          <w:p w:rsidR="00F1176B" w:rsidRPr="00F379B5" w:rsidRDefault="00F1176B" w:rsidP="00803A30">
            <w:pPr>
              <w:rPr>
                <w:sz w:val="14"/>
                <w:szCs w:val="14"/>
              </w:rPr>
            </w:pPr>
          </w:p>
        </w:tc>
        <w:tc>
          <w:tcPr>
            <w:tcW w:w="1629" w:type="dxa"/>
            <w:vAlign w:val="center"/>
          </w:tcPr>
          <w:p w:rsidR="00F1176B" w:rsidRPr="00F379B5" w:rsidRDefault="00F1176B" w:rsidP="00803A30">
            <w:pPr>
              <w:jc w:val="center"/>
              <w:rPr>
                <w:sz w:val="14"/>
                <w:szCs w:val="14"/>
              </w:rPr>
            </w:pPr>
            <w:r w:rsidRPr="00F379B5">
              <w:rPr>
                <w:sz w:val="14"/>
                <w:szCs w:val="14"/>
              </w:rPr>
              <w:t>x</w:t>
            </w:r>
          </w:p>
        </w:tc>
        <w:tc>
          <w:tcPr>
            <w:tcW w:w="1608" w:type="dxa"/>
            <w:vAlign w:val="center"/>
          </w:tcPr>
          <w:p w:rsidR="00F1176B" w:rsidRPr="00F379B5" w:rsidRDefault="00F1176B" w:rsidP="00803A30">
            <w:pPr>
              <w:jc w:val="center"/>
              <w:rPr>
                <w:sz w:val="14"/>
                <w:szCs w:val="14"/>
              </w:rPr>
            </w:pPr>
          </w:p>
        </w:tc>
      </w:tr>
      <w:tr w:rsidR="00F1176B" w:rsidRPr="00F379B5" w:rsidTr="00895AAC">
        <w:trPr>
          <w:trHeight w:val="397"/>
          <w:jc w:val="center"/>
        </w:trPr>
        <w:tc>
          <w:tcPr>
            <w:tcW w:w="924" w:type="dxa"/>
            <w:tcBorders>
              <w:top w:val="nil"/>
              <w:bottom w:val="nil"/>
            </w:tcBorders>
            <w:vAlign w:val="center"/>
          </w:tcPr>
          <w:p w:rsidR="00F1176B" w:rsidRPr="00F379B5" w:rsidRDefault="00F1176B" w:rsidP="00803A30">
            <w:pPr>
              <w:rPr>
                <w:sz w:val="14"/>
                <w:szCs w:val="14"/>
              </w:rPr>
            </w:pPr>
          </w:p>
        </w:tc>
        <w:tc>
          <w:tcPr>
            <w:tcW w:w="1559" w:type="dxa"/>
            <w:vAlign w:val="center"/>
          </w:tcPr>
          <w:p w:rsidR="00F1176B" w:rsidRPr="00F379B5" w:rsidRDefault="00F1176B" w:rsidP="00803A30">
            <w:pPr>
              <w:rPr>
                <w:sz w:val="14"/>
                <w:szCs w:val="14"/>
              </w:rPr>
            </w:pPr>
            <w:r w:rsidRPr="00F379B5">
              <w:rPr>
                <w:sz w:val="14"/>
                <w:szCs w:val="14"/>
              </w:rPr>
              <w:t>September</w:t>
            </w:r>
            <w:r>
              <w:rPr>
                <w:sz w:val="14"/>
                <w:szCs w:val="14"/>
              </w:rPr>
              <w:t>/October</w:t>
            </w:r>
          </w:p>
        </w:tc>
        <w:tc>
          <w:tcPr>
            <w:tcW w:w="1718" w:type="dxa"/>
            <w:vAlign w:val="center"/>
          </w:tcPr>
          <w:p w:rsidR="00F1176B" w:rsidRPr="00F379B5" w:rsidRDefault="00F1176B" w:rsidP="00803A30">
            <w:pPr>
              <w:rPr>
                <w:sz w:val="14"/>
                <w:szCs w:val="14"/>
              </w:rPr>
            </w:pPr>
            <w:r w:rsidRPr="00F379B5">
              <w:rPr>
                <w:sz w:val="14"/>
                <w:szCs w:val="14"/>
              </w:rPr>
              <w:t>WO/PBC/12/7</w:t>
            </w:r>
          </w:p>
        </w:tc>
        <w:tc>
          <w:tcPr>
            <w:tcW w:w="1531" w:type="dxa"/>
            <w:vAlign w:val="center"/>
          </w:tcPr>
          <w:p w:rsidR="00F1176B" w:rsidRPr="00F379B5" w:rsidRDefault="00F1176B" w:rsidP="00803A30">
            <w:pPr>
              <w:rPr>
                <w:sz w:val="14"/>
                <w:szCs w:val="14"/>
              </w:rPr>
            </w:pPr>
            <w:r w:rsidRPr="00F379B5">
              <w:rPr>
                <w:sz w:val="14"/>
                <w:szCs w:val="14"/>
              </w:rPr>
              <w:t>WO/GA/34/11</w:t>
            </w:r>
          </w:p>
        </w:tc>
        <w:tc>
          <w:tcPr>
            <w:tcW w:w="1629" w:type="dxa"/>
            <w:vAlign w:val="center"/>
          </w:tcPr>
          <w:p w:rsidR="00F1176B" w:rsidRPr="00F379B5" w:rsidRDefault="00F1176B" w:rsidP="00803A30">
            <w:pPr>
              <w:jc w:val="center"/>
              <w:rPr>
                <w:sz w:val="14"/>
                <w:szCs w:val="14"/>
              </w:rPr>
            </w:pPr>
            <w:r w:rsidRPr="00F379B5">
              <w:rPr>
                <w:sz w:val="14"/>
                <w:szCs w:val="14"/>
              </w:rPr>
              <w:t>x</w:t>
            </w:r>
          </w:p>
        </w:tc>
        <w:tc>
          <w:tcPr>
            <w:tcW w:w="1608" w:type="dxa"/>
            <w:vAlign w:val="center"/>
          </w:tcPr>
          <w:p w:rsidR="00F1176B" w:rsidRPr="00F379B5" w:rsidRDefault="00F1176B" w:rsidP="00803A30">
            <w:pPr>
              <w:jc w:val="center"/>
              <w:rPr>
                <w:sz w:val="14"/>
                <w:szCs w:val="14"/>
              </w:rPr>
            </w:pPr>
          </w:p>
        </w:tc>
      </w:tr>
      <w:tr w:rsidR="00F1176B" w:rsidRPr="00F379B5" w:rsidTr="00895AAC">
        <w:trPr>
          <w:trHeight w:val="397"/>
          <w:jc w:val="center"/>
        </w:trPr>
        <w:tc>
          <w:tcPr>
            <w:tcW w:w="924" w:type="dxa"/>
            <w:tcBorders>
              <w:bottom w:val="nil"/>
            </w:tcBorders>
            <w:vAlign w:val="center"/>
          </w:tcPr>
          <w:p w:rsidR="00F1176B" w:rsidRPr="00F379B5" w:rsidRDefault="00F1176B" w:rsidP="00803A30">
            <w:pPr>
              <w:rPr>
                <w:sz w:val="14"/>
                <w:szCs w:val="14"/>
              </w:rPr>
            </w:pPr>
            <w:r w:rsidRPr="00F379B5">
              <w:rPr>
                <w:sz w:val="14"/>
                <w:szCs w:val="14"/>
              </w:rPr>
              <w:t>2008</w:t>
            </w:r>
          </w:p>
        </w:tc>
        <w:tc>
          <w:tcPr>
            <w:tcW w:w="1559" w:type="dxa"/>
            <w:vAlign w:val="center"/>
          </w:tcPr>
          <w:p w:rsidR="00F1176B" w:rsidRPr="00F379B5" w:rsidRDefault="00F1176B" w:rsidP="00803A30">
            <w:pPr>
              <w:rPr>
                <w:sz w:val="14"/>
                <w:szCs w:val="14"/>
              </w:rPr>
            </w:pPr>
            <w:r w:rsidRPr="00F379B5">
              <w:rPr>
                <w:sz w:val="14"/>
                <w:szCs w:val="14"/>
              </w:rPr>
              <w:t>September</w:t>
            </w:r>
          </w:p>
        </w:tc>
        <w:tc>
          <w:tcPr>
            <w:tcW w:w="1718" w:type="dxa"/>
            <w:vAlign w:val="center"/>
          </w:tcPr>
          <w:p w:rsidR="00F1176B" w:rsidRPr="00F379B5" w:rsidRDefault="00F1176B" w:rsidP="00803A30">
            <w:pPr>
              <w:rPr>
                <w:sz w:val="14"/>
                <w:szCs w:val="14"/>
              </w:rPr>
            </w:pPr>
          </w:p>
        </w:tc>
        <w:tc>
          <w:tcPr>
            <w:tcW w:w="1531" w:type="dxa"/>
            <w:vAlign w:val="center"/>
          </w:tcPr>
          <w:p w:rsidR="00F1176B" w:rsidRPr="00F379B5" w:rsidRDefault="00F1176B" w:rsidP="00803A30">
            <w:pPr>
              <w:rPr>
                <w:sz w:val="14"/>
                <w:szCs w:val="14"/>
              </w:rPr>
            </w:pPr>
            <w:r w:rsidRPr="00F379B5">
              <w:rPr>
                <w:sz w:val="14"/>
                <w:szCs w:val="14"/>
              </w:rPr>
              <w:t>WO/GA/36/6</w:t>
            </w:r>
          </w:p>
        </w:tc>
        <w:tc>
          <w:tcPr>
            <w:tcW w:w="1629" w:type="dxa"/>
            <w:vAlign w:val="center"/>
          </w:tcPr>
          <w:p w:rsidR="00F1176B" w:rsidRPr="00F379B5" w:rsidRDefault="00F1176B" w:rsidP="00803A30">
            <w:pPr>
              <w:jc w:val="center"/>
              <w:rPr>
                <w:sz w:val="14"/>
                <w:szCs w:val="14"/>
              </w:rPr>
            </w:pPr>
            <w:r w:rsidRPr="00F379B5">
              <w:rPr>
                <w:sz w:val="14"/>
                <w:szCs w:val="14"/>
              </w:rPr>
              <w:t>x</w:t>
            </w:r>
          </w:p>
        </w:tc>
        <w:tc>
          <w:tcPr>
            <w:tcW w:w="1608" w:type="dxa"/>
            <w:vAlign w:val="center"/>
          </w:tcPr>
          <w:p w:rsidR="00F1176B" w:rsidRPr="00F379B5" w:rsidRDefault="00F1176B" w:rsidP="00803A30">
            <w:pPr>
              <w:jc w:val="center"/>
              <w:rPr>
                <w:sz w:val="14"/>
                <w:szCs w:val="14"/>
              </w:rPr>
            </w:pPr>
          </w:p>
        </w:tc>
      </w:tr>
      <w:tr w:rsidR="00F1176B" w:rsidRPr="00F379B5" w:rsidTr="00895AAC">
        <w:trPr>
          <w:trHeight w:val="397"/>
          <w:jc w:val="center"/>
        </w:trPr>
        <w:tc>
          <w:tcPr>
            <w:tcW w:w="924" w:type="dxa"/>
            <w:tcBorders>
              <w:top w:val="nil"/>
              <w:bottom w:val="nil"/>
            </w:tcBorders>
            <w:vAlign w:val="center"/>
          </w:tcPr>
          <w:p w:rsidR="00F1176B" w:rsidRPr="00F379B5" w:rsidRDefault="00F1176B" w:rsidP="00803A30">
            <w:pPr>
              <w:spacing w:line="360" w:lineRule="auto"/>
              <w:rPr>
                <w:sz w:val="14"/>
                <w:szCs w:val="14"/>
              </w:rPr>
            </w:pPr>
          </w:p>
        </w:tc>
        <w:tc>
          <w:tcPr>
            <w:tcW w:w="1559" w:type="dxa"/>
            <w:vAlign w:val="center"/>
          </w:tcPr>
          <w:p w:rsidR="00F1176B" w:rsidRPr="00F379B5" w:rsidRDefault="00F1176B" w:rsidP="00803A30">
            <w:pPr>
              <w:spacing w:line="360" w:lineRule="auto"/>
              <w:rPr>
                <w:sz w:val="14"/>
                <w:szCs w:val="14"/>
              </w:rPr>
            </w:pPr>
            <w:r w:rsidRPr="00F379B5">
              <w:rPr>
                <w:sz w:val="14"/>
                <w:szCs w:val="14"/>
              </w:rPr>
              <w:t>December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WO/PBC/13/5</w:t>
            </w:r>
          </w:p>
        </w:tc>
        <w:tc>
          <w:tcPr>
            <w:tcW w:w="1531" w:type="dxa"/>
            <w:vAlign w:val="center"/>
          </w:tcPr>
          <w:p w:rsidR="00F1176B" w:rsidRPr="00F379B5" w:rsidRDefault="00F1176B" w:rsidP="00803A30">
            <w:pPr>
              <w:spacing w:line="360" w:lineRule="auto"/>
              <w:rPr>
                <w:sz w:val="14"/>
                <w:szCs w:val="14"/>
              </w:rPr>
            </w:pPr>
            <w:r w:rsidRPr="00F379B5">
              <w:rPr>
                <w:sz w:val="14"/>
                <w:szCs w:val="14"/>
              </w:rPr>
              <w:t>A/46/5</w:t>
            </w:r>
          </w:p>
        </w:tc>
        <w:tc>
          <w:tcPr>
            <w:tcW w:w="1629" w:type="dxa"/>
            <w:vAlign w:val="center"/>
          </w:tcPr>
          <w:p w:rsidR="00F1176B" w:rsidRPr="00F379B5" w:rsidRDefault="00F1176B" w:rsidP="00803A30">
            <w:pPr>
              <w:spacing w:line="360" w:lineRule="auto"/>
              <w:jc w:val="center"/>
              <w:rPr>
                <w:sz w:val="14"/>
                <w:szCs w:val="14"/>
              </w:rPr>
            </w:pPr>
            <w:r w:rsidRPr="00F379B5">
              <w:rPr>
                <w:sz w:val="14"/>
                <w:szCs w:val="14"/>
              </w:rPr>
              <w:t>x</w:t>
            </w:r>
          </w:p>
        </w:tc>
        <w:tc>
          <w:tcPr>
            <w:tcW w:w="1608" w:type="dxa"/>
            <w:vAlign w:val="center"/>
          </w:tcPr>
          <w:p w:rsidR="00F1176B" w:rsidRPr="00F379B5" w:rsidRDefault="00F1176B" w:rsidP="00803A30">
            <w:pPr>
              <w:spacing w:line="360" w:lineRule="auto"/>
              <w:jc w:val="center"/>
              <w:rPr>
                <w:sz w:val="14"/>
                <w:szCs w:val="14"/>
              </w:rPr>
            </w:pPr>
          </w:p>
        </w:tc>
      </w:tr>
      <w:tr w:rsidR="00F1176B" w:rsidRPr="00F379B5" w:rsidTr="00895AAC">
        <w:trPr>
          <w:trHeight w:val="397"/>
          <w:jc w:val="center"/>
        </w:trPr>
        <w:tc>
          <w:tcPr>
            <w:tcW w:w="924" w:type="dxa"/>
            <w:tcBorders>
              <w:top w:val="nil"/>
              <w:bottom w:val="nil"/>
            </w:tcBorders>
            <w:vAlign w:val="center"/>
          </w:tcPr>
          <w:p w:rsidR="00F1176B" w:rsidRPr="00F379B5" w:rsidRDefault="00F1176B" w:rsidP="00803A30">
            <w:pPr>
              <w:rPr>
                <w:sz w:val="14"/>
                <w:szCs w:val="14"/>
              </w:rPr>
            </w:pPr>
          </w:p>
        </w:tc>
        <w:tc>
          <w:tcPr>
            <w:tcW w:w="1559" w:type="dxa"/>
            <w:vAlign w:val="center"/>
          </w:tcPr>
          <w:p w:rsidR="00F1176B" w:rsidRPr="00F379B5" w:rsidRDefault="00F1176B" w:rsidP="00803A30">
            <w:pPr>
              <w:rPr>
                <w:sz w:val="14"/>
                <w:szCs w:val="14"/>
              </w:rPr>
            </w:pPr>
            <w:r w:rsidRPr="00F379B5">
              <w:rPr>
                <w:sz w:val="14"/>
                <w:szCs w:val="14"/>
              </w:rPr>
              <w:t>December</w:t>
            </w:r>
          </w:p>
        </w:tc>
        <w:tc>
          <w:tcPr>
            <w:tcW w:w="1718" w:type="dxa"/>
            <w:vAlign w:val="center"/>
          </w:tcPr>
          <w:p w:rsidR="00F1176B" w:rsidRPr="00F379B5" w:rsidRDefault="00F1176B" w:rsidP="00803A30">
            <w:pPr>
              <w:rPr>
                <w:sz w:val="14"/>
                <w:szCs w:val="14"/>
              </w:rPr>
            </w:pPr>
            <w:r w:rsidRPr="00F379B5">
              <w:rPr>
                <w:sz w:val="14"/>
                <w:szCs w:val="14"/>
              </w:rPr>
              <w:t>WO/PBC/13/6 (b)</w:t>
            </w:r>
          </w:p>
        </w:tc>
        <w:tc>
          <w:tcPr>
            <w:tcW w:w="1531" w:type="dxa"/>
            <w:vAlign w:val="center"/>
          </w:tcPr>
          <w:p w:rsidR="00F1176B" w:rsidRPr="00F379B5" w:rsidRDefault="00F1176B" w:rsidP="00803A30">
            <w:pPr>
              <w:rPr>
                <w:sz w:val="14"/>
                <w:szCs w:val="14"/>
              </w:rPr>
            </w:pPr>
            <w:r>
              <w:rPr>
                <w:sz w:val="14"/>
                <w:szCs w:val="14"/>
              </w:rPr>
              <w:t>A/46/6 (b)</w:t>
            </w:r>
          </w:p>
        </w:tc>
        <w:tc>
          <w:tcPr>
            <w:tcW w:w="1629" w:type="dxa"/>
            <w:vAlign w:val="center"/>
          </w:tcPr>
          <w:p w:rsidR="00F1176B" w:rsidRPr="00F379B5" w:rsidRDefault="00F1176B" w:rsidP="00803A30">
            <w:pPr>
              <w:spacing w:line="276" w:lineRule="auto"/>
              <w:rPr>
                <w:sz w:val="14"/>
                <w:szCs w:val="14"/>
              </w:rPr>
            </w:pPr>
            <w:r w:rsidRPr="00F379B5">
              <w:rPr>
                <w:sz w:val="14"/>
                <w:szCs w:val="14"/>
              </w:rPr>
              <w:t xml:space="preserve">Updated and </w:t>
            </w:r>
            <w:r>
              <w:rPr>
                <w:sz w:val="14"/>
                <w:szCs w:val="14"/>
              </w:rPr>
              <w:t>C</w:t>
            </w:r>
            <w:r w:rsidRPr="00F379B5">
              <w:rPr>
                <w:sz w:val="14"/>
                <w:szCs w:val="14"/>
              </w:rPr>
              <w:t xml:space="preserve">onsolidated Budget and Financing </w:t>
            </w:r>
            <w:r>
              <w:rPr>
                <w:sz w:val="14"/>
                <w:szCs w:val="14"/>
              </w:rPr>
              <w:t>for the New Construction Project</w:t>
            </w:r>
          </w:p>
        </w:tc>
        <w:tc>
          <w:tcPr>
            <w:tcW w:w="1608" w:type="dxa"/>
            <w:vAlign w:val="center"/>
          </w:tcPr>
          <w:p w:rsidR="00F1176B" w:rsidRPr="00F379B5" w:rsidRDefault="00F1176B" w:rsidP="00803A30">
            <w:pPr>
              <w:jc w:val="center"/>
              <w:rPr>
                <w:sz w:val="14"/>
                <w:szCs w:val="14"/>
              </w:rPr>
            </w:pPr>
          </w:p>
        </w:tc>
      </w:tr>
      <w:tr w:rsidR="00F1176B" w:rsidRPr="00F379B5" w:rsidTr="00895AAC">
        <w:trPr>
          <w:trHeight w:val="397"/>
          <w:jc w:val="center"/>
        </w:trPr>
        <w:tc>
          <w:tcPr>
            <w:tcW w:w="924" w:type="dxa"/>
            <w:tcBorders>
              <w:top w:val="nil"/>
              <w:bottom w:val="nil"/>
            </w:tcBorders>
            <w:vAlign w:val="center"/>
          </w:tcPr>
          <w:p w:rsidR="00F1176B" w:rsidRPr="00F379B5" w:rsidRDefault="00F1176B" w:rsidP="00803A30">
            <w:pPr>
              <w:rPr>
                <w:sz w:val="14"/>
                <w:szCs w:val="14"/>
              </w:rPr>
            </w:pPr>
          </w:p>
        </w:tc>
        <w:tc>
          <w:tcPr>
            <w:tcW w:w="1559" w:type="dxa"/>
            <w:vAlign w:val="center"/>
          </w:tcPr>
          <w:p w:rsidR="00F1176B" w:rsidRPr="00F379B5" w:rsidRDefault="00F1176B" w:rsidP="00803A30">
            <w:pPr>
              <w:rPr>
                <w:sz w:val="14"/>
                <w:szCs w:val="14"/>
              </w:rPr>
            </w:pPr>
            <w:r w:rsidRPr="00F379B5">
              <w:rPr>
                <w:sz w:val="14"/>
                <w:szCs w:val="14"/>
              </w:rPr>
              <w:t>December</w:t>
            </w:r>
          </w:p>
        </w:tc>
        <w:tc>
          <w:tcPr>
            <w:tcW w:w="1718" w:type="dxa"/>
            <w:vAlign w:val="center"/>
          </w:tcPr>
          <w:p w:rsidR="00F1176B" w:rsidRPr="00F379B5" w:rsidRDefault="00F1176B" w:rsidP="00803A30">
            <w:pPr>
              <w:rPr>
                <w:sz w:val="14"/>
                <w:szCs w:val="14"/>
              </w:rPr>
            </w:pPr>
            <w:r w:rsidRPr="00F379B5">
              <w:rPr>
                <w:sz w:val="14"/>
                <w:szCs w:val="14"/>
              </w:rPr>
              <w:t>WO/PBC/13/6 (c)</w:t>
            </w:r>
          </w:p>
        </w:tc>
        <w:tc>
          <w:tcPr>
            <w:tcW w:w="1531" w:type="dxa"/>
            <w:vAlign w:val="center"/>
          </w:tcPr>
          <w:p w:rsidR="00F1176B" w:rsidRPr="00F379B5" w:rsidRDefault="00F1176B" w:rsidP="00803A30">
            <w:pPr>
              <w:spacing w:line="360" w:lineRule="auto"/>
              <w:rPr>
                <w:sz w:val="14"/>
                <w:szCs w:val="14"/>
              </w:rPr>
            </w:pPr>
            <w:r w:rsidRPr="00F379B5">
              <w:rPr>
                <w:sz w:val="14"/>
                <w:szCs w:val="14"/>
              </w:rPr>
              <w:t>A/46/6 (c)</w:t>
            </w:r>
          </w:p>
        </w:tc>
        <w:tc>
          <w:tcPr>
            <w:tcW w:w="1629" w:type="dxa"/>
            <w:vAlign w:val="center"/>
          </w:tcPr>
          <w:p w:rsidR="00F1176B" w:rsidRPr="00F379B5" w:rsidRDefault="00F1176B" w:rsidP="00803A30">
            <w:pPr>
              <w:jc w:val="center"/>
              <w:rPr>
                <w:sz w:val="14"/>
                <w:szCs w:val="14"/>
              </w:rPr>
            </w:pPr>
          </w:p>
        </w:tc>
        <w:tc>
          <w:tcPr>
            <w:tcW w:w="1608" w:type="dxa"/>
            <w:vAlign w:val="center"/>
          </w:tcPr>
          <w:p w:rsidR="00F1176B" w:rsidRPr="00F379B5" w:rsidRDefault="00F1176B" w:rsidP="00803A30">
            <w:pPr>
              <w:spacing w:line="276" w:lineRule="auto"/>
              <w:rPr>
                <w:sz w:val="14"/>
                <w:szCs w:val="14"/>
              </w:rPr>
            </w:pPr>
            <w:r>
              <w:rPr>
                <w:sz w:val="14"/>
                <w:szCs w:val="14"/>
              </w:rPr>
              <w:t>Proposal for a New Conference Hall</w:t>
            </w:r>
          </w:p>
        </w:tc>
      </w:tr>
      <w:tr w:rsidR="00F1176B" w:rsidRPr="00F379B5" w:rsidTr="00895AAC">
        <w:trPr>
          <w:trHeight w:val="397"/>
          <w:jc w:val="center"/>
        </w:trPr>
        <w:tc>
          <w:tcPr>
            <w:tcW w:w="924" w:type="dxa"/>
            <w:tcBorders>
              <w:bottom w:val="nil"/>
            </w:tcBorders>
            <w:vAlign w:val="center"/>
          </w:tcPr>
          <w:p w:rsidR="00F1176B" w:rsidRPr="00F379B5" w:rsidRDefault="00F1176B" w:rsidP="00803A30">
            <w:pPr>
              <w:spacing w:line="360" w:lineRule="auto"/>
              <w:rPr>
                <w:sz w:val="14"/>
                <w:szCs w:val="14"/>
              </w:rPr>
            </w:pPr>
            <w:r w:rsidRPr="00F379B5">
              <w:rPr>
                <w:sz w:val="14"/>
                <w:szCs w:val="14"/>
              </w:rPr>
              <w:t>2009</w:t>
            </w:r>
          </w:p>
        </w:tc>
        <w:tc>
          <w:tcPr>
            <w:tcW w:w="1559" w:type="dxa"/>
            <w:vAlign w:val="center"/>
          </w:tcPr>
          <w:p w:rsidR="00F1176B" w:rsidRPr="00F379B5" w:rsidRDefault="00F1176B" w:rsidP="00803A30">
            <w:pPr>
              <w:spacing w:line="360" w:lineRule="auto"/>
              <w:rPr>
                <w:sz w:val="14"/>
                <w:szCs w:val="14"/>
              </w:rPr>
            </w:pPr>
            <w:r w:rsidRPr="00F379B5">
              <w:rPr>
                <w:sz w:val="14"/>
                <w:szCs w:val="14"/>
              </w:rPr>
              <w:t>September/October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WO/PBC/14/9</w:t>
            </w:r>
          </w:p>
        </w:tc>
        <w:tc>
          <w:tcPr>
            <w:tcW w:w="1531" w:type="dxa"/>
            <w:vAlign w:val="center"/>
          </w:tcPr>
          <w:p w:rsidR="00F1176B" w:rsidRPr="00F379B5" w:rsidRDefault="00F1176B" w:rsidP="00803A30">
            <w:pPr>
              <w:spacing w:line="360" w:lineRule="auto"/>
              <w:rPr>
                <w:sz w:val="14"/>
                <w:szCs w:val="14"/>
              </w:rPr>
            </w:pPr>
            <w:r w:rsidRPr="00F379B5">
              <w:rPr>
                <w:sz w:val="14"/>
                <w:szCs w:val="14"/>
              </w:rPr>
              <w:t>A/47/11</w:t>
            </w:r>
            <w:r>
              <w:rPr>
                <w:sz w:val="14"/>
                <w:szCs w:val="14"/>
              </w:rPr>
              <w:t xml:space="preserve"> + </w:t>
            </w:r>
            <w:r w:rsidRPr="00F379B5">
              <w:rPr>
                <w:sz w:val="14"/>
                <w:szCs w:val="14"/>
              </w:rPr>
              <w:t>A/47/11 Rev</w:t>
            </w:r>
          </w:p>
        </w:tc>
        <w:tc>
          <w:tcPr>
            <w:tcW w:w="1629" w:type="dxa"/>
            <w:vAlign w:val="center"/>
          </w:tcPr>
          <w:p w:rsidR="00F1176B" w:rsidRPr="00F379B5" w:rsidRDefault="00F1176B" w:rsidP="00803A30">
            <w:pPr>
              <w:spacing w:line="360" w:lineRule="auto"/>
              <w:jc w:val="center"/>
              <w:rPr>
                <w:sz w:val="14"/>
                <w:szCs w:val="14"/>
              </w:rPr>
            </w:pPr>
            <w:r w:rsidRPr="00F379B5">
              <w:rPr>
                <w:sz w:val="14"/>
                <w:szCs w:val="14"/>
              </w:rPr>
              <w:t>x</w:t>
            </w:r>
          </w:p>
        </w:tc>
        <w:tc>
          <w:tcPr>
            <w:tcW w:w="1608" w:type="dxa"/>
            <w:vAlign w:val="center"/>
          </w:tcPr>
          <w:p w:rsidR="00F1176B" w:rsidRPr="00F379B5" w:rsidRDefault="00F1176B" w:rsidP="00803A30">
            <w:pPr>
              <w:spacing w:line="360" w:lineRule="auto"/>
              <w:jc w:val="center"/>
              <w:rPr>
                <w:sz w:val="14"/>
                <w:szCs w:val="14"/>
              </w:rPr>
            </w:pPr>
          </w:p>
        </w:tc>
      </w:tr>
      <w:tr w:rsidR="00F1176B" w:rsidRPr="00F379B5" w:rsidTr="00895AAC">
        <w:trPr>
          <w:trHeight w:val="397"/>
          <w:jc w:val="center"/>
        </w:trPr>
        <w:tc>
          <w:tcPr>
            <w:tcW w:w="924" w:type="dxa"/>
            <w:tcBorders>
              <w:top w:val="nil"/>
              <w:bottom w:val="nil"/>
            </w:tcBorders>
            <w:vAlign w:val="center"/>
          </w:tcPr>
          <w:p w:rsidR="00F1176B" w:rsidRPr="00F379B5" w:rsidRDefault="00F1176B" w:rsidP="00803A30">
            <w:pPr>
              <w:spacing w:line="360" w:lineRule="auto"/>
              <w:rPr>
                <w:sz w:val="14"/>
                <w:szCs w:val="14"/>
              </w:rPr>
            </w:pPr>
          </w:p>
        </w:tc>
        <w:tc>
          <w:tcPr>
            <w:tcW w:w="1559" w:type="dxa"/>
            <w:vAlign w:val="center"/>
          </w:tcPr>
          <w:p w:rsidR="00F1176B" w:rsidRPr="00F379B5" w:rsidRDefault="00F1176B" w:rsidP="00803A30">
            <w:pPr>
              <w:spacing w:line="360" w:lineRule="auto"/>
              <w:rPr>
                <w:sz w:val="14"/>
                <w:szCs w:val="14"/>
              </w:rPr>
            </w:pPr>
            <w:r w:rsidRPr="00F379B5">
              <w:rPr>
                <w:sz w:val="14"/>
                <w:szCs w:val="14"/>
              </w:rPr>
              <w:t>September/October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WO/PBC/14/10</w:t>
            </w:r>
          </w:p>
        </w:tc>
        <w:tc>
          <w:tcPr>
            <w:tcW w:w="1531" w:type="dxa"/>
            <w:vAlign w:val="center"/>
          </w:tcPr>
          <w:p w:rsidR="00F1176B" w:rsidRPr="00F379B5" w:rsidRDefault="00F1176B" w:rsidP="00803A30">
            <w:pPr>
              <w:spacing w:line="360" w:lineRule="auto"/>
              <w:rPr>
                <w:sz w:val="14"/>
                <w:szCs w:val="14"/>
              </w:rPr>
            </w:pPr>
            <w:r w:rsidRPr="00F379B5">
              <w:rPr>
                <w:sz w:val="14"/>
                <w:szCs w:val="14"/>
              </w:rPr>
              <w:t>A/47/12</w:t>
            </w:r>
          </w:p>
        </w:tc>
        <w:tc>
          <w:tcPr>
            <w:tcW w:w="1629" w:type="dxa"/>
            <w:vAlign w:val="center"/>
          </w:tcPr>
          <w:p w:rsidR="00F1176B" w:rsidRPr="00F379B5" w:rsidRDefault="00F1176B" w:rsidP="00803A30">
            <w:pPr>
              <w:spacing w:line="360" w:lineRule="auto"/>
              <w:jc w:val="center"/>
              <w:rPr>
                <w:sz w:val="14"/>
                <w:szCs w:val="14"/>
              </w:rPr>
            </w:pPr>
          </w:p>
        </w:tc>
        <w:tc>
          <w:tcPr>
            <w:tcW w:w="1608" w:type="dxa"/>
            <w:vAlign w:val="center"/>
          </w:tcPr>
          <w:p w:rsidR="00F1176B" w:rsidRPr="00F379B5" w:rsidRDefault="00F1176B" w:rsidP="00803A30">
            <w:pPr>
              <w:spacing w:line="276" w:lineRule="auto"/>
              <w:rPr>
                <w:sz w:val="14"/>
                <w:szCs w:val="14"/>
              </w:rPr>
            </w:pPr>
            <w:r>
              <w:rPr>
                <w:sz w:val="14"/>
                <w:szCs w:val="14"/>
              </w:rPr>
              <w:t>Detailed Proposal for Phase Two of the New Conference Hall Project</w:t>
            </w:r>
          </w:p>
        </w:tc>
      </w:tr>
      <w:tr w:rsidR="00F1176B" w:rsidRPr="00F379B5" w:rsidTr="00895AAC">
        <w:trPr>
          <w:trHeight w:val="397"/>
          <w:jc w:val="center"/>
        </w:trPr>
        <w:tc>
          <w:tcPr>
            <w:tcW w:w="924" w:type="dxa"/>
            <w:tcBorders>
              <w:bottom w:val="nil"/>
            </w:tcBorders>
            <w:vAlign w:val="center"/>
          </w:tcPr>
          <w:p w:rsidR="00F1176B" w:rsidRPr="00F379B5" w:rsidRDefault="00F1176B" w:rsidP="00803A30">
            <w:pPr>
              <w:rPr>
                <w:sz w:val="14"/>
                <w:szCs w:val="14"/>
              </w:rPr>
            </w:pPr>
            <w:r w:rsidRPr="00F379B5">
              <w:rPr>
                <w:sz w:val="14"/>
                <w:szCs w:val="14"/>
              </w:rPr>
              <w:t>2010</w:t>
            </w: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WO/PBC/15/19</w:t>
            </w:r>
          </w:p>
        </w:tc>
        <w:tc>
          <w:tcPr>
            <w:tcW w:w="1531" w:type="dxa"/>
            <w:vAlign w:val="center"/>
          </w:tcPr>
          <w:p w:rsidR="00F1176B" w:rsidRPr="00F379B5" w:rsidRDefault="00F1176B" w:rsidP="00803A30">
            <w:pPr>
              <w:spacing w:line="360" w:lineRule="auto"/>
              <w:rPr>
                <w:sz w:val="14"/>
                <w:szCs w:val="14"/>
              </w:rPr>
            </w:pPr>
            <w:r w:rsidRPr="00F379B5">
              <w:rPr>
                <w:sz w:val="14"/>
                <w:szCs w:val="14"/>
              </w:rPr>
              <w:t>A/48/19</w:t>
            </w:r>
          </w:p>
        </w:tc>
        <w:tc>
          <w:tcPr>
            <w:tcW w:w="1629" w:type="dxa"/>
            <w:vAlign w:val="center"/>
          </w:tcPr>
          <w:p w:rsidR="00F1176B" w:rsidRPr="00F379B5" w:rsidRDefault="00F1176B" w:rsidP="00803A30">
            <w:pPr>
              <w:spacing w:line="360" w:lineRule="auto"/>
              <w:jc w:val="center"/>
              <w:rPr>
                <w:sz w:val="14"/>
                <w:szCs w:val="14"/>
              </w:rPr>
            </w:pPr>
            <w:r w:rsidRPr="00F379B5">
              <w:rPr>
                <w:sz w:val="14"/>
                <w:szCs w:val="14"/>
              </w:rPr>
              <w:t>x</w:t>
            </w:r>
          </w:p>
        </w:tc>
        <w:tc>
          <w:tcPr>
            <w:tcW w:w="1608" w:type="dxa"/>
            <w:vAlign w:val="center"/>
          </w:tcPr>
          <w:p w:rsidR="00F1176B" w:rsidRPr="00F379B5" w:rsidRDefault="00F1176B" w:rsidP="00803A30">
            <w:pPr>
              <w:spacing w:line="360" w:lineRule="auto"/>
              <w:jc w:val="center"/>
              <w:rPr>
                <w:sz w:val="14"/>
                <w:szCs w:val="14"/>
              </w:rPr>
            </w:pPr>
          </w:p>
        </w:tc>
      </w:tr>
      <w:tr w:rsidR="00F1176B" w:rsidRPr="00F379B5" w:rsidTr="00895AAC">
        <w:trPr>
          <w:trHeight w:val="397"/>
          <w:jc w:val="center"/>
        </w:trPr>
        <w:tc>
          <w:tcPr>
            <w:tcW w:w="924" w:type="dxa"/>
            <w:tcBorders>
              <w:top w:val="nil"/>
              <w:bottom w:val="single" w:sz="4" w:space="0" w:color="auto"/>
            </w:tcBorders>
            <w:vAlign w:val="center"/>
          </w:tcPr>
          <w:p w:rsidR="00F1176B" w:rsidRPr="00F379B5" w:rsidRDefault="00F1176B" w:rsidP="00803A30">
            <w:pPr>
              <w:rPr>
                <w:sz w:val="14"/>
                <w:szCs w:val="14"/>
              </w:rPr>
            </w:pP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WO/PBC/15/20</w:t>
            </w:r>
          </w:p>
        </w:tc>
        <w:tc>
          <w:tcPr>
            <w:tcW w:w="1531" w:type="dxa"/>
            <w:vAlign w:val="center"/>
          </w:tcPr>
          <w:p w:rsidR="00F1176B" w:rsidRPr="00F379B5" w:rsidRDefault="00F1176B" w:rsidP="00803A30">
            <w:pPr>
              <w:spacing w:line="360" w:lineRule="auto"/>
              <w:rPr>
                <w:sz w:val="14"/>
                <w:szCs w:val="14"/>
              </w:rPr>
            </w:pPr>
            <w:r w:rsidRPr="00F379B5">
              <w:rPr>
                <w:sz w:val="14"/>
                <w:szCs w:val="14"/>
              </w:rPr>
              <w:t>A/48/22</w:t>
            </w:r>
          </w:p>
        </w:tc>
        <w:tc>
          <w:tcPr>
            <w:tcW w:w="1629" w:type="dxa"/>
            <w:vAlign w:val="center"/>
          </w:tcPr>
          <w:p w:rsidR="00F1176B" w:rsidRPr="00F379B5" w:rsidRDefault="00F1176B" w:rsidP="00803A30">
            <w:pPr>
              <w:spacing w:line="360" w:lineRule="auto"/>
              <w:jc w:val="center"/>
              <w:rPr>
                <w:sz w:val="14"/>
                <w:szCs w:val="14"/>
              </w:rPr>
            </w:pPr>
          </w:p>
        </w:tc>
        <w:tc>
          <w:tcPr>
            <w:tcW w:w="1608" w:type="dxa"/>
            <w:vAlign w:val="center"/>
          </w:tcPr>
          <w:p w:rsidR="00F1176B" w:rsidRPr="00F379B5" w:rsidRDefault="00F1176B" w:rsidP="00803A30">
            <w:pPr>
              <w:spacing w:line="360" w:lineRule="auto"/>
              <w:jc w:val="center"/>
              <w:rPr>
                <w:sz w:val="14"/>
                <w:szCs w:val="14"/>
              </w:rPr>
            </w:pPr>
            <w:r w:rsidRPr="00F379B5">
              <w:rPr>
                <w:sz w:val="14"/>
                <w:szCs w:val="14"/>
              </w:rPr>
              <w:t>x</w:t>
            </w:r>
          </w:p>
        </w:tc>
      </w:tr>
      <w:tr w:rsidR="00F1176B" w:rsidRPr="00F379B5" w:rsidTr="00895AAC">
        <w:trPr>
          <w:trHeight w:val="397"/>
          <w:jc w:val="center"/>
        </w:trPr>
        <w:tc>
          <w:tcPr>
            <w:tcW w:w="924" w:type="dxa"/>
            <w:tcBorders>
              <w:bottom w:val="nil"/>
            </w:tcBorders>
            <w:vAlign w:val="center"/>
          </w:tcPr>
          <w:p w:rsidR="00F1176B" w:rsidRPr="00F379B5" w:rsidRDefault="00F1176B" w:rsidP="00803A30">
            <w:pPr>
              <w:rPr>
                <w:sz w:val="14"/>
                <w:szCs w:val="14"/>
              </w:rPr>
            </w:pPr>
            <w:r w:rsidRPr="00F379B5">
              <w:rPr>
                <w:sz w:val="14"/>
                <w:szCs w:val="14"/>
              </w:rPr>
              <w:t>2011</w:t>
            </w: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r>
              <w:rPr>
                <w:sz w:val="14"/>
                <w:szCs w:val="14"/>
              </w:rPr>
              <w:t>/October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WO/PBC/18/9</w:t>
            </w:r>
          </w:p>
        </w:tc>
        <w:tc>
          <w:tcPr>
            <w:tcW w:w="1531" w:type="dxa"/>
            <w:vAlign w:val="center"/>
          </w:tcPr>
          <w:p w:rsidR="00F1176B" w:rsidRPr="00F379B5" w:rsidRDefault="00F1176B" w:rsidP="00803A30">
            <w:pPr>
              <w:spacing w:line="360" w:lineRule="auto"/>
              <w:rPr>
                <w:sz w:val="14"/>
                <w:szCs w:val="14"/>
              </w:rPr>
            </w:pPr>
            <w:r w:rsidRPr="00F379B5">
              <w:rPr>
                <w:sz w:val="14"/>
                <w:szCs w:val="14"/>
              </w:rPr>
              <w:t>A/49/11</w:t>
            </w:r>
          </w:p>
        </w:tc>
        <w:tc>
          <w:tcPr>
            <w:tcW w:w="1629" w:type="dxa"/>
            <w:vAlign w:val="center"/>
          </w:tcPr>
          <w:p w:rsidR="00F1176B" w:rsidRPr="00F379B5" w:rsidRDefault="00F1176B" w:rsidP="00803A30">
            <w:pPr>
              <w:spacing w:line="360" w:lineRule="auto"/>
              <w:jc w:val="center"/>
              <w:rPr>
                <w:sz w:val="14"/>
                <w:szCs w:val="14"/>
              </w:rPr>
            </w:pPr>
            <w:r w:rsidRPr="00F379B5">
              <w:rPr>
                <w:sz w:val="14"/>
                <w:szCs w:val="14"/>
              </w:rPr>
              <w:t>x</w:t>
            </w:r>
          </w:p>
        </w:tc>
        <w:tc>
          <w:tcPr>
            <w:tcW w:w="1608" w:type="dxa"/>
            <w:vAlign w:val="center"/>
          </w:tcPr>
          <w:p w:rsidR="00F1176B" w:rsidRPr="00F379B5" w:rsidRDefault="00F1176B" w:rsidP="00803A30">
            <w:pPr>
              <w:spacing w:line="360" w:lineRule="auto"/>
              <w:jc w:val="center"/>
              <w:rPr>
                <w:sz w:val="14"/>
                <w:szCs w:val="14"/>
              </w:rPr>
            </w:pPr>
          </w:p>
        </w:tc>
      </w:tr>
      <w:tr w:rsidR="00F1176B" w:rsidRPr="00F379B5" w:rsidTr="00895AAC">
        <w:trPr>
          <w:trHeight w:val="397"/>
          <w:jc w:val="center"/>
        </w:trPr>
        <w:tc>
          <w:tcPr>
            <w:tcW w:w="924" w:type="dxa"/>
            <w:tcBorders>
              <w:top w:val="nil"/>
              <w:bottom w:val="single" w:sz="4" w:space="0" w:color="auto"/>
            </w:tcBorders>
            <w:vAlign w:val="center"/>
          </w:tcPr>
          <w:p w:rsidR="00F1176B" w:rsidRPr="00F379B5" w:rsidRDefault="00F1176B" w:rsidP="00803A30">
            <w:pPr>
              <w:spacing w:line="360" w:lineRule="auto"/>
              <w:rPr>
                <w:sz w:val="14"/>
                <w:szCs w:val="14"/>
              </w:rPr>
            </w:pP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r>
              <w:rPr>
                <w:sz w:val="14"/>
                <w:szCs w:val="14"/>
              </w:rPr>
              <w:t>/October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WO/PBC/18/10</w:t>
            </w:r>
          </w:p>
        </w:tc>
        <w:tc>
          <w:tcPr>
            <w:tcW w:w="1531" w:type="dxa"/>
            <w:vAlign w:val="center"/>
          </w:tcPr>
          <w:p w:rsidR="00F1176B" w:rsidRPr="00F379B5" w:rsidRDefault="00F1176B" w:rsidP="00803A30">
            <w:pPr>
              <w:spacing w:line="360" w:lineRule="auto"/>
              <w:rPr>
                <w:sz w:val="14"/>
                <w:szCs w:val="14"/>
              </w:rPr>
            </w:pPr>
            <w:r w:rsidRPr="00F379B5">
              <w:rPr>
                <w:sz w:val="14"/>
                <w:szCs w:val="14"/>
              </w:rPr>
              <w:t>A/49/12</w:t>
            </w:r>
          </w:p>
        </w:tc>
        <w:tc>
          <w:tcPr>
            <w:tcW w:w="1629" w:type="dxa"/>
            <w:vAlign w:val="center"/>
          </w:tcPr>
          <w:p w:rsidR="00F1176B" w:rsidRPr="00F379B5" w:rsidRDefault="00F1176B" w:rsidP="00803A30">
            <w:pPr>
              <w:spacing w:line="360" w:lineRule="auto"/>
              <w:jc w:val="center"/>
              <w:rPr>
                <w:sz w:val="14"/>
                <w:szCs w:val="14"/>
              </w:rPr>
            </w:pPr>
          </w:p>
        </w:tc>
        <w:tc>
          <w:tcPr>
            <w:tcW w:w="1608" w:type="dxa"/>
            <w:vAlign w:val="center"/>
          </w:tcPr>
          <w:p w:rsidR="00F1176B" w:rsidRPr="00F379B5" w:rsidRDefault="00F1176B" w:rsidP="00803A30">
            <w:pPr>
              <w:spacing w:line="360" w:lineRule="auto"/>
              <w:jc w:val="center"/>
              <w:rPr>
                <w:sz w:val="14"/>
                <w:szCs w:val="14"/>
              </w:rPr>
            </w:pPr>
            <w:r w:rsidRPr="00F379B5">
              <w:rPr>
                <w:sz w:val="14"/>
                <w:szCs w:val="14"/>
              </w:rPr>
              <w:t>x</w:t>
            </w:r>
          </w:p>
        </w:tc>
      </w:tr>
      <w:tr w:rsidR="00F1176B" w:rsidRPr="00F379B5" w:rsidTr="00895AAC">
        <w:trPr>
          <w:trHeight w:val="397"/>
          <w:jc w:val="center"/>
        </w:trPr>
        <w:tc>
          <w:tcPr>
            <w:tcW w:w="924" w:type="dxa"/>
            <w:tcBorders>
              <w:top w:val="single" w:sz="4" w:space="0" w:color="auto"/>
              <w:bottom w:val="nil"/>
            </w:tcBorders>
            <w:vAlign w:val="center"/>
          </w:tcPr>
          <w:p w:rsidR="00F1176B" w:rsidRPr="00F379B5" w:rsidRDefault="00F1176B" w:rsidP="00803A30">
            <w:pPr>
              <w:spacing w:line="360" w:lineRule="auto"/>
              <w:rPr>
                <w:sz w:val="14"/>
                <w:szCs w:val="14"/>
              </w:rPr>
            </w:pPr>
            <w:r w:rsidRPr="00F379B5">
              <w:rPr>
                <w:sz w:val="14"/>
                <w:szCs w:val="14"/>
              </w:rPr>
              <w:t>2012</w:t>
            </w: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r>
              <w:rPr>
                <w:sz w:val="14"/>
                <w:szCs w:val="14"/>
              </w:rPr>
              <w:t>/October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WO/PBC/19/12</w:t>
            </w:r>
          </w:p>
        </w:tc>
        <w:tc>
          <w:tcPr>
            <w:tcW w:w="1531" w:type="dxa"/>
            <w:vAlign w:val="center"/>
          </w:tcPr>
          <w:p w:rsidR="00F1176B" w:rsidRPr="00F379B5" w:rsidRDefault="00F1176B" w:rsidP="00803A30">
            <w:pPr>
              <w:spacing w:line="360" w:lineRule="auto"/>
              <w:rPr>
                <w:sz w:val="14"/>
                <w:szCs w:val="14"/>
              </w:rPr>
            </w:pPr>
            <w:r w:rsidRPr="00F379B5">
              <w:rPr>
                <w:sz w:val="14"/>
                <w:szCs w:val="14"/>
              </w:rPr>
              <w:t>A/50/11</w:t>
            </w:r>
          </w:p>
        </w:tc>
        <w:tc>
          <w:tcPr>
            <w:tcW w:w="1629" w:type="dxa"/>
            <w:vAlign w:val="center"/>
          </w:tcPr>
          <w:p w:rsidR="00F1176B" w:rsidRPr="00F379B5" w:rsidRDefault="00F1176B" w:rsidP="00803A30">
            <w:pPr>
              <w:spacing w:line="360" w:lineRule="auto"/>
              <w:jc w:val="center"/>
              <w:rPr>
                <w:sz w:val="14"/>
                <w:szCs w:val="14"/>
              </w:rPr>
            </w:pPr>
            <w:r w:rsidRPr="00F379B5">
              <w:rPr>
                <w:sz w:val="14"/>
                <w:szCs w:val="14"/>
              </w:rPr>
              <w:t>x</w:t>
            </w:r>
          </w:p>
        </w:tc>
        <w:tc>
          <w:tcPr>
            <w:tcW w:w="1608" w:type="dxa"/>
          </w:tcPr>
          <w:p w:rsidR="00F1176B" w:rsidRPr="00F379B5" w:rsidRDefault="00F1176B" w:rsidP="00803A30">
            <w:pPr>
              <w:spacing w:line="360" w:lineRule="auto"/>
              <w:jc w:val="center"/>
              <w:rPr>
                <w:sz w:val="14"/>
                <w:szCs w:val="14"/>
              </w:rPr>
            </w:pPr>
          </w:p>
        </w:tc>
      </w:tr>
      <w:tr w:rsidR="00F1176B" w:rsidRPr="00F379B5" w:rsidTr="00895AAC">
        <w:trPr>
          <w:trHeight w:val="397"/>
          <w:jc w:val="center"/>
        </w:trPr>
        <w:tc>
          <w:tcPr>
            <w:tcW w:w="924" w:type="dxa"/>
            <w:tcBorders>
              <w:top w:val="nil"/>
              <w:bottom w:val="nil"/>
            </w:tcBorders>
            <w:vAlign w:val="center"/>
          </w:tcPr>
          <w:p w:rsidR="00F1176B" w:rsidRPr="00F379B5" w:rsidRDefault="00F1176B" w:rsidP="00803A30">
            <w:pPr>
              <w:spacing w:line="360" w:lineRule="auto"/>
              <w:rPr>
                <w:sz w:val="14"/>
                <w:szCs w:val="14"/>
              </w:rPr>
            </w:pP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r>
              <w:rPr>
                <w:sz w:val="14"/>
                <w:szCs w:val="14"/>
              </w:rPr>
              <w:t>/October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WO/PBC/19/13</w:t>
            </w:r>
          </w:p>
        </w:tc>
        <w:tc>
          <w:tcPr>
            <w:tcW w:w="1531" w:type="dxa"/>
            <w:vAlign w:val="center"/>
          </w:tcPr>
          <w:p w:rsidR="00F1176B" w:rsidRPr="00F379B5" w:rsidRDefault="00F1176B" w:rsidP="00803A30">
            <w:pPr>
              <w:spacing w:line="360" w:lineRule="auto"/>
              <w:rPr>
                <w:sz w:val="14"/>
                <w:szCs w:val="14"/>
              </w:rPr>
            </w:pPr>
            <w:r w:rsidRPr="00F379B5">
              <w:rPr>
                <w:sz w:val="14"/>
                <w:szCs w:val="14"/>
              </w:rPr>
              <w:t>A/50/12</w:t>
            </w:r>
          </w:p>
        </w:tc>
        <w:tc>
          <w:tcPr>
            <w:tcW w:w="1629" w:type="dxa"/>
            <w:vAlign w:val="center"/>
          </w:tcPr>
          <w:p w:rsidR="00F1176B" w:rsidRPr="00F379B5" w:rsidRDefault="00F1176B" w:rsidP="00803A30">
            <w:pPr>
              <w:spacing w:line="360" w:lineRule="auto"/>
              <w:jc w:val="center"/>
              <w:rPr>
                <w:sz w:val="14"/>
                <w:szCs w:val="14"/>
              </w:rPr>
            </w:pPr>
          </w:p>
        </w:tc>
        <w:tc>
          <w:tcPr>
            <w:tcW w:w="1608" w:type="dxa"/>
            <w:vAlign w:val="center"/>
          </w:tcPr>
          <w:p w:rsidR="00F1176B" w:rsidRPr="00F379B5" w:rsidRDefault="00F1176B" w:rsidP="00803A30">
            <w:pPr>
              <w:spacing w:line="360" w:lineRule="auto"/>
              <w:jc w:val="center"/>
              <w:rPr>
                <w:sz w:val="14"/>
                <w:szCs w:val="14"/>
              </w:rPr>
            </w:pPr>
            <w:r w:rsidRPr="00F379B5">
              <w:rPr>
                <w:sz w:val="14"/>
                <w:szCs w:val="14"/>
              </w:rPr>
              <w:t>x</w:t>
            </w:r>
          </w:p>
        </w:tc>
      </w:tr>
      <w:tr w:rsidR="00F1176B" w:rsidRPr="00F379B5" w:rsidTr="00895AAC">
        <w:trPr>
          <w:trHeight w:val="397"/>
          <w:jc w:val="center"/>
        </w:trPr>
        <w:tc>
          <w:tcPr>
            <w:tcW w:w="924" w:type="dxa"/>
            <w:tcBorders>
              <w:top w:val="nil"/>
              <w:bottom w:val="single" w:sz="4" w:space="0" w:color="auto"/>
            </w:tcBorders>
            <w:vAlign w:val="center"/>
          </w:tcPr>
          <w:p w:rsidR="00F1176B" w:rsidRPr="00F379B5" w:rsidRDefault="00F1176B" w:rsidP="00803A30">
            <w:pPr>
              <w:spacing w:line="360" w:lineRule="auto"/>
              <w:rPr>
                <w:sz w:val="14"/>
                <w:szCs w:val="14"/>
              </w:rPr>
            </w:pPr>
          </w:p>
        </w:tc>
        <w:tc>
          <w:tcPr>
            <w:tcW w:w="1559" w:type="dxa"/>
            <w:vAlign w:val="center"/>
          </w:tcPr>
          <w:p w:rsidR="00F1176B" w:rsidRPr="00F379B5" w:rsidRDefault="00F1176B" w:rsidP="00803A30">
            <w:pPr>
              <w:spacing w:line="360" w:lineRule="auto"/>
              <w:rPr>
                <w:sz w:val="14"/>
                <w:szCs w:val="14"/>
              </w:rPr>
            </w:pPr>
            <w:r w:rsidRPr="00F379B5">
              <w:rPr>
                <w:sz w:val="14"/>
                <w:szCs w:val="14"/>
              </w:rPr>
              <w:t>September</w:t>
            </w:r>
            <w:r>
              <w:rPr>
                <w:sz w:val="14"/>
                <w:szCs w:val="14"/>
              </w:rPr>
              <w:t>/October</w:t>
            </w:r>
          </w:p>
        </w:tc>
        <w:tc>
          <w:tcPr>
            <w:tcW w:w="1718" w:type="dxa"/>
            <w:vAlign w:val="center"/>
          </w:tcPr>
          <w:p w:rsidR="00F1176B" w:rsidRPr="00F379B5" w:rsidRDefault="00F1176B" w:rsidP="00803A30">
            <w:pPr>
              <w:spacing w:line="360" w:lineRule="auto"/>
              <w:rPr>
                <w:sz w:val="14"/>
                <w:szCs w:val="14"/>
              </w:rPr>
            </w:pPr>
            <w:r w:rsidRPr="00F379B5">
              <w:rPr>
                <w:sz w:val="14"/>
                <w:szCs w:val="14"/>
              </w:rPr>
              <w:t>WO/PBC/19/24</w:t>
            </w:r>
          </w:p>
        </w:tc>
        <w:tc>
          <w:tcPr>
            <w:tcW w:w="1531" w:type="dxa"/>
            <w:vAlign w:val="center"/>
          </w:tcPr>
          <w:p w:rsidR="00F1176B" w:rsidRPr="00F379B5" w:rsidRDefault="00F1176B" w:rsidP="00803A30">
            <w:pPr>
              <w:spacing w:line="360" w:lineRule="auto"/>
              <w:rPr>
                <w:sz w:val="14"/>
                <w:szCs w:val="14"/>
              </w:rPr>
            </w:pPr>
            <w:r>
              <w:rPr>
                <w:sz w:val="14"/>
                <w:szCs w:val="14"/>
              </w:rPr>
              <w:t>A/50/17</w:t>
            </w:r>
          </w:p>
        </w:tc>
        <w:tc>
          <w:tcPr>
            <w:tcW w:w="3237" w:type="dxa"/>
            <w:gridSpan w:val="2"/>
            <w:vAlign w:val="center"/>
          </w:tcPr>
          <w:p w:rsidR="00F1176B" w:rsidRPr="00F379B5" w:rsidRDefault="00F1176B" w:rsidP="00803A30">
            <w:pPr>
              <w:spacing w:line="276" w:lineRule="auto"/>
              <w:rPr>
                <w:sz w:val="14"/>
                <w:szCs w:val="14"/>
              </w:rPr>
            </w:pPr>
            <w:r>
              <w:rPr>
                <w:sz w:val="14"/>
                <w:szCs w:val="14"/>
              </w:rPr>
              <w:t>Updated Progress Report on the New Construction Project and the New Conference Hall Project</w:t>
            </w:r>
          </w:p>
        </w:tc>
      </w:tr>
      <w:tr w:rsidR="00F1176B" w:rsidRPr="00F379B5" w:rsidTr="00895AAC">
        <w:trPr>
          <w:trHeight w:val="397"/>
          <w:jc w:val="center"/>
        </w:trPr>
        <w:tc>
          <w:tcPr>
            <w:tcW w:w="924" w:type="dxa"/>
            <w:tcBorders>
              <w:top w:val="nil"/>
              <w:bottom w:val="single" w:sz="4" w:space="0" w:color="auto"/>
            </w:tcBorders>
            <w:vAlign w:val="center"/>
          </w:tcPr>
          <w:p w:rsidR="00F1176B" w:rsidRPr="00F379B5" w:rsidRDefault="00F1176B" w:rsidP="00803A30">
            <w:pPr>
              <w:spacing w:line="360" w:lineRule="auto"/>
              <w:rPr>
                <w:sz w:val="14"/>
              </w:rPr>
            </w:pPr>
            <w:r w:rsidRPr="00F379B5">
              <w:rPr>
                <w:sz w:val="14"/>
              </w:rPr>
              <w:t>2013</w:t>
            </w:r>
          </w:p>
        </w:tc>
        <w:tc>
          <w:tcPr>
            <w:tcW w:w="1559" w:type="dxa"/>
            <w:vAlign w:val="center"/>
          </w:tcPr>
          <w:p w:rsidR="00F1176B" w:rsidRPr="00F379B5" w:rsidRDefault="00F1176B" w:rsidP="00803A30">
            <w:pPr>
              <w:spacing w:line="360" w:lineRule="auto"/>
              <w:rPr>
                <w:sz w:val="14"/>
              </w:rPr>
            </w:pPr>
            <w:r w:rsidRPr="00F379B5">
              <w:rPr>
                <w:sz w:val="14"/>
              </w:rPr>
              <w:t>September</w:t>
            </w:r>
            <w:r>
              <w:rPr>
                <w:sz w:val="14"/>
              </w:rPr>
              <w:t>/October</w:t>
            </w:r>
          </w:p>
        </w:tc>
        <w:tc>
          <w:tcPr>
            <w:tcW w:w="1718" w:type="dxa"/>
            <w:vAlign w:val="center"/>
          </w:tcPr>
          <w:p w:rsidR="00F1176B" w:rsidRPr="00F379B5" w:rsidRDefault="00F1176B" w:rsidP="00803A30">
            <w:pPr>
              <w:spacing w:line="360" w:lineRule="auto"/>
              <w:rPr>
                <w:sz w:val="14"/>
              </w:rPr>
            </w:pPr>
            <w:r w:rsidRPr="00F379B5">
              <w:rPr>
                <w:sz w:val="14"/>
              </w:rPr>
              <w:t>WO/PBC/21/11</w:t>
            </w:r>
          </w:p>
        </w:tc>
        <w:tc>
          <w:tcPr>
            <w:tcW w:w="1531" w:type="dxa"/>
            <w:vAlign w:val="center"/>
          </w:tcPr>
          <w:p w:rsidR="00F1176B" w:rsidRPr="00F379B5" w:rsidRDefault="00F1176B" w:rsidP="00803A30">
            <w:pPr>
              <w:spacing w:line="360" w:lineRule="auto"/>
              <w:rPr>
                <w:sz w:val="14"/>
              </w:rPr>
            </w:pPr>
            <w:r w:rsidRPr="00F379B5">
              <w:rPr>
                <w:sz w:val="14"/>
              </w:rPr>
              <w:t>A/51/9</w:t>
            </w:r>
          </w:p>
        </w:tc>
        <w:tc>
          <w:tcPr>
            <w:tcW w:w="1629" w:type="dxa"/>
            <w:vAlign w:val="center"/>
          </w:tcPr>
          <w:p w:rsidR="00F1176B" w:rsidRPr="00F379B5" w:rsidRDefault="00F1176B" w:rsidP="00803A30">
            <w:pPr>
              <w:spacing w:line="360" w:lineRule="auto"/>
              <w:jc w:val="center"/>
              <w:rPr>
                <w:sz w:val="14"/>
              </w:rPr>
            </w:pPr>
            <w:r w:rsidRPr="00F379B5">
              <w:rPr>
                <w:sz w:val="14"/>
              </w:rPr>
              <w:t>x</w:t>
            </w:r>
          </w:p>
        </w:tc>
        <w:tc>
          <w:tcPr>
            <w:tcW w:w="1608" w:type="dxa"/>
            <w:vAlign w:val="center"/>
          </w:tcPr>
          <w:p w:rsidR="00F1176B" w:rsidRPr="00F379B5" w:rsidRDefault="00F1176B" w:rsidP="00803A30">
            <w:pPr>
              <w:spacing w:line="360" w:lineRule="auto"/>
              <w:jc w:val="center"/>
              <w:rPr>
                <w:sz w:val="14"/>
              </w:rPr>
            </w:pPr>
            <w:r w:rsidRPr="00F379B5">
              <w:rPr>
                <w:sz w:val="14"/>
              </w:rPr>
              <w:t>x</w:t>
            </w:r>
          </w:p>
        </w:tc>
      </w:tr>
      <w:tr w:rsidR="00F1176B" w:rsidRPr="00F379B5" w:rsidTr="00895AAC">
        <w:trPr>
          <w:trHeight w:val="397"/>
          <w:jc w:val="center"/>
        </w:trPr>
        <w:tc>
          <w:tcPr>
            <w:tcW w:w="924" w:type="dxa"/>
            <w:tcBorders>
              <w:top w:val="single" w:sz="4" w:space="0" w:color="auto"/>
              <w:bottom w:val="single" w:sz="4" w:space="0" w:color="auto"/>
            </w:tcBorders>
            <w:vAlign w:val="center"/>
          </w:tcPr>
          <w:p w:rsidR="00F1176B" w:rsidRPr="00F379B5" w:rsidRDefault="00F1176B" w:rsidP="00803A30">
            <w:pPr>
              <w:spacing w:line="360" w:lineRule="auto"/>
              <w:rPr>
                <w:sz w:val="14"/>
              </w:rPr>
            </w:pPr>
            <w:r w:rsidRPr="00F379B5">
              <w:rPr>
                <w:sz w:val="14"/>
              </w:rPr>
              <w:t>2014</w:t>
            </w:r>
          </w:p>
        </w:tc>
        <w:tc>
          <w:tcPr>
            <w:tcW w:w="1559" w:type="dxa"/>
            <w:vAlign w:val="center"/>
          </w:tcPr>
          <w:p w:rsidR="00F1176B" w:rsidRPr="00F379B5" w:rsidRDefault="00F1176B" w:rsidP="00803A30">
            <w:pPr>
              <w:spacing w:line="360" w:lineRule="auto"/>
              <w:rPr>
                <w:sz w:val="14"/>
              </w:rPr>
            </w:pPr>
            <w:r w:rsidRPr="00F379B5">
              <w:rPr>
                <w:sz w:val="14"/>
              </w:rPr>
              <w:t>September</w:t>
            </w:r>
          </w:p>
        </w:tc>
        <w:tc>
          <w:tcPr>
            <w:tcW w:w="1718" w:type="dxa"/>
            <w:vAlign w:val="center"/>
          </w:tcPr>
          <w:p w:rsidR="00F1176B" w:rsidRPr="00F379B5" w:rsidRDefault="00F1176B" w:rsidP="00803A30">
            <w:pPr>
              <w:spacing w:line="360" w:lineRule="auto"/>
              <w:rPr>
                <w:sz w:val="14"/>
              </w:rPr>
            </w:pPr>
            <w:r w:rsidRPr="00F379B5">
              <w:rPr>
                <w:sz w:val="14"/>
              </w:rPr>
              <w:t>WO/PBC/22/14</w:t>
            </w:r>
          </w:p>
        </w:tc>
        <w:tc>
          <w:tcPr>
            <w:tcW w:w="1531" w:type="dxa"/>
            <w:vAlign w:val="center"/>
          </w:tcPr>
          <w:p w:rsidR="00F1176B" w:rsidRPr="00F379B5" w:rsidRDefault="00F1176B" w:rsidP="00803A30">
            <w:pPr>
              <w:spacing w:line="360" w:lineRule="auto"/>
              <w:rPr>
                <w:sz w:val="14"/>
              </w:rPr>
            </w:pPr>
            <w:r w:rsidRPr="00F379B5">
              <w:rPr>
                <w:sz w:val="14"/>
              </w:rPr>
              <w:t>A/54/11</w:t>
            </w:r>
          </w:p>
        </w:tc>
        <w:tc>
          <w:tcPr>
            <w:tcW w:w="1629" w:type="dxa"/>
            <w:vAlign w:val="center"/>
          </w:tcPr>
          <w:p w:rsidR="00F1176B" w:rsidRPr="00F379B5" w:rsidRDefault="00F1176B" w:rsidP="00803A30">
            <w:pPr>
              <w:spacing w:line="360" w:lineRule="auto"/>
              <w:jc w:val="center"/>
              <w:rPr>
                <w:sz w:val="14"/>
              </w:rPr>
            </w:pPr>
            <w:r w:rsidRPr="00F379B5">
              <w:rPr>
                <w:sz w:val="14"/>
              </w:rPr>
              <w:t>x</w:t>
            </w:r>
          </w:p>
        </w:tc>
        <w:tc>
          <w:tcPr>
            <w:tcW w:w="1608" w:type="dxa"/>
            <w:vAlign w:val="center"/>
          </w:tcPr>
          <w:p w:rsidR="00F1176B" w:rsidRPr="00F379B5" w:rsidRDefault="00F1176B" w:rsidP="00803A30">
            <w:pPr>
              <w:spacing w:line="360" w:lineRule="auto"/>
              <w:jc w:val="center"/>
              <w:rPr>
                <w:sz w:val="14"/>
              </w:rPr>
            </w:pPr>
            <w:r w:rsidRPr="00F379B5">
              <w:rPr>
                <w:sz w:val="14"/>
              </w:rPr>
              <w:t>x</w:t>
            </w:r>
          </w:p>
        </w:tc>
      </w:tr>
      <w:tr w:rsidR="00F1176B" w:rsidRPr="00F379B5" w:rsidTr="00895AAC">
        <w:trPr>
          <w:trHeight w:val="397"/>
          <w:jc w:val="center"/>
        </w:trPr>
        <w:tc>
          <w:tcPr>
            <w:tcW w:w="924" w:type="dxa"/>
            <w:tcBorders>
              <w:top w:val="single" w:sz="4" w:space="0" w:color="auto"/>
              <w:bottom w:val="single" w:sz="4" w:space="0" w:color="auto"/>
            </w:tcBorders>
            <w:vAlign w:val="center"/>
          </w:tcPr>
          <w:p w:rsidR="00F1176B" w:rsidRPr="00F379B5" w:rsidRDefault="00F1176B" w:rsidP="00803A30">
            <w:pPr>
              <w:spacing w:line="360" w:lineRule="auto"/>
              <w:rPr>
                <w:sz w:val="14"/>
              </w:rPr>
            </w:pPr>
            <w:r w:rsidRPr="00F379B5">
              <w:rPr>
                <w:sz w:val="14"/>
              </w:rPr>
              <w:t>2015</w:t>
            </w:r>
          </w:p>
        </w:tc>
        <w:tc>
          <w:tcPr>
            <w:tcW w:w="1559" w:type="dxa"/>
            <w:vAlign w:val="center"/>
          </w:tcPr>
          <w:p w:rsidR="00F1176B" w:rsidRPr="00F379B5" w:rsidRDefault="00F1176B" w:rsidP="00803A30">
            <w:pPr>
              <w:spacing w:line="360" w:lineRule="auto"/>
              <w:rPr>
                <w:sz w:val="14"/>
              </w:rPr>
            </w:pPr>
            <w:r w:rsidRPr="00F379B5">
              <w:rPr>
                <w:sz w:val="14"/>
              </w:rPr>
              <w:t>September</w:t>
            </w:r>
            <w:r>
              <w:rPr>
                <w:sz w:val="14"/>
              </w:rPr>
              <w:t>/October</w:t>
            </w:r>
          </w:p>
        </w:tc>
        <w:tc>
          <w:tcPr>
            <w:tcW w:w="1718" w:type="dxa"/>
            <w:vAlign w:val="center"/>
          </w:tcPr>
          <w:p w:rsidR="00F1176B" w:rsidRPr="00F379B5" w:rsidRDefault="00F1176B" w:rsidP="00803A30">
            <w:pPr>
              <w:spacing w:line="360" w:lineRule="auto"/>
              <w:rPr>
                <w:sz w:val="14"/>
              </w:rPr>
            </w:pPr>
            <w:r w:rsidRPr="00F379B5">
              <w:rPr>
                <w:sz w:val="14"/>
              </w:rPr>
              <w:t>WO/PBC/24/13</w:t>
            </w:r>
          </w:p>
        </w:tc>
        <w:tc>
          <w:tcPr>
            <w:tcW w:w="1531" w:type="dxa"/>
            <w:vAlign w:val="center"/>
          </w:tcPr>
          <w:p w:rsidR="00F1176B" w:rsidRPr="00F379B5" w:rsidRDefault="00F1176B" w:rsidP="00803A30">
            <w:pPr>
              <w:spacing w:line="360" w:lineRule="auto"/>
              <w:rPr>
                <w:sz w:val="14"/>
              </w:rPr>
            </w:pPr>
            <w:r w:rsidRPr="00F379B5">
              <w:rPr>
                <w:sz w:val="14"/>
              </w:rPr>
              <w:t>A/55/11</w:t>
            </w:r>
          </w:p>
        </w:tc>
        <w:tc>
          <w:tcPr>
            <w:tcW w:w="1629" w:type="dxa"/>
            <w:vAlign w:val="center"/>
          </w:tcPr>
          <w:p w:rsidR="00F1176B" w:rsidRPr="00F379B5" w:rsidRDefault="00F1176B" w:rsidP="00803A30">
            <w:pPr>
              <w:spacing w:line="360" w:lineRule="auto"/>
              <w:jc w:val="center"/>
              <w:rPr>
                <w:sz w:val="14"/>
              </w:rPr>
            </w:pPr>
            <w:r w:rsidRPr="00F379B5">
              <w:rPr>
                <w:sz w:val="14"/>
              </w:rPr>
              <w:t>x</w:t>
            </w:r>
          </w:p>
        </w:tc>
        <w:tc>
          <w:tcPr>
            <w:tcW w:w="1608" w:type="dxa"/>
            <w:vAlign w:val="center"/>
          </w:tcPr>
          <w:p w:rsidR="00F1176B" w:rsidRPr="00F379B5" w:rsidRDefault="00F1176B" w:rsidP="00803A30">
            <w:pPr>
              <w:spacing w:line="360" w:lineRule="auto"/>
              <w:jc w:val="center"/>
              <w:rPr>
                <w:sz w:val="14"/>
              </w:rPr>
            </w:pPr>
            <w:r w:rsidRPr="00F379B5">
              <w:rPr>
                <w:sz w:val="14"/>
              </w:rPr>
              <w:t>x</w:t>
            </w:r>
          </w:p>
        </w:tc>
      </w:tr>
      <w:tr w:rsidR="00F1176B" w:rsidRPr="00F379B5" w:rsidTr="00895AAC">
        <w:trPr>
          <w:trHeight w:val="397"/>
          <w:jc w:val="center"/>
        </w:trPr>
        <w:tc>
          <w:tcPr>
            <w:tcW w:w="924" w:type="dxa"/>
            <w:tcBorders>
              <w:top w:val="single" w:sz="4" w:space="0" w:color="auto"/>
              <w:bottom w:val="single" w:sz="4" w:space="0" w:color="auto"/>
            </w:tcBorders>
            <w:vAlign w:val="center"/>
          </w:tcPr>
          <w:p w:rsidR="00F1176B" w:rsidRPr="00F379B5" w:rsidRDefault="00F1176B" w:rsidP="00803A30">
            <w:pPr>
              <w:spacing w:line="360" w:lineRule="auto"/>
              <w:rPr>
                <w:sz w:val="14"/>
              </w:rPr>
            </w:pPr>
            <w:r w:rsidRPr="00F379B5">
              <w:rPr>
                <w:sz w:val="14"/>
              </w:rPr>
              <w:t>2016</w:t>
            </w:r>
          </w:p>
        </w:tc>
        <w:tc>
          <w:tcPr>
            <w:tcW w:w="1559" w:type="dxa"/>
            <w:vAlign w:val="center"/>
          </w:tcPr>
          <w:p w:rsidR="00F1176B" w:rsidRPr="00F379B5" w:rsidRDefault="00F1176B" w:rsidP="00803A30">
            <w:pPr>
              <w:spacing w:line="360" w:lineRule="auto"/>
              <w:rPr>
                <w:sz w:val="14"/>
              </w:rPr>
            </w:pPr>
            <w:r w:rsidRPr="00F379B5">
              <w:rPr>
                <w:sz w:val="14"/>
              </w:rPr>
              <w:t>August/September</w:t>
            </w:r>
          </w:p>
        </w:tc>
        <w:tc>
          <w:tcPr>
            <w:tcW w:w="1718" w:type="dxa"/>
            <w:vAlign w:val="center"/>
          </w:tcPr>
          <w:p w:rsidR="00F1176B" w:rsidRPr="00F379B5" w:rsidRDefault="00F1176B" w:rsidP="00803A30">
            <w:pPr>
              <w:spacing w:line="276" w:lineRule="auto"/>
              <w:rPr>
                <w:sz w:val="14"/>
              </w:rPr>
            </w:pPr>
            <w:r w:rsidRPr="00F379B5">
              <w:rPr>
                <w:sz w:val="14"/>
              </w:rPr>
              <w:t>WO/PBC/25/13</w:t>
            </w:r>
            <w:r>
              <w:rPr>
                <w:sz w:val="14"/>
              </w:rPr>
              <w:t xml:space="preserve"> (present document)</w:t>
            </w:r>
          </w:p>
        </w:tc>
        <w:tc>
          <w:tcPr>
            <w:tcW w:w="1531" w:type="dxa"/>
            <w:vAlign w:val="center"/>
          </w:tcPr>
          <w:p w:rsidR="00F1176B" w:rsidRPr="00F379B5" w:rsidRDefault="00FE3805" w:rsidP="00F1176B">
            <w:pPr>
              <w:spacing w:line="360" w:lineRule="auto"/>
              <w:rPr>
                <w:sz w:val="14"/>
              </w:rPr>
            </w:pPr>
            <w:r>
              <w:rPr>
                <w:sz w:val="14"/>
              </w:rPr>
              <w:t>-</w:t>
            </w:r>
          </w:p>
        </w:tc>
        <w:tc>
          <w:tcPr>
            <w:tcW w:w="3237" w:type="dxa"/>
            <w:gridSpan w:val="2"/>
            <w:vAlign w:val="center"/>
          </w:tcPr>
          <w:p w:rsidR="00F1176B" w:rsidRPr="00F379B5" w:rsidRDefault="00F1176B" w:rsidP="00803A30">
            <w:pPr>
              <w:spacing w:line="276" w:lineRule="auto"/>
              <w:rPr>
                <w:sz w:val="14"/>
              </w:rPr>
            </w:pPr>
            <w:r>
              <w:rPr>
                <w:sz w:val="14"/>
              </w:rPr>
              <w:t>Final Report on the New Construction Project and the New Conference Hall Project</w:t>
            </w:r>
          </w:p>
        </w:tc>
      </w:tr>
    </w:tbl>
    <w:p w:rsidR="00F1176B" w:rsidRDefault="00F1176B" w:rsidP="00F1176B">
      <w:pPr>
        <w:rPr>
          <w:sz w:val="14"/>
          <w:szCs w:val="14"/>
        </w:rPr>
      </w:pPr>
    </w:p>
    <w:p w:rsidR="00895AAC" w:rsidRDefault="00895AAC" w:rsidP="00F1176B">
      <w:pPr>
        <w:rPr>
          <w:sz w:val="14"/>
          <w:szCs w:val="14"/>
        </w:rPr>
      </w:pPr>
    </w:p>
    <w:p w:rsidR="00895AAC" w:rsidRDefault="00895AAC" w:rsidP="00F1176B">
      <w:pPr>
        <w:rPr>
          <w:sz w:val="14"/>
          <w:szCs w:val="14"/>
        </w:rPr>
      </w:pPr>
    </w:p>
    <w:p w:rsidR="00895AAC" w:rsidRDefault="00895AAC" w:rsidP="00F1176B">
      <w:pPr>
        <w:rPr>
          <w:sz w:val="14"/>
          <w:szCs w:val="14"/>
        </w:rPr>
      </w:pPr>
    </w:p>
    <w:p w:rsidR="00475A95" w:rsidRDefault="00475A95" w:rsidP="00475A95">
      <w:pPr>
        <w:jc w:val="right"/>
      </w:pPr>
      <w:r>
        <w:t>[Annex II follows]</w:t>
      </w:r>
    </w:p>
    <w:p w:rsidR="00F1176B" w:rsidRDefault="00F1176B" w:rsidP="00F1176B"/>
    <w:p w:rsidR="007673D6" w:rsidRDefault="007673D6" w:rsidP="0099183A">
      <w:pPr>
        <w:sectPr w:rsidR="007673D6" w:rsidSect="00CA72C7">
          <w:headerReference w:type="first" r:id="rId12"/>
          <w:endnotePr>
            <w:numFmt w:val="decimal"/>
          </w:endnotePr>
          <w:pgSz w:w="11907" w:h="16840" w:code="9"/>
          <w:pgMar w:top="567" w:right="1134" w:bottom="1418" w:left="1418" w:header="510" w:footer="1021" w:gutter="0"/>
          <w:cols w:space="720"/>
          <w:titlePg/>
          <w:docGrid w:linePitch="299"/>
        </w:sectPr>
      </w:pPr>
    </w:p>
    <w:p w:rsidR="007673D6" w:rsidRDefault="007673D6" w:rsidP="0099183A"/>
    <w:p w:rsidR="007673D6" w:rsidRDefault="007673D6" w:rsidP="0099183A"/>
    <w:p w:rsidR="00BC434B" w:rsidRDefault="00BC434B" w:rsidP="0099183A"/>
    <w:p w:rsidR="007673D6" w:rsidRDefault="007673D6" w:rsidP="0099183A"/>
    <w:tbl>
      <w:tblPr>
        <w:tblStyle w:val="TableGrid"/>
        <w:tblW w:w="9193" w:type="dxa"/>
        <w:tblLook w:val="04A0" w:firstRow="1" w:lastRow="0" w:firstColumn="1" w:lastColumn="0" w:noHBand="0" w:noVBand="1"/>
      </w:tblPr>
      <w:tblGrid>
        <w:gridCol w:w="606"/>
        <w:gridCol w:w="4038"/>
        <w:gridCol w:w="1560"/>
        <w:gridCol w:w="1417"/>
        <w:gridCol w:w="1572"/>
      </w:tblGrid>
      <w:tr w:rsidR="007673D6" w:rsidRPr="007673D6" w:rsidTr="009F6BF2">
        <w:tc>
          <w:tcPr>
            <w:tcW w:w="9193" w:type="dxa"/>
            <w:gridSpan w:val="5"/>
          </w:tcPr>
          <w:p w:rsidR="007673D6" w:rsidRPr="007673D6" w:rsidRDefault="007673D6" w:rsidP="007673D6">
            <w:pPr>
              <w:jc w:val="center"/>
              <w:rPr>
                <w:sz w:val="20"/>
              </w:rPr>
            </w:pPr>
          </w:p>
          <w:p w:rsidR="007673D6" w:rsidRPr="007673D6" w:rsidRDefault="007673D6" w:rsidP="007673D6">
            <w:pPr>
              <w:jc w:val="center"/>
              <w:rPr>
                <w:sz w:val="20"/>
              </w:rPr>
            </w:pPr>
            <w:r w:rsidRPr="007673D6">
              <w:rPr>
                <w:sz w:val="20"/>
              </w:rPr>
              <w:t>Summary of the Updated Revised Budgets v. Expenditure and Remaining Commitments</w:t>
            </w:r>
          </w:p>
          <w:p w:rsidR="007673D6" w:rsidRPr="007673D6" w:rsidRDefault="007673D6" w:rsidP="007673D6">
            <w:pPr>
              <w:jc w:val="center"/>
              <w:rPr>
                <w:sz w:val="20"/>
              </w:rPr>
            </w:pPr>
            <w:r w:rsidRPr="007673D6">
              <w:rPr>
                <w:sz w:val="20"/>
              </w:rPr>
              <w:t xml:space="preserve">for the Construction Projects (situation as at </w:t>
            </w:r>
            <w:r w:rsidR="00CE122D">
              <w:rPr>
                <w:sz w:val="20"/>
              </w:rPr>
              <w:t xml:space="preserve">the </w:t>
            </w:r>
            <w:r w:rsidR="00C75622">
              <w:rPr>
                <w:sz w:val="20"/>
              </w:rPr>
              <w:t>date of this document</w:t>
            </w:r>
            <w:r w:rsidR="00145C83">
              <w:rPr>
                <w:sz w:val="20"/>
              </w:rPr>
              <w:t>)</w:t>
            </w:r>
          </w:p>
          <w:p w:rsidR="007673D6" w:rsidRPr="007673D6" w:rsidRDefault="007673D6" w:rsidP="007673D6">
            <w:pPr>
              <w:jc w:val="center"/>
              <w:rPr>
                <w:sz w:val="20"/>
              </w:rPr>
            </w:pPr>
          </w:p>
        </w:tc>
      </w:tr>
      <w:tr w:rsidR="00F56C33" w:rsidRPr="00ED73BA" w:rsidTr="00717003">
        <w:tc>
          <w:tcPr>
            <w:tcW w:w="606" w:type="dxa"/>
          </w:tcPr>
          <w:p w:rsidR="00F56C33" w:rsidRPr="00ED73BA" w:rsidRDefault="00F56C33" w:rsidP="00905C83">
            <w:pPr>
              <w:jc w:val="center"/>
              <w:rPr>
                <w:sz w:val="20"/>
              </w:rPr>
            </w:pPr>
          </w:p>
        </w:tc>
        <w:tc>
          <w:tcPr>
            <w:tcW w:w="4038" w:type="dxa"/>
          </w:tcPr>
          <w:p w:rsidR="00F56C33" w:rsidRPr="00ED73BA" w:rsidRDefault="00F56C33" w:rsidP="00905C83">
            <w:pPr>
              <w:jc w:val="center"/>
              <w:rPr>
                <w:sz w:val="20"/>
              </w:rPr>
            </w:pPr>
          </w:p>
        </w:tc>
        <w:tc>
          <w:tcPr>
            <w:tcW w:w="1560" w:type="dxa"/>
          </w:tcPr>
          <w:p w:rsidR="0001175C" w:rsidRDefault="0001175C" w:rsidP="00905C83">
            <w:pPr>
              <w:jc w:val="center"/>
              <w:rPr>
                <w:sz w:val="20"/>
              </w:rPr>
            </w:pPr>
          </w:p>
          <w:p w:rsidR="00F56C33" w:rsidRDefault="00905C83" w:rsidP="00905C83">
            <w:pPr>
              <w:jc w:val="center"/>
              <w:rPr>
                <w:sz w:val="20"/>
              </w:rPr>
            </w:pPr>
            <w:r w:rsidRPr="00ED73BA">
              <w:rPr>
                <w:sz w:val="20"/>
              </w:rPr>
              <w:t>NCP</w:t>
            </w:r>
          </w:p>
          <w:p w:rsidR="00F25FF5" w:rsidRPr="00ED73BA" w:rsidRDefault="00F25FF5" w:rsidP="00905C83">
            <w:pPr>
              <w:jc w:val="center"/>
              <w:rPr>
                <w:sz w:val="20"/>
              </w:rPr>
            </w:pPr>
            <w:r>
              <w:rPr>
                <w:sz w:val="20"/>
              </w:rPr>
              <w:t>(</w:t>
            </w:r>
            <w:proofErr w:type="spellStart"/>
            <w:r>
              <w:rPr>
                <w:sz w:val="20"/>
              </w:rPr>
              <w:t>Sfr</w:t>
            </w:r>
            <w:proofErr w:type="spellEnd"/>
            <w:r>
              <w:rPr>
                <w:sz w:val="20"/>
              </w:rPr>
              <w:t>)</w:t>
            </w:r>
          </w:p>
        </w:tc>
        <w:tc>
          <w:tcPr>
            <w:tcW w:w="1417" w:type="dxa"/>
          </w:tcPr>
          <w:p w:rsidR="0001175C" w:rsidRDefault="0001175C" w:rsidP="00905C83">
            <w:pPr>
              <w:jc w:val="center"/>
              <w:rPr>
                <w:sz w:val="20"/>
              </w:rPr>
            </w:pPr>
          </w:p>
          <w:p w:rsidR="00F56C33" w:rsidRDefault="00905C83" w:rsidP="00905C83">
            <w:pPr>
              <w:jc w:val="center"/>
              <w:rPr>
                <w:sz w:val="20"/>
              </w:rPr>
            </w:pPr>
            <w:r w:rsidRPr="00ED73BA">
              <w:rPr>
                <w:sz w:val="20"/>
              </w:rPr>
              <w:t>NCHP</w:t>
            </w:r>
          </w:p>
          <w:p w:rsidR="00F25FF5" w:rsidRPr="00ED73BA" w:rsidRDefault="00F25FF5" w:rsidP="00905C83">
            <w:pPr>
              <w:jc w:val="center"/>
              <w:rPr>
                <w:sz w:val="20"/>
              </w:rPr>
            </w:pPr>
            <w:r>
              <w:rPr>
                <w:sz w:val="20"/>
              </w:rPr>
              <w:t>(</w:t>
            </w:r>
            <w:proofErr w:type="spellStart"/>
            <w:r>
              <w:rPr>
                <w:sz w:val="20"/>
              </w:rPr>
              <w:t>Sfr</w:t>
            </w:r>
            <w:proofErr w:type="spellEnd"/>
            <w:r>
              <w:rPr>
                <w:sz w:val="20"/>
              </w:rPr>
              <w:t>)</w:t>
            </w:r>
          </w:p>
        </w:tc>
        <w:tc>
          <w:tcPr>
            <w:tcW w:w="1572" w:type="dxa"/>
          </w:tcPr>
          <w:p w:rsidR="00905C83" w:rsidRPr="00ED73BA" w:rsidRDefault="00905C83" w:rsidP="00905C83">
            <w:pPr>
              <w:jc w:val="center"/>
              <w:rPr>
                <w:sz w:val="20"/>
              </w:rPr>
            </w:pPr>
            <w:r w:rsidRPr="00ED73BA">
              <w:rPr>
                <w:sz w:val="20"/>
              </w:rPr>
              <w:t>Total</w:t>
            </w:r>
          </w:p>
          <w:p w:rsidR="00F56C33" w:rsidRDefault="00905C83" w:rsidP="00905C83">
            <w:pPr>
              <w:jc w:val="center"/>
              <w:rPr>
                <w:sz w:val="20"/>
              </w:rPr>
            </w:pPr>
            <w:r w:rsidRPr="00ED73BA">
              <w:rPr>
                <w:sz w:val="20"/>
              </w:rPr>
              <w:t>NCP + NCHP</w:t>
            </w:r>
          </w:p>
          <w:p w:rsidR="0001175C" w:rsidRDefault="00F25FF5" w:rsidP="00F25FF5">
            <w:pPr>
              <w:jc w:val="center"/>
              <w:rPr>
                <w:sz w:val="20"/>
              </w:rPr>
            </w:pPr>
            <w:r>
              <w:rPr>
                <w:sz w:val="20"/>
              </w:rPr>
              <w:t>(</w:t>
            </w:r>
            <w:proofErr w:type="spellStart"/>
            <w:r>
              <w:rPr>
                <w:sz w:val="20"/>
              </w:rPr>
              <w:t>Sfr</w:t>
            </w:r>
            <w:proofErr w:type="spellEnd"/>
            <w:r>
              <w:rPr>
                <w:sz w:val="20"/>
              </w:rPr>
              <w:t>)</w:t>
            </w:r>
          </w:p>
          <w:p w:rsidR="00F25FF5" w:rsidRPr="00ED73BA" w:rsidRDefault="00F25FF5" w:rsidP="00F25FF5">
            <w:pPr>
              <w:jc w:val="center"/>
              <w:rPr>
                <w:sz w:val="20"/>
              </w:rPr>
            </w:pPr>
          </w:p>
        </w:tc>
      </w:tr>
      <w:tr w:rsidR="00145C83" w:rsidRPr="00ED73BA" w:rsidTr="00717003">
        <w:tc>
          <w:tcPr>
            <w:tcW w:w="606" w:type="dxa"/>
            <w:shd w:val="clear" w:color="auto" w:fill="auto"/>
          </w:tcPr>
          <w:p w:rsidR="007673D6" w:rsidRPr="00ED73BA" w:rsidRDefault="007673D6" w:rsidP="0099183A">
            <w:pPr>
              <w:rPr>
                <w:sz w:val="20"/>
              </w:rPr>
            </w:pPr>
          </w:p>
        </w:tc>
        <w:tc>
          <w:tcPr>
            <w:tcW w:w="4038" w:type="dxa"/>
            <w:shd w:val="clear" w:color="auto" w:fill="auto"/>
          </w:tcPr>
          <w:p w:rsidR="007673D6" w:rsidRPr="00ED73BA" w:rsidRDefault="007673D6" w:rsidP="0099183A">
            <w:pPr>
              <w:rPr>
                <w:sz w:val="20"/>
              </w:rPr>
            </w:pPr>
          </w:p>
        </w:tc>
        <w:tc>
          <w:tcPr>
            <w:tcW w:w="1560" w:type="dxa"/>
            <w:shd w:val="clear" w:color="auto" w:fill="auto"/>
          </w:tcPr>
          <w:p w:rsidR="007673D6" w:rsidRPr="00ED73BA" w:rsidRDefault="007673D6" w:rsidP="00905C83">
            <w:pPr>
              <w:jc w:val="right"/>
              <w:rPr>
                <w:sz w:val="20"/>
              </w:rPr>
            </w:pPr>
          </w:p>
        </w:tc>
        <w:tc>
          <w:tcPr>
            <w:tcW w:w="1417" w:type="dxa"/>
            <w:shd w:val="clear" w:color="auto" w:fill="auto"/>
          </w:tcPr>
          <w:p w:rsidR="007673D6" w:rsidRPr="00ED73BA" w:rsidRDefault="007673D6" w:rsidP="00905C83">
            <w:pPr>
              <w:jc w:val="right"/>
              <w:rPr>
                <w:sz w:val="20"/>
              </w:rPr>
            </w:pPr>
          </w:p>
        </w:tc>
        <w:tc>
          <w:tcPr>
            <w:tcW w:w="1572" w:type="dxa"/>
            <w:shd w:val="clear" w:color="auto" w:fill="auto"/>
          </w:tcPr>
          <w:p w:rsidR="007673D6" w:rsidRPr="00ED73BA" w:rsidRDefault="007673D6" w:rsidP="00905C83">
            <w:pPr>
              <w:jc w:val="right"/>
              <w:rPr>
                <w:sz w:val="20"/>
              </w:rPr>
            </w:pPr>
          </w:p>
        </w:tc>
      </w:tr>
      <w:tr w:rsidR="00F56C33" w:rsidRPr="00ED73BA" w:rsidTr="00717003">
        <w:tc>
          <w:tcPr>
            <w:tcW w:w="606" w:type="dxa"/>
          </w:tcPr>
          <w:p w:rsidR="00F56C33" w:rsidRPr="00ED73BA" w:rsidRDefault="00905C83" w:rsidP="0099183A">
            <w:pPr>
              <w:rPr>
                <w:sz w:val="20"/>
              </w:rPr>
            </w:pPr>
            <w:r w:rsidRPr="00ED73BA">
              <w:rPr>
                <w:sz w:val="20"/>
              </w:rPr>
              <w:t>1.</w:t>
            </w:r>
          </w:p>
        </w:tc>
        <w:tc>
          <w:tcPr>
            <w:tcW w:w="4038" w:type="dxa"/>
          </w:tcPr>
          <w:p w:rsidR="00F56C33" w:rsidRPr="00ED73BA" w:rsidRDefault="00905C83" w:rsidP="0099183A">
            <w:pPr>
              <w:rPr>
                <w:sz w:val="20"/>
              </w:rPr>
            </w:pPr>
            <w:r w:rsidRPr="00ED73BA">
              <w:rPr>
                <w:sz w:val="20"/>
              </w:rPr>
              <w:t>Initial approved budget</w:t>
            </w:r>
            <w:r w:rsidR="000A79FF">
              <w:rPr>
                <w:sz w:val="20"/>
              </w:rPr>
              <w:t xml:space="preserve"> from Reserves</w:t>
            </w:r>
          </w:p>
        </w:tc>
        <w:tc>
          <w:tcPr>
            <w:tcW w:w="1560" w:type="dxa"/>
          </w:tcPr>
          <w:p w:rsidR="00F56C33" w:rsidRPr="00ED73BA" w:rsidRDefault="00905C83" w:rsidP="00905C83">
            <w:pPr>
              <w:jc w:val="right"/>
              <w:rPr>
                <w:sz w:val="20"/>
              </w:rPr>
            </w:pPr>
            <w:r w:rsidRPr="00ED73BA">
              <w:rPr>
                <w:sz w:val="20"/>
              </w:rPr>
              <w:t>161,742,643</w:t>
            </w:r>
          </w:p>
        </w:tc>
        <w:tc>
          <w:tcPr>
            <w:tcW w:w="1417" w:type="dxa"/>
          </w:tcPr>
          <w:p w:rsidR="00F56C33" w:rsidRPr="00ED73BA" w:rsidRDefault="00905C83" w:rsidP="00905C83">
            <w:pPr>
              <w:jc w:val="right"/>
              <w:rPr>
                <w:sz w:val="20"/>
              </w:rPr>
            </w:pPr>
            <w:r w:rsidRPr="00ED73BA">
              <w:rPr>
                <w:sz w:val="20"/>
              </w:rPr>
              <w:t>68,200,000</w:t>
            </w:r>
          </w:p>
        </w:tc>
        <w:tc>
          <w:tcPr>
            <w:tcW w:w="1572" w:type="dxa"/>
          </w:tcPr>
          <w:p w:rsidR="00F56C33" w:rsidRPr="00ED73BA" w:rsidRDefault="00905C83" w:rsidP="00905C83">
            <w:pPr>
              <w:jc w:val="right"/>
              <w:rPr>
                <w:sz w:val="20"/>
              </w:rPr>
            </w:pPr>
            <w:r w:rsidRPr="00ED73BA">
              <w:rPr>
                <w:sz w:val="20"/>
              </w:rPr>
              <w:t>229,942,643</w:t>
            </w:r>
          </w:p>
        </w:tc>
      </w:tr>
      <w:tr w:rsidR="00F56C33" w:rsidRPr="00ED73BA" w:rsidTr="00717003">
        <w:tc>
          <w:tcPr>
            <w:tcW w:w="606" w:type="dxa"/>
          </w:tcPr>
          <w:p w:rsidR="00F56C33" w:rsidRPr="00ED73BA" w:rsidRDefault="00905C83" w:rsidP="0099183A">
            <w:pPr>
              <w:rPr>
                <w:sz w:val="20"/>
              </w:rPr>
            </w:pPr>
            <w:r w:rsidRPr="00ED73BA">
              <w:rPr>
                <w:sz w:val="20"/>
              </w:rPr>
              <w:t>2.</w:t>
            </w:r>
          </w:p>
        </w:tc>
        <w:tc>
          <w:tcPr>
            <w:tcW w:w="4038" w:type="dxa"/>
          </w:tcPr>
          <w:p w:rsidR="00F56C33" w:rsidRPr="00ED73BA" w:rsidRDefault="00905C83" w:rsidP="0099183A">
            <w:pPr>
              <w:rPr>
                <w:sz w:val="20"/>
              </w:rPr>
            </w:pPr>
            <w:r w:rsidRPr="00ED73BA">
              <w:rPr>
                <w:sz w:val="20"/>
              </w:rPr>
              <w:t>Approved transfers from NCP to NCHP*</w:t>
            </w:r>
          </w:p>
        </w:tc>
        <w:tc>
          <w:tcPr>
            <w:tcW w:w="1560" w:type="dxa"/>
          </w:tcPr>
          <w:p w:rsidR="00F56C33" w:rsidRPr="00ED73BA" w:rsidRDefault="00905C83" w:rsidP="00905C83">
            <w:pPr>
              <w:jc w:val="right"/>
              <w:rPr>
                <w:sz w:val="20"/>
              </w:rPr>
            </w:pPr>
            <w:r w:rsidRPr="00ED73BA">
              <w:rPr>
                <w:sz w:val="20"/>
              </w:rPr>
              <w:t>(4,500,000)</w:t>
            </w:r>
          </w:p>
        </w:tc>
        <w:tc>
          <w:tcPr>
            <w:tcW w:w="1417" w:type="dxa"/>
          </w:tcPr>
          <w:p w:rsidR="00F56C33" w:rsidRPr="00ED73BA" w:rsidRDefault="00905C83" w:rsidP="00905C83">
            <w:pPr>
              <w:jc w:val="right"/>
              <w:rPr>
                <w:sz w:val="20"/>
              </w:rPr>
            </w:pPr>
            <w:r w:rsidRPr="00ED73BA">
              <w:rPr>
                <w:sz w:val="20"/>
              </w:rPr>
              <w:t>4,500,000</w:t>
            </w:r>
          </w:p>
        </w:tc>
        <w:tc>
          <w:tcPr>
            <w:tcW w:w="1572" w:type="dxa"/>
          </w:tcPr>
          <w:p w:rsidR="00F56C33" w:rsidRPr="00ED73BA" w:rsidRDefault="00905C83" w:rsidP="00905C83">
            <w:pPr>
              <w:jc w:val="right"/>
              <w:rPr>
                <w:sz w:val="20"/>
              </w:rPr>
            </w:pPr>
            <w:r w:rsidRPr="00ED73BA">
              <w:rPr>
                <w:sz w:val="20"/>
              </w:rPr>
              <w:t>-</w:t>
            </w:r>
          </w:p>
        </w:tc>
      </w:tr>
      <w:tr w:rsidR="00F56C33" w:rsidRPr="00ED73BA" w:rsidTr="00717003">
        <w:tc>
          <w:tcPr>
            <w:tcW w:w="606" w:type="dxa"/>
          </w:tcPr>
          <w:p w:rsidR="00F56C33" w:rsidRPr="00ED73BA" w:rsidRDefault="00905C83" w:rsidP="0099183A">
            <w:pPr>
              <w:rPr>
                <w:sz w:val="20"/>
              </w:rPr>
            </w:pPr>
            <w:r w:rsidRPr="00ED73BA">
              <w:rPr>
                <w:sz w:val="20"/>
              </w:rPr>
              <w:t>3.</w:t>
            </w:r>
          </w:p>
        </w:tc>
        <w:tc>
          <w:tcPr>
            <w:tcW w:w="4038" w:type="dxa"/>
          </w:tcPr>
          <w:p w:rsidR="00F56C33" w:rsidRPr="00ED73BA" w:rsidRDefault="00905C83" w:rsidP="0099183A">
            <w:pPr>
              <w:rPr>
                <w:sz w:val="20"/>
              </w:rPr>
            </w:pPr>
            <w:r w:rsidRPr="00ED73BA">
              <w:rPr>
                <w:sz w:val="20"/>
              </w:rPr>
              <w:t xml:space="preserve">Additional resources approved </w:t>
            </w:r>
            <w:r w:rsidR="000A79FF">
              <w:rPr>
                <w:sz w:val="20"/>
              </w:rPr>
              <w:t xml:space="preserve">from Reserves </w:t>
            </w:r>
            <w:r w:rsidRPr="00ED73BA">
              <w:rPr>
                <w:sz w:val="20"/>
              </w:rPr>
              <w:t>in 2014</w:t>
            </w:r>
          </w:p>
        </w:tc>
        <w:tc>
          <w:tcPr>
            <w:tcW w:w="1560" w:type="dxa"/>
          </w:tcPr>
          <w:p w:rsidR="00F56C33" w:rsidRPr="00ED73BA" w:rsidRDefault="00905C83" w:rsidP="00905C83">
            <w:pPr>
              <w:jc w:val="right"/>
              <w:rPr>
                <w:sz w:val="20"/>
              </w:rPr>
            </w:pPr>
            <w:r w:rsidRPr="00ED73BA">
              <w:rPr>
                <w:sz w:val="20"/>
              </w:rPr>
              <w:t>400,000</w:t>
            </w:r>
          </w:p>
        </w:tc>
        <w:tc>
          <w:tcPr>
            <w:tcW w:w="1417" w:type="dxa"/>
          </w:tcPr>
          <w:p w:rsidR="00F56C33" w:rsidRPr="00ED73BA" w:rsidRDefault="00905C83" w:rsidP="00905C83">
            <w:pPr>
              <w:jc w:val="right"/>
              <w:rPr>
                <w:sz w:val="20"/>
              </w:rPr>
            </w:pPr>
            <w:r w:rsidRPr="00ED73BA">
              <w:rPr>
                <w:sz w:val="20"/>
              </w:rPr>
              <w:t>2,500,000</w:t>
            </w:r>
          </w:p>
        </w:tc>
        <w:tc>
          <w:tcPr>
            <w:tcW w:w="1572" w:type="dxa"/>
          </w:tcPr>
          <w:p w:rsidR="00F56C33" w:rsidRPr="00ED73BA" w:rsidRDefault="00905C83" w:rsidP="00905C83">
            <w:pPr>
              <w:jc w:val="right"/>
              <w:rPr>
                <w:sz w:val="20"/>
              </w:rPr>
            </w:pPr>
            <w:r w:rsidRPr="00ED73BA">
              <w:rPr>
                <w:sz w:val="20"/>
              </w:rPr>
              <w:t>2,900,000</w:t>
            </w:r>
          </w:p>
        </w:tc>
      </w:tr>
      <w:tr w:rsidR="00F56C33" w:rsidRPr="00ED73BA" w:rsidTr="00717003">
        <w:tc>
          <w:tcPr>
            <w:tcW w:w="606" w:type="dxa"/>
          </w:tcPr>
          <w:p w:rsidR="00F56C33" w:rsidRPr="00ED73BA" w:rsidRDefault="00905C83" w:rsidP="0099183A">
            <w:pPr>
              <w:rPr>
                <w:sz w:val="20"/>
              </w:rPr>
            </w:pPr>
            <w:r w:rsidRPr="00ED73BA">
              <w:rPr>
                <w:sz w:val="20"/>
              </w:rPr>
              <w:t>4.</w:t>
            </w:r>
          </w:p>
        </w:tc>
        <w:tc>
          <w:tcPr>
            <w:tcW w:w="4038" w:type="dxa"/>
          </w:tcPr>
          <w:p w:rsidR="00F56C33" w:rsidRPr="00ED73BA" w:rsidRDefault="00905C83" w:rsidP="007673D6">
            <w:pPr>
              <w:rPr>
                <w:sz w:val="20"/>
              </w:rPr>
            </w:pPr>
            <w:r w:rsidRPr="00ED73BA">
              <w:rPr>
                <w:sz w:val="20"/>
              </w:rPr>
              <w:t xml:space="preserve">Revised approved budget </w:t>
            </w:r>
            <w:r w:rsidR="000A79FF">
              <w:rPr>
                <w:sz w:val="20"/>
              </w:rPr>
              <w:t xml:space="preserve">from Reserves </w:t>
            </w:r>
            <w:r w:rsidR="007673D6">
              <w:rPr>
                <w:sz w:val="20"/>
              </w:rPr>
              <w:t>as at end</w:t>
            </w:r>
            <w:r w:rsidRPr="00ED73BA">
              <w:rPr>
                <w:sz w:val="20"/>
              </w:rPr>
              <w:t xml:space="preserve"> 2014</w:t>
            </w:r>
          </w:p>
        </w:tc>
        <w:tc>
          <w:tcPr>
            <w:tcW w:w="1560" w:type="dxa"/>
          </w:tcPr>
          <w:p w:rsidR="00F56C33" w:rsidRPr="00ED73BA" w:rsidRDefault="00905C83" w:rsidP="00905C83">
            <w:pPr>
              <w:jc w:val="right"/>
              <w:rPr>
                <w:sz w:val="20"/>
              </w:rPr>
            </w:pPr>
            <w:r w:rsidRPr="00ED73BA">
              <w:rPr>
                <w:sz w:val="20"/>
              </w:rPr>
              <w:t>157,642,643</w:t>
            </w:r>
          </w:p>
        </w:tc>
        <w:tc>
          <w:tcPr>
            <w:tcW w:w="1417" w:type="dxa"/>
          </w:tcPr>
          <w:p w:rsidR="00F56C33" w:rsidRPr="00ED73BA" w:rsidRDefault="00905C83" w:rsidP="00905C83">
            <w:pPr>
              <w:jc w:val="right"/>
              <w:rPr>
                <w:sz w:val="20"/>
              </w:rPr>
            </w:pPr>
            <w:r w:rsidRPr="00ED73BA">
              <w:rPr>
                <w:sz w:val="20"/>
              </w:rPr>
              <w:t>75,200,000</w:t>
            </w:r>
          </w:p>
        </w:tc>
        <w:tc>
          <w:tcPr>
            <w:tcW w:w="1572" w:type="dxa"/>
          </w:tcPr>
          <w:p w:rsidR="00F56C33" w:rsidRPr="00ED73BA" w:rsidRDefault="00905C83" w:rsidP="00905C83">
            <w:pPr>
              <w:jc w:val="right"/>
              <w:rPr>
                <w:sz w:val="20"/>
              </w:rPr>
            </w:pPr>
            <w:r w:rsidRPr="00ED73BA">
              <w:rPr>
                <w:sz w:val="20"/>
              </w:rPr>
              <w:t>232,842,643</w:t>
            </w:r>
          </w:p>
        </w:tc>
      </w:tr>
      <w:tr w:rsidR="00E90C9B" w:rsidRPr="00ED73BA" w:rsidTr="00717003">
        <w:tc>
          <w:tcPr>
            <w:tcW w:w="606" w:type="dxa"/>
          </w:tcPr>
          <w:p w:rsidR="00E90C9B" w:rsidRPr="00ED73BA" w:rsidRDefault="009601DA" w:rsidP="00E8735D">
            <w:pPr>
              <w:rPr>
                <w:sz w:val="20"/>
              </w:rPr>
            </w:pPr>
            <w:r>
              <w:rPr>
                <w:sz w:val="20"/>
              </w:rPr>
              <w:t>5.</w:t>
            </w:r>
          </w:p>
        </w:tc>
        <w:tc>
          <w:tcPr>
            <w:tcW w:w="4038" w:type="dxa"/>
          </w:tcPr>
          <w:p w:rsidR="00E90C9B" w:rsidRPr="00ED73BA" w:rsidRDefault="009601DA" w:rsidP="00E8735D">
            <w:pPr>
              <w:rPr>
                <w:sz w:val="20"/>
              </w:rPr>
            </w:pPr>
            <w:r>
              <w:rPr>
                <w:sz w:val="20"/>
              </w:rPr>
              <w:t>E</w:t>
            </w:r>
            <w:r w:rsidRPr="00ED73BA" w:rsidDel="00E90C9B">
              <w:rPr>
                <w:sz w:val="20"/>
              </w:rPr>
              <w:t xml:space="preserve">xpenditure as at </w:t>
            </w:r>
            <w:r w:rsidDel="00E90C9B">
              <w:rPr>
                <w:sz w:val="20"/>
              </w:rPr>
              <w:t xml:space="preserve">end </w:t>
            </w:r>
            <w:r w:rsidRPr="00ED73BA" w:rsidDel="00E90C9B">
              <w:rPr>
                <w:sz w:val="20"/>
              </w:rPr>
              <w:t>2015</w:t>
            </w:r>
            <w:r w:rsidDel="00E90C9B">
              <w:rPr>
                <w:sz w:val="20"/>
              </w:rPr>
              <w:t xml:space="preserve"> and </w:t>
            </w:r>
            <w:r w:rsidRPr="00ED73BA" w:rsidDel="00E90C9B">
              <w:rPr>
                <w:sz w:val="20"/>
              </w:rPr>
              <w:t>remaining commitments</w:t>
            </w:r>
            <w:r w:rsidDel="00E90C9B">
              <w:rPr>
                <w:sz w:val="20"/>
              </w:rPr>
              <w:t xml:space="preserve"> to be realized</w:t>
            </w:r>
          </w:p>
        </w:tc>
        <w:tc>
          <w:tcPr>
            <w:tcW w:w="1560" w:type="dxa"/>
          </w:tcPr>
          <w:p w:rsidR="001F0B70" w:rsidRDefault="001F0B70" w:rsidP="00E8735D">
            <w:pPr>
              <w:jc w:val="right"/>
              <w:rPr>
                <w:sz w:val="20"/>
              </w:rPr>
            </w:pPr>
          </w:p>
          <w:p w:rsidR="00E90C9B" w:rsidRPr="00ED73BA" w:rsidRDefault="009601DA" w:rsidP="00E8735D">
            <w:pPr>
              <w:jc w:val="right"/>
              <w:rPr>
                <w:sz w:val="20"/>
              </w:rPr>
            </w:pPr>
            <w:r>
              <w:rPr>
                <w:sz w:val="20"/>
              </w:rPr>
              <w:t>(157,475,335)</w:t>
            </w:r>
          </w:p>
        </w:tc>
        <w:tc>
          <w:tcPr>
            <w:tcW w:w="1417" w:type="dxa"/>
          </w:tcPr>
          <w:p w:rsidR="001F0B70" w:rsidRDefault="001F0B70" w:rsidP="00717003">
            <w:pPr>
              <w:jc w:val="right"/>
              <w:rPr>
                <w:sz w:val="20"/>
              </w:rPr>
            </w:pPr>
          </w:p>
          <w:p w:rsidR="00E90C9B" w:rsidRPr="00ED73BA" w:rsidRDefault="009601DA" w:rsidP="00717003">
            <w:pPr>
              <w:jc w:val="right"/>
              <w:rPr>
                <w:sz w:val="20"/>
              </w:rPr>
            </w:pPr>
            <w:r>
              <w:rPr>
                <w:sz w:val="20"/>
              </w:rPr>
              <w:t>(74,</w:t>
            </w:r>
            <w:r w:rsidR="00D55A89">
              <w:rPr>
                <w:sz w:val="20"/>
              </w:rPr>
              <w:t>151,335)</w:t>
            </w:r>
          </w:p>
        </w:tc>
        <w:tc>
          <w:tcPr>
            <w:tcW w:w="1572" w:type="dxa"/>
          </w:tcPr>
          <w:p w:rsidR="001F0B70" w:rsidRDefault="001F0B70" w:rsidP="00717003">
            <w:pPr>
              <w:jc w:val="right"/>
              <w:rPr>
                <w:sz w:val="20"/>
              </w:rPr>
            </w:pPr>
          </w:p>
          <w:p w:rsidR="00E90C9B" w:rsidRPr="00ED73BA" w:rsidRDefault="009601DA" w:rsidP="00717003">
            <w:pPr>
              <w:jc w:val="right"/>
              <w:rPr>
                <w:sz w:val="20"/>
              </w:rPr>
            </w:pPr>
            <w:r>
              <w:rPr>
                <w:sz w:val="20"/>
              </w:rPr>
              <w:t>(231,</w:t>
            </w:r>
            <w:r w:rsidR="00D55A89">
              <w:rPr>
                <w:sz w:val="20"/>
              </w:rPr>
              <w:t>626,670</w:t>
            </w:r>
            <w:r>
              <w:rPr>
                <w:sz w:val="20"/>
              </w:rPr>
              <w:t>)</w:t>
            </w:r>
          </w:p>
        </w:tc>
      </w:tr>
      <w:tr w:rsidR="00145C83" w:rsidRPr="00ED73BA" w:rsidTr="00145C83">
        <w:tc>
          <w:tcPr>
            <w:tcW w:w="606" w:type="dxa"/>
            <w:shd w:val="clear" w:color="auto" w:fill="auto"/>
          </w:tcPr>
          <w:p w:rsidR="00436931" w:rsidRPr="00ED73BA" w:rsidRDefault="00436931" w:rsidP="00E8735D">
            <w:pPr>
              <w:rPr>
                <w:sz w:val="20"/>
              </w:rPr>
            </w:pPr>
            <w:r>
              <w:rPr>
                <w:sz w:val="20"/>
              </w:rPr>
              <w:t>6.</w:t>
            </w:r>
          </w:p>
        </w:tc>
        <w:tc>
          <w:tcPr>
            <w:tcW w:w="4038" w:type="dxa"/>
            <w:shd w:val="clear" w:color="auto" w:fill="D9D9D9" w:themeFill="background1" w:themeFillShade="D9"/>
          </w:tcPr>
          <w:p w:rsidR="00436931" w:rsidRPr="00ED73BA" w:rsidRDefault="00436931" w:rsidP="00CE122D">
            <w:pPr>
              <w:rPr>
                <w:sz w:val="20"/>
              </w:rPr>
            </w:pPr>
            <w:r>
              <w:rPr>
                <w:sz w:val="20"/>
              </w:rPr>
              <w:t xml:space="preserve">Unspent and uncommitted amount as at </w:t>
            </w:r>
            <w:r w:rsidR="00CE122D">
              <w:rPr>
                <w:sz w:val="20"/>
              </w:rPr>
              <w:t xml:space="preserve">the </w:t>
            </w:r>
            <w:r>
              <w:rPr>
                <w:sz w:val="20"/>
              </w:rPr>
              <w:t>date of this document</w:t>
            </w:r>
            <w:r w:rsidR="00CE122D">
              <w:rPr>
                <w:sz w:val="20"/>
              </w:rPr>
              <w:t xml:space="preserve">, to be returned to </w:t>
            </w:r>
            <w:r w:rsidR="00375383">
              <w:rPr>
                <w:sz w:val="20"/>
              </w:rPr>
              <w:t>the R</w:t>
            </w:r>
            <w:r w:rsidR="00CE122D">
              <w:rPr>
                <w:sz w:val="20"/>
              </w:rPr>
              <w:t>eserves</w:t>
            </w:r>
          </w:p>
        </w:tc>
        <w:tc>
          <w:tcPr>
            <w:tcW w:w="1560" w:type="dxa"/>
            <w:shd w:val="clear" w:color="auto" w:fill="D9D9D9" w:themeFill="background1" w:themeFillShade="D9"/>
          </w:tcPr>
          <w:p w:rsidR="001F0B70" w:rsidRDefault="001F0B70" w:rsidP="00E8735D">
            <w:pPr>
              <w:jc w:val="right"/>
              <w:rPr>
                <w:sz w:val="20"/>
              </w:rPr>
            </w:pPr>
          </w:p>
          <w:p w:rsidR="00436931" w:rsidRPr="00ED73BA" w:rsidRDefault="00436931" w:rsidP="00E8735D">
            <w:pPr>
              <w:jc w:val="right"/>
              <w:rPr>
                <w:sz w:val="20"/>
              </w:rPr>
            </w:pPr>
            <w:r w:rsidRPr="00F87C2D">
              <w:rPr>
                <w:sz w:val="20"/>
              </w:rPr>
              <w:t>167,308</w:t>
            </w:r>
          </w:p>
        </w:tc>
        <w:tc>
          <w:tcPr>
            <w:tcW w:w="1417" w:type="dxa"/>
            <w:shd w:val="clear" w:color="auto" w:fill="D9D9D9" w:themeFill="background1" w:themeFillShade="D9"/>
          </w:tcPr>
          <w:p w:rsidR="001F0B70" w:rsidRDefault="001F0B70" w:rsidP="00E8735D">
            <w:pPr>
              <w:jc w:val="right"/>
              <w:rPr>
                <w:sz w:val="20"/>
              </w:rPr>
            </w:pPr>
          </w:p>
          <w:p w:rsidR="00436931" w:rsidRPr="00ED73BA" w:rsidRDefault="00436931" w:rsidP="00E8735D">
            <w:pPr>
              <w:jc w:val="right"/>
              <w:rPr>
                <w:sz w:val="20"/>
              </w:rPr>
            </w:pPr>
            <w:r w:rsidRPr="00F87C2D">
              <w:rPr>
                <w:sz w:val="20"/>
              </w:rPr>
              <w:t>1,048,665</w:t>
            </w:r>
          </w:p>
        </w:tc>
        <w:tc>
          <w:tcPr>
            <w:tcW w:w="1572" w:type="dxa"/>
            <w:shd w:val="clear" w:color="auto" w:fill="D9D9D9" w:themeFill="background1" w:themeFillShade="D9"/>
          </w:tcPr>
          <w:p w:rsidR="001F0B70" w:rsidRDefault="001F0B70" w:rsidP="00E8735D">
            <w:pPr>
              <w:jc w:val="right"/>
              <w:rPr>
                <w:sz w:val="20"/>
              </w:rPr>
            </w:pPr>
          </w:p>
          <w:p w:rsidR="00436931" w:rsidRPr="00ED73BA" w:rsidRDefault="00436931" w:rsidP="00E8735D">
            <w:pPr>
              <w:jc w:val="right"/>
              <w:rPr>
                <w:sz w:val="20"/>
              </w:rPr>
            </w:pPr>
            <w:r w:rsidRPr="00F87C2D">
              <w:rPr>
                <w:sz w:val="20"/>
              </w:rPr>
              <w:t>1,215,973</w:t>
            </w:r>
          </w:p>
        </w:tc>
      </w:tr>
      <w:tr w:rsidR="00436931" w:rsidRPr="00ED73BA" w:rsidTr="00717003">
        <w:tc>
          <w:tcPr>
            <w:tcW w:w="606" w:type="dxa"/>
          </w:tcPr>
          <w:p w:rsidR="00436931" w:rsidRPr="00ED73BA" w:rsidRDefault="00436931" w:rsidP="00E8735D">
            <w:pPr>
              <w:rPr>
                <w:sz w:val="20"/>
              </w:rPr>
            </w:pPr>
          </w:p>
        </w:tc>
        <w:tc>
          <w:tcPr>
            <w:tcW w:w="4038" w:type="dxa"/>
          </w:tcPr>
          <w:p w:rsidR="00436931" w:rsidRPr="00ED73BA" w:rsidRDefault="00436931" w:rsidP="00E8735D">
            <w:pPr>
              <w:rPr>
                <w:sz w:val="20"/>
              </w:rPr>
            </w:pPr>
          </w:p>
        </w:tc>
        <w:tc>
          <w:tcPr>
            <w:tcW w:w="1560" w:type="dxa"/>
          </w:tcPr>
          <w:p w:rsidR="00436931" w:rsidRPr="00ED73BA" w:rsidRDefault="00436931" w:rsidP="00E8735D">
            <w:pPr>
              <w:jc w:val="right"/>
              <w:rPr>
                <w:sz w:val="20"/>
              </w:rPr>
            </w:pPr>
          </w:p>
        </w:tc>
        <w:tc>
          <w:tcPr>
            <w:tcW w:w="1417" w:type="dxa"/>
          </w:tcPr>
          <w:p w:rsidR="00436931" w:rsidRPr="00ED73BA" w:rsidRDefault="00436931" w:rsidP="00E8735D">
            <w:pPr>
              <w:jc w:val="right"/>
              <w:rPr>
                <w:sz w:val="20"/>
              </w:rPr>
            </w:pPr>
          </w:p>
        </w:tc>
        <w:tc>
          <w:tcPr>
            <w:tcW w:w="1572" w:type="dxa"/>
          </w:tcPr>
          <w:p w:rsidR="00436931" w:rsidRPr="00ED73BA" w:rsidRDefault="00436931" w:rsidP="00E8735D">
            <w:pPr>
              <w:jc w:val="right"/>
              <w:rPr>
                <w:sz w:val="20"/>
              </w:rPr>
            </w:pPr>
          </w:p>
        </w:tc>
      </w:tr>
      <w:tr w:rsidR="00145C83" w:rsidRPr="00ED73BA" w:rsidDel="00E90C9B" w:rsidTr="00717003">
        <w:tc>
          <w:tcPr>
            <w:tcW w:w="606" w:type="dxa"/>
            <w:shd w:val="clear" w:color="auto" w:fill="auto"/>
          </w:tcPr>
          <w:p w:rsidR="003049A5" w:rsidRPr="00ED73BA" w:rsidDel="00E90C9B" w:rsidRDefault="009601DA" w:rsidP="00E8735D">
            <w:pPr>
              <w:rPr>
                <w:sz w:val="20"/>
              </w:rPr>
            </w:pPr>
            <w:r>
              <w:rPr>
                <w:sz w:val="20"/>
              </w:rPr>
              <w:t>7.</w:t>
            </w:r>
          </w:p>
        </w:tc>
        <w:tc>
          <w:tcPr>
            <w:tcW w:w="4038" w:type="dxa"/>
            <w:shd w:val="clear" w:color="auto" w:fill="auto"/>
          </w:tcPr>
          <w:p w:rsidR="003049A5" w:rsidRPr="00ED73BA" w:rsidDel="00E90C9B" w:rsidRDefault="003049A5" w:rsidP="00717003">
            <w:pPr>
              <w:rPr>
                <w:sz w:val="20"/>
              </w:rPr>
            </w:pPr>
            <w:r w:rsidRPr="00ED73BA" w:rsidDel="00E90C9B">
              <w:rPr>
                <w:sz w:val="20"/>
              </w:rPr>
              <w:t>Additional resources approved in 2015</w:t>
            </w:r>
            <w:r>
              <w:rPr>
                <w:sz w:val="20"/>
              </w:rPr>
              <w:t xml:space="preserve"> </w:t>
            </w:r>
            <w:r w:rsidR="00145C83">
              <w:rPr>
                <w:sz w:val="20"/>
              </w:rPr>
              <w:t>from</w:t>
            </w:r>
            <w:r>
              <w:rPr>
                <w:sz w:val="20"/>
              </w:rPr>
              <w:t xml:space="preserve"> the regular budget</w:t>
            </w:r>
            <w:r w:rsidR="00145C83">
              <w:rPr>
                <w:sz w:val="20"/>
              </w:rPr>
              <w:t>**</w:t>
            </w:r>
          </w:p>
        </w:tc>
        <w:tc>
          <w:tcPr>
            <w:tcW w:w="1560" w:type="dxa"/>
            <w:shd w:val="clear" w:color="auto" w:fill="auto"/>
          </w:tcPr>
          <w:p w:rsidR="00436931" w:rsidRDefault="00436931" w:rsidP="00E8735D">
            <w:pPr>
              <w:jc w:val="right"/>
              <w:rPr>
                <w:sz w:val="20"/>
              </w:rPr>
            </w:pPr>
          </w:p>
          <w:p w:rsidR="003049A5" w:rsidRPr="00ED73BA" w:rsidDel="00E90C9B" w:rsidRDefault="00436931" w:rsidP="00E8735D">
            <w:pPr>
              <w:jc w:val="right"/>
              <w:rPr>
                <w:sz w:val="20"/>
              </w:rPr>
            </w:pPr>
            <w:r>
              <w:rPr>
                <w:sz w:val="20"/>
              </w:rPr>
              <w:t>n/a</w:t>
            </w:r>
          </w:p>
        </w:tc>
        <w:tc>
          <w:tcPr>
            <w:tcW w:w="1417" w:type="dxa"/>
            <w:shd w:val="clear" w:color="auto" w:fill="auto"/>
          </w:tcPr>
          <w:p w:rsidR="00436931" w:rsidRDefault="00436931" w:rsidP="00E8735D">
            <w:pPr>
              <w:jc w:val="right"/>
              <w:rPr>
                <w:sz w:val="20"/>
              </w:rPr>
            </w:pPr>
          </w:p>
          <w:p w:rsidR="003049A5" w:rsidRPr="00ED73BA" w:rsidDel="00E90C9B" w:rsidRDefault="003049A5" w:rsidP="00E8735D">
            <w:pPr>
              <w:jc w:val="right"/>
              <w:rPr>
                <w:sz w:val="20"/>
              </w:rPr>
            </w:pPr>
            <w:r w:rsidRPr="00ED73BA" w:rsidDel="00E90C9B">
              <w:rPr>
                <w:sz w:val="20"/>
              </w:rPr>
              <w:t>3,500,000</w:t>
            </w:r>
          </w:p>
        </w:tc>
        <w:tc>
          <w:tcPr>
            <w:tcW w:w="1572" w:type="dxa"/>
            <w:shd w:val="clear" w:color="auto" w:fill="auto"/>
          </w:tcPr>
          <w:p w:rsidR="00436931" w:rsidRDefault="00436931" w:rsidP="00E8735D">
            <w:pPr>
              <w:jc w:val="right"/>
              <w:rPr>
                <w:sz w:val="20"/>
              </w:rPr>
            </w:pPr>
          </w:p>
          <w:p w:rsidR="003049A5" w:rsidRPr="00ED73BA" w:rsidDel="00E90C9B" w:rsidRDefault="003049A5" w:rsidP="00E8735D">
            <w:pPr>
              <w:jc w:val="right"/>
              <w:rPr>
                <w:sz w:val="20"/>
              </w:rPr>
            </w:pPr>
            <w:r w:rsidDel="00E90C9B">
              <w:rPr>
                <w:sz w:val="20"/>
              </w:rPr>
              <w:t>3,500,000</w:t>
            </w:r>
          </w:p>
        </w:tc>
      </w:tr>
      <w:tr w:rsidR="00E90C9B" w:rsidRPr="00ED73BA" w:rsidTr="00717003">
        <w:tc>
          <w:tcPr>
            <w:tcW w:w="606" w:type="dxa"/>
          </w:tcPr>
          <w:p w:rsidR="00E90C9B" w:rsidRPr="00ED73BA" w:rsidRDefault="009601DA" w:rsidP="00E8735D">
            <w:pPr>
              <w:rPr>
                <w:sz w:val="20"/>
              </w:rPr>
            </w:pPr>
            <w:r>
              <w:rPr>
                <w:sz w:val="20"/>
              </w:rPr>
              <w:t>8</w:t>
            </w:r>
            <w:r w:rsidR="003049A5">
              <w:rPr>
                <w:sz w:val="20"/>
              </w:rPr>
              <w:t>.</w:t>
            </w:r>
          </w:p>
        </w:tc>
        <w:tc>
          <w:tcPr>
            <w:tcW w:w="4038" w:type="dxa"/>
          </w:tcPr>
          <w:p w:rsidR="00E90C9B" w:rsidRPr="00ED73BA" w:rsidRDefault="003049A5" w:rsidP="00E8735D">
            <w:pPr>
              <w:rPr>
                <w:sz w:val="20"/>
              </w:rPr>
            </w:pPr>
            <w:r w:rsidRPr="00ED73BA">
              <w:rPr>
                <w:sz w:val="20"/>
              </w:rPr>
              <w:t xml:space="preserve">Expenditure as at </w:t>
            </w:r>
            <w:r>
              <w:rPr>
                <w:sz w:val="20"/>
              </w:rPr>
              <w:t xml:space="preserve">end </w:t>
            </w:r>
            <w:r w:rsidRPr="00ED73BA">
              <w:rPr>
                <w:sz w:val="20"/>
              </w:rPr>
              <w:t>2015</w:t>
            </w:r>
          </w:p>
        </w:tc>
        <w:tc>
          <w:tcPr>
            <w:tcW w:w="1560" w:type="dxa"/>
          </w:tcPr>
          <w:p w:rsidR="00E90C9B" w:rsidRPr="00ED73BA" w:rsidRDefault="00436931" w:rsidP="00436931">
            <w:pPr>
              <w:jc w:val="right"/>
              <w:rPr>
                <w:sz w:val="20"/>
              </w:rPr>
            </w:pPr>
            <w:r>
              <w:rPr>
                <w:sz w:val="20"/>
              </w:rPr>
              <w:t>n/a</w:t>
            </w:r>
          </w:p>
        </w:tc>
        <w:tc>
          <w:tcPr>
            <w:tcW w:w="1417" w:type="dxa"/>
          </w:tcPr>
          <w:p w:rsidR="00E90C9B" w:rsidRPr="00ED73BA" w:rsidRDefault="003049A5" w:rsidP="00E8735D">
            <w:pPr>
              <w:jc w:val="right"/>
              <w:rPr>
                <w:sz w:val="20"/>
              </w:rPr>
            </w:pPr>
            <w:r>
              <w:rPr>
                <w:sz w:val="20"/>
              </w:rPr>
              <w:t>(3,486,353)</w:t>
            </w:r>
          </w:p>
        </w:tc>
        <w:tc>
          <w:tcPr>
            <w:tcW w:w="1572" w:type="dxa"/>
          </w:tcPr>
          <w:p w:rsidR="00E90C9B" w:rsidRPr="00ED73BA" w:rsidRDefault="003049A5" w:rsidP="00E8735D">
            <w:pPr>
              <w:jc w:val="right"/>
              <w:rPr>
                <w:sz w:val="20"/>
              </w:rPr>
            </w:pPr>
            <w:r>
              <w:rPr>
                <w:sz w:val="20"/>
              </w:rPr>
              <w:t>(3,486,353)</w:t>
            </w:r>
          </w:p>
        </w:tc>
      </w:tr>
      <w:tr w:rsidR="00C8480D" w:rsidRPr="00ED73BA" w:rsidTr="00717003">
        <w:tc>
          <w:tcPr>
            <w:tcW w:w="606" w:type="dxa"/>
          </w:tcPr>
          <w:p w:rsidR="00C8480D" w:rsidRPr="00ED73BA" w:rsidRDefault="009601DA" w:rsidP="009F1FD8">
            <w:pPr>
              <w:rPr>
                <w:sz w:val="20"/>
              </w:rPr>
            </w:pPr>
            <w:r>
              <w:rPr>
                <w:sz w:val="20"/>
              </w:rPr>
              <w:t>9</w:t>
            </w:r>
            <w:r w:rsidR="00436931">
              <w:rPr>
                <w:sz w:val="20"/>
              </w:rPr>
              <w:t>.</w:t>
            </w:r>
          </w:p>
        </w:tc>
        <w:tc>
          <w:tcPr>
            <w:tcW w:w="4038" w:type="dxa"/>
            <w:shd w:val="clear" w:color="auto" w:fill="D9D9D9" w:themeFill="background1" w:themeFillShade="D9"/>
          </w:tcPr>
          <w:p w:rsidR="00C8480D" w:rsidRPr="00ED73BA" w:rsidRDefault="00436931" w:rsidP="009F1FD8">
            <w:pPr>
              <w:rPr>
                <w:sz w:val="20"/>
              </w:rPr>
            </w:pPr>
            <w:r>
              <w:rPr>
                <w:sz w:val="20"/>
              </w:rPr>
              <w:t>Unspent amount returned to the Reserves at end 2015</w:t>
            </w:r>
          </w:p>
        </w:tc>
        <w:tc>
          <w:tcPr>
            <w:tcW w:w="1560" w:type="dxa"/>
            <w:shd w:val="clear" w:color="auto" w:fill="D9D9D9" w:themeFill="background1" w:themeFillShade="D9"/>
          </w:tcPr>
          <w:p w:rsidR="00436931" w:rsidRDefault="00436931" w:rsidP="009F1FD8">
            <w:pPr>
              <w:jc w:val="right"/>
              <w:rPr>
                <w:sz w:val="20"/>
              </w:rPr>
            </w:pPr>
          </w:p>
          <w:p w:rsidR="00C8480D" w:rsidRPr="00ED73BA" w:rsidRDefault="00436931" w:rsidP="009F1FD8">
            <w:pPr>
              <w:jc w:val="right"/>
              <w:rPr>
                <w:sz w:val="20"/>
              </w:rPr>
            </w:pPr>
            <w:r>
              <w:rPr>
                <w:sz w:val="20"/>
              </w:rPr>
              <w:t>n/a</w:t>
            </w:r>
          </w:p>
        </w:tc>
        <w:tc>
          <w:tcPr>
            <w:tcW w:w="1417" w:type="dxa"/>
            <w:shd w:val="clear" w:color="auto" w:fill="D9D9D9" w:themeFill="background1" w:themeFillShade="D9"/>
          </w:tcPr>
          <w:p w:rsidR="00436931" w:rsidRDefault="00436931" w:rsidP="009F1FD8">
            <w:pPr>
              <w:jc w:val="right"/>
              <w:rPr>
                <w:sz w:val="20"/>
              </w:rPr>
            </w:pPr>
          </w:p>
          <w:p w:rsidR="00C8480D" w:rsidRPr="00ED73BA" w:rsidRDefault="00436931" w:rsidP="009F1FD8">
            <w:pPr>
              <w:jc w:val="right"/>
              <w:rPr>
                <w:sz w:val="20"/>
              </w:rPr>
            </w:pPr>
            <w:r>
              <w:rPr>
                <w:sz w:val="20"/>
              </w:rPr>
              <w:t>13,647</w:t>
            </w:r>
          </w:p>
        </w:tc>
        <w:tc>
          <w:tcPr>
            <w:tcW w:w="1572" w:type="dxa"/>
            <w:shd w:val="clear" w:color="auto" w:fill="D9D9D9" w:themeFill="background1" w:themeFillShade="D9"/>
          </w:tcPr>
          <w:p w:rsidR="00436931" w:rsidRDefault="00436931" w:rsidP="009F1FD8">
            <w:pPr>
              <w:jc w:val="right"/>
              <w:rPr>
                <w:sz w:val="20"/>
              </w:rPr>
            </w:pPr>
          </w:p>
          <w:p w:rsidR="00C8480D" w:rsidRPr="00ED73BA" w:rsidRDefault="00436931" w:rsidP="009F1FD8">
            <w:pPr>
              <w:jc w:val="right"/>
              <w:rPr>
                <w:sz w:val="20"/>
              </w:rPr>
            </w:pPr>
            <w:r>
              <w:rPr>
                <w:sz w:val="20"/>
              </w:rPr>
              <w:t>13,647</w:t>
            </w:r>
          </w:p>
        </w:tc>
      </w:tr>
      <w:tr w:rsidR="00145C83" w:rsidRPr="00ED73BA" w:rsidTr="00717003">
        <w:tc>
          <w:tcPr>
            <w:tcW w:w="606" w:type="dxa"/>
          </w:tcPr>
          <w:p w:rsidR="00D55A89" w:rsidRPr="00ED73BA" w:rsidRDefault="00D55A89" w:rsidP="00C35E40">
            <w:pPr>
              <w:rPr>
                <w:sz w:val="20"/>
              </w:rPr>
            </w:pPr>
          </w:p>
        </w:tc>
        <w:tc>
          <w:tcPr>
            <w:tcW w:w="4038" w:type="dxa"/>
          </w:tcPr>
          <w:p w:rsidR="00D55A89" w:rsidRPr="00ED73BA" w:rsidRDefault="00D55A89" w:rsidP="00C35E40">
            <w:pPr>
              <w:rPr>
                <w:sz w:val="20"/>
              </w:rPr>
            </w:pPr>
          </w:p>
        </w:tc>
        <w:tc>
          <w:tcPr>
            <w:tcW w:w="1560" w:type="dxa"/>
          </w:tcPr>
          <w:p w:rsidR="00D55A89" w:rsidRPr="00ED73BA" w:rsidRDefault="00D55A89" w:rsidP="00C35E40">
            <w:pPr>
              <w:jc w:val="right"/>
              <w:rPr>
                <w:sz w:val="20"/>
              </w:rPr>
            </w:pPr>
          </w:p>
        </w:tc>
        <w:tc>
          <w:tcPr>
            <w:tcW w:w="1417" w:type="dxa"/>
          </w:tcPr>
          <w:p w:rsidR="00D55A89" w:rsidRPr="00ED73BA" w:rsidRDefault="00D55A89" w:rsidP="00C35E40">
            <w:pPr>
              <w:jc w:val="right"/>
              <w:rPr>
                <w:sz w:val="20"/>
              </w:rPr>
            </w:pPr>
          </w:p>
        </w:tc>
        <w:tc>
          <w:tcPr>
            <w:tcW w:w="1572" w:type="dxa"/>
          </w:tcPr>
          <w:p w:rsidR="00D55A89" w:rsidRPr="00ED73BA" w:rsidRDefault="00D55A89" w:rsidP="00C35E40">
            <w:pPr>
              <w:jc w:val="right"/>
              <w:rPr>
                <w:sz w:val="20"/>
              </w:rPr>
            </w:pPr>
          </w:p>
        </w:tc>
      </w:tr>
      <w:tr w:rsidR="00145C83" w:rsidRPr="00ED73BA" w:rsidTr="00717003">
        <w:tc>
          <w:tcPr>
            <w:tcW w:w="606" w:type="dxa"/>
          </w:tcPr>
          <w:p w:rsidR="00CE122D" w:rsidRPr="00ED73BA" w:rsidRDefault="00CE122D" w:rsidP="00C35E40">
            <w:pPr>
              <w:rPr>
                <w:sz w:val="20"/>
              </w:rPr>
            </w:pPr>
          </w:p>
        </w:tc>
        <w:tc>
          <w:tcPr>
            <w:tcW w:w="4038" w:type="dxa"/>
          </w:tcPr>
          <w:p w:rsidR="00CE122D" w:rsidRPr="00ED73BA" w:rsidRDefault="00D55A89" w:rsidP="00C35E40">
            <w:pPr>
              <w:rPr>
                <w:sz w:val="20"/>
              </w:rPr>
            </w:pPr>
            <w:r>
              <w:rPr>
                <w:sz w:val="20"/>
              </w:rPr>
              <w:t>TOTALS</w:t>
            </w:r>
          </w:p>
        </w:tc>
        <w:tc>
          <w:tcPr>
            <w:tcW w:w="1560" w:type="dxa"/>
          </w:tcPr>
          <w:p w:rsidR="00CE122D" w:rsidRPr="00ED73BA" w:rsidRDefault="00CE122D" w:rsidP="00C35E40">
            <w:pPr>
              <w:jc w:val="right"/>
              <w:rPr>
                <w:sz w:val="20"/>
              </w:rPr>
            </w:pPr>
          </w:p>
        </w:tc>
        <w:tc>
          <w:tcPr>
            <w:tcW w:w="1417" w:type="dxa"/>
          </w:tcPr>
          <w:p w:rsidR="00CE122D" w:rsidRPr="00ED73BA" w:rsidRDefault="00CE122D" w:rsidP="00C35E40">
            <w:pPr>
              <w:jc w:val="right"/>
              <w:rPr>
                <w:sz w:val="20"/>
              </w:rPr>
            </w:pPr>
          </w:p>
        </w:tc>
        <w:tc>
          <w:tcPr>
            <w:tcW w:w="1572" w:type="dxa"/>
          </w:tcPr>
          <w:p w:rsidR="00CE122D" w:rsidRPr="00ED73BA" w:rsidRDefault="00CE122D" w:rsidP="00C35E40">
            <w:pPr>
              <w:jc w:val="right"/>
              <w:rPr>
                <w:sz w:val="20"/>
              </w:rPr>
            </w:pPr>
          </w:p>
        </w:tc>
      </w:tr>
      <w:tr w:rsidR="00145C83" w:rsidRPr="00ED73BA" w:rsidTr="00717003">
        <w:tc>
          <w:tcPr>
            <w:tcW w:w="606" w:type="dxa"/>
            <w:shd w:val="clear" w:color="auto" w:fill="auto"/>
          </w:tcPr>
          <w:p w:rsidR="00F56C33" w:rsidRPr="00ED73BA" w:rsidRDefault="009601DA" w:rsidP="0099183A">
            <w:pPr>
              <w:rPr>
                <w:sz w:val="20"/>
              </w:rPr>
            </w:pPr>
            <w:r>
              <w:rPr>
                <w:sz w:val="20"/>
              </w:rPr>
              <w:t>10</w:t>
            </w:r>
            <w:r w:rsidR="00905C83" w:rsidRPr="00ED73BA">
              <w:rPr>
                <w:sz w:val="20"/>
              </w:rPr>
              <w:t>.</w:t>
            </w:r>
          </w:p>
        </w:tc>
        <w:tc>
          <w:tcPr>
            <w:tcW w:w="4038" w:type="dxa"/>
            <w:shd w:val="clear" w:color="auto" w:fill="auto"/>
          </w:tcPr>
          <w:p w:rsidR="001B0BFA" w:rsidRDefault="00CE122D" w:rsidP="007673D6">
            <w:pPr>
              <w:rPr>
                <w:sz w:val="20"/>
              </w:rPr>
            </w:pPr>
            <w:r>
              <w:rPr>
                <w:sz w:val="20"/>
              </w:rPr>
              <w:t xml:space="preserve">Total </w:t>
            </w:r>
            <w:r w:rsidR="00905C83" w:rsidRPr="00ED73BA">
              <w:rPr>
                <w:sz w:val="20"/>
              </w:rPr>
              <w:t xml:space="preserve">approved </w:t>
            </w:r>
            <w:r w:rsidR="00327368">
              <w:rPr>
                <w:sz w:val="20"/>
              </w:rPr>
              <w:t>project</w:t>
            </w:r>
            <w:r w:rsidR="000A79FF">
              <w:rPr>
                <w:sz w:val="20"/>
              </w:rPr>
              <w:t xml:space="preserve"> </w:t>
            </w:r>
            <w:r w:rsidR="00905C83" w:rsidRPr="00ED73BA">
              <w:rPr>
                <w:sz w:val="20"/>
              </w:rPr>
              <w:t>budget</w:t>
            </w:r>
            <w:r w:rsidR="009601DA">
              <w:rPr>
                <w:sz w:val="20"/>
              </w:rPr>
              <w:t>s</w:t>
            </w:r>
            <w:r w:rsidR="00905C83" w:rsidRPr="00ED73BA">
              <w:rPr>
                <w:sz w:val="20"/>
              </w:rPr>
              <w:t xml:space="preserve"> </w:t>
            </w:r>
            <w:r w:rsidR="007673D6">
              <w:rPr>
                <w:sz w:val="20"/>
              </w:rPr>
              <w:t>as at end</w:t>
            </w:r>
            <w:r w:rsidR="00905C83" w:rsidRPr="00ED73BA">
              <w:rPr>
                <w:sz w:val="20"/>
              </w:rPr>
              <w:t xml:space="preserve"> 2015</w:t>
            </w:r>
            <w:r w:rsidR="00D55A89">
              <w:rPr>
                <w:sz w:val="20"/>
              </w:rPr>
              <w:t xml:space="preserve"> </w:t>
            </w:r>
          </w:p>
          <w:p w:rsidR="00F56C33" w:rsidRPr="00ED73BA" w:rsidRDefault="00D55A89" w:rsidP="007673D6">
            <w:pPr>
              <w:rPr>
                <w:sz w:val="20"/>
              </w:rPr>
            </w:pPr>
            <w:r>
              <w:rPr>
                <w:sz w:val="20"/>
              </w:rPr>
              <w:t>(</w:t>
            </w:r>
            <w:r w:rsidR="00145C83">
              <w:rPr>
                <w:sz w:val="20"/>
              </w:rPr>
              <w:t xml:space="preserve">= </w:t>
            </w:r>
            <w:r>
              <w:rPr>
                <w:sz w:val="20"/>
              </w:rPr>
              <w:t>lines 4 + 7)</w:t>
            </w:r>
          </w:p>
        </w:tc>
        <w:tc>
          <w:tcPr>
            <w:tcW w:w="1560" w:type="dxa"/>
            <w:shd w:val="clear" w:color="auto" w:fill="auto"/>
          </w:tcPr>
          <w:p w:rsidR="001F0B70" w:rsidRDefault="001F0B70" w:rsidP="00905C83">
            <w:pPr>
              <w:jc w:val="right"/>
              <w:rPr>
                <w:sz w:val="20"/>
              </w:rPr>
            </w:pPr>
          </w:p>
          <w:p w:rsidR="00F56C33" w:rsidRPr="00ED73BA" w:rsidRDefault="00905C83" w:rsidP="00905C83">
            <w:pPr>
              <w:jc w:val="right"/>
              <w:rPr>
                <w:sz w:val="20"/>
              </w:rPr>
            </w:pPr>
            <w:r w:rsidRPr="00ED73BA">
              <w:rPr>
                <w:sz w:val="20"/>
              </w:rPr>
              <w:t>157,642,643</w:t>
            </w:r>
          </w:p>
        </w:tc>
        <w:tc>
          <w:tcPr>
            <w:tcW w:w="1417" w:type="dxa"/>
            <w:shd w:val="clear" w:color="auto" w:fill="auto"/>
          </w:tcPr>
          <w:p w:rsidR="001F0B70" w:rsidRDefault="001F0B70" w:rsidP="00905C83">
            <w:pPr>
              <w:jc w:val="right"/>
              <w:rPr>
                <w:sz w:val="20"/>
              </w:rPr>
            </w:pPr>
          </w:p>
          <w:p w:rsidR="00F56C33" w:rsidRPr="00ED73BA" w:rsidRDefault="00905C83" w:rsidP="00905C83">
            <w:pPr>
              <w:jc w:val="right"/>
              <w:rPr>
                <w:sz w:val="20"/>
              </w:rPr>
            </w:pPr>
            <w:r w:rsidRPr="00ED73BA">
              <w:rPr>
                <w:sz w:val="20"/>
              </w:rPr>
              <w:t>78,700,000</w:t>
            </w:r>
          </w:p>
        </w:tc>
        <w:tc>
          <w:tcPr>
            <w:tcW w:w="1572" w:type="dxa"/>
            <w:shd w:val="clear" w:color="auto" w:fill="auto"/>
          </w:tcPr>
          <w:p w:rsidR="001F0B70" w:rsidRDefault="001F0B70" w:rsidP="00905C83">
            <w:pPr>
              <w:jc w:val="right"/>
              <w:rPr>
                <w:sz w:val="20"/>
              </w:rPr>
            </w:pPr>
          </w:p>
          <w:p w:rsidR="00F56C33" w:rsidRPr="00ED73BA" w:rsidRDefault="00905C83" w:rsidP="00905C83">
            <w:pPr>
              <w:jc w:val="right"/>
              <w:rPr>
                <w:sz w:val="20"/>
              </w:rPr>
            </w:pPr>
            <w:r w:rsidRPr="00ED73BA">
              <w:rPr>
                <w:sz w:val="20"/>
              </w:rPr>
              <w:t>236,342,643</w:t>
            </w:r>
          </w:p>
        </w:tc>
      </w:tr>
      <w:tr w:rsidR="00145C83" w:rsidRPr="00ED73BA" w:rsidDel="00E90C9B" w:rsidTr="00717003">
        <w:tc>
          <w:tcPr>
            <w:tcW w:w="606" w:type="dxa"/>
            <w:shd w:val="clear" w:color="auto" w:fill="auto"/>
          </w:tcPr>
          <w:p w:rsidR="00F56C33" w:rsidRPr="00ED73BA" w:rsidDel="00E90C9B" w:rsidRDefault="009601DA" w:rsidP="0099183A">
            <w:pPr>
              <w:rPr>
                <w:sz w:val="20"/>
              </w:rPr>
            </w:pPr>
            <w:r>
              <w:rPr>
                <w:sz w:val="20"/>
              </w:rPr>
              <w:t>11</w:t>
            </w:r>
            <w:r w:rsidR="00905C83" w:rsidRPr="00ED73BA" w:rsidDel="00E90C9B">
              <w:rPr>
                <w:sz w:val="20"/>
              </w:rPr>
              <w:t>.</w:t>
            </w:r>
          </w:p>
        </w:tc>
        <w:tc>
          <w:tcPr>
            <w:tcW w:w="4038" w:type="dxa"/>
            <w:shd w:val="clear" w:color="auto" w:fill="auto"/>
          </w:tcPr>
          <w:p w:rsidR="00D55A89" w:rsidRDefault="009601DA" w:rsidP="0099183A">
            <w:pPr>
              <w:rPr>
                <w:sz w:val="20"/>
              </w:rPr>
            </w:pPr>
            <w:r>
              <w:rPr>
                <w:sz w:val="20"/>
              </w:rPr>
              <w:t>Total e</w:t>
            </w:r>
            <w:r w:rsidR="00905C83" w:rsidRPr="00ED73BA" w:rsidDel="00E90C9B">
              <w:rPr>
                <w:sz w:val="20"/>
              </w:rPr>
              <w:t xml:space="preserve">xpenditure as at </w:t>
            </w:r>
            <w:r w:rsidR="005C6E4D" w:rsidDel="00E90C9B">
              <w:rPr>
                <w:sz w:val="20"/>
              </w:rPr>
              <w:t xml:space="preserve">end </w:t>
            </w:r>
            <w:r w:rsidR="00905C83" w:rsidRPr="00ED73BA" w:rsidDel="00E90C9B">
              <w:rPr>
                <w:sz w:val="20"/>
              </w:rPr>
              <w:t>2015</w:t>
            </w:r>
            <w:r w:rsidR="00F87C2D" w:rsidDel="00E90C9B">
              <w:rPr>
                <w:sz w:val="20"/>
              </w:rPr>
              <w:t xml:space="preserve"> and </w:t>
            </w:r>
            <w:r w:rsidR="00F87C2D" w:rsidRPr="00ED73BA" w:rsidDel="00E90C9B">
              <w:rPr>
                <w:sz w:val="20"/>
              </w:rPr>
              <w:t>remaining commitments</w:t>
            </w:r>
            <w:r w:rsidR="00F87C2D" w:rsidDel="00E90C9B">
              <w:rPr>
                <w:sz w:val="20"/>
              </w:rPr>
              <w:t xml:space="preserve"> to be realized</w:t>
            </w:r>
            <w:r w:rsidR="00D55A89">
              <w:rPr>
                <w:sz w:val="20"/>
              </w:rPr>
              <w:t xml:space="preserve"> </w:t>
            </w:r>
          </w:p>
          <w:p w:rsidR="00F56C33" w:rsidRPr="00ED73BA" w:rsidDel="00E90C9B" w:rsidRDefault="00D55A89" w:rsidP="0099183A">
            <w:pPr>
              <w:rPr>
                <w:sz w:val="20"/>
              </w:rPr>
            </w:pPr>
            <w:r>
              <w:rPr>
                <w:sz w:val="20"/>
              </w:rPr>
              <w:t>(</w:t>
            </w:r>
            <w:r w:rsidR="00145C83">
              <w:rPr>
                <w:sz w:val="20"/>
              </w:rPr>
              <w:t xml:space="preserve">= </w:t>
            </w:r>
            <w:r>
              <w:rPr>
                <w:sz w:val="20"/>
              </w:rPr>
              <w:t>lines 5 + 8)</w:t>
            </w:r>
          </w:p>
        </w:tc>
        <w:tc>
          <w:tcPr>
            <w:tcW w:w="1560" w:type="dxa"/>
            <w:shd w:val="clear" w:color="auto" w:fill="auto"/>
          </w:tcPr>
          <w:p w:rsidR="00F56C33" w:rsidRPr="00F87C2D" w:rsidDel="00E90C9B" w:rsidRDefault="00F56C33" w:rsidP="00905C83">
            <w:pPr>
              <w:jc w:val="right"/>
              <w:rPr>
                <w:sz w:val="20"/>
              </w:rPr>
            </w:pPr>
          </w:p>
          <w:p w:rsidR="007673D6" w:rsidRPr="00F87C2D" w:rsidDel="00E90C9B" w:rsidRDefault="00C8480D" w:rsidP="00905C83">
            <w:pPr>
              <w:jc w:val="right"/>
              <w:rPr>
                <w:sz w:val="20"/>
              </w:rPr>
            </w:pPr>
            <w:r w:rsidRPr="00F87C2D" w:rsidDel="00E90C9B">
              <w:rPr>
                <w:sz w:val="20"/>
              </w:rPr>
              <w:t>(</w:t>
            </w:r>
            <w:r w:rsidR="006147BD" w:rsidRPr="00F87C2D" w:rsidDel="00E90C9B">
              <w:rPr>
                <w:sz w:val="20"/>
              </w:rPr>
              <w:t>157,475,335</w:t>
            </w:r>
            <w:r w:rsidRPr="00F87C2D" w:rsidDel="00E90C9B">
              <w:rPr>
                <w:sz w:val="20"/>
              </w:rPr>
              <w:t>)</w:t>
            </w:r>
          </w:p>
        </w:tc>
        <w:tc>
          <w:tcPr>
            <w:tcW w:w="1417" w:type="dxa"/>
            <w:shd w:val="clear" w:color="auto" w:fill="auto"/>
          </w:tcPr>
          <w:p w:rsidR="00F56C33" w:rsidRPr="00F87C2D" w:rsidDel="00E90C9B" w:rsidRDefault="00F56C33" w:rsidP="00905C83">
            <w:pPr>
              <w:jc w:val="right"/>
              <w:rPr>
                <w:sz w:val="20"/>
              </w:rPr>
            </w:pPr>
          </w:p>
          <w:p w:rsidR="007673D6" w:rsidRPr="00F87C2D" w:rsidDel="00E90C9B" w:rsidRDefault="00C8480D" w:rsidP="00905C83">
            <w:pPr>
              <w:jc w:val="right"/>
              <w:rPr>
                <w:sz w:val="20"/>
              </w:rPr>
            </w:pPr>
            <w:r w:rsidRPr="00F87C2D" w:rsidDel="00E90C9B">
              <w:rPr>
                <w:sz w:val="20"/>
              </w:rPr>
              <w:t>(</w:t>
            </w:r>
            <w:r w:rsidR="000A79FF">
              <w:rPr>
                <w:sz w:val="20"/>
              </w:rPr>
              <w:t>77,637,688</w:t>
            </w:r>
            <w:r w:rsidRPr="00F87C2D" w:rsidDel="00E90C9B">
              <w:rPr>
                <w:sz w:val="20"/>
              </w:rPr>
              <w:t>)</w:t>
            </w:r>
          </w:p>
        </w:tc>
        <w:tc>
          <w:tcPr>
            <w:tcW w:w="1572" w:type="dxa"/>
            <w:shd w:val="clear" w:color="auto" w:fill="auto"/>
          </w:tcPr>
          <w:p w:rsidR="00F56C33" w:rsidRPr="00F87C2D" w:rsidDel="00E90C9B" w:rsidRDefault="00F56C33" w:rsidP="00905C83">
            <w:pPr>
              <w:jc w:val="right"/>
              <w:rPr>
                <w:sz w:val="20"/>
              </w:rPr>
            </w:pPr>
          </w:p>
          <w:p w:rsidR="007673D6" w:rsidRPr="00F87C2D" w:rsidDel="00E90C9B" w:rsidRDefault="00C8480D" w:rsidP="00C42D25">
            <w:pPr>
              <w:jc w:val="right"/>
              <w:rPr>
                <w:sz w:val="20"/>
              </w:rPr>
            </w:pPr>
            <w:r w:rsidRPr="00F87C2D" w:rsidDel="00E90C9B">
              <w:rPr>
                <w:sz w:val="20"/>
              </w:rPr>
              <w:t>(</w:t>
            </w:r>
            <w:r w:rsidR="000A79FF">
              <w:rPr>
                <w:sz w:val="20"/>
              </w:rPr>
              <w:t>235,113,023</w:t>
            </w:r>
            <w:r w:rsidRPr="00F87C2D" w:rsidDel="00E90C9B">
              <w:rPr>
                <w:sz w:val="20"/>
              </w:rPr>
              <w:t>)</w:t>
            </w:r>
          </w:p>
        </w:tc>
      </w:tr>
      <w:tr w:rsidR="00D55A89" w:rsidRPr="00ED73BA" w:rsidTr="00717003">
        <w:tc>
          <w:tcPr>
            <w:tcW w:w="606" w:type="dxa"/>
            <w:shd w:val="clear" w:color="auto" w:fill="auto"/>
          </w:tcPr>
          <w:p w:rsidR="00145C83" w:rsidRDefault="00145C83" w:rsidP="0099183A">
            <w:pPr>
              <w:rPr>
                <w:sz w:val="20"/>
              </w:rPr>
            </w:pPr>
          </w:p>
          <w:p w:rsidR="00F56C33" w:rsidRPr="00ED73BA" w:rsidRDefault="00D55A89" w:rsidP="0099183A">
            <w:pPr>
              <w:rPr>
                <w:sz w:val="20"/>
              </w:rPr>
            </w:pPr>
            <w:r>
              <w:rPr>
                <w:sz w:val="20"/>
              </w:rPr>
              <w:t>12</w:t>
            </w:r>
            <w:r w:rsidR="00905C83" w:rsidRPr="00ED73BA">
              <w:rPr>
                <w:sz w:val="20"/>
              </w:rPr>
              <w:t>.</w:t>
            </w:r>
          </w:p>
        </w:tc>
        <w:tc>
          <w:tcPr>
            <w:tcW w:w="4038" w:type="dxa"/>
            <w:shd w:val="clear" w:color="auto" w:fill="D9D9D9" w:themeFill="background1" w:themeFillShade="D9"/>
          </w:tcPr>
          <w:p w:rsidR="00145C83" w:rsidRDefault="00145C83" w:rsidP="0099183A">
            <w:pPr>
              <w:rPr>
                <w:sz w:val="20"/>
              </w:rPr>
            </w:pPr>
          </w:p>
          <w:p w:rsidR="00F56C33" w:rsidRDefault="00D55A89" w:rsidP="0099183A">
            <w:pPr>
              <w:rPr>
                <w:sz w:val="20"/>
              </w:rPr>
            </w:pPr>
            <w:r>
              <w:rPr>
                <w:sz w:val="20"/>
              </w:rPr>
              <w:t>Total u</w:t>
            </w:r>
            <w:r w:rsidR="00436931">
              <w:rPr>
                <w:sz w:val="20"/>
              </w:rPr>
              <w:t xml:space="preserve">nspent and uncommitted amount </w:t>
            </w:r>
            <w:r w:rsidR="00F87C2D">
              <w:rPr>
                <w:sz w:val="20"/>
              </w:rPr>
              <w:t xml:space="preserve">as at date of this </w:t>
            </w:r>
            <w:r w:rsidR="00145C83">
              <w:rPr>
                <w:sz w:val="20"/>
              </w:rPr>
              <w:t>document</w:t>
            </w:r>
            <w:r w:rsidR="009601DA">
              <w:rPr>
                <w:sz w:val="20"/>
              </w:rPr>
              <w:t xml:space="preserve"> (= </w:t>
            </w:r>
            <w:r>
              <w:rPr>
                <w:sz w:val="20"/>
              </w:rPr>
              <w:t>lines 6 + 9)</w:t>
            </w:r>
          </w:p>
          <w:p w:rsidR="007673D6" w:rsidRPr="00ED73BA" w:rsidRDefault="007673D6" w:rsidP="0099183A">
            <w:pPr>
              <w:rPr>
                <w:sz w:val="20"/>
              </w:rPr>
            </w:pPr>
          </w:p>
        </w:tc>
        <w:tc>
          <w:tcPr>
            <w:tcW w:w="1560" w:type="dxa"/>
            <w:shd w:val="clear" w:color="auto" w:fill="D9D9D9" w:themeFill="background1" w:themeFillShade="D9"/>
          </w:tcPr>
          <w:p w:rsidR="00A808AB" w:rsidRDefault="00A808AB" w:rsidP="00905C83">
            <w:pPr>
              <w:jc w:val="right"/>
              <w:rPr>
                <w:sz w:val="20"/>
              </w:rPr>
            </w:pPr>
          </w:p>
          <w:p w:rsidR="001F0B70" w:rsidRDefault="001F0B70" w:rsidP="00905C83">
            <w:pPr>
              <w:jc w:val="right"/>
              <w:rPr>
                <w:sz w:val="20"/>
              </w:rPr>
            </w:pPr>
          </w:p>
          <w:p w:rsidR="00F56C33" w:rsidRPr="00F87C2D" w:rsidRDefault="001D73E7" w:rsidP="00905C83">
            <w:pPr>
              <w:jc w:val="right"/>
              <w:rPr>
                <w:sz w:val="20"/>
              </w:rPr>
            </w:pPr>
            <w:r w:rsidRPr="00F87C2D">
              <w:rPr>
                <w:sz w:val="20"/>
              </w:rPr>
              <w:t>167,308</w:t>
            </w:r>
          </w:p>
        </w:tc>
        <w:tc>
          <w:tcPr>
            <w:tcW w:w="1417" w:type="dxa"/>
            <w:shd w:val="clear" w:color="auto" w:fill="D9D9D9" w:themeFill="background1" w:themeFillShade="D9"/>
          </w:tcPr>
          <w:p w:rsidR="00A808AB" w:rsidRDefault="00A808AB" w:rsidP="001D73E7">
            <w:pPr>
              <w:jc w:val="right"/>
              <w:rPr>
                <w:sz w:val="20"/>
              </w:rPr>
            </w:pPr>
          </w:p>
          <w:p w:rsidR="001F0B70" w:rsidRDefault="001F0B70" w:rsidP="001D73E7">
            <w:pPr>
              <w:jc w:val="right"/>
              <w:rPr>
                <w:sz w:val="20"/>
              </w:rPr>
            </w:pPr>
          </w:p>
          <w:p w:rsidR="00712AEC" w:rsidRDefault="00712AEC" w:rsidP="001D73E7">
            <w:pPr>
              <w:jc w:val="right"/>
              <w:rPr>
                <w:sz w:val="20"/>
              </w:rPr>
            </w:pPr>
            <w:r>
              <w:rPr>
                <w:sz w:val="20"/>
              </w:rPr>
              <w:t>1,062,312</w:t>
            </w:r>
          </w:p>
          <w:p w:rsidR="00F56C33" w:rsidRPr="00F87C2D" w:rsidRDefault="00F56C33" w:rsidP="001D73E7">
            <w:pPr>
              <w:jc w:val="right"/>
              <w:rPr>
                <w:sz w:val="20"/>
              </w:rPr>
            </w:pPr>
          </w:p>
        </w:tc>
        <w:tc>
          <w:tcPr>
            <w:tcW w:w="1572" w:type="dxa"/>
            <w:shd w:val="clear" w:color="auto" w:fill="D9D9D9" w:themeFill="background1" w:themeFillShade="D9"/>
          </w:tcPr>
          <w:p w:rsidR="00A808AB" w:rsidRDefault="00A808AB" w:rsidP="001D73E7">
            <w:pPr>
              <w:jc w:val="right"/>
              <w:rPr>
                <w:sz w:val="20"/>
              </w:rPr>
            </w:pPr>
          </w:p>
          <w:p w:rsidR="001F0B70" w:rsidRDefault="001F0B70" w:rsidP="001D73E7">
            <w:pPr>
              <w:jc w:val="right"/>
              <w:rPr>
                <w:sz w:val="20"/>
              </w:rPr>
            </w:pPr>
          </w:p>
          <w:p w:rsidR="00D55A89" w:rsidRDefault="00D55A89" w:rsidP="001D73E7">
            <w:pPr>
              <w:jc w:val="right"/>
              <w:rPr>
                <w:sz w:val="20"/>
              </w:rPr>
            </w:pPr>
            <w:r>
              <w:rPr>
                <w:sz w:val="20"/>
              </w:rPr>
              <w:t>1,229,620</w:t>
            </w:r>
          </w:p>
          <w:p w:rsidR="00F56C33" w:rsidRPr="00F87C2D" w:rsidRDefault="00F56C33" w:rsidP="001D73E7">
            <w:pPr>
              <w:jc w:val="right"/>
              <w:rPr>
                <w:sz w:val="20"/>
              </w:rPr>
            </w:pPr>
          </w:p>
        </w:tc>
      </w:tr>
    </w:tbl>
    <w:p w:rsidR="00F25FF5" w:rsidRDefault="00F25FF5" w:rsidP="00F25FF5"/>
    <w:p w:rsidR="00F25FF5" w:rsidRDefault="00F25FF5" w:rsidP="00F25FF5">
      <w:pPr>
        <w:rPr>
          <w:sz w:val="18"/>
          <w:szCs w:val="18"/>
        </w:rPr>
      </w:pPr>
      <w:r w:rsidRPr="00F25FF5">
        <w:rPr>
          <w:sz w:val="18"/>
          <w:szCs w:val="18"/>
        </w:rPr>
        <w:t>*</w:t>
      </w:r>
      <w:proofErr w:type="gramStart"/>
      <w:r w:rsidRPr="00F25FF5">
        <w:rPr>
          <w:sz w:val="18"/>
          <w:szCs w:val="18"/>
        </w:rPr>
        <w:t>  As</w:t>
      </w:r>
      <w:proofErr w:type="gramEnd"/>
      <w:r w:rsidRPr="00F25FF5">
        <w:rPr>
          <w:sz w:val="18"/>
          <w:szCs w:val="18"/>
        </w:rPr>
        <w:t xml:space="preserve"> per document WO/PBC/18/9, the amount of </w:t>
      </w:r>
      <w:proofErr w:type="spellStart"/>
      <w:r w:rsidRPr="00F25FF5">
        <w:rPr>
          <w:sz w:val="18"/>
          <w:szCs w:val="18"/>
        </w:rPr>
        <w:t>Sfr</w:t>
      </w:r>
      <w:proofErr w:type="spellEnd"/>
      <w:r w:rsidR="00AD082F">
        <w:rPr>
          <w:sz w:val="18"/>
          <w:szCs w:val="18"/>
        </w:rPr>
        <w:t> </w:t>
      </w:r>
      <w:r w:rsidRPr="00F25FF5">
        <w:rPr>
          <w:sz w:val="18"/>
          <w:szCs w:val="18"/>
        </w:rPr>
        <w:t xml:space="preserve">4,500,000 was comprised of an amount of </w:t>
      </w:r>
      <w:proofErr w:type="spellStart"/>
      <w:r w:rsidRPr="00F25FF5">
        <w:rPr>
          <w:sz w:val="18"/>
          <w:szCs w:val="18"/>
        </w:rPr>
        <w:t>Sfr</w:t>
      </w:r>
      <w:proofErr w:type="spellEnd"/>
      <w:r w:rsidR="00AD082F">
        <w:rPr>
          <w:sz w:val="18"/>
          <w:szCs w:val="18"/>
        </w:rPr>
        <w:t> </w:t>
      </w:r>
      <w:r w:rsidRPr="00F25FF5">
        <w:rPr>
          <w:sz w:val="18"/>
          <w:szCs w:val="18"/>
        </w:rPr>
        <w:t xml:space="preserve">2,225,000 constituting the penalty to be paid by the General Contractor to WIPO for the delay and an amount of </w:t>
      </w:r>
      <w:proofErr w:type="spellStart"/>
      <w:r w:rsidRPr="00F25FF5">
        <w:rPr>
          <w:sz w:val="18"/>
          <w:szCs w:val="18"/>
        </w:rPr>
        <w:t>Sfr</w:t>
      </w:r>
      <w:proofErr w:type="spellEnd"/>
      <w:r w:rsidR="00AD082F">
        <w:rPr>
          <w:sz w:val="18"/>
          <w:szCs w:val="18"/>
        </w:rPr>
        <w:t> </w:t>
      </w:r>
      <w:r w:rsidRPr="00F25FF5">
        <w:rPr>
          <w:sz w:val="18"/>
          <w:szCs w:val="18"/>
        </w:rPr>
        <w:t xml:space="preserve">2,275,000 constituting uncommitted and unspent balance of the </w:t>
      </w:r>
      <w:r w:rsidR="00AD082F">
        <w:rPr>
          <w:sz w:val="18"/>
          <w:szCs w:val="18"/>
        </w:rPr>
        <w:t>NCP</w:t>
      </w:r>
      <w:r w:rsidRPr="00F25FF5">
        <w:rPr>
          <w:sz w:val="18"/>
          <w:szCs w:val="18"/>
        </w:rPr>
        <w:t xml:space="preserve"> (savings). It was assumed that the amount of the penalty received by WIPO could be used towards offsetting the construction expenditure. However, in accordance with IPSAS standards the building was considered completed at the time of reaching the agreement on the penalty and the amount of the penalty (</w:t>
      </w:r>
      <w:proofErr w:type="spellStart"/>
      <w:r w:rsidRPr="00F25FF5">
        <w:rPr>
          <w:sz w:val="18"/>
          <w:szCs w:val="18"/>
        </w:rPr>
        <w:t>Sfr</w:t>
      </w:r>
      <w:proofErr w:type="spellEnd"/>
      <w:r w:rsidR="00AD082F">
        <w:rPr>
          <w:sz w:val="18"/>
          <w:szCs w:val="18"/>
        </w:rPr>
        <w:t> </w:t>
      </w:r>
      <w:r w:rsidRPr="00F25FF5">
        <w:rPr>
          <w:sz w:val="18"/>
          <w:szCs w:val="18"/>
        </w:rPr>
        <w:t>2,225,000) for delay received by WIPO from the General Contractor was recognized as WIPO's revenue (Miscellaneous Income).</w:t>
      </w:r>
    </w:p>
    <w:p w:rsidR="00F25FF5" w:rsidRDefault="00F25FF5" w:rsidP="00F25FF5">
      <w:pPr>
        <w:rPr>
          <w:sz w:val="18"/>
          <w:szCs w:val="18"/>
        </w:rPr>
      </w:pPr>
    </w:p>
    <w:p w:rsidR="00F25FF5" w:rsidRPr="00F25FF5" w:rsidRDefault="00F25FF5" w:rsidP="00F25FF5">
      <w:pPr>
        <w:rPr>
          <w:sz w:val="18"/>
          <w:szCs w:val="18"/>
        </w:rPr>
      </w:pPr>
      <w:r w:rsidRPr="00B93B16">
        <w:rPr>
          <w:sz w:val="18"/>
          <w:szCs w:val="18"/>
        </w:rPr>
        <w:t>**</w:t>
      </w:r>
      <w:proofErr w:type="gramStart"/>
      <w:r w:rsidRPr="00B93B16">
        <w:rPr>
          <w:sz w:val="18"/>
          <w:szCs w:val="18"/>
        </w:rPr>
        <w:t>  </w:t>
      </w:r>
      <w:r w:rsidR="00B93B16" w:rsidRPr="00B93B16">
        <w:rPr>
          <w:sz w:val="18"/>
          <w:szCs w:val="18"/>
        </w:rPr>
        <w:t>See</w:t>
      </w:r>
      <w:proofErr w:type="gramEnd"/>
      <w:r w:rsidR="00B93B16" w:rsidRPr="00B93B16">
        <w:rPr>
          <w:sz w:val="18"/>
          <w:szCs w:val="18"/>
        </w:rPr>
        <w:t xml:space="preserve"> documents A/55/11 and A/55/13</w:t>
      </w:r>
      <w:r w:rsidR="00145C83" w:rsidRPr="00B93B16">
        <w:rPr>
          <w:sz w:val="18"/>
          <w:szCs w:val="18"/>
        </w:rPr>
        <w:t xml:space="preserve"> (report, in particular paragraph </w:t>
      </w:r>
      <w:r w:rsidR="00B93B16" w:rsidRPr="00B93B16">
        <w:rPr>
          <w:sz w:val="18"/>
          <w:szCs w:val="18"/>
        </w:rPr>
        <w:t>205(c)</w:t>
      </w:r>
      <w:r w:rsidR="00145C83" w:rsidRPr="00B93B16">
        <w:rPr>
          <w:sz w:val="18"/>
          <w:szCs w:val="18"/>
        </w:rPr>
        <w:t>)</w:t>
      </w:r>
      <w:r w:rsidRPr="00B93B16">
        <w:rPr>
          <w:sz w:val="18"/>
          <w:szCs w:val="18"/>
        </w:rPr>
        <w:t>.</w:t>
      </w:r>
    </w:p>
    <w:p w:rsidR="00BC434B" w:rsidRDefault="00BC434B" w:rsidP="0099183A"/>
    <w:p w:rsidR="001B0BFA" w:rsidRDefault="001B0BFA" w:rsidP="0099183A"/>
    <w:p w:rsidR="001B0BFA" w:rsidRDefault="001B0BFA" w:rsidP="0099183A"/>
    <w:p w:rsidR="00A86062" w:rsidRDefault="00A86062" w:rsidP="0099183A"/>
    <w:p w:rsidR="00BC434B" w:rsidRDefault="007673D6" w:rsidP="007673D6">
      <w:pPr>
        <w:jc w:val="right"/>
      </w:pPr>
      <w:r>
        <w:t>[End of Annex and of document]</w:t>
      </w:r>
    </w:p>
    <w:p w:rsidR="007673D6" w:rsidRDefault="007673D6" w:rsidP="0099183A"/>
    <w:sectPr w:rsidR="007673D6" w:rsidSect="00CA72C7">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5D0" w:rsidRDefault="00D335D0">
      <w:r>
        <w:separator/>
      </w:r>
    </w:p>
  </w:endnote>
  <w:endnote w:type="continuationSeparator" w:id="0">
    <w:p w:rsidR="00D335D0" w:rsidRDefault="00D335D0" w:rsidP="003B38C1">
      <w:r>
        <w:separator/>
      </w:r>
    </w:p>
    <w:p w:rsidR="00D335D0" w:rsidRPr="003B38C1" w:rsidRDefault="00D335D0" w:rsidP="003B38C1">
      <w:pPr>
        <w:spacing w:after="60"/>
        <w:rPr>
          <w:sz w:val="17"/>
        </w:rPr>
      </w:pPr>
      <w:r>
        <w:rPr>
          <w:sz w:val="17"/>
        </w:rPr>
        <w:t>[Endnote continued from previous page]</w:t>
      </w:r>
    </w:p>
  </w:endnote>
  <w:endnote w:type="continuationNotice" w:id="1">
    <w:p w:rsidR="00D335D0" w:rsidRPr="003B38C1" w:rsidRDefault="00D335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5D0" w:rsidRDefault="00D335D0">
      <w:r>
        <w:separator/>
      </w:r>
    </w:p>
  </w:footnote>
  <w:footnote w:type="continuationSeparator" w:id="0">
    <w:p w:rsidR="00D335D0" w:rsidRDefault="00D335D0" w:rsidP="008B60B2">
      <w:r>
        <w:separator/>
      </w:r>
    </w:p>
    <w:p w:rsidR="00D335D0" w:rsidRPr="00ED77FB" w:rsidRDefault="00D335D0" w:rsidP="008B60B2">
      <w:pPr>
        <w:spacing w:after="60"/>
        <w:rPr>
          <w:sz w:val="17"/>
          <w:szCs w:val="17"/>
        </w:rPr>
      </w:pPr>
      <w:r w:rsidRPr="00ED77FB">
        <w:rPr>
          <w:sz w:val="17"/>
          <w:szCs w:val="17"/>
        </w:rPr>
        <w:t>[Footnote continued from previous page]</w:t>
      </w:r>
    </w:p>
  </w:footnote>
  <w:footnote w:type="continuationNotice" w:id="1">
    <w:p w:rsidR="00D335D0" w:rsidRPr="00ED77FB" w:rsidRDefault="00D335D0" w:rsidP="008B60B2">
      <w:pPr>
        <w:spacing w:before="60"/>
        <w:jc w:val="right"/>
        <w:rPr>
          <w:sz w:val="17"/>
          <w:szCs w:val="17"/>
        </w:rPr>
      </w:pPr>
      <w:r w:rsidRPr="00ED77FB">
        <w:rPr>
          <w:sz w:val="17"/>
          <w:szCs w:val="17"/>
        </w:rPr>
        <w:t>[Footnote continued on next page]</w:t>
      </w:r>
    </w:p>
  </w:footnote>
  <w:footnote w:id="2">
    <w:p w:rsidR="00C41439" w:rsidRPr="000D26AB" w:rsidRDefault="00C41439">
      <w:pPr>
        <w:pStyle w:val="FootnoteText"/>
      </w:pPr>
      <w:r>
        <w:rPr>
          <w:rStyle w:val="FootnoteReference"/>
        </w:rPr>
        <w:footnoteRef/>
      </w:r>
      <w:r>
        <w:tab/>
      </w:r>
      <w:r w:rsidR="007D5C23">
        <w:t xml:space="preserve">See </w:t>
      </w:r>
      <w:r>
        <w:t>document WO/PBC/22/3</w:t>
      </w:r>
      <w:r w:rsidR="007D5C23">
        <w:t>.</w:t>
      </w:r>
    </w:p>
  </w:footnote>
  <w:footnote w:id="3">
    <w:p w:rsidR="009D4214" w:rsidRPr="000D26AB" w:rsidRDefault="009D4214">
      <w:pPr>
        <w:pStyle w:val="FootnoteText"/>
      </w:pPr>
      <w:r>
        <w:rPr>
          <w:rStyle w:val="FootnoteReference"/>
        </w:rPr>
        <w:footnoteRef/>
      </w:r>
      <w:r>
        <w:tab/>
        <w:t>See document WO/PBC/14/10, dated August 10, 2009 (in particular paragraph 42).</w:t>
      </w:r>
    </w:p>
  </w:footnote>
  <w:footnote w:id="4">
    <w:p w:rsidR="005A216C" w:rsidRPr="000D26AB" w:rsidRDefault="005A216C">
      <w:pPr>
        <w:pStyle w:val="FootnoteText"/>
      </w:pPr>
      <w:r>
        <w:rPr>
          <w:rStyle w:val="FootnoteReference"/>
        </w:rPr>
        <w:footnoteRef/>
      </w:r>
      <w:r>
        <w:tab/>
        <w:t>The administrative units concerned covered the following areas of responsibility:  building maintenance, safety and security, information and communication te</w:t>
      </w:r>
      <w:r w:rsidR="00EC3B8B">
        <w:t xml:space="preserve">chnology, </w:t>
      </w:r>
      <w:r>
        <w:t>a</w:t>
      </w:r>
      <w:r w:rsidR="00EC3B8B">
        <w:t xml:space="preserve">udio-visual and interpretation systems, </w:t>
      </w:r>
      <w:r w:rsidR="00EE4E31">
        <w:t xml:space="preserve">conference support services, </w:t>
      </w:r>
      <w:r w:rsidR="00EC3B8B">
        <w:t>information assurance, legal and contractual, procurement, budget and finance.</w:t>
      </w:r>
    </w:p>
  </w:footnote>
  <w:footnote w:id="5">
    <w:p w:rsidR="009D4214" w:rsidRPr="000D26AB" w:rsidRDefault="009D4214">
      <w:pPr>
        <w:pStyle w:val="FootnoteText"/>
      </w:pPr>
      <w:r>
        <w:rPr>
          <w:rStyle w:val="FootnoteReference"/>
        </w:rPr>
        <w:footnoteRef/>
      </w:r>
      <w:r>
        <w:tab/>
        <w:t xml:space="preserve">For the background on the termination of the contract with the former general contractor, </w:t>
      </w:r>
      <w:r w:rsidR="005E3B40">
        <w:t>see document</w:t>
      </w:r>
      <w:r>
        <w:t xml:space="preserve"> WO/PBC/19/24 and the Annex of document WO/PBC/21/11.</w:t>
      </w:r>
    </w:p>
  </w:footnote>
  <w:footnote w:id="6">
    <w:p w:rsidR="00440A9C" w:rsidRPr="000D26AB" w:rsidRDefault="00440A9C">
      <w:pPr>
        <w:pStyle w:val="FootnoteText"/>
      </w:pPr>
      <w:r>
        <w:rPr>
          <w:rStyle w:val="FootnoteReference"/>
        </w:rPr>
        <w:footnoteRef/>
      </w:r>
      <w:r>
        <w:tab/>
        <w:t>Refer to document (WO/PBC/19/24, paragraph 40).</w:t>
      </w:r>
    </w:p>
  </w:footnote>
  <w:footnote w:id="7">
    <w:p w:rsidR="00E322BD" w:rsidRPr="000D26AB" w:rsidRDefault="00E322BD">
      <w:pPr>
        <w:pStyle w:val="FootnoteText"/>
      </w:pPr>
      <w:r>
        <w:rPr>
          <w:rStyle w:val="FootnoteReference"/>
        </w:rPr>
        <w:footnoteRef/>
      </w:r>
      <w:r>
        <w:tab/>
        <w:t xml:space="preserve">The Inter-Agency Network of Facilities Managers (INFM) is composed of </w:t>
      </w:r>
      <w:r w:rsidR="00347EA9">
        <w:t>over 40</w:t>
      </w:r>
      <w:r>
        <w:t xml:space="preserve"> agencies</w:t>
      </w:r>
      <w:r w:rsidR="00347EA9">
        <w:t xml:space="preserve">, programs and other entities, including the following (list </w:t>
      </w:r>
      <w:r w:rsidR="00DE57DB">
        <w:t>of the members who participated in the May 2016 meeting</w:t>
      </w:r>
      <w:r w:rsidR="00347EA9">
        <w:t>)</w:t>
      </w:r>
      <w:r>
        <w:t xml:space="preserve">:  </w:t>
      </w:r>
      <w:r w:rsidR="004C2514">
        <w:t xml:space="preserve">DFS/MONUSCO, </w:t>
      </w:r>
      <w:r w:rsidR="00E76CB8">
        <w:t xml:space="preserve">ECLAC, ESCAP, ESCWA, </w:t>
      </w:r>
      <w:r w:rsidR="00347EA9">
        <w:t xml:space="preserve">FAO, IAEA, </w:t>
      </w:r>
      <w:r w:rsidR="00E76CB8">
        <w:t xml:space="preserve">ICC, IFAD, </w:t>
      </w:r>
      <w:r w:rsidR="00347EA9">
        <w:t xml:space="preserve">IFRC, ILO, IMF, </w:t>
      </w:r>
      <w:r w:rsidR="00E76CB8">
        <w:t xml:space="preserve">ITLOS, </w:t>
      </w:r>
      <w:r w:rsidR="00347EA9">
        <w:t xml:space="preserve">ITU, </w:t>
      </w:r>
      <w:r w:rsidR="00E76CB8">
        <w:t xml:space="preserve">MICT, PAHO, UNAIDS, UNDP, </w:t>
      </w:r>
      <w:r>
        <w:t xml:space="preserve">UNEP, </w:t>
      </w:r>
      <w:r w:rsidR="00E76CB8">
        <w:t xml:space="preserve">UNESCO, </w:t>
      </w:r>
      <w:r w:rsidR="00347EA9">
        <w:t xml:space="preserve">UNHCR, </w:t>
      </w:r>
      <w:r w:rsidR="00E76CB8">
        <w:t xml:space="preserve">UNHQ, UNICEF, </w:t>
      </w:r>
      <w:r w:rsidR="00347EA9">
        <w:t>UNIDO, UNLB, UNMISS, UNOG, UNON, UNOV, UNSOS, UNTSO, UNV, UN Women,</w:t>
      </w:r>
      <w:r>
        <w:t xml:space="preserve"> </w:t>
      </w:r>
      <w:r w:rsidR="00E76CB8">
        <w:t xml:space="preserve">WB, </w:t>
      </w:r>
      <w:r>
        <w:t xml:space="preserve">WFP, </w:t>
      </w:r>
      <w:r w:rsidR="00347EA9">
        <w:t xml:space="preserve">WHO, WIPO, WMO, </w:t>
      </w:r>
      <w:r w:rsidR="00E76CB8">
        <w:t xml:space="preserve">WTO, </w:t>
      </w:r>
      <w:r>
        <w:t xml:space="preserve">as well as </w:t>
      </w:r>
      <w:r w:rsidR="00347EA9">
        <w:t xml:space="preserve">ADB, </w:t>
      </w:r>
      <w:r w:rsidR="004C2514">
        <w:t xml:space="preserve">CERN, </w:t>
      </w:r>
      <w:r w:rsidR="00347EA9">
        <w:t xml:space="preserve">Council of Europe, </w:t>
      </w:r>
      <w:r w:rsidR="00E76CB8">
        <w:t xml:space="preserve">ECA, ESA, </w:t>
      </w:r>
      <w:r w:rsidR="00347EA9">
        <w:t xml:space="preserve">EU, </w:t>
      </w:r>
      <w:r>
        <w:t xml:space="preserve">OECD, </w:t>
      </w:r>
      <w:r w:rsidR="00347EA9">
        <w:t xml:space="preserve">OSCE, </w:t>
      </w:r>
      <w:r w:rsidR="004C2514">
        <w:t>NATO</w:t>
      </w:r>
      <w:r w:rsidR="00347EA9">
        <w:t>.</w:t>
      </w:r>
      <w:r w:rsidR="004C251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A72C7" w:rsidP="00477D6B">
    <w:pPr>
      <w:jc w:val="right"/>
    </w:pPr>
    <w:bookmarkStart w:id="6" w:name="Code2"/>
    <w:bookmarkEnd w:id="6"/>
    <w:r>
      <w:t>WO/PBC/25/13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37FE8">
      <w:rPr>
        <w:noProof/>
      </w:rPr>
      <w:t>6</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D6" w:rsidRDefault="007673D6">
    <w:pPr>
      <w:pStyle w:val="Header"/>
    </w:pPr>
  </w:p>
  <w:p w:rsidR="007673D6" w:rsidRDefault="00767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D6" w:rsidRDefault="007673D6" w:rsidP="007673D6">
    <w:pPr>
      <w:pStyle w:val="Header"/>
      <w:jc w:val="right"/>
    </w:pPr>
    <w:r>
      <w:t>WO/PBC/25/13</w:t>
    </w:r>
  </w:p>
  <w:p w:rsidR="007673D6" w:rsidRDefault="007673D6" w:rsidP="007673D6">
    <w:pPr>
      <w:pStyle w:val="Header"/>
      <w:jc w:val="right"/>
    </w:pPr>
    <w:r>
      <w:t>ANNEX I</w:t>
    </w:r>
  </w:p>
  <w:p w:rsidR="007673D6" w:rsidRDefault="007673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D6" w:rsidRDefault="007673D6" w:rsidP="007673D6">
    <w:pPr>
      <w:pStyle w:val="Header"/>
      <w:jc w:val="right"/>
    </w:pPr>
    <w:r>
      <w:t>WO/PBC/25/13</w:t>
    </w:r>
  </w:p>
  <w:p w:rsidR="007673D6" w:rsidRDefault="007673D6" w:rsidP="007673D6">
    <w:pPr>
      <w:pStyle w:val="Header"/>
      <w:jc w:val="right"/>
    </w:pPr>
    <w:r>
      <w:t>ANNEX II</w:t>
    </w:r>
  </w:p>
  <w:p w:rsidR="007673D6" w:rsidRDefault="00767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FE1BE5"/>
    <w:multiLevelType w:val="hybridMultilevel"/>
    <w:tmpl w:val="49DCDD9A"/>
    <w:lvl w:ilvl="0" w:tplc="D6A03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6C14DA6"/>
    <w:multiLevelType w:val="hybridMultilevel"/>
    <w:tmpl w:val="2CBA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7A00DC"/>
    <w:multiLevelType w:val="hybridMultilevel"/>
    <w:tmpl w:val="FE6AE660"/>
    <w:lvl w:ilvl="0" w:tplc="9D44AB80">
      <w:start w:val="8"/>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6016B"/>
    <w:multiLevelType w:val="hybridMultilevel"/>
    <w:tmpl w:val="F0220A4E"/>
    <w:lvl w:ilvl="0" w:tplc="7D3868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6"/>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C7"/>
    <w:rsid w:val="0001175C"/>
    <w:rsid w:val="0001290D"/>
    <w:rsid w:val="00014E3D"/>
    <w:rsid w:val="00030CD6"/>
    <w:rsid w:val="0003746F"/>
    <w:rsid w:val="00043CAA"/>
    <w:rsid w:val="00045BAF"/>
    <w:rsid w:val="0005228A"/>
    <w:rsid w:val="00055441"/>
    <w:rsid w:val="00060571"/>
    <w:rsid w:val="0007396E"/>
    <w:rsid w:val="00075432"/>
    <w:rsid w:val="000876C9"/>
    <w:rsid w:val="000968ED"/>
    <w:rsid w:val="000A79FF"/>
    <w:rsid w:val="000B277C"/>
    <w:rsid w:val="000B301C"/>
    <w:rsid w:val="000D26AB"/>
    <w:rsid w:val="000E552A"/>
    <w:rsid w:val="000F5E56"/>
    <w:rsid w:val="001039AC"/>
    <w:rsid w:val="00114410"/>
    <w:rsid w:val="0013437B"/>
    <w:rsid w:val="001362EE"/>
    <w:rsid w:val="00145C83"/>
    <w:rsid w:val="001832A6"/>
    <w:rsid w:val="001B0BFA"/>
    <w:rsid w:val="001D73E7"/>
    <w:rsid w:val="001E07F9"/>
    <w:rsid w:val="001F0B70"/>
    <w:rsid w:val="0020537A"/>
    <w:rsid w:val="00205A83"/>
    <w:rsid w:val="00244B7F"/>
    <w:rsid w:val="002634C4"/>
    <w:rsid w:val="00273CE5"/>
    <w:rsid w:val="00281A24"/>
    <w:rsid w:val="002928D3"/>
    <w:rsid w:val="002E703C"/>
    <w:rsid w:val="002F1FE6"/>
    <w:rsid w:val="002F4E68"/>
    <w:rsid w:val="00300789"/>
    <w:rsid w:val="0030363A"/>
    <w:rsid w:val="003049A5"/>
    <w:rsid w:val="00312F7F"/>
    <w:rsid w:val="0031569F"/>
    <w:rsid w:val="00316489"/>
    <w:rsid w:val="00327368"/>
    <w:rsid w:val="00336C1F"/>
    <w:rsid w:val="00347EA9"/>
    <w:rsid w:val="00361450"/>
    <w:rsid w:val="0036460B"/>
    <w:rsid w:val="003673CF"/>
    <w:rsid w:val="00375383"/>
    <w:rsid w:val="003845C1"/>
    <w:rsid w:val="00391D6B"/>
    <w:rsid w:val="003A6F89"/>
    <w:rsid w:val="003B38C1"/>
    <w:rsid w:val="003C0409"/>
    <w:rsid w:val="003D37FE"/>
    <w:rsid w:val="003E42FB"/>
    <w:rsid w:val="003F0ECE"/>
    <w:rsid w:val="003F406B"/>
    <w:rsid w:val="0040707E"/>
    <w:rsid w:val="00423E3E"/>
    <w:rsid w:val="00427AF4"/>
    <w:rsid w:val="00431B84"/>
    <w:rsid w:val="00436931"/>
    <w:rsid w:val="00440A9C"/>
    <w:rsid w:val="00457363"/>
    <w:rsid w:val="0046241A"/>
    <w:rsid w:val="004647DA"/>
    <w:rsid w:val="00474062"/>
    <w:rsid w:val="00475A95"/>
    <w:rsid w:val="00477D6B"/>
    <w:rsid w:val="00481257"/>
    <w:rsid w:val="004907C4"/>
    <w:rsid w:val="004A05FA"/>
    <w:rsid w:val="004B155C"/>
    <w:rsid w:val="004B3FDB"/>
    <w:rsid w:val="004C2514"/>
    <w:rsid w:val="004E75B0"/>
    <w:rsid w:val="004F5B20"/>
    <w:rsid w:val="005019FF"/>
    <w:rsid w:val="00524C0C"/>
    <w:rsid w:val="0053057A"/>
    <w:rsid w:val="00544189"/>
    <w:rsid w:val="00560A29"/>
    <w:rsid w:val="005660B8"/>
    <w:rsid w:val="005676F9"/>
    <w:rsid w:val="00567B0D"/>
    <w:rsid w:val="00575E3F"/>
    <w:rsid w:val="005A216C"/>
    <w:rsid w:val="005A379D"/>
    <w:rsid w:val="005B7847"/>
    <w:rsid w:val="005C6649"/>
    <w:rsid w:val="005C6E4D"/>
    <w:rsid w:val="005D3995"/>
    <w:rsid w:val="005E20BF"/>
    <w:rsid w:val="005E3B40"/>
    <w:rsid w:val="005E7E00"/>
    <w:rsid w:val="0060466D"/>
    <w:rsid w:val="00604933"/>
    <w:rsid w:val="00605827"/>
    <w:rsid w:val="006147BD"/>
    <w:rsid w:val="00621179"/>
    <w:rsid w:val="006323E2"/>
    <w:rsid w:val="00634AEB"/>
    <w:rsid w:val="00646050"/>
    <w:rsid w:val="006702F6"/>
    <w:rsid w:val="00670B66"/>
    <w:rsid w:val="006713CA"/>
    <w:rsid w:val="00676C5C"/>
    <w:rsid w:val="00677568"/>
    <w:rsid w:val="00684183"/>
    <w:rsid w:val="006901E5"/>
    <w:rsid w:val="006B48FA"/>
    <w:rsid w:val="006C13DD"/>
    <w:rsid w:val="006C75EC"/>
    <w:rsid w:val="006D19B8"/>
    <w:rsid w:val="006E4523"/>
    <w:rsid w:val="00712AEC"/>
    <w:rsid w:val="00715BC1"/>
    <w:rsid w:val="00717003"/>
    <w:rsid w:val="007213A3"/>
    <w:rsid w:val="00731F90"/>
    <w:rsid w:val="0073210A"/>
    <w:rsid w:val="00742168"/>
    <w:rsid w:val="00750B52"/>
    <w:rsid w:val="007521B3"/>
    <w:rsid w:val="00761AD7"/>
    <w:rsid w:val="00764F24"/>
    <w:rsid w:val="007664FD"/>
    <w:rsid w:val="007673D6"/>
    <w:rsid w:val="00774624"/>
    <w:rsid w:val="007B58B4"/>
    <w:rsid w:val="007C34E4"/>
    <w:rsid w:val="007D1613"/>
    <w:rsid w:val="007D5C23"/>
    <w:rsid w:val="007F7EA8"/>
    <w:rsid w:val="0080534D"/>
    <w:rsid w:val="008222F2"/>
    <w:rsid w:val="00835281"/>
    <w:rsid w:val="00861642"/>
    <w:rsid w:val="0087040F"/>
    <w:rsid w:val="00895AAC"/>
    <w:rsid w:val="008B2CC1"/>
    <w:rsid w:val="008B45FB"/>
    <w:rsid w:val="008B60B2"/>
    <w:rsid w:val="008C4DD1"/>
    <w:rsid w:val="008D7E7F"/>
    <w:rsid w:val="008F0E73"/>
    <w:rsid w:val="008F54A5"/>
    <w:rsid w:val="008F66DE"/>
    <w:rsid w:val="00904DAB"/>
    <w:rsid w:val="00905C83"/>
    <w:rsid w:val="00906A76"/>
    <w:rsid w:val="0090731E"/>
    <w:rsid w:val="00916EE2"/>
    <w:rsid w:val="009368CA"/>
    <w:rsid w:val="009601DA"/>
    <w:rsid w:val="0096189B"/>
    <w:rsid w:val="00966A22"/>
    <w:rsid w:val="0096722F"/>
    <w:rsid w:val="00980843"/>
    <w:rsid w:val="00986541"/>
    <w:rsid w:val="0099183A"/>
    <w:rsid w:val="009A05B3"/>
    <w:rsid w:val="009D4214"/>
    <w:rsid w:val="009E2791"/>
    <w:rsid w:val="009E3F6F"/>
    <w:rsid w:val="009F499F"/>
    <w:rsid w:val="009F6BF2"/>
    <w:rsid w:val="00A013C5"/>
    <w:rsid w:val="00A21031"/>
    <w:rsid w:val="00A36418"/>
    <w:rsid w:val="00A40F24"/>
    <w:rsid w:val="00A41D8E"/>
    <w:rsid w:val="00A42DAF"/>
    <w:rsid w:val="00A45BD8"/>
    <w:rsid w:val="00A56E49"/>
    <w:rsid w:val="00A808AB"/>
    <w:rsid w:val="00A86062"/>
    <w:rsid w:val="00A869B7"/>
    <w:rsid w:val="00A9354E"/>
    <w:rsid w:val="00AA24F0"/>
    <w:rsid w:val="00AC205C"/>
    <w:rsid w:val="00AD082F"/>
    <w:rsid w:val="00AF0A6B"/>
    <w:rsid w:val="00AF3A8F"/>
    <w:rsid w:val="00B02353"/>
    <w:rsid w:val="00B02FA9"/>
    <w:rsid w:val="00B05A69"/>
    <w:rsid w:val="00B3107C"/>
    <w:rsid w:val="00B37FE8"/>
    <w:rsid w:val="00B532EB"/>
    <w:rsid w:val="00B818FA"/>
    <w:rsid w:val="00B87118"/>
    <w:rsid w:val="00B92A13"/>
    <w:rsid w:val="00B93661"/>
    <w:rsid w:val="00B93B16"/>
    <w:rsid w:val="00B9734B"/>
    <w:rsid w:val="00BA23DC"/>
    <w:rsid w:val="00BA30E2"/>
    <w:rsid w:val="00BC434B"/>
    <w:rsid w:val="00C0167B"/>
    <w:rsid w:val="00C1189D"/>
    <w:rsid w:val="00C11BFE"/>
    <w:rsid w:val="00C22AA0"/>
    <w:rsid w:val="00C41439"/>
    <w:rsid w:val="00C42D25"/>
    <w:rsid w:val="00C55A3E"/>
    <w:rsid w:val="00C75622"/>
    <w:rsid w:val="00C8480D"/>
    <w:rsid w:val="00CA3B27"/>
    <w:rsid w:val="00CA72C7"/>
    <w:rsid w:val="00CB152A"/>
    <w:rsid w:val="00CB5FD4"/>
    <w:rsid w:val="00CD04F1"/>
    <w:rsid w:val="00CD3CC1"/>
    <w:rsid w:val="00CD6BCB"/>
    <w:rsid w:val="00CE122D"/>
    <w:rsid w:val="00CF537D"/>
    <w:rsid w:val="00D0206E"/>
    <w:rsid w:val="00D0522B"/>
    <w:rsid w:val="00D24DD9"/>
    <w:rsid w:val="00D335D0"/>
    <w:rsid w:val="00D45252"/>
    <w:rsid w:val="00D55A89"/>
    <w:rsid w:val="00D70194"/>
    <w:rsid w:val="00D702C7"/>
    <w:rsid w:val="00D71B4D"/>
    <w:rsid w:val="00D779B2"/>
    <w:rsid w:val="00D93D55"/>
    <w:rsid w:val="00DA3AE8"/>
    <w:rsid w:val="00DB2B4F"/>
    <w:rsid w:val="00DB7FAC"/>
    <w:rsid w:val="00DC4BE7"/>
    <w:rsid w:val="00DE57DB"/>
    <w:rsid w:val="00DE59C0"/>
    <w:rsid w:val="00E00EF2"/>
    <w:rsid w:val="00E07CC0"/>
    <w:rsid w:val="00E322BD"/>
    <w:rsid w:val="00E335FE"/>
    <w:rsid w:val="00E47882"/>
    <w:rsid w:val="00E54C59"/>
    <w:rsid w:val="00E64469"/>
    <w:rsid w:val="00E76CB8"/>
    <w:rsid w:val="00E90C9B"/>
    <w:rsid w:val="00E9123C"/>
    <w:rsid w:val="00E924C9"/>
    <w:rsid w:val="00E97A27"/>
    <w:rsid w:val="00EA057A"/>
    <w:rsid w:val="00EA7D72"/>
    <w:rsid w:val="00EB774B"/>
    <w:rsid w:val="00EC0BB2"/>
    <w:rsid w:val="00EC145E"/>
    <w:rsid w:val="00EC3B8B"/>
    <w:rsid w:val="00EC4E49"/>
    <w:rsid w:val="00ED73BA"/>
    <w:rsid w:val="00ED77FB"/>
    <w:rsid w:val="00EE45FA"/>
    <w:rsid w:val="00EE4E31"/>
    <w:rsid w:val="00EE6035"/>
    <w:rsid w:val="00EF40B6"/>
    <w:rsid w:val="00EF6EE0"/>
    <w:rsid w:val="00F01B53"/>
    <w:rsid w:val="00F077A4"/>
    <w:rsid w:val="00F1002D"/>
    <w:rsid w:val="00F10C43"/>
    <w:rsid w:val="00F1176B"/>
    <w:rsid w:val="00F25FF5"/>
    <w:rsid w:val="00F43164"/>
    <w:rsid w:val="00F56C33"/>
    <w:rsid w:val="00F643EC"/>
    <w:rsid w:val="00F66152"/>
    <w:rsid w:val="00F87C2D"/>
    <w:rsid w:val="00F90621"/>
    <w:rsid w:val="00F90627"/>
    <w:rsid w:val="00F923FE"/>
    <w:rsid w:val="00F9521F"/>
    <w:rsid w:val="00F96431"/>
    <w:rsid w:val="00FA0547"/>
    <w:rsid w:val="00FB32E1"/>
    <w:rsid w:val="00FC5B6B"/>
    <w:rsid w:val="00FD3D08"/>
    <w:rsid w:val="00FE3805"/>
    <w:rsid w:val="00FE6B65"/>
    <w:rsid w:val="00FF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A72C7"/>
    <w:pPr>
      <w:ind w:left="720"/>
      <w:contextualSpacing/>
    </w:pPr>
  </w:style>
  <w:style w:type="paragraph" w:styleId="BalloonText">
    <w:name w:val="Balloon Text"/>
    <w:basedOn w:val="Normal"/>
    <w:link w:val="BalloonTextChar"/>
    <w:rsid w:val="00835281"/>
    <w:rPr>
      <w:rFonts w:ascii="Tahoma" w:hAnsi="Tahoma" w:cs="Tahoma"/>
      <w:sz w:val="16"/>
      <w:szCs w:val="16"/>
    </w:rPr>
  </w:style>
  <w:style w:type="character" w:customStyle="1" w:styleId="BalloonTextChar">
    <w:name w:val="Balloon Text Char"/>
    <w:basedOn w:val="DefaultParagraphFont"/>
    <w:link w:val="BalloonText"/>
    <w:rsid w:val="00835281"/>
    <w:rPr>
      <w:rFonts w:ascii="Tahoma" w:eastAsia="SimSun" w:hAnsi="Tahoma" w:cs="Tahoma"/>
      <w:sz w:val="16"/>
      <w:szCs w:val="16"/>
      <w:lang w:eastAsia="zh-CN"/>
    </w:rPr>
  </w:style>
  <w:style w:type="table" w:styleId="TableGrid">
    <w:name w:val="Table Grid"/>
    <w:basedOn w:val="TableNormal"/>
    <w:rsid w:val="00F5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673D6"/>
    <w:rPr>
      <w:rFonts w:ascii="Arial" w:eastAsia="SimSun" w:hAnsi="Arial" w:cs="Arial"/>
      <w:sz w:val="22"/>
      <w:lang w:eastAsia="zh-CN"/>
    </w:rPr>
  </w:style>
  <w:style w:type="character" w:styleId="FootnoteReference">
    <w:name w:val="footnote reference"/>
    <w:basedOn w:val="DefaultParagraphFont"/>
    <w:rsid w:val="00E322BD"/>
    <w:rPr>
      <w:vertAlign w:val="superscript"/>
    </w:rPr>
  </w:style>
  <w:style w:type="character" w:styleId="CommentReference">
    <w:name w:val="annotation reference"/>
    <w:basedOn w:val="DefaultParagraphFont"/>
    <w:rsid w:val="001039AC"/>
    <w:rPr>
      <w:sz w:val="16"/>
      <w:szCs w:val="16"/>
    </w:rPr>
  </w:style>
  <w:style w:type="paragraph" w:styleId="CommentSubject">
    <w:name w:val="annotation subject"/>
    <w:basedOn w:val="CommentText"/>
    <w:next w:val="CommentText"/>
    <w:link w:val="CommentSubjectChar"/>
    <w:rsid w:val="001039AC"/>
    <w:rPr>
      <w:b/>
      <w:bCs/>
      <w:sz w:val="20"/>
    </w:rPr>
  </w:style>
  <w:style w:type="character" w:customStyle="1" w:styleId="CommentTextChar">
    <w:name w:val="Comment Text Char"/>
    <w:basedOn w:val="DefaultParagraphFont"/>
    <w:link w:val="CommentText"/>
    <w:semiHidden/>
    <w:rsid w:val="001039AC"/>
    <w:rPr>
      <w:rFonts w:ascii="Arial" w:eastAsia="SimSun" w:hAnsi="Arial" w:cs="Arial"/>
      <w:sz w:val="18"/>
      <w:lang w:eastAsia="zh-CN"/>
    </w:rPr>
  </w:style>
  <w:style w:type="character" w:customStyle="1" w:styleId="CommentSubjectChar">
    <w:name w:val="Comment Subject Char"/>
    <w:basedOn w:val="CommentTextChar"/>
    <w:link w:val="CommentSubject"/>
    <w:rsid w:val="001039A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A72C7"/>
    <w:pPr>
      <w:ind w:left="720"/>
      <w:contextualSpacing/>
    </w:pPr>
  </w:style>
  <w:style w:type="paragraph" w:styleId="BalloonText">
    <w:name w:val="Balloon Text"/>
    <w:basedOn w:val="Normal"/>
    <w:link w:val="BalloonTextChar"/>
    <w:rsid w:val="00835281"/>
    <w:rPr>
      <w:rFonts w:ascii="Tahoma" w:hAnsi="Tahoma" w:cs="Tahoma"/>
      <w:sz w:val="16"/>
      <w:szCs w:val="16"/>
    </w:rPr>
  </w:style>
  <w:style w:type="character" w:customStyle="1" w:styleId="BalloonTextChar">
    <w:name w:val="Balloon Text Char"/>
    <w:basedOn w:val="DefaultParagraphFont"/>
    <w:link w:val="BalloonText"/>
    <w:rsid w:val="00835281"/>
    <w:rPr>
      <w:rFonts w:ascii="Tahoma" w:eastAsia="SimSun" w:hAnsi="Tahoma" w:cs="Tahoma"/>
      <w:sz w:val="16"/>
      <w:szCs w:val="16"/>
      <w:lang w:eastAsia="zh-CN"/>
    </w:rPr>
  </w:style>
  <w:style w:type="table" w:styleId="TableGrid">
    <w:name w:val="Table Grid"/>
    <w:basedOn w:val="TableNormal"/>
    <w:rsid w:val="00F5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673D6"/>
    <w:rPr>
      <w:rFonts w:ascii="Arial" w:eastAsia="SimSun" w:hAnsi="Arial" w:cs="Arial"/>
      <w:sz w:val="22"/>
      <w:lang w:eastAsia="zh-CN"/>
    </w:rPr>
  </w:style>
  <w:style w:type="character" w:styleId="FootnoteReference">
    <w:name w:val="footnote reference"/>
    <w:basedOn w:val="DefaultParagraphFont"/>
    <w:rsid w:val="00E322BD"/>
    <w:rPr>
      <w:vertAlign w:val="superscript"/>
    </w:rPr>
  </w:style>
  <w:style w:type="character" w:styleId="CommentReference">
    <w:name w:val="annotation reference"/>
    <w:basedOn w:val="DefaultParagraphFont"/>
    <w:rsid w:val="001039AC"/>
    <w:rPr>
      <w:sz w:val="16"/>
      <w:szCs w:val="16"/>
    </w:rPr>
  </w:style>
  <w:style w:type="paragraph" w:styleId="CommentSubject">
    <w:name w:val="annotation subject"/>
    <w:basedOn w:val="CommentText"/>
    <w:next w:val="CommentText"/>
    <w:link w:val="CommentSubjectChar"/>
    <w:rsid w:val="001039AC"/>
    <w:rPr>
      <w:b/>
      <w:bCs/>
      <w:sz w:val="20"/>
    </w:rPr>
  </w:style>
  <w:style w:type="character" w:customStyle="1" w:styleId="CommentTextChar">
    <w:name w:val="Comment Text Char"/>
    <w:basedOn w:val="DefaultParagraphFont"/>
    <w:link w:val="CommentText"/>
    <w:semiHidden/>
    <w:rsid w:val="001039AC"/>
    <w:rPr>
      <w:rFonts w:ascii="Arial" w:eastAsia="SimSun" w:hAnsi="Arial" w:cs="Arial"/>
      <w:sz w:val="18"/>
      <w:lang w:eastAsia="zh-CN"/>
    </w:rPr>
  </w:style>
  <w:style w:type="character" w:customStyle="1" w:styleId="CommentSubjectChar">
    <w:name w:val="Comment Subject Char"/>
    <w:basedOn w:val="CommentTextChar"/>
    <w:link w:val="CommentSubject"/>
    <w:rsid w:val="001039A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75DC-8812-4EB3-82C5-E0655CCA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5</TotalTime>
  <Pages>8</Pages>
  <Words>3232</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BOUTILLON Isabelle</dc:creator>
  <cp:lastModifiedBy>NETTER Iza</cp:lastModifiedBy>
  <cp:revision>6</cp:revision>
  <cp:lastPrinted>2016-07-27T08:22:00Z</cp:lastPrinted>
  <dcterms:created xsi:type="dcterms:W3CDTF">2016-07-08T13:32:00Z</dcterms:created>
  <dcterms:modified xsi:type="dcterms:W3CDTF">2016-07-27T08:22:00Z</dcterms:modified>
</cp:coreProperties>
</file>