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924A44" w:rsidRDefault="00C25DAA" w:rsidP="00203CC7">
      <w:pPr>
        <w:rPr>
          <w:b/>
        </w:rPr>
      </w:pPr>
      <w:r w:rsidRPr="00924A44">
        <w:rPr>
          <w:b/>
        </w:rPr>
        <w:t>Program and Budget Committee</w:t>
      </w:r>
    </w:p>
    <w:p w:rsidR="00C25DAA" w:rsidRPr="00924A44" w:rsidRDefault="00771713" w:rsidP="00203CC7">
      <w:pPr>
        <w:rPr>
          <w:b/>
        </w:rPr>
      </w:pPr>
      <w:r w:rsidRPr="00924A44">
        <w:rPr>
          <w:b/>
        </w:rPr>
        <w:t>Twenty-</w:t>
      </w:r>
      <w:r w:rsidR="009F2920">
        <w:rPr>
          <w:b/>
        </w:rPr>
        <w:t>Fourth</w:t>
      </w:r>
      <w:r w:rsidR="00C25DAA" w:rsidRPr="00924A44">
        <w:rPr>
          <w:b/>
        </w:rPr>
        <w:t xml:space="preserve"> </w:t>
      </w:r>
      <w:proofErr w:type="gramStart"/>
      <w:r w:rsidR="00C25DAA" w:rsidRPr="00924A44">
        <w:rPr>
          <w:b/>
        </w:rPr>
        <w:t>Session</w:t>
      </w:r>
      <w:proofErr w:type="gramEnd"/>
    </w:p>
    <w:p w:rsidR="00C25DAA" w:rsidRPr="00924A44" w:rsidRDefault="00C25DAA" w:rsidP="00203CC7">
      <w:pPr>
        <w:rPr>
          <w:b/>
        </w:rPr>
      </w:pPr>
      <w:r w:rsidRPr="00924A44">
        <w:rPr>
          <w:b/>
        </w:rPr>
        <w:t xml:space="preserve">Geneva, </w:t>
      </w:r>
      <w:r w:rsidR="009F2920">
        <w:rPr>
          <w:b/>
        </w:rPr>
        <w:t>September 14 to 18, 2015</w:t>
      </w:r>
    </w:p>
    <w:p w:rsidR="00C25DAA" w:rsidRPr="00924A44" w:rsidRDefault="004F756C" w:rsidP="00C730A2">
      <w:pPr>
        <w:ind w:left="6930"/>
        <w:rPr>
          <w:b/>
          <w:sz w:val="28"/>
          <w:szCs w:val="28"/>
        </w:rPr>
      </w:pPr>
      <w:r>
        <w:rPr>
          <w:b/>
          <w:szCs w:val="28"/>
        </w:rPr>
        <w:t xml:space="preserve">September </w:t>
      </w:r>
      <w:r w:rsidR="00413B43">
        <w:rPr>
          <w:b/>
          <w:szCs w:val="28"/>
        </w:rPr>
        <w:t>15</w:t>
      </w:r>
      <w:r w:rsidR="00C730A2">
        <w:rPr>
          <w:b/>
          <w:szCs w:val="28"/>
        </w:rPr>
        <w:t xml:space="preserve">, </w:t>
      </w:r>
      <w:r w:rsidR="00880739">
        <w:rPr>
          <w:b/>
          <w:szCs w:val="28"/>
        </w:rPr>
        <w:t>2015</w:t>
      </w:r>
    </w:p>
    <w:p w:rsidR="000C008F" w:rsidRPr="00924A44" w:rsidRDefault="000C008F" w:rsidP="00203CC7">
      <w:pPr>
        <w:rPr>
          <w:sz w:val="28"/>
          <w:szCs w:val="28"/>
        </w:rPr>
      </w:pPr>
    </w:p>
    <w:p w:rsidR="00C25DAA" w:rsidRDefault="00CD11C1" w:rsidP="009F2920">
      <w:pPr>
        <w:jc w:val="center"/>
        <w:rPr>
          <w:sz w:val="28"/>
          <w:szCs w:val="28"/>
        </w:rPr>
      </w:pPr>
      <w:r w:rsidRPr="00924A44">
        <w:rPr>
          <w:sz w:val="28"/>
          <w:szCs w:val="28"/>
        </w:rPr>
        <w:t>Q&amp;A</w:t>
      </w:r>
      <w:r w:rsidR="00F70614" w:rsidRPr="00924A44">
        <w:rPr>
          <w:sz w:val="28"/>
          <w:szCs w:val="28"/>
        </w:rPr>
        <w:br/>
      </w:r>
      <w:r w:rsidRPr="00924A44">
        <w:rPr>
          <w:sz w:val="28"/>
          <w:szCs w:val="28"/>
        </w:rPr>
        <w:t>PROPOSED PROGRAM AND BUDGET 201</w:t>
      </w:r>
      <w:r w:rsidR="00AE442F">
        <w:rPr>
          <w:sz w:val="28"/>
          <w:szCs w:val="28"/>
        </w:rPr>
        <w:t>6</w:t>
      </w:r>
      <w:r w:rsidRPr="00924A44">
        <w:rPr>
          <w:sz w:val="28"/>
          <w:szCs w:val="28"/>
        </w:rPr>
        <w:t>/1</w:t>
      </w:r>
      <w:r w:rsidR="00AE442F">
        <w:rPr>
          <w:sz w:val="28"/>
          <w:szCs w:val="28"/>
        </w:rPr>
        <w:t>7</w:t>
      </w:r>
    </w:p>
    <w:p w:rsidR="005D5AFD" w:rsidRPr="005D5AFD" w:rsidRDefault="005D5AFD" w:rsidP="009F2920">
      <w:pPr>
        <w:jc w:val="center"/>
        <w:rPr>
          <w:i/>
          <w:sz w:val="28"/>
          <w:szCs w:val="28"/>
        </w:rPr>
      </w:pPr>
      <w:r>
        <w:rPr>
          <w:i/>
          <w:sz w:val="28"/>
          <w:szCs w:val="28"/>
        </w:rPr>
        <w:t>(</w:t>
      </w:r>
      <w:proofErr w:type="gramStart"/>
      <w:r>
        <w:rPr>
          <w:i/>
          <w:sz w:val="28"/>
          <w:szCs w:val="28"/>
        </w:rPr>
        <w:t>and</w:t>
      </w:r>
      <w:proofErr w:type="gramEnd"/>
      <w:r>
        <w:rPr>
          <w:i/>
          <w:sz w:val="28"/>
          <w:szCs w:val="28"/>
        </w:rPr>
        <w:t xml:space="preserve"> other PBC</w:t>
      </w:r>
      <w:r w:rsidRPr="005D5AFD">
        <w:rPr>
          <w:i/>
          <w:sz w:val="28"/>
          <w:szCs w:val="28"/>
        </w:rPr>
        <w:t xml:space="preserve"> documents)</w:t>
      </w:r>
    </w:p>
    <w:p w:rsidR="00C25DAA" w:rsidRPr="00924A44" w:rsidRDefault="00C25DAA" w:rsidP="00203CC7">
      <w:pPr>
        <w:rPr>
          <w:rFonts w:ascii="arial bold" w:hAnsi="arial bold"/>
          <w:smallCaps/>
          <w:u w:val="single"/>
        </w:rPr>
      </w:pPr>
    </w:p>
    <w:p w:rsidR="00C25DAA" w:rsidRPr="00924A44" w:rsidRDefault="00C25DAA" w:rsidP="00203CC7">
      <w:pPr>
        <w:rPr>
          <w:rFonts w:ascii="arial bold" w:hAnsi="arial bold"/>
          <w:b/>
          <w:smallCaps/>
          <w:u w:val="single"/>
        </w:rPr>
      </w:pPr>
    </w:p>
    <w:p w:rsidR="00C25DAA" w:rsidRPr="00924A44" w:rsidRDefault="00373B6D" w:rsidP="00203CC7">
      <w:pPr>
        <w:rPr>
          <w:sz w:val="24"/>
          <w:szCs w:val="24"/>
        </w:rPr>
      </w:pPr>
      <w:r w:rsidRPr="00924A44">
        <w:rPr>
          <w:sz w:val="24"/>
          <w:szCs w:val="24"/>
        </w:rPr>
        <w:t xml:space="preserve">FINANCIAL AND </w:t>
      </w:r>
      <w:r w:rsidR="00CD11C1" w:rsidRPr="00924A44">
        <w:rPr>
          <w:sz w:val="24"/>
          <w:szCs w:val="24"/>
        </w:rPr>
        <w:t>RESULTS OVERVIEW</w:t>
      </w:r>
    </w:p>
    <w:p w:rsidR="00C25DAA" w:rsidRPr="00924A44" w:rsidRDefault="00C25DAA" w:rsidP="00203CC7">
      <w:pPr>
        <w:spacing w:before="120"/>
        <w:rPr>
          <w:b/>
        </w:rPr>
      </w:pPr>
    </w:p>
    <w:p w:rsidR="009C3F6D" w:rsidRPr="00924A44" w:rsidRDefault="009C3F6D" w:rsidP="00203CC7">
      <w:pPr>
        <w:pStyle w:val="ONUME"/>
        <w:keepNext/>
        <w:keepLines/>
        <w:numPr>
          <w:ilvl w:val="0"/>
          <w:numId w:val="0"/>
        </w:numPr>
      </w:pPr>
      <w:r w:rsidRPr="00924A44">
        <w:rPr>
          <w:b/>
          <w:bCs/>
        </w:rPr>
        <w:t>Q</w:t>
      </w:r>
      <w:r w:rsidR="00057080" w:rsidRPr="00924A44">
        <w:rPr>
          <w:b/>
          <w:bCs/>
        </w:rPr>
        <w:t>1</w:t>
      </w:r>
      <w:r w:rsidRPr="00924A44">
        <w:rPr>
          <w:b/>
          <w:bCs/>
        </w:rPr>
        <w:t xml:space="preserve">:  </w:t>
      </w:r>
      <w:r w:rsidRPr="00924A44">
        <w:rPr>
          <w:b/>
        </w:rPr>
        <w:t xml:space="preserve">What is included in “Unallocated”?  </w:t>
      </w:r>
    </w:p>
    <w:p w:rsidR="001C28DF" w:rsidRPr="00924A44" w:rsidRDefault="00C25DAA" w:rsidP="00203CC7">
      <w:pPr>
        <w:rPr>
          <w:bCs/>
          <w:szCs w:val="22"/>
        </w:rPr>
      </w:pPr>
      <w:r w:rsidRPr="00924A44">
        <w:rPr>
          <w:bCs/>
          <w:szCs w:val="22"/>
        </w:rPr>
        <w:t>A</w:t>
      </w:r>
      <w:r w:rsidR="00057080" w:rsidRPr="00924A44">
        <w:rPr>
          <w:bCs/>
          <w:szCs w:val="22"/>
        </w:rPr>
        <w:t>1</w:t>
      </w:r>
      <w:r w:rsidRPr="00924A44">
        <w:rPr>
          <w:bCs/>
          <w:szCs w:val="22"/>
        </w:rPr>
        <w:t xml:space="preserve">:  </w:t>
      </w:r>
      <w:r w:rsidR="009F2920">
        <w:rPr>
          <w:bCs/>
          <w:szCs w:val="22"/>
        </w:rPr>
        <w:t xml:space="preserve"> </w:t>
      </w:r>
      <w:r w:rsidR="001C28DF" w:rsidRPr="00924A44">
        <w:rPr>
          <w:bCs/>
          <w:szCs w:val="22"/>
        </w:rPr>
        <w:t xml:space="preserve">Unallocated </w:t>
      </w:r>
      <w:r w:rsidR="00CA3EBB" w:rsidRPr="00924A44">
        <w:rPr>
          <w:bCs/>
          <w:szCs w:val="22"/>
        </w:rPr>
        <w:t>(</w:t>
      </w:r>
      <w:r w:rsidR="001C28DF" w:rsidRPr="00924A44">
        <w:rPr>
          <w:bCs/>
          <w:szCs w:val="22"/>
        </w:rPr>
        <w:t>Personnel</w:t>
      </w:r>
      <w:r w:rsidR="00CA3EBB" w:rsidRPr="00924A44">
        <w:rPr>
          <w:bCs/>
          <w:szCs w:val="22"/>
        </w:rPr>
        <w:t>)</w:t>
      </w:r>
      <w:r w:rsidR="001C28DF" w:rsidRPr="00924A44">
        <w:rPr>
          <w:bCs/>
          <w:szCs w:val="22"/>
        </w:rPr>
        <w:t xml:space="preserve"> amounts to 4.3 million Swiss francs and includes the following: </w:t>
      </w:r>
    </w:p>
    <w:p w:rsidR="00CA3EBB" w:rsidRPr="00924A44" w:rsidRDefault="00CA3EBB" w:rsidP="00203CC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rPr>
          <w:rFonts w:ascii="Arial" w:hAnsi="Arial" w:cs="Arial"/>
          <w:sz w:val="22"/>
          <w:szCs w:val="22"/>
          <w:lang w:val="en-US"/>
        </w:rPr>
      </w:pPr>
    </w:p>
    <w:p w:rsidR="001C28DF" w:rsidRPr="00924A44" w:rsidRDefault="001C28DF" w:rsidP="00203CC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lang w:val="en-US"/>
        </w:rPr>
      </w:pPr>
      <w:r w:rsidRPr="00924A44">
        <w:rPr>
          <w:rFonts w:ascii="Arial" w:hAnsi="Arial" w:cs="Arial"/>
          <w:sz w:val="22"/>
          <w:szCs w:val="22"/>
          <w:lang w:val="en-US"/>
        </w:rPr>
        <w:t xml:space="preserve">a </w:t>
      </w:r>
      <w:r w:rsidR="00CA3EBB" w:rsidRPr="00924A44">
        <w:rPr>
          <w:rFonts w:ascii="Arial" w:hAnsi="Arial" w:cs="Arial"/>
          <w:sz w:val="22"/>
          <w:szCs w:val="22"/>
          <w:lang w:val="en-US"/>
        </w:rPr>
        <w:t xml:space="preserve">provision of 1.5 million </w:t>
      </w:r>
      <w:r w:rsidR="00CA3EBB" w:rsidRPr="00924A44">
        <w:rPr>
          <w:rFonts w:ascii="Arial" w:hAnsi="Arial" w:cs="Arial"/>
          <w:bCs/>
          <w:sz w:val="22"/>
          <w:szCs w:val="22"/>
          <w:lang w:val="en-US"/>
        </w:rPr>
        <w:t>Swiss francs</w:t>
      </w:r>
      <w:r w:rsidR="00CA3EBB" w:rsidRPr="00924A44">
        <w:rPr>
          <w:rFonts w:ascii="Arial" w:hAnsi="Arial" w:cs="Arial"/>
          <w:sz w:val="22"/>
          <w:szCs w:val="22"/>
          <w:lang w:val="en-US"/>
        </w:rPr>
        <w:t xml:space="preserve"> </w:t>
      </w:r>
      <w:r w:rsidRPr="00924A44">
        <w:rPr>
          <w:rFonts w:ascii="Arial" w:hAnsi="Arial" w:cs="Arial"/>
          <w:sz w:val="22"/>
          <w:szCs w:val="22"/>
          <w:lang w:val="en-US"/>
        </w:rPr>
        <w:t>for reclassification</w:t>
      </w:r>
      <w:r w:rsidR="00CA3EBB" w:rsidRPr="00924A44">
        <w:rPr>
          <w:rFonts w:ascii="Arial" w:hAnsi="Arial" w:cs="Arial"/>
          <w:sz w:val="22"/>
          <w:szCs w:val="22"/>
          <w:lang w:val="en-US"/>
        </w:rPr>
        <w:t>s</w:t>
      </w:r>
      <w:r w:rsidRPr="00924A44">
        <w:rPr>
          <w:rFonts w:ascii="Arial" w:hAnsi="Arial" w:cs="Arial"/>
          <w:bCs/>
          <w:sz w:val="22"/>
          <w:szCs w:val="22"/>
          <w:lang w:val="en-US"/>
        </w:rPr>
        <w:t>;</w:t>
      </w:r>
    </w:p>
    <w:p w:rsidR="001C28DF" w:rsidRPr="00924A44" w:rsidRDefault="001C28DF" w:rsidP="00203CC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lang w:val="en-US"/>
        </w:rPr>
      </w:pPr>
      <w:r w:rsidRPr="00924A44">
        <w:rPr>
          <w:rFonts w:ascii="Arial" w:hAnsi="Arial" w:cs="Arial"/>
          <w:bCs/>
          <w:sz w:val="22"/>
          <w:szCs w:val="22"/>
          <w:lang w:val="en-US"/>
        </w:rPr>
        <w:t xml:space="preserve">a </w:t>
      </w:r>
      <w:r w:rsidR="00CA3EBB" w:rsidRPr="00924A44">
        <w:rPr>
          <w:rFonts w:ascii="Arial" w:hAnsi="Arial" w:cs="Arial"/>
          <w:sz w:val="22"/>
          <w:szCs w:val="22"/>
          <w:lang w:val="en-US"/>
        </w:rPr>
        <w:t>provision of</w:t>
      </w:r>
      <w:r w:rsidR="00CA3EBB" w:rsidRPr="00924A44">
        <w:rPr>
          <w:rFonts w:ascii="Arial" w:hAnsi="Arial" w:cs="Arial"/>
          <w:bCs/>
          <w:sz w:val="22"/>
          <w:szCs w:val="22"/>
          <w:lang w:val="en-US"/>
        </w:rPr>
        <w:t xml:space="preserve"> 0.8 million Swiss francs </w:t>
      </w:r>
      <w:r w:rsidRPr="00924A44">
        <w:rPr>
          <w:rFonts w:ascii="Arial" w:hAnsi="Arial" w:cs="Arial"/>
          <w:bCs/>
          <w:sz w:val="22"/>
          <w:szCs w:val="22"/>
          <w:lang w:val="en-US"/>
        </w:rPr>
        <w:t xml:space="preserve">for the </w:t>
      </w:r>
      <w:r w:rsidR="00CA3EBB" w:rsidRPr="00924A44">
        <w:rPr>
          <w:rFonts w:ascii="Arial" w:hAnsi="Arial" w:cs="Arial"/>
          <w:bCs/>
          <w:sz w:val="22"/>
          <w:szCs w:val="22"/>
          <w:lang w:val="en-US"/>
        </w:rPr>
        <w:t xml:space="preserve">finalization of the </w:t>
      </w:r>
      <w:r w:rsidRPr="00924A44">
        <w:rPr>
          <w:rFonts w:ascii="Arial" w:hAnsi="Arial" w:cs="Arial"/>
          <w:bCs/>
          <w:sz w:val="22"/>
          <w:szCs w:val="22"/>
          <w:lang w:val="en-US"/>
        </w:rPr>
        <w:t xml:space="preserve">regularization of </w:t>
      </w:r>
      <w:r w:rsidR="00CA3EBB" w:rsidRPr="00924A44">
        <w:rPr>
          <w:rFonts w:ascii="Arial" w:hAnsi="Arial" w:cs="Arial"/>
          <w:bCs/>
          <w:sz w:val="22"/>
          <w:szCs w:val="22"/>
          <w:lang w:val="en-US"/>
        </w:rPr>
        <w:t>continuing</w:t>
      </w:r>
      <w:r w:rsidRPr="00924A44">
        <w:rPr>
          <w:rFonts w:ascii="Arial" w:hAnsi="Arial" w:cs="Arial"/>
          <w:bCs/>
          <w:sz w:val="22"/>
          <w:szCs w:val="22"/>
          <w:lang w:val="en-US"/>
        </w:rPr>
        <w:t xml:space="preserve"> functions </w:t>
      </w:r>
      <w:r w:rsidR="00CA3EBB" w:rsidRPr="00924A44">
        <w:rPr>
          <w:rFonts w:ascii="Arial" w:hAnsi="Arial" w:cs="Arial"/>
          <w:bCs/>
          <w:sz w:val="22"/>
          <w:szCs w:val="22"/>
          <w:lang w:val="en-US"/>
        </w:rPr>
        <w:t>(</w:t>
      </w:r>
      <w:r w:rsidRPr="00924A44">
        <w:rPr>
          <w:rFonts w:ascii="Arial" w:hAnsi="Arial" w:cs="Arial"/>
          <w:bCs/>
          <w:sz w:val="22"/>
          <w:szCs w:val="22"/>
          <w:lang w:val="en-US"/>
        </w:rPr>
        <w:t>within the framework of the 156 regularization posts approved in principle by Member States (ref. WO/CC/63/5)</w:t>
      </w:r>
      <w:r w:rsidR="00CA3EBB" w:rsidRPr="00924A44">
        <w:rPr>
          <w:rFonts w:ascii="Arial" w:hAnsi="Arial" w:cs="Arial"/>
          <w:bCs/>
          <w:sz w:val="22"/>
          <w:szCs w:val="22"/>
          <w:lang w:val="en-US"/>
        </w:rPr>
        <w:t>)</w:t>
      </w:r>
      <w:r w:rsidRPr="00924A44">
        <w:rPr>
          <w:rFonts w:ascii="Arial" w:hAnsi="Arial" w:cs="Arial"/>
          <w:bCs/>
          <w:sz w:val="22"/>
          <w:szCs w:val="22"/>
          <w:lang w:val="en-US"/>
        </w:rPr>
        <w:t>;</w:t>
      </w:r>
    </w:p>
    <w:p w:rsidR="001C28DF" w:rsidRPr="00924A44" w:rsidRDefault="001C28DF" w:rsidP="00203CC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lang w:val="en-US"/>
        </w:rPr>
      </w:pPr>
      <w:proofErr w:type="gramStart"/>
      <w:r w:rsidRPr="00924A44">
        <w:rPr>
          <w:rFonts w:ascii="Arial" w:hAnsi="Arial" w:cs="Arial"/>
          <w:bCs/>
          <w:sz w:val="22"/>
          <w:szCs w:val="22"/>
          <w:lang w:val="en-US"/>
        </w:rPr>
        <w:t>a</w:t>
      </w:r>
      <w:proofErr w:type="gramEnd"/>
      <w:r w:rsidRPr="00924A44">
        <w:rPr>
          <w:rFonts w:ascii="Arial" w:hAnsi="Arial" w:cs="Arial"/>
          <w:bCs/>
          <w:sz w:val="22"/>
          <w:szCs w:val="22"/>
          <w:lang w:val="en-US"/>
        </w:rPr>
        <w:t xml:space="preserve"> </w:t>
      </w:r>
      <w:r w:rsidR="00CA3EBB" w:rsidRPr="00924A44">
        <w:rPr>
          <w:rFonts w:ascii="Arial" w:hAnsi="Arial" w:cs="Arial"/>
          <w:sz w:val="22"/>
          <w:szCs w:val="22"/>
          <w:lang w:val="en-US"/>
        </w:rPr>
        <w:t>provision of</w:t>
      </w:r>
      <w:r w:rsidR="00CA3EBB" w:rsidRPr="00924A44">
        <w:rPr>
          <w:rFonts w:ascii="Arial" w:hAnsi="Arial" w:cs="Arial"/>
          <w:bCs/>
          <w:sz w:val="22"/>
          <w:szCs w:val="22"/>
          <w:lang w:val="en-US"/>
        </w:rPr>
        <w:t xml:space="preserve"> 2 million Swiss francs </w:t>
      </w:r>
      <w:r w:rsidRPr="00924A44">
        <w:rPr>
          <w:rFonts w:ascii="Arial" w:hAnsi="Arial" w:cs="Arial"/>
          <w:bCs/>
          <w:sz w:val="22"/>
          <w:szCs w:val="22"/>
          <w:lang w:val="en-US"/>
        </w:rPr>
        <w:t>for the payment of overtime expenses budgeted on the basis of past expenditure patterns.</w:t>
      </w:r>
    </w:p>
    <w:p w:rsidR="00CA3EBB" w:rsidRPr="00924A44" w:rsidRDefault="00CA3EBB" w:rsidP="00203CC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rPr>
          <w:rFonts w:ascii="Arial" w:hAnsi="Arial" w:cs="Arial"/>
          <w:sz w:val="22"/>
          <w:szCs w:val="22"/>
          <w:lang w:val="en-US"/>
        </w:rPr>
      </w:pPr>
    </w:p>
    <w:p w:rsidR="001C28DF" w:rsidRPr="00924A44" w:rsidRDefault="001C28DF" w:rsidP="00203CC7">
      <w:pPr>
        <w:ind w:firstLine="567"/>
        <w:rPr>
          <w:bCs/>
          <w:szCs w:val="22"/>
        </w:rPr>
      </w:pPr>
      <w:r w:rsidRPr="00924A44">
        <w:rPr>
          <w:bCs/>
          <w:szCs w:val="22"/>
        </w:rPr>
        <w:t xml:space="preserve">Unallocated </w:t>
      </w:r>
      <w:r w:rsidR="00CA3EBB" w:rsidRPr="00924A44">
        <w:rPr>
          <w:bCs/>
          <w:szCs w:val="22"/>
        </w:rPr>
        <w:t>(</w:t>
      </w:r>
      <w:r w:rsidRPr="00924A44">
        <w:rPr>
          <w:bCs/>
          <w:szCs w:val="22"/>
        </w:rPr>
        <w:t>Non-personnel</w:t>
      </w:r>
      <w:r w:rsidR="00CA3EBB" w:rsidRPr="00924A44">
        <w:rPr>
          <w:bCs/>
          <w:szCs w:val="22"/>
        </w:rPr>
        <w:t>)</w:t>
      </w:r>
      <w:r w:rsidRPr="00924A44">
        <w:rPr>
          <w:bCs/>
          <w:szCs w:val="22"/>
        </w:rPr>
        <w:t xml:space="preserve"> amounts to 2 million Swiss francs and includes the following: </w:t>
      </w:r>
    </w:p>
    <w:p w:rsidR="001C28DF" w:rsidRPr="00924A44" w:rsidRDefault="001C28DF" w:rsidP="00203CC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Cs/>
          <w:sz w:val="22"/>
          <w:szCs w:val="22"/>
          <w:lang w:val="en-US"/>
        </w:rPr>
      </w:pPr>
      <w:r w:rsidRPr="00924A44">
        <w:rPr>
          <w:rFonts w:ascii="Arial" w:hAnsi="Arial" w:cs="Arial"/>
          <w:bCs/>
          <w:sz w:val="22"/>
          <w:szCs w:val="22"/>
          <w:lang w:val="en-US"/>
        </w:rPr>
        <w:t xml:space="preserve">a </w:t>
      </w:r>
      <w:r w:rsidR="00CA3EBB" w:rsidRPr="00924A44">
        <w:rPr>
          <w:rFonts w:ascii="Arial" w:hAnsi="Arial" w:cs="Arial"/>
          <w:sz w:val="22"/>
          <w:szCs w:val="22"/>
          <w:lang w:val="en-US"/>
        </w:rPr>
        <w:t>provision of</w:t>
      </w:r>
      <w:r w:rsidR="00CA3EBB" w:rsidRPr="00924A44">
        <w:rPr>
          <w:rFonts w:ascii="Arial" w:hAnsi="Arial" w:cs="Arial"/>
          <w:bCs/>
          <w:sz w:val="22"/>
          <w:szCs w:val="22"/>
          <w:lang w:val="en-US"/>
        </w:rPr>
        <w:t xml:space="preserve"> 1 million Swiss francs </w:t>
      </w:r>
      <w:r w:rsidRPr="00924A44">
        <w:rPr>
          <w:rFonts w:ascii="Arial" w:hAnsi="Arial" w:cs="Arial"/>
          <w:bCs/>
          <w:sz w:val="22"/>
          <w:szCs w:val="22"/>
          <w:lang w:val="en-US"/>
        </w:rPr>
        <w:t xml:space="preserve">should </w:t>
      </w:r>
      <w:r w:rsidR="007F094A" w:rsidRPr="00924A44">
        <w:rPr>
          <w:rFonts w:ascii="Arial" w:hAnsi="Arial" w:cs="Arial"/>
          <w:bCs/>
          <w:sz w:val="22"/>
          <w:szCs w:val="22"/>
          <w:lang w:val="en-US"/>
        </w:rPr>
        <w:t xml:space="preserve">the </w:t>
      </w:r>
      <w:r w:rsidRPr="00924A44">
        <w:rPr>
          <w:rFonts w:ascii="Arial" w:hAnsi="Arial" w:cs="Arial"/>
          <w:bCs/>
          <w:sz w:val="22"/>
          <w:szCs w:val="22"/>
          <w:lang w:val="en-US"/>
        </w:rPr>
        <w:t xml:space="preserve">Member States decide to convene </w:t>
      </w:r>
      <w:r w:rsidR="007F094A" w:rsidRPr="00924A44">
        <w:rPr>
          <w:rFonts w:ascii="Arial" w:hAnsi="Arial" w:cs="Arial"/>
          <w:bCs/>
          <w:sz w:val="22"/>
          <w:szCs w:val="22"/>
          <w:lang w:val="en-US"/>
        </w:rPr>
        <w:t xml:space="preserve">a Diplomatic Conference in the </w:t>
      </w:r>
      <w:r w:rsidRPr="00924A44">
        <w:rPr>
          <w:rFonts w:ascii="Arial" w:hAnsi="Arial" w:cs="Arial"/>
          <w:bCs/>
          <w:sz w:val="22"/>
          <w:szCs w:val="22"/>
          <w:lang w:val="en-US"/>
        </w:rPr>
        <w:t>2016/17 biennium;</w:t>
      </w:r>
    </w:p>
    <w:p w:rsidR="001C28DF" w:rsidRPr="00924A44" w:rsidRDefault="001C28DF" w:rsidP="00203CC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Cs/>
          <w:sz w:val="22"/>
          <w:szCs w:val="22"/>
          <w:lang w:val="en-US"/>
        </w:rPr>
      </w:pPr>
      <w:proofErr w:type="gramStart"/>
      <w:r w:rsidRPr="00924A44">
        <w:rPr>
          <w:rFonts w:ascii="Arial" w:hAnsi="Arial" w:cs="Arial"/>
          <w:bCs/>
          <w:sz w:val="22"/>
          <w:szCs w:val="22"/>
          <w:lang w:val="en-US"/>
        </w:rPr>
        <w:t>a</w:t>
      </w:r>
      <w:proofErr w:type="gramEnd"/>
      <w:r w:rsidRPr="00924A44">
        <w:rPr>
          <w:rFonts w:ascii="Arial" w:hAnsi="Arial" w:cs="Arial"/>
          <w:bCs/>
          <w:sz w:val="22"/>
          <w:szCs w:val="22"/>
          <w:lang w:val="en-US"/>
        </w:rPr>
        <w:t xml:space="preserve"> provision </w:t>
      </w:r>
      <w:r w:rsidR="007F094A" w:rsidRPr="00924A44">
        <w:rPr>
          <w:rFonts w:ascii="Arial" w:hAnsi="Arial" w:cs="Arial"/>
          <w:bCs/>
          <w:sz w:val="22"/>
          <w:szCs w:val="22"/>
          <w:lang w:val="en-US"/>
        </w:rPr>
        <w:t xml:space="preserve">of 1 million Swiss francs should the Member States decide to </w:t>
      </w:r>
      <w:r w:rsidRPr="00924A44">
        <w:rPr>
          <w:rFonts w:ascii="Arial" w:hAnsi="Arial" w:cs="Arial"/>
          <w:bCs/>
          <w:sz w:val="22"/>
          <w:szCs w:val="22"/>
          <w:lang w:val="en-US"/>
        </w:rPr>
        <w:t xml:space="preserve">open new External Offices. </w:t>
      </w:r>
    </w:p>
    <w:p w:rsidR="00C25DAA" w:rsidRPr="00924A44" w:rsidRDefault="00C25DAA" w:rsidP="00203CC7"/>
    <w:p w:rsidR="007F094A" w:rsidRPr="00924A44" w:rsidRDefault="007F094A" w:rsidP="00203CC7">
      <w:pPr>
        <w:pStyle w:val="ONUME"/>
        <w:numPr>
          <w:ilvl w:val="0"/>
          <w:numId w:val="0"/>
        </w:numPr>
        <w:spacing w:after="0"/>
        <w:rPr>
          <w:b/>
          <w:bCs/>
        </w:rPr>
      </w:pPr>
    </w:p>
    <w:p w:rsidR="00C25DAA" w:rsidRPr="00924A44" w:rsidRDefault="007D5422" w:rsidP="00203CC7">
      <w:pPr>
        <w:pStyle w:val="ONUME"/>
        <w:numPr>
          <w:ilvl w:val="0"/>
          <w:numId w:val="0"/>
        </w:numPr>
        <w:rPr>
          <w:b/>
          <w:bCs/>
        </w:rPr>
      </w:pPr>
      <w:r w:rsidRPr="00924A44">
        <w:rPr>
          <w:b/>
          <w:bCs/>
        </w:rPr>
        <w:t>Q</w:t>
      </w:r>
      <w:r w:rsidR="00057080" w:rsidRPr="00924A44">
        <w:rPr>
          <w:b/>
          <w:bCs/>
        </w:rPr>
        <w:t>2</w:t>
      </w:r>
      <w:r w:rsidRPr="00924A44">
        <w:rPr>
          <w:b/>
          <w:bCs/>
        </w:rPr>
        <w:t xml:space="preserve">:  </w:t>
      </w:r>
      <w:r w:rsidR="00750A03" w:rsidRPr="00924A44">
        <w:rPr>
          <w:b/>
        </w:rPr>
        <w:t xml:space="preserve">Does </w:t>
      </w:r>
      <w:r w:rsidR="00CA3786" w:rsidRPr="00924A44">
        <w:rPr>
          <w:b/>
        </w:rPr>
        <w:t>T</w:t>
      </w:r>
      <w:r w:rsidR="00750A03" w:rsidRPr="00924A44">
        <w:rPr>
          <w:b/>
        </w:rPr>
        <w:t xml:space="preserve">able 3 </w:t>
      </w:r>
      <w:r w:rsidR="00CA3786" w:rsidRPr="00924A44">
        <w:rPr>
          <w:b/>
        </w:rPr>
        <w:t xml:space="preserve">“Evolution of the Income of the Organization from 2006/07 to 2016/17” </w:t>
      </w:r>
      <w:r w:rsidR="00750A03" w:rsidRPr="00924A44">
        <w:rPr>
          <w:b/>
        </w:rPr>
        <w:t xml:space="preserve">include </w:t>
      </w:r>
      <w:r w:rsidR="00CA3786" w:rsidRPr="00924A44">
        <w:rPr>
          <w:b/>
        </w:rPr>
        <w:t xml:space="preserve">Funds-in-Trust related </w:t>
      </w:r>
      <w:r w:rsidR="00750A03" w:rsidRPr="00924A44">
        <w:rPr>
          <w:b/>
        </w:rPr>
        <w:t>income</w:t>
      </w:r>
      <w:r w:rsidR="00C25DAA" w:rsidRPr="00924A44">
        <w:rPr>
          <w:b/>
        </w:rPr>
        <w:t xml:space="preserve">? </w:t>
      </w:r>
    </w:p>
    <w:p w:rsidR="00C25DAA" w:rsidRPr="00924A44" w:rsidRDefault="00C25DAA" w:rsidP="00203CC7">
      <w:r w:rsidRPr="00924A44">
        <w:rPr>
          <w:bCs/>
        </w:rPr>
        <w:t>A</w:t>
      </w:r>
      <w:r w:rsidR="00057080" w:rsidRPr="00924A44">
        <w:rPr>
          <w:bCs/>
        </w:rPr>
        <w:t>2</w:t>
      </w:r>
      <w:r w:rsidRPr="00924A44">
        <w:rPr>
          <w:bCs/>
        </w:rPr>
        <w:t>:</w:t>
      </w:r>
      <w:r w:rsidR="001C28DF" w:rsidRPr="00924A44">
        <w:rPr>
          <w:bCs/>
        </w:rPr>
        <w:t xml:space="preserve"> </w:t>
      </w:r>
      <w:r w:rsidR="007D5422" w:rsidRPr="00924A44">
        <w:rPr>
          <w:bCs/>
        </w:rPr>
        <w:t xml:space="preserve"> </w:t>
      </w:r>
      <w:r w:rsidRPr="00924A44">
        <w:rPr>
          <w:bCs/>
        </w:rPr>
        <w:t xml:space="preserve"> </w:t>
      </w:r>
      <w:r w:rsidRPr="00924A44">
        <w:t xml:space="preserve"> </w:t>
      </w:r>
      <w:r w:rsidR="009E5092" w:rsidRPr="00924A44">
        <w:t>No</w:t>
      </w:r>
      <w:r w:rsidR="007F094A" w:rsidRPr="00924A44">
        <w:t>.</w:t>
      </w:r>
      <w:r w:rsidR="009E5092" w:rsidRPr="00924A44">
        <w:t xml:space="preserve"> Table 3 deals with the Regular Budget only.  Annex VIII </w:t>
      </w:r>
      <w:r w:rsidR="007F094A" w:rsidRPr="00924A44">
        <w:t>provides a</w:t>
      </w:r>
      <w:r w:rsidR="00A6648F" w:rsidRPr="00924A44">
        <w:t xml:space="preserve">n estimation of </w:t>
      </w:r>
      <w:r w:rsidR="009E5092" w:rsidRPr="00924A44">
        <w:t>the Fun</w:t>
      </w:r>
      <w:r w:rsidR="00A6648F" w:rsidRPr="00924A44">
        <w:t>d</w:t>
      </w:r>
      <w:r w:rsidR="009E5092" w:rsidRPr="00924A44">
        <w:t>s</w:t>
      </w:r>
      <w:r w:rsidR="00CE4CDA">
        <w:t>-</w:t>
      </w:r>
      <w:r w:rsidR="009E5092" w:rsidRPr="00924A44">
        <w:t>in</w:t>
      </w:r>
      <w:r w:rsidR="00CE4CDA">
        <w:t>-</w:t>
      </w:r>
      <w:r w:rsidR="009E5092" w:rsidRPr="00924A44">
        <w:t>Trust Resources Potentially Available for Programming</w:t>
      </w:r>
      <w:r w:rsidR="00A6648F" w:rsidRPr="00924A44">
        <w:t xml:space="preserve"> in the biennium 2016/17</w:t>
      </w:r>
      <w:r w:rsidR="009E5092" w:rsidRPr="00924A44">
        <w:t>.</w:t>
      </w:r>
    </w:p>
    <w:p w:rsidR="00C25DAA" w:rsidRPr="00924A44" w:rsidRDefault="00C25DAA" w:rsidP="00203CC7"/>
    <w:p w:rsidR="00A6648F" w:rsidRPr="00924A44" w:rsidRDefault="00A6648F" w:rsidP="00203CC7"/>
    <w:p w:rsidR="00C25DAA" w:rsidRPr="00924A44" w:rsidRDefault="007D5422" w:rsidP="00203CC7">
      <w:pPr>
        <w:pStyle w:val="ONUME"/>
        <w:numPr>
          <w:ilvl w:val="0"/>
          <w:numId w:val="0"/>
        </w:numPr>
        <w:rPr>
          <w:b/>
        </w:rPr>
      </w:pPr>
      <w:r w:rsidRPr="00924A44">
        <w:rPr>
          <w:b/>
        </w:rPr>
        <w:t>Q</w:t>
      </w:r>
      <w:r w:rsidR="00057080" w:rsidRPr="00924A44">
        <w:rPr>
          <w:b/>
        </w:rPr>
        <w:t>3</w:t>
      </w:r>
      <w:r w:rsidRPr="00924A44">
        <w:rPr>
          <w:b/>
        </w:rPr>
        <w:t xml:space="preserve">:  </w:t>
      </w:r>
      <w:r w:rsidR="00CA3786" w:rsidRPr="00924A44">
        <w:rPr>
          <w:b/>
        </w:rPr>
        <w:t xml:space="preserve">Where are the </w:t>
      </w:r>
      <w:r w:rsidR="00E35715" w:rsidRPr="00924A44">
        <w:rPr>
          <w:b/>
        </w:rPr>
        <w:t>savings and cost efficiencies</w:t>
      </w:r>
      <w:r w:rsidR="00CA3786" w:rsidRPr="00924A44">
        <w:rPr>
          <w:b/>
        </w:rPr>
        <w:t xml:space="preserve"> in 2014 reported on</w:t>
      </w:r>
      <w:r w:rsidR="00E35715" w:rsidRPr="00924A44">
        <w:rPr>
          <w:b/>
        </w:rPr>
        <w:t>?</w:t>
      </w:r>
    </w:p>
    <w:p w:rsidR="00C25DAA" w:rsidRPr="00924A44" w:rsidRDefault="00C25DAA" w:rsidP="00203CC7">
      <w:r w:rsidRPr="00924A44">
        <w:t>A</w:t>
      </w:r>
      <w:r w:rsidR="00057080" w:rsidRPr="00924A44">
        <w:t>3</w:t>
      </w:r>
      <w:r w:rsidRPr="00924A44">
        <w:t xml:space="preserve">: </w:t>
      </w:r>
      <w:r w:rsidR="007D5422" w:rsidRPr="00924A44">
        <w:t xml:space="preserve"> </w:t>
      </w:r>
      <w:r w:rsidR="00A6648F" w:rsidRPr="00924A44">
        <w:t>The savings and cost efficiencies realized in 2014 are reported on in the Program Performance Report 2014. A separate information paper will be made available during the 23</w:t>
      </w:r>
      <w:r w:rsidR="00A6648F" w:rsidRPr="00924A44">
        <w:rPr>
          <w:vertAlign w:val="superscript"/>
        </w:rPr>
        <w:t>rd</w:t>
      </w:r>
      <w:r w:rsidR="009F2920">
        <w:rPr>
          <w:vertAlign w:val="superscript"/>
        </w:rPr>
        <w:t> </w:t>
      </w:r>
      <w:r w:rsidR="00A6648F" w:rsidRPr="00924A44">
        <w:t xml:space="preserve">session of the PBC providing a consolidated overview of </w:t>
      </w:r>
      <w:r w:rsidR="006D3956">
        <w:t xml:space="preserve">savings and </w:t>
      </w:r>
      <w:r w:rsidR="00A6648F" w:rsidRPr="00924A44">
        <w:t xml:space="preserve">cost </w:t>
      </w:r>
      <w:r w:rsidR="006D3956">
        <w:t xml:space="preserve">efficiencies </w:t>
      </w:r>
      <w:r w:rsidR="00A6648F" w:rsidRPr="00924A44">
        <w:t xml:space="preserve">realized in 2014 and/or </w:t>
      </w:r>
      <w:proofErr w:type="spellStart"/>
      <w:r w:rsidR="00A6648F" w:rsidRPr="00924A44">
        <w:t>baselined</w:t>
      </w:r>
      <w:proofErr w:type="spellEnd"/>
      <w:r w:rsidR="00A6648F" w:rsidRPr="00924A44">
        <w:t xml:space="preserve"> in the proposed Program and Budget 2016/17.</w:t>
      </w:r>
      <w:r w:rsidRPr="00924A44">
        <w:t xml:space="preserve">  </w:t>
      </w:r>
    </w:p>
    <w:p w:rsidR="009B77F8" w:rsidRDefault="009B77F8" w:rsidP="00203CC7">
      <w:pPr>
        <w:pStyle w:val="PlainText"/>
        <w:rPr>
          <w:rFonts w:ascii="Arial" w:hAnsi="Arial" w:cs="Arial"/>
          <w:b/>
          <w:bCs/>
          <w:iCs/>
        </w:rPr>
      </w:pPr>
    </w:p>
    <w:p w:rsidR="00F364D6" w:rsidRDefault="00F364D6" w:rsidP="00203CC7">
      <w:pPr>
        <w:pStyle w:val="PlainText"/>
        <w:rPr>
          <w:rFonts w:ascii="Arial" w:hAnsi="Arial" w:cs="Arial"/>
          <w:b/>
          <w:bCs/>
          <w:iCs/>
        </w:rPr>
      </w:pPr>
    </w:p>
    <w:p w:rsidR="003F2BB6" w:rsidRPr="00924A44" w:rsidRDefault="003F2BB6" w:rsidP="00203CC7">
      <w:pPr>
        <w:pStyle w:val="PlainText"/>
        <w:rPr>
          <w:rFonts w:ascii="Arial" w:eastAsia="SimSun" w:hAnsi="Arial" w:cs="Arial"/>
          <w:b/>
          <w:szCs w:val="20"/>
          <w:lang w:eastAsia="zh-CN"/>
        </w:rPr>
      </w:pPr>
      <w:r w:rsidRPr="00924A44">
        <w:rPr>
          <w:rFonts w:ascii="Arial" w:hAnsi="Arial" w:cs="Arial"/>
          <w:b/>
          <w:bCs/>
          <w:iCs/>
        </w:rPr>
        <w:t>Q</w:t>
      </w:r>
      <w:r w:rsidR="00057080" w:rsidRPr="00924A44">
        <w:rPr>
          <w:rFonts w:ascii="Arial" w:hAnsi="Arial" w:cs="Arial"/>
          <w:b/>
          <w:bCs/>
          <w:iCs/>
        </w:rPr>
        <w:t>4</w:t>
      </w:r>
      <w:r w:rsidRPr="00924A44">
        <w:rPr>
          <w:rFonts w:ascii="Arial" w:eastAsia="SimSun" w:hAnsi="Arial" w:cs="Arial"/>
          <w:b/>
          <w:szCs w:val="20"/>
          <w:lang w:eastAsia="zh-CN"/>
        </w:rPr>
        <w:t xml:space="preserve">: </w:t>
      </w:r>
      <w:r w:rsidR="005A4BF7" w:rsidRPr="00924A44">
        <w:rPr>
          <w:rFonts w:ascii="Arial" w:eastAsia="SimSun" w:hAnsi="Arial" w:cs="Arial"/>
          <w:b/>
          <w:szCs w:val="20"/>
          <w:lang w:eastAsia="zh-CN"/>
        </w:rPr>
        <w:t xml:space="preserve"> Wh</w:t>
      </w:r>
      <w:r w:rsidR="00D45E73" w:rsidRPr="00924A44">
        <w:rPr>
          <w:rFonts w:ascii="Arial" w:eastAsia="SimSun" w:hAnsi="Arial" w:cs="Arial"/>
          <w:b/>
          <w:szCs w:val="20"/>
          <w:lang w:eastAsia="zh-CN"/>
        </w:rPr>
        <w:t xml:space="preserve">at are the main drivers for the proposed </w:t>
      </w:r>
      <w:r w:rsidR="00CA3786" w:rsidRPr="00924A44">
        <w:rPr>
          <w:rFonts w:ascii="Arial" w:eastAsia="SimSun" w:hAnsi="Arial" w:cs="Arial"/>
          <w:b/>
          <w:szCs w:val="20"/>
          <w:lang w:eastAsia="zh-CN"/>
        </w:rPr>
        <w:t xml:space="preserve">4.9% </w:t>
      </w:r>
      <w:r w:rsidR="00D45E73" w:rsidRPr="00924A44">
        <w:rPr>
          <w:rFonts w:ascii="Arial" w:eastAsia="SimSun" w:hAnsi="Arial" w:cs="Arial"/>
          <w:b/>
          <w:szCs w:val="20"/>
          <w:lang w:eastAsia="zh-CN"/>
        </w:rPr>
        <w:t xml:space="preserve">increase in the budget </w:t>
      </w:r>
      <w:r w:rsidR="00CA3786" w:rsidRPr="00924A44">
        <w:rPr>
          <w:rFonts w:ascii="Arial" w:eastAsia="SimSun" w:hAnsi="Arial" w:cs="Arial"/>
          <w:b/>
          <w:szCs w:val="20"/>
          <w:lang w:eastAsia="zh-CN"/>
        </w:rPr>
        <w:t>for 2016/17</w:t>
      </w:r>
      <w:r w:rsidR="009B77F8">
        <w:rPr>
          <w:rFonts w:ascii="Arial" w:eastAsia="SimSun" w:hAnsi="Arial" w:cs="Arial"/>
          <w:b/>
          <w:szCs w:val="20"/>
          <w:lang w:eastAsia="zh-CN"/>
        </w:rPr>
        <w:t>?</w:t>
      </w:r>
    </w:p>
    <w:p w:rsidR="00D45E73" w:rsidRPr="00924A44" w:rsidRDefault="00D45E73" w:rsidP="00203CC7">
      <w:pPr>
        <w:pStyle w:val="PlainText"/>
        <w:rPr>
          <w:rFonts w:ascii="Arial" w:hAnsi="Arial" w:cs="Arial"/>
          <w:b/>
          <w:bCs/>
          <w:i/>
          <w:iCs/>
        </w:rPr>
      </w:pPr>
    </w:p>
    <w:p w:rsidR="00283E88" w:rsidRPr="00924A44" w:rsidRDefault="003F2BB6" w:rsidP="00203CC7">
      <w:pPr>
        <w:pStyle w:val="PlainText"/>
        <w:rPr>
          <w:rFonts w:ascii="Arial" w:hAnsi="Arial" w:cs="Arial"/>
        </w:rPr>
      </w:pPr>
      <w:r w:rsidRPr="00924A44">
        <w:rPr>
          <w:rFonts w:ascii="Arial" w:hAnsi="Arial" w:cs="Arial"/>
          <w:bCs/>
        </w:rPr>
        <w:t>A</w:t>
      </w:r>
      <w:r w:rsidR="00057080" w:rsidRPr="00924A44">
        <w:rPr>
          <w:rFonts w:ascii="Arial" w:hAnsi="Arial" w:cs="Arial"/>
          <w:bCs/>
        </w:rPr>
        <w:t>4</w:t>
      </w:r>
      <w:r w:rsidRPr="00924A44">
        <w:rPr>
          <w:rFonts w:ascii="Arial" w:hAnsi="Arial" w:cs="Arial"/>
          <w:bCs/>
        </w:rPr>
        <w:t>:</w:t>
      </w:r>
      <w:r w:rsidR="00940E44" w:rsidRPr="00924A44">
        <w:rPr>
          <w:rFonts w:ascii="Arial" w:hAnsi="Arial" w:cs="Arial"/>
        </w:rPr>
        <w:t xml:space="preserve">   </w:t>
      </w:r>
      <w:r w:rsidR="000541CF" w:rsidRPr="00924A44">
        <w:rPr>
          <w:rFonts w:ascii="Arial" w:hAnsi="Arial" w:cs="Arial"/>
        </w:rPr>
        <w:t>Paragraphs 17-39 provide the</w:t>
      </w:r>
      <w:r w:rsidR="00940E44" w:rsidRPr="00924A44">
        <w:rPr>
          <w:rFonts w:ascii="Arial" w:hAnsi="Arial" w:cs="Arial"/>
        </w:rPr>
        <w:t xml:space="preserve"> summary of key priorities in the 2016/17 biennium</w:t>
      </w:r>
      <w:r w:rsidR="00283E88" w:rsidRPr="00924A44">
        <w:rPr>
          <w:rFonts w:ascii="Arial" w:hAnsi="Arial" w:cs="Arial"/>
        </w:rPr>
        <w:t xml:space="preserve">.  Table 5 </w:t>
      </w:r>
      <w:r w:rsidR="00195A27">
        <w:rPr>
          <w:rFonts w:ascii="Arial" w:hAnsi="Arial" w:cs="Arial"/>
        </w:rPr>
        <w:t xml:space="preserve">in the Financial and Results Overview </w:t>
      </w:r>
      <w:r w:rsidR="00283E88" w:rsidRPr="00924A44">
        <w:rPr>
          <w:rFonts w:ascii="Arial" w:hAnsi="Arial" w:cs="Arial"/>
        </w:rPr>
        <w:t xml:space="preserve">and Table 9 </w:t>
      </w:r>
      <w:r w:rsidR="00195A27">
        <w:rPr>
          <w:rFonts w:ascii="Arial" w:hAnsi="Arial" w:cs="Arial"/>
        </w:rPr>
        <w:t xml:space="preserve">in Annex II </w:t>
      </w:r>
      <w:r w:rsidR="00283E88" w:rsidRPr="00924A44">
        <w:rPr>
          <w:rFonts w:ascii="Arial" w:hAnsi="Arial" w:cs="Arial"/>
        </w:rPr>
        <w:t xml:space="preserve">provide the comparisons of the 2016/17 Budget with the 2014/15 Budget after Transfers by cost categories and </w:t>
      </w:r>
      <w:r w:rsidR="00BB6204">
        <w:rPr>
          <w:rFonts w:ascii="Arial" w:hAnsi="Arial" w:cs="Arial"/>
        </w:rPr>
        <w:t>P</w:t>
      </w:r>
      <w:r w:rsidR="00283E88" w:rsidRPr="00924A44">
        <w:rPr>
          <w:rFonts w:ascii="Arial" w:hAnsi="Arial" w:cs="Arial"/>
        </w:rPr>
        <w:t>rograms, respectively.</w:t>
      </w:r>
    </w:p>
    <w:p w:rsidR="00283E88" w:rsidRPr="00924A44" w:rsidRDefault="00283E88" w:rsidP="00203CC7">
      <w:pPr>
        <w:pStyle w:val="PlainText"/>
        <w:rPr>
          <w:rFonts w:ascii="Arial" w:hAnsi="Arial" w:cs="Arial"/>
        </w:rPr>
      </w:pPr>
    </w:p>
    <w:p w:rsidR="000541CF" w:rsidRPr="00924A44" w:rsidRDefault="000541CF" w:rsidP="00203CC7">
      <w:pPr>
        <w:pStyle w:val="PlainText"/>
        <w:rPr>
          <w:rFonts w:ascii="Arial" w:hAnsi="Arial" w:cs="Arial"/>
        </w:rPr>
      </w:pPr>
      <w:r w:rsidRPr="00924A44">
        <w:rPr>
          <w:rFonts w:ascii="Arial" w:hAnsi="Arial" w:cs="Arial"/>
        </w:rPr>
        <w:t xml:space="preserve">The main drivers for the increases in personnel resources are summarized in </w:t>
      </w:r>
      <w:r w:rsidR="00195A27">
        <w:rPr>
          <w:rFonts w:ascii="Arial" w:hAnsi="Arial" w:cs="Arial"/>
        </w:rPr>
        <w:t xml:space="preserve">the Planning Assumptions for Personnel Costs in </w:t>
      </w:r>
      <w:r w:rsidRPr="00924A44">
        <w:rPr>
          <w:rFonts w:ascii="Arial" w:hAnsi="Arial" w:cs="Arial"/>
        </w:rPr>
        <w:t>paragraphs 53-59.  No new positions are foreseen in 2016/17</w:t>
      </w:r>
      <w:r w:rsidR="00195A27">
        <w:rPr>
          <w:rFonts w:ascii="Arial" w:hAnsi="Arial" w:cs="Arial"/>
        </w:rPr>
        <w:t xml:space="preserve"> (paragraph 57 refers)</w:t>
      </w:r>
      <w:r w:rsidRPr="00924A44">
        <w:rPr>
          <w:rFonts w:ascii="Arial" w:hAnsi="Arial" w:cs="Arial"/>
        </w:rPr>
        <w:t>.  Increases in personnel costs are primarily due to</w:t>
      </w:r>
      <w:r w:rsidR="00541486" w:rsidRPr="00924A44">
        <w:rPr>
          <w:rFonts w:ascii="Arial" w:hAnsi="Arial" w:cs="Arial"/>
        </w:rPr>
        <w:t xml:space="preserve"> statutory increases</w:t>
      </w:r>
      <w:r w:rsidR="00BB6204">
        <w:rPr>
          <w:rFonts w:ascii="Arial" w:hAnsi="Arial" w:cs="Arial"/>
        </w:rPr>
        <w:t xml:space="preserve"> and</w:t>
      </w:r>
      <w:r w:rsidR="00541486" w:rsidRPr="00924A44">
        <w:rPr>
          <w:rFonts w:ascii="Arial" w:hAnsi="Arial" w:cs="Arial"/>
        </w:rPr>
        <w:t xml:space="preserve"> </w:t>
      </w:r>
      <w:r w:rsidRPr="00924A44">
        <w:rPr>
          <w:rFonts w:ascii="Arial" w:hAnsi="Arial" w:cs="Arial"/>
        </w:rPr>
        <w:t>completed regularizations</w:t>
      </w:r>
      <w:r w:rsidR="00541486" w:rsidRPr="00924A44">
        <w:rPr>
          <w:rFonts w:ascii="Arial" w:hAnsi="Arial" w:cs="Arial"/>
        </w:rPr>
        <w:t xml:space="preserve"> (</w:t>
      </w:r>
      <w:r w:rsidRPr="00924A44">
        <w:rPr>
          <w:rFonts w:ascii="Arial" w:hAnsi="Arial" w:cs="Arial"/>
        </w:rPr>
        <w:t>offset by reductions under “temporary staff” cost ca</w:t>
      </w:r>
      <w:r w:rsidR="00541486" w:rsidRPr="00924A44">
        <w:rPr>
          <w:rFonts w:ascii="Arial" w:hAnsi="Arial" w:cs="Arial"/>
        </w:rPr>
        <w:t>tegory).</w:t>
      </w:r>
    </w:p>
    <w:p w:rsidR="000541CF" w:rsidRPr="00924A44" w:rsidRDefault="000541CF" w:rsidP="00203CC7">
      <w:pPr>
        <w:pStyle w:val="PlainText"/>
        <w:rPr>
          <w:rFonts w:ascii="Arial" w:hAnsi="Arial" w:cs="Arial"/>
        </w:rPr>
      </w:pPr>
    </w:p>
    <w:p w:rsidR="003F2BB6" w:rsidRPr="00924A44" w:rsidRDefault="00472E81" w:rsidP="00203CC7">
      <w:pPr>
        <w:pStyle w:val="PlainText"/>
        <w:rPr>
          <w:rFonts w:ascii="Arial" w:hAnsi="Arial" w:cs="Arial"/>
        </w:rPr>
      </w:pPr>
      <w:r w:rsidRPr="00924A44">
        <w:rPr>
          <w:rFonts w:ascii="Arial" w:hAnsi="Arial" w:cs="Arial"/>
        </w:rPr>
        <w:lastRenderedPageBreak/>
        <w:t>The main drivers for the increases in non-personnel cost are</w:t>
      </w:r>
      <w:r w:rsidR="005A7892" w:rsidRPr="00924A44">
        <w:rPr>
          <w:rFonts w:ascii="Arial" w:hAnsi="Arial" w:cs="Arial"/>
        </w:rPr>
        <w:t xml:space="preserve"> summarized in paragraphs 40-44.</w:t>
      </w:r>
      <w:r w:rsidR="00940E44" w:rsidRPr="00924A44">
        <w:rPr>
          <w:rFonts w:ascii="Arial" w:hAnsi="Arial" w:cs="Arial"/>
        </w:rPr>
        <w:t xml:space="preserve"> The notable increases on a net basi</w:t>
      </w:r>
      <w:r w:rsidR="008740D7" w:rsidRPr="00924A44">
        <w:rPr>
          <w:rFonts w:ascii="Arial" w:hAnsi="Arial" w:cs="Arial"/>
        </w:rPr>
        <w:t>s on non-personnel resources are</w:t>
      </w:r>
      <w:r w:rsidR="00940E44" w:rsidRPr="00924A44">
        <w:rPr>
          <w:rFonts w:ascii="Arial" w:hAnsi="Arial" w:cs="Arial"/>
        </w:rPr>
        <w:t xml:space="preserve"> under Program 5 PCT (</w:t>
      </w:r>
      <w:r w:rsidR="00195A27">
        <w:rPr>
          <w:rFonts w:ascii="Arial" w:hAnsi="Arial" w:cs="Arial"/>
        </w:rPr>
        <w:t>5.6</w:t>
      </w:r>
      <w:r w:rsidR="008740D7" w:rsidRPr="00924A44">
        <w:rPr>
          <w:rFonts w:ascii="Arial" w:hAnsi="Arial" w:cs="Arial"/>
        </w:rPr>
        <w:t xml:space="preserve"> million Swiss francs</w:t>
      </w:r>
      <w:r w:rsidR="00940E44" w:rsidRPr="00924A44">
        <w:rPr>
          <w:rFonts w:ascii="Arial" w:hAnsi="Arial" w:cs="Arial"/>
        </w:rPr>
        <w:t>)</w:t>
      </w:r>
      <w:r w:rsidR="005A7892" w:rsidRPr="00924A44">
        <w:rPr>
          <w:rFonts w:ascii="Arial" w:hAnsi="Arial" w:cs="Arial"/>
        </w:rPr>
        <w:t xml:space="preserve">, mainly due to the increase </w:t>
      </w:r>
      <w:r w:rsidR="003227DB">
        <w:rPr>
          <w:rFonts w:ascii="Arial" w:hAnsi="Arial" w:cs="Arial"/>
        </w:rPr>
        <w:t xml:space="preserve">in </w:t>
      </w:r>
      <w:r w:rsidR="005A7892" w:rsidRPr="00924A44">
        <w:rPr>
          <w:rFonts w:ascii="Arial" w:hAnsi="Arial" w:cs="Arial"/>
        </w:rPr>
        <w:t>the PCT translation volumes and provisions for the strengthening of PCT resilience;</w:t>
      </w:r>
      <w:r w:rsidR="00940E44" w:rsidRPr="00924A44">
        <w:rPr>
          <w:rFonts w:ascii="Arial" w:hAnsi="Arial" w:cs="Arial"/>
        </w:rPr>
        <w:t xml:space="preserve"> Program 6 Madrid and Lisbon Systems (</w:t>
      </w:r>
      <w:r w:rsidR="008740D7" w:rsidRPr="00924A44">
        <w:rPr>
          <w:rFonts w:ascii="Arial" w:hAnsi="Arial" w:cs="Arial"/>
        </w:rPr>
        <w:t>2.</w:t>
      </w:r>
      <w:r w:rsidR="00195A27">
        <w:rPr>
          <w:rFonts w:ascii="Arial" w:hAnsi="Arial" w:cs="Arial"/>
        </w:rPr>
        <w:t>5</w:t>
      </w:r>
      <w:r w:rsidR="009F2920">
        <w:rPr>
          <w:rFonts w:ascii="Arial" w:hAnsi="Arial" w:cs="Arial"/>
        </w:rPr>
        <w:t> </w:t>
      </w:r>
      <w:r w:rsidR="008740D7" w:rsidRPr="00924A44">
        <w:rPr>
          <w:rFonts w:ascii="Arial" w:hAnsi="Arial" w:cs="Arial"/>
        </w:rPr>
        <w:t>million Swiss francs</w:t>
      </w:r>
      <w:r w:rsidR="00940E44" w:rsidRPr="00924A44">
        <w:rPr>
          <w:rFonts w:ascii="Arial" w:hAnsi="Arial" w:cs="Arial"/>
        </w:rPr>
        <w:t>)</w:t>
      </w:r>
      <w:r w:rsidR="005A7892" w:rsidRPr="00924A44">
        <w:rPr>
          <w:rFonts w:ascii="Arial" w:hAnsi="Arial" w:cs="Arial"/>
        </w:rPr>
        <w:t>, mainly due to the expanding membership of the Madrid System and enhancement of the operational efficiencies of the system;</w:t>
      </w:r>
      <w:r w:rsidR="00940E44" w:rsidRPr="00924A44">
        <w:rPr>
          <w:rFonts w:ascii="Arial" w:hAnsi="Arial" w:cs="Arial"/>
        </w:rPr>
        <w:t xml:space="preserve"> Program 25 ICT (</w:t>
      </w:r>
      <w:r w:rsidR="00195A27">
        <w:rPr>
          <w:rFonts w:ascii="Arial" w:hAnsi="Arial" w:cs="Arial"/>
        </w:rPr>
        <w:t>6.9</w:t>
      </w:r>
      <w:r w:rsidR="00540062" w:rsidRPr="00924A44">
        <w:rPr>
          <w:rFonts w:ascii="Arial" w:hAnsi="Arial" w:cs="Arial"/>
        </w:rPr>
        <w:t xml:space="preserve"> million Swiss francs</w:t>
      </w:r>
      <w:r w:rsidR="00940E44" w:rsidRPr="00924A44">
        <w:rPr>
          <w:rFonts w:ascii="Arial" w:hAnsi="Arial" w:cs="Arial"/>
        </w:rPr>
        <w:t>)</w:t>
      </w:r>
      <w:r w:rsidR="005A7892" w:rsidRPr="00924A44">
        <w:rPr>
          <w:rFonts w:ascii="Arial" w:hAnsi="Arial" w:cs="Arial"/>
        </w:rPr>
        <w:t>, mainly due to the increased dependence on reliable and effective ICT infrastructure and services;</w:t>
      </w:r>
      <w:r w:rsidR="00940E44" w:rsidRPr="00924A44">
        <w:rPr>
          <w:rFonts w:ascii="Arial" w:hAnsi="Arial" w:cs="Arial"/>
        </w:rPr>
        <w:t xml:space="preserve"> Program 28 Information Assurance, Safety and Security (</w:t>
      </w:r>
      <w:r w:rsidR="00195A27">
        <w:rPr>
          <w:rFonts w:ascii="Arial" w:hAnsi="Arial" w:cs="Arial"/>
        </w:rPr>
        <w:t>3.9</w:t>
      </w:r>
      <w:r w:rsidR="008E64D0" w:rsidRPr="00924A44">
        <w:rPr>
          <w:rFonts w:ascii="Arial" w:hAnsi="Arial" w:cs="Arial"/>
        </w:rPr>
        <w:t xml:space="preserve"> million Swiss francs</w:t>
      </w:r>
      <w:r w:rsidR="00940E44" w:rsidRPr="00924A44">
        <w:rPr>
          <w:rFonts w:ascii="Arial" w:hAnsi="Arial" w:cs="Arial"/>
        </w:rPr>
        <w:t>)</w:t>
      </w:r>
      <w:r w:rsidR="00142EFB" w:rsidRPr="00924A44">
        <w:rPr>
          <w:rFonts w:ascii="Arial" w:hAnsi="Arial" w:cs="Arial"/>
        </w:rPr>
        <w:t>, mainly for the implementation of the Information Assurance strategies in 2016/17;</w:t>
      </w:r>
      <w:r w:rsidR="00940E44" w:rsidRPr="00924A44">
        <w:rPr>
          <w:rFonts w:ascii="Arial" w:hAnsi="Arial" w:cs="Arial"/>
        </w:rPr>
        <w:t xml:space="preserve"> and Program</w:t>
      </w:r>
      <w:r w:rsidR="00F04A9A">
        <w:rPr>
          <w:rFonts w:ascii="Arial" w:hAnsi="Arial" w:cs="Arial"/>
        </w:rPr>
        <w:t> </w:t>
      </w:r>
      <w:r w:rsidR="00940E44" w:rsidRPr="00924A44">
        <w:rPr>
          <w:rFonts w:ascii="Arial" w:hAnsi="Arial" w:cs="Arial"/>
        </w:rPr>
        <w:t>22 Program and Resource Management (</w:t>
      </w:r>
      <w:r w:rsidR="00195A27">
        <w:rPr>
          <w:rFonts w:ascii="Arial" w:hAnsi="Arial" w:cs="Arial"/>
        </w:rPr>
        <w:t>4</w:t>
      </w:r>
      <w:r w:rsidR="00940E44" w:rsidRPr="00924A44">
        <w:rPr>
          <w:rFonts w:ascii="Arial" w:hAnsi="Arial" w:cs="Arial"/>
        </w:rPr>
        <w:t xml:space="preserve"> </w:t>
      </w:r>
      <w:r w:rsidR="00022153" w:rsidRPr="00924A44">
        <w:rPr>
          <w:rFonts w:ascii="Arial" w:hAnsi="Arial" w:cs="Arial"/>
        </w:rPr>
        <w:t>million Swiss francs</w:t>
      </w:r>
      <w:r w:rsidR="00940E44" w:rsidRPr="00924A44">
        <w:rPr>
          <w:rFonts w:ascii="Arial" w:hAnsi="Arial" w:cs="Arial"/>
        </w:rPr>
        <w:t>)</w:t>
      </w:r>
      <w:r w:rsidR="00084D59" w:rsidRPr="00924A44">
        <w:rPr>
          <w:rFonts w:ascii="Arial" w:hAnsi="Arial" w:cs="Arial"/>
        </w:rPr>
        <w:t>, mainly due to the absorption in operations of the new modules and capabilities of the ERP system and the provisions for the negative interest rates on Swiss franc deposits</w:t>
      </w:r>
      <w:r w:rsidR="00940E44" w:rsidRPr="00924A44">
        <w:rPr>
          <w:rFonts w:ascii="Arial" w:hAnsi="Arial" w:cs="Arial"/>
        </w:rPr>
        <w:t>.</w:t>
      </w:r>
    </w:p>
    <w:p w:rsidR="003F2BB6" w:rsidRPr="00924A44" w:rsidRDefault="003F2BB6" w:rsidP="00203CC7">
      <w:pPr>
        <w:pStyle w:val="PlainText"/>
        <w:rPr>
          <w:rFonts w:ascii="Arial" w:hAnsi="Arial" w:cs="Arial"/>
        </w:rPr>
      </w:pPr>
    </w:p>
    <w:p w:rsidR="002C06D4" w:rsidRPr="00924A44" w:rsidRDefault="002C06D4" w:rsidP="00203CC7">
      <w:pPr>
        <w:widowControl w:val="0"/>
        <w:tabs>
          <w:tab w:val="num" w:pos="720"/>
        </w:tabs>
        <w:rPr>
          <w:b/>
        </w:rPr>
      </w:pPr>
    </w:p>
    <w:p w:rsidR="002F446C" w:rsidRPr="00924A44" w:rsidRDefault="002F446C" w:rsidP="00203CC7">
      <w:pPr>
        <w:widowControl w:val="0"/>
        <w:tabs>
          <w:tab w:val="num" w:pos="720"/>
        </w:tabs>
        <w:rPr>
          <w:b/>
        </w:rPr>
      </w:pPr>
      <w:r w:rsidRPr="00924A44">
        <w:rPr>
          <w:b/>
        </w:rPr>
        <w:t>Q</w:t>
      </w:r>
      <w:r w:rsidR="00057080" w:rsidRPr="00924A44">
        <w:rPr>
          <w:b/>
        </w:rPr>
        <w:t>5</w:t>
      </w:r>
      <w:r w:rsidRPr="00924A44">
        <w:rPr>
          <w:b/>
        </w:rPr>
        <w:t>: One of the main drivers for the expenditure increase</w:t>
      </w:r>
      <w:r w:rsidR="00057080" w:rsidRPr="00924A44">
        <w:rPr>
          <w:b/>
        </w:rPr>
        <w:t xml:space="preserve"> </w:t>
      </w:r>
      <w:r w:rsidR="00195A27">
        <w:rPr>
          <w:b/>
        </w:rPr>
        <w:t>is</w:t>
      </w:r>
      <w:r w:rsidRPr="00924A44">
        <w:rPr>
          <w:b/>
        </w:rPr>
        <w:t xml:space="preserve"> </w:t>
      </w:r>
      <w:r w:rsidR="00195A27">
        <w:rPr>
          <w:b/>
        </w:rPr>
        <w:t xml:space="preserve">the need to strengthen </w:t>
      </w:r>
      <w:r w:rsidRPr="00924A44">
        <w:rPr>
          <w:b/>
        </w:rPr>
        <w:t>I</w:t>
      </w:r>
      <w:r w:rsidR="00057080" w:rsidRPr="00924A44">
        <w:rPr>
          <w:b/>
        </w:rPr>
        <w:t>C</w:t>
      </w:r>
      <w:r w:rsidRPr="00924A44">
        <w:rPr>
          <w:b/>
        </w:rPr>
        <w:t xml:space="preserve">T and </w:t>
      </w:r>
      <w:r w:rsidR="00057080" w:rsidRPr="00924A44">
        <w:rPr>
          <w:b/>
        </w:rPr>
        <w:t xml:space="preserve">information </w:t>
      </w:r>
      <w:r w:rsidRPr="00924A44">
        <w:rPr>
          <w:b/>
        </w:rPr>
        <w:t xml:space="preserve">security. </w:t>
      </w:r>
      <w:r w:rsidR="00195A27">
        <w:rPr>
          <w:b/>
        </w:rPr>
        <w:t xml:space="preserve"> Is</w:t>
      </w:r>
      <w:r w:rsidRPr="00924A44">
        <w:rPr>
          <w:b/>
        </w:rPr>
        <w:t xml:space="preserve"> the</w:t>
      </w:r>
      <w:r w:rsidR="00195A27">
        <w:rPr>
          <w:b/>
        </w:rPr>
        <w:t xml:space="preserve"> related</w:t>
      </w:r>
      <w:r w:rsidRPr="00924A44">
        <w:rPr>
          <w:b/>
        </w:rPr>
        <w:t xml:space="preserve"> </w:t>
      </w:r>
      <w:r w:rsidR="00195A27">
        <w:rPr>
          <w:b/>
        </w:rPr>
        <w:t xml:space="preserve">proposed expenditure </w:t>
      </w:r>
      <w:r w:rsidRPr="00924A44">
        <w:rPr>
          <w:b/>
        </w:rPr>
        <w:t xml:space="preserve">different from the </w:t>
      </w:r>
      <w:r w:rsidR="00057080" w:rsidRPr="00924A44">
        <w:rPr>
          <w:b/>
        </w:rPr>
        <w:t xml:space="preserve">Capital Master Plan </w:t>
      </w:r>
      <w:r w:rsidRPr="00924A44">
        <w:rPr>
          <w:b/>
        </w:rPr>
        <w:t>projects</w:t>
      </w:r>
      <w:r w:rsidR="00057080" w:rsidRPr="00924A44">
        <w:rPr>
          <w:b/>
        </w:rPr>
        <w:t xml:space="preserve"> approved by the Member States in 2013 for </w:t>
      </w:r>
      <w:r w:rsidRPr="00924A44">
        <w:rPr>
          <w:b/>
        </w:rPr>
        <w:t>financ</w:t>
      </w:r>
      <w:r w:rsidR="00057080" w:rsidRPr="00924A44">
        <w:rPr>
          <w:b/>
        </w:rPr>
        <w:t>ing</w:t>
      </w:r>
      <w:r w:rsidRPr="00924A44">
        <w:rPr>
          <w:b/>
        </w:rPr>
        <w:t xml:space="preserve"> </w:t>
      </w:r>
      <w:r w:rsidR="00057080" w:rsidRPr="00924A44">
        <w:rPr>
          <w:b/>
        </w:rPr>
        <w:t>from</w:t>
      </w:r>
      <w:r w:rsidRPr="00924A44">
        <w:rPr>
          <w:b/>
        </w:rPr>
        <w:t xml:space="preserve"> the reserves</w:t>
      </w:r>
      <w:r w:rsidR="00057080" w:rsidRPr="00924A44">
        <w:rPr>
          <w:b/>
        </w:rPr>
        <w:t>?</w:t>
      </w:r>
      <w:r w:rsidRPr="00924A44">
        <w:rPr>
          <w:b/>
        </w:rPr>
        <w:t xml:space="preserve"> </w:t>
      </w:r>
    </w:p>
    <w:p w:rsidR="003227DB" w:rsidRDefault="003227DB" w:rsidP="00203CC7">
      <w:pPr>
        <w:pStyle w:val="PlainText"/>
        <w:rPr>
          <w:rFonts w:ascii="Arial" w:hAnsi="Arial" w:cs="Arial"/>
        </w:rPr>
      </w:pPr>
    </w:p>
    <w:p w:rsidR="002C06D4" w:rsidRPr="00924A44" w:rsidRDefault="002F446C" w:rsidP="00203CC7">
      <w:pPr>
        <w:pStyle w:val="PlainText"/>
        <w:rPr>
          <w:rFonts w:ascii="Arial" w:hAnsi="Arial" w:cs="Arial"/>
        </w:rPr>
      </w:pPr>
      <w:r w:rsidRPr="00924A44">
        <w:rPr>
          <w:rFonts w:ascii="Arial" w:hAnsi="Arial" w:cs="Arial"/>
        </w:rPr>
        <w:t>A</w:t>
      </w:r>
      <w:r w:rsidR="00057080" w:rsidRPr="00924A44">
        <w:rPr>
          <w:rFonts w:ascii="Arial" w:hAnsi="Arial" w:cs="Arial"/>
        </w:rPr>
        <w:t>5</w:t>
      </w:r>
      <w:r w:rsidRPr="00924A44">
        <w:rPr>
          <w:rFonts w:ascii="Arial" w:hAnsi="Arial" w:cs="Arial"/>
        </w:rPr>
        <w:t xml:space="preserve">: </w:t>
      </w:r>
      <w:r w:rsidR="002C06D4" w:rsidRPr="00924A44">
        <w:rPr>
          <w:rFonts w:ascii="Arial" w:hAnsi="Arial" w:cs="Arial"/>
        </w:rPr>
        <w:t>The ICT and information assurance investment are linked to the increased</w:t>
      </w:r>
      <w:r w:rsidR="00CA18C1">
        <w:rPr>
          <w:rFonts w:ascii="Arial" w:hAnsi="Arial" w:cs="Arial"/>
        </w:rPr>
        <w:t xml:space="preserve"> threat of cyber</w:t>
      </w:r>
      <w:r w:rsidR="001A1A76">
        <w:rPr>
          <w:rFonts w:ascii="Arial" w:hAnsi="Arial" w:cs="Arial"/>
        </w:rPr>
        <w:noBreakHyphen/>
      </w:r>
      <w:r w:rsidR="00CA18C1">
        <w:rPr>
          <w:rFonts w:ascii="Arial" w:hAnsi="Arial" w:cs="Arial"/>
        </w:rPr>
        <w:t>attacks</w:t>
      </w:r>
      <w:r w:rsidR="002C06D4" w:rsidRPr="00924A44">
        <w:rPr>
          <w:rFonts w:ascii="Arial" w:hAnsi="Arial" w:cs="Arial"/>
        </w:rPr>
        <w:t xml:space="preserve">, the need to strengthen organizational resilience, and the need to address the information assurance gaps identified </w:t>
      </w:r>
      <w:r w:rsidR="00A24EBC" w:rsidRPr="00924A44">
        <w:rPr>
          <w:rFonts w:ascii="Arial" w:hAnsi="Arial" w:cs="Arial"/>
        </w:rPr>
        <w:t>by</w:t>
      </w:r>
      <w:r w:rsidR="002C06D4" w:rsidRPr="00924A44">
        <w:rPr>
          <w:rFonts w:ascii="Arial" w:hAnsi="Arial" w:cs="Arial"/>
        </w:rPr>
        <w:t xml:space="preserve"> the information assurance audit conducted in 2013. </w:t>
      </w:r>
      <w:proofErr w:type="gramStart"/>
      <w:r w:rsidR="002C06D4" w:rsidRPr="00924A44">
        <w:rPr>
          <w:rFonts w:ascii="Arial" w:hAnsi="Arial" w:cs="Arial"/>
        </w:rPr>
        <w:t xml:space="preserve">The </w:t>
      </w:r>
      <w:r w:rsidR="00E6111F" w:rsidRPr="00924A44">
        <w:rPr>
          <w:rFonts w:ascii="Arial" w:hAnsi="Arial" w:cs="Arial"/>
        </w:rPr>
        <w:t>IT</w:t>
      </w:r>
      <w:proofErr w:type="gramEnd"/>
      <w:r w:rsidR="00E6111F" w:rsidRPr="00924A44">
        <w:rPr>
          <w:rFonts w:ascii="Arial" w:hAnsi="Arial" w:cs="Arial"/>
        </w:rPr>
        <w:t xml:space="preserve">-related </w:t>
      </w:r>
      <w:r w:rsidR="009F2920">
        <w:rPr>
          <w:rFonts w:ascii="Arial" w:hAnsi="Arial" w:cs="Arial"/>
        </w:rPr>
        <w:t>Capital Master P</w:t>
      </w:r>
      <w:r w:rsidR="002C06D4" w:rsidRPr="00924A44">
        <w:rPr>
          <w:rFonts w:ascii="Arial" w:hAnsi="Arial" w:cs="Arial"/>
        </w:rPr>
        <w:t xml:space="preserve">lan projects, approved by Member States for financing from the reserves in 2013 </w:t>
      </w:r>
      <w:r w:rsidR="00E6111F" w:rsidRPr="00924A44">
        <w:rPr>
          <w:rFonts w:ascii="Arial" w:hAnsi="Arial" w:cs="Arial"/>
        </w:rPr>
        <w:t>which concerned E</w:t>
      </w:r>
      <w:r w:rsidR="00B17531" w:rsidRPr="00924A44">
        <w:rPr>
          <w:rFonts w:ascii="Arial" w:hAnsi="Arial" w:cs="Arial"/>
        </w:rPr>
        <w:t xml:space="preserve">nterprise </w:t>
      </w:r>
      <w:r w:rsidR="00E6111F" w:rsidRPr="00924A44">
        <w:rPr>
          <w:rFonts w:ascii="Arial" w:hAnsi="Arial" w:cs="Arial"/>
        </w:rPr>
        <w:t>C</w:t>
      </w:r>
      <w:r w:rsidR="00B17531" w:rsidRPr="00924A44">
        <w:rPr>
          <w:rFonts w:ascii="Arial" w:hAnsi="Arial" w:cs="Arial"/>
        </w:rPr>
        <w:t xml:space="preserve">ontent </w:t>
      </w:r>
      <w:r w:rsidR="00E6111F" w:rsidRPr="00924A44">
        <w:rPr>
          <w:rFonts w:ascii="Arial" w:hAnsi="Arial" w:cs="Arial"/>
        </w:rPr>
        <w:t>M</w:t>
      </w:r>
      <w:r w:rsidR="00B17531" w:rsidRPr="00924A44">
        <w:rPr>
          <w:rFonts w:ascii="Arial" w:hAnsi="Arial" w:cs="Arial"/>
        </w:rPr>
        <w:t>anagement (ECM)</w:t>
      </w:r>
      <w:r w:rsidR="00E6111F" w:rsidRPr="00924A44">
        <w:rPr>
          <w:rFonts w:ascii="Arial" w:hAnsi="Arial" w:cs="Arial"/>
        </w:rPr>
        <w:t xml:space="preserve"> and </w:t>
      </w:r>
      <w:r w:rsidR="00B17531" w:rsidRPr="00924A44">
        <w:rPr>
          <w:rFonts w:ascii="Arial" w:hAnsi="Arial" w:cs="Arial"/>
        </w:rPr>
        <w:t>Identity Management (</w:t>
      </w:r>
      <w:r w:rsidR="00E6111F" w:rsidRPr="00924A44">
        <w:rPr>
          <w:rFonts w:ascii="Arial" w:hAnsi="Arial" w:cs="Arial"/>
        </w:rPr>
        <w:t>IDM</w:t>
      </w:r>
      <w:r w:rsidR="00B17531" w:rsidRPr="00924A44">
        <w:rPr>
          <w:rFonts w:ascii="Arial" w:hAnsi="Arial" w:cs="Arial"/>
        </w:rPr>
        <w:t>)</w:t>
      </w:r>
      <w:r w:rsidR="00E6111F" w:rsidRPr="00924A44">
        <w:rPr>
          <w:rFonts w:ascii="Arial" w:hAnsi="Arial" w:cs="Arial"/>
        </w:rPr>
        <w:t xml:space="preserve">. </w:t>
      </w:r>
      <w:r w:rsidR="009F2920">
        <w:rPr>
          <w:rFonts w:ascii="Arial" w:hAnsi="Arial" w:cs="Arial"/>
        </w:rPr>
        <w:t xml:space="preserve"> </w:t>
      </w:r>
      <w:r w:rsidR="00E6111F" w:rsidRPr="00924A44">
        <w:rPr>
          <w:rFonts w:ascii="Arial" w:hAnsi="Arial" w:cs="Arial"/>
        </w:rPr>
        <w:t xml:space="preserve">These projects </w:t>
      </w:r>
      <w:r w:rsidR="002C06D4" w:rsidRPr="00924A44">
        <w:rPr>
          <w:rFonts w:ascii="Arial" w:hAnsi="Arial" w:cs="Arial"/>
        </w:rPr>
        <w:t xml:space="preserve">do not overlap </w:t>
      </w:r>
      <w:r w:rsidR="00A24EBC" w:rsidRPr="00924A44">
        <w:rPr>
          <w:rFonts w:ascii="Arial" w:hAnsi="Arial" w:cs="Arial"/>
        </w:rPr>
        <w:t xml:space="preserve">but complement </w:t>
      </w:r>
      <w:r w:rsidR="002C06D4" w:rsidRPr="00924A44">
        <w:rPr>
          <w:rFonts w:ascii="Arial" w:hAnsi="Arial" w:cs="Arial"/>
        </w:rPr>
        <w:t xml:space="preserve">the proposed </w:t>
      </w:r>
      <w:r w:rsidR="00195A27">
        <w:rPr>
          <w:rFonts w:ascii="Arial" w:hAnsi="Arial" w:cs="Arial"/>
        </w:rPr>
        <w:t>expenditure</w:t>
      </w:r>
      <w:r w:rsidR="002C06D4" w:rsidRPr="00924A44">
        <w:rPr>
          <w:rFonts w:ascii="Arial" w:hAnsi="Arial" w:cs="Arial"/>
        </w:rPr>
        <w:t xml:space="preserve"> contained in the Program and Budget 2016/17.</w:t>
      </w:r>
    </w:p>
    <w:p w:rsidR="002F446C" w:rsidRPr="00924A44" w:rsidRDefault="002F446C" w:rsidP="00203CC7">
      <w:pPr>
        <w:pStyle w:val="PlainText"/>
        <w:rPr>
          <w:rFonts w:ascii="Arial" w:hAnsi="Arial" w:cs="Arial"/>
        </w:rPr>
      </w:pPr>
    </w:p>
    <w:p w:rsidR="002F446C" w:rsidRPr="00924A44" w:rsidRDefault="002F446C" w:rsidP="00203CC7">
      <w:pPr>
        <w:pStyle w:val="PlainText"/>
        <w:rPr>
          <w:rFonts w:ascii="Arial" w:hAnsi="Arial" w:cs="Arial"/>
        </w:rPr>
      </w:pPr>
    </w:p>
    <w:p w:rsidR="00D45E73" w:rsidRPr="00924A44" w:rsidRDefault="00D45E73" w:rsidP="00203CC7">
      <w:pPr>
        <w:pStyle w:val="PlainText"/>
        <w:rPr>
          <w:rFonts w:ascii="Arial" w:hAnsi="Arial" w:cs="Arial"/>
          <w:b/>
          <w:bCs/>
          <w:iCs/>
        </w:rPr>
      </w:pPr>
      <w:r w:rsidRPr="00924A44">
        <w:rPr>
          <w:rFonts w:ascii="Arial" w:hAnsi="Arial" w:cs="Arial"/>
          <w:b/>
          <w:bCs/>
          <w:iCs/>
        </w:rPr>
        <w:t>Q</w:t>
      </w:r>
      <w:r w:rsidR="00057080" w:rsidRPr="00924A44">
        <w:rPr>
          <w:rFonts w:ascii="Arial" w:hAnsi="Arial" w:cs="Arial"/>
          <w:b/>
          <w:bCs/>
          <w:iCs/>
        </w:rPr>
        <w:t>6</w:t>
      </w:r>
      <w:r w:rsidRPr="00924A44">
        <w:rPr>
          <w:rFonts w:ascii="Arial" w:hAnsi="Arial" w:cs="Arial"/>
          <w:b/>
          <w:bCs/>
          <w:iCs/>
        </w:rPr>
        <w:t xml:space="preserve">:  </w:t>
      </w:r>
      <w:r w:rsidRPr="00924A44">
        <w:rPr>
          <w:rFonts w:ascii="Arial" w:eastAsia="SimSun" w:hAnsi="Arial" w:cs="Arial"/>
          <w:b/>
          <w:szCs w:val="20"/>
          <w:lang w:eastAsia="zh-CN"/>
        </w:rPr>
        <w:t>Certain Member States’ legislation does not allow for a budgetary provision to be made for negative interest</w:t>
      </w:r>
      <w:r w:rsidR="00057080" w:rsidRPr="00924A44">
        <w:rPr>
          <w:rFonts w:ascii="Arial" w:eastAsia="SimSun" w:hAnsi="Arial" w:cs="Arial"/>
          <w:b/>
          <w:szCs w:val="20"/>
          <w:lang w:eastAsia="zh-CN"/>
        </w:rPr>
        <w:t xml:space="preserve"> rates</w:t>
      </w:r>
      <w:r w:rsidRPr="00924A44">
        <w:rPr>
          <w:rFonts w:ascii="Arial" w:eastAsia="SimSun" w:hAnsi="Arial" w:cs="Arial"/>
          <w:b/>
          <w:szCs w:val="20"/>
          <w:lang w:eastAsia="zh-CN"/>
        </w:rPr>
        <w:t xml:space="preserve">.  </w:t>
      </w:r>
      <w:r w:rsidR="00057080" w:rsidRPr="00924A44">
        <w:rPr>
          <w:rFonts w:ascii="Arial" w:eastAsia="SimSun" w:hAnsi="Arial" w:cs="Arial"/>
          <w:b/>
          <w:szCs w:val="20"/>
          <w:lang w:eastAsia="zh-CN"/>
        </w:rPr>
        <w:t xml:space="preserve">Has WIPO negotiated with the </w:t>
      </w:r>
      <w:r w:rsidRPr="00924A44">
        <w:rPr>
          <w:rFonts w:ascii="Arial" w:eastAsia="SimSun" w:hAnsi="Arial" w:cs="Arial"/>
          <w:b/>
          <w:szCs w:val="20"/>
          <w:lang w:eastAsia="zh-CN"/>
        </w:rPr>
        <w:t xml:space="preserve">banks to increase the 10 million Swiss francs </w:t>
      </w:r>
      <w:r w:rsidR="00057080" w:rsidRPr="00924A44">
        <w:rPr>
          <w:rFonts w:ascii="Arial" w:eastAsia="SimSun" w:hAnsi="Arial" w:cs="Arial"/>
          <w:b/>
          <w:szCs w:val="20"/>
          <w:lang w:eastAsia="zh-CN"/>
        </w:rPr>
        <w:t xml:space="preserve">threshold before </w:t>
      </w:r>
      <w:r w:rsidRPr="00924A44">
        <w:rPr>
          <w:rFonts w:ascii="Arial" w:eastAsia="SimSun" w:hAnsi="Arial" w:cs="Arial"/>
          <w:b/>
          <w:szCs w:val="20"/>
          <w:lang w:eastAsia="zh-CN"/>
        </w:rPr>
        <w:t>the application of negative interest rates</w:t>
      </w:r>
      <w:r w:rsidRPr="00924A44">
        <w:rPr>
          <w:rFonts w:ascii="Arial" w:hAnsi="Arial" w:cs="Arial"/>
          <w:b/>
          <w:bCs/>
          <w:iCs/>
        </w:rPr>
        <w:t>?</w:t>
      </w:r>
    </w:p>
    <w:p w:rsidR="00D45E73" w:rsidRPr="00924A44" w:rsidRDefault="00D45E73" w:rsidP="00203CC7">
      <w:pPr>
        <w:pStyle w:val="PlainText"/>
        <w:rPr>
          <w:rFonts w:ascii="Arial" w:hAnsi="Arial" w:cs="Arial"/>
        </w:rPr>
      </w:pPr>
    </w:p>
    <w:p w:rsidR="00804452" w:rsidRPr="00924A44" w:rsidRDefault="00D45E73" w:rsidP="00203CC7">
      <w:pPr>
        <w:pStyle w:val="PlainText"/>
        <w:rPr>
          <w:rFonts w:ascii="Arial" w:hAnsi="Arial" w:cs="Arial"/>
        </w:rPr>
      </w:pPr>
      <w:r w:rsidRPr="00924A44">
        <w:rPr>
          <w:rFonts w:ascii="Arial" w:hAnsi="Arial" w:cs="Arial"/>
          <w:bCs/>
        </w:rPr>
        <w:t>A</w:t>
      </w:r>
      <w:r w:rsidR="00057080" w:rsidRPr="00924A44">
        <w:rPr>
          <w:rFonts w:ascii="Arial" w:hAnsi="Arial" w:cs="Arial"/>
          <w:bCs/>
        </w:rPr>
        <w:t>6</w:t>
      </w:r>
      <w:r w:rsidRPr="00924A44">
        <w:rPr>
          <w:rFonts w:ascii="Arial" w:hAnsi="Arial" w:cs="Arial"/>
        </w:rPr>
        <w:t xml:space="preserve">:    </w:t>
      </w:r>
      <w:r w:rsidR="00804452" w:rsidRPr="00924A44">
        <w:rPr>
          <w:rFonts w:ascii="Arial" w:hAnsi="Arial" w:cs="Arial"/>
        </w:rPr>
        <w:t>The thresholds currently in place total 125 million Swiss francs (these include short-term deposits which earn zero interest).  It is very unlikely that the two banks which have provided these exemption thresholds will increase them.</w:t>
      </w:r>
      <w:r w:rsidR="009F2920">
        <w:rPr>
          <w:rFonts w:ascii="Arial" w:hAnsi="Arial" w:cs="Arial"/>
        </w:rPr>
        <w:t xml:space="preserve"> </w:t>
      </w:r>
      <w:r w:rsidR="00804452" w:rsidRPr="00924A44">
        <w:rPr>
          <w:rFonts w:ascii="Arial" w:hAnsi="Arial" w:cs="Arial"/>
        </w:rPr>
        <w:t xml:space="preserve"> In fact, it is more likely that the thresholds will be reduced as a result of developments in the market.</w:t>
      </w:r>
    </w:p>
    <w:p w:rsidR="00804452" w:rsidRPr="00924A44" w:rsidRDefault="00804452" w:rsidP="00203CC7">
      <w:pPr>
        <w:pStyle w:val="PlainText"/>
        <w:rPr>
          <w:rFonts w:ascii="Arial" w:hAnsi="Arial" w:cs="Arial"/>
        </w:rPr>
      </w:pPr>
    </w:p>
    <w:p w:rsidR="00804452" w:rsidRPr="00924A44" w:rsidRDefault="00804452" w:rsidP="00203CC7">
      <w:pPr>
        <w:pStyle w:val="PlainText"/>
        <w:rPr>
          <w:rFonts w:ascii="Arial" w:hAnsi="Arial" w:cs="Arial"/>
        </w:rPr>
      </w:pPr>
      <w:r w:rsidRPr="00924A44">
        <w:rPr>
          <w:rFonts w:ascii="Arial" w:hAnsi="Arial" w:cs="Arial"/>
        </w:rPr>
        <w:t>Furthermore, it is increasingly difficult to establish new banking relationships for Swiss francs and if this could be done, it seems unlikely that new banking partners would offer exemption thresholds.</w:t>
      </w:r>
    </w:p>
    <w:p w:rsidR="00D45E73" w:rsidRPr="00924A44" w:rsidRDefault="00D45E73" w:rsidP="00203CC7">
      <w:pPr>
        <w:pStyle w:val="PlainText"/>
        <w:rPr>
          <w:rFonts w:ascii="Arial" w:hAnsi="Arial" w:cs="Arial"/>
        </w:rPr>
      </w:pPr>
    </w:p>
    <w:p w:rsidR="00D45E73" w:rsidRPr="00924A44" w:rsidRDefault="00D45E73" w:rsidP="00203CC7">
      <w:pPr>
        <w:rPr>
          <w:b/>
          <w:bCs/>
        </w:rPr>
      </w:pPr>
    </w:p>
    <w:p w:rsidR="00057080" w:rsidRPr="00924A44" w:rsidRDefault="00D45E73" w:rsidP="00203CC7">
      <w:pPr>
        <w:rPr>
          <w:b/>
        </w:rPr>
      </w:pPr>
      <w:r w:rsidRPr="00924A44">
        <w:rPr>
          <w:b/>
          <w:bCs/>
        </w:rPr>
        <w:t>Q</w:t>
      </w:r>
      <w:r w:rsidR="00057080" w:rsidRPr="00924A44">
        <w:rPr>
          <w:b/>
          <w:bCs/>
        </w:rPr>
        <w:t>7</w:t>
      </w:r>
      <w:r w:rsidRPr="00924A44">
        <w:rPr>
          <w:b/>
          <w:bCs/>
        </w:rPr>
        <w:t xml:space="preserve">:  </w:t>
      </w:r>
      <w:r w:rsidR="00057080" w:rsidRPr="00924A44">
        <w:rPr>
          <w:b/>
        </w:rPr>
        <w:t>Can the payment of negative interest rates be avoided?</w:t>
      </w:r>
    </w:p>
    <w:p w:rsidR="00D45E73" w:rsidRPr="00924A44" w:rsidRDefault="00D45E73" w:rsidP="00203CC7">
      <w:pPr>
        <w:rPr>
          <w:b/>
        </w:rPr>
      </w:pPr>
      <w:r w:rsidRPr="00924A44">
        <w:rPr>
          <w:b/>
        </w:rPr>
        <w:t> </w:t>
      </w:r>
    </w:p>
    <w:p w:rsidR="00804452" w:rsidRPr="00924A44" w:rsidRDefault="00D45E73" w:rsidP="00203CC7">
      <w:r w:rsidRPr="00924A44">
        <w:t>A</w:t>
      </w:r>
      <w:r w:rsidR="00057080" w:rsidRPr="00924A44">
        <w:t>7</w:t>
      </w:r>
      <w:r w:rsidRPr="00924A44">
        <w:t>:  </w:t>
      </w:r>
      <w:r w:rsidR="00804452" w:rsidRPr="00924A44">
        <w:t>This would seem to be very unlikely.  Even if all of the proposals in document WO/PBC/23/7 are accepted, it will take time to contract with external fund managers for the investment of core and strategic cash whilst operating cash, which will be managed in-house, may exceed exemption thresholds. Negative interest can be regarded as the bank charge for maintaining an account in Swiss francs – it is not therefore any different from regular bank charges, an amount for which is always included in the budget.</w:t>
      </w:r>
    </w:p>
    <w:p w:rsidR="00D45E73" w:rsidRPr="00924A44" w:rsidRDefault="00D45E73" w:rsidP="00203CC7"/>
    <w:p w:rsidR="00940056" w:rsidRPr="00924A44" w:rsidRDefault="00940056" w:rsidP="00203CC7"/>
    <w:p w:rsidR="00484228" w:rsidRPr="00924A44" w:rsidRDefault="00484228" w:rsidP="00203CC7">
      <w:pPr>
        <w:rPr>
          <w:b/>
        </w:rPr>
      </w:pPr>
      <w:r w:rsidRPr="00924A44">
        <w:rPr>
          <w:b/>
          <w:bCs/>
        </w:rPr>
        <w:t>Q</w:t>
      </w:r>
      <w:r w:rsidR="00057080" w:rsidRPr="00924A44">
        <w:rPr>
          <w:b/>
          <w:bCs/>
        </w:rPr>
        <w:t>8</w:t>
      </w:r>
      <w:r w:rsidRPr="00924A44">
        <w:rPr>
          <w:b/>
        </w:rPr>
        <w:t xml:space="preserve">:  </w:t>
      </w:r>
      <w:r w:rsidR="00940056" w:rsidRPr="00924A44">
        <w:rPr>
          <w:b/>
        </w:rPr>
        <w:t xml:space="preserve">If </w:t>
      </w:r>
      <w:r w:rsidR="00057080" w:rsidRPr="00924A44">
        <w:rPr>
          <w:b/>
        </w:rPr>
        <w:t xml:space="preserve">Member States </w:t>
      </w:r>
      <w:r w:rsidR="00940056" w:rsidRPr="00924A44">
        <w:rPr>
          <w:b/>
        </w:rPr>
        <w:t>we</w:t>
      </w:r>
      <w:r w:rsidR="00057080" w:rsidRPr="00924A44">
        <w:rPr>
          <w:b/>
        </w:rPr>
        <w:t>re</w:t>
      </w:r>
      <w:r w:rsidR="00940056" w:rsidRPr="00924A44">
        <w:rPr>
          <w:b/>
        </w:rPr>
        <w:t xml:space="preserve"> </w:t>
      </w:r>
      <w:r w:rsidR="00057080" w:rsidRPr="00924A44">
        <w:rPr>
          <w:b/>
        </w:rPr>
        <w:t xml:space="preserve">to </w:t>
      </w:r>
      <w:r w:rsidR="00940056" w:rsidRPr="00924A44">
        <w:rPr>
          <w:b/>
        </w:rPr>
        <w:t xml:space="preserve">agree with the new investment </w:t>
      </w:r>
      <w:r w:rsidR="00057080" w:rsidRPr="00924A44">
        <w:rPr>
          <w:b/>
        </w:rPr>
        <w:t xml:space="preserve">policy </w:t>
      </w:r>
      <w:r w:rsidR="00940056" w:rsidRPr="00924A44">
        <w:rPr>
          <w:b/>
        </w:rPr>
        <w:t xml:space="preserve">proposal, </w:t>
      </w:r>
      <w:r w:rsidR="00057080" w:rsidRPr="00924A44">
        <w:rPr>
          <w:b/>
        </w:rPr>
        <w:t>would</w:t>
      </w:r>
      <w:r w:rsidR="00940056" w:rsidRPr="00924A44">
        <w:rPr>
          <w:b/>
        </w:rPr>
        <w:t xml:space="preserve"> the 2.4 million Swiss franc </w:t>
      </w:r>
      <w:proofErr w:type="gramStart"/>
      <w:r w:rsidR="00940056" w:rsidRPr="00924A44">
        <w:rPr>
          <w:b/>
        </w:rPr>
        <w:t>provision</w:t>
      </w:r>
      <w:proofErr w:type="gramEnd"/>
      <w:r w:rsidR="00940056" w:rsidRPr="00924A44">
        <w:rPr>
          <w:b/>
        </w:rPr>
        <w:t xml:space="preserve"> for negative interest </w:t>
      </w:r>
      <w:r w:rsidR="00057080" w:rsidRPr="00924A44">
        <w:rPr>
          <w:b/>
        </w:rPr>
        <w:t>still be required</w:t>
      </w:r>
      <w:r w:rsidR="00940056" w:rsidRPr="00924A44">
        <w:rPr>
          <w:b/>
        </w:rPr>
        <w:t>?</w:t>
      </w:r>
      <w:r w:rsidRPr="00924A44">
        <w:rPr>
          <w:b/>
        </w:rPr>
        <w:t xml:space="preserve"> </w:t>
      </w:r>
    </w:p>
    <w:p w:rsidR="00484228" w:rsidRPr="00924A44" w:rsidRDefault="00484228" w:rsidP="00203CC7">
      <w:pPr>
        <w:rPr>
          <w:b/>
        </w:rPr>
      </w:pPr>
      <w:r w:rsidRPr="00924A44">
        <w:rPr>
          <w:b/>
        </w:rPr>
        <w:t> </w:t>
      </w:r>
    </w:p>
    <w:p w:rsidR="00804452" w:rsidRPr="00924A44" w:rsidRDefault="00484228" w:rsidP="00203CC7">
      <w:pPr>
        <w:rPr>
          <w:b/>
        </w:rPr>
      </w:pPr>
      <w:r w:rsidRPr="00924A44">
        <w:t>A</w:t>
      </w:r>
      <w:r w:rsidR="00057080" w:rsidRPr="00924A44">
        <w:t>8</w:t>
      </w:r>
      <w:r w:rsidRPr="00924A44">
        <w:t xml:space="preserve">:   </w:t>
      </w:r>
      <w:r w:rsidR="00804452" w:rsidRPr="00924A44">
        <w:t>Please refer to the answer to question 7</w:t>
      </w:r>
      <w:r w:rsidR="00804452" w:rsidRPr="00924A44">
        <w:rPr>
          <w:b/>
        </w:rPr>
        <w:t>.</w:t>
      </w:r>
    </w:p>
    <w:p w:rsidR="00484228" w:rsidRPr="00924A44" w:rsidRDefault="00484228" w:rsidP="00203CC7"/>
    <w:p w:rsidR="00792C4C" w:rsidRDefault="00792C4C" w:rsidP="00203CC7">
      <w:pPr>
        <w:rPr>
          <w:b/>
        </w:rPr>
      </w:pPr>
    </w:p>
    <w:p w:rsidR="000620CD" w:rsidRPr="00924A44" w:rsidRDefault="000620CD" w:rsidP="00203CC7">
      <w:pPr>
        <w:rPr>
          <w:b/>
        </w:rPr>
      </w:pPr>
    </w:p>
    <w:p w:rsidR="00792C4C" w:rsidRPr="00924A44" w:rsidRDefault="00940056" w:rsidP="00203CC7">
      <w:pPr>
        <w:rPr>
          <w:b/>
        </w:rPr>
      </w:pPr>
      <w:r w:rsidRPr="00924A44">
        <w:rPr>
          <w:b/>
          <w:bCs/>
        </w:rPr>
        <w:lastRenderedPageBreak/>
        <w:t>Q</w:t>
      </w:r>
      <w:r w:rsidR="00057080" w:rsidRPr="00924A44">
        <w:rPr>
          <w:b/>
          <w:bCs/>
        </w:rPr>
        <w:t>9</w:t>
      </w:r>
      <w:r w:rsidR="00792C4C" w:rsidRPr="00924A44">
        <w:rPr>
          <w:b/>
          <w:bCs/>
        </w:rPr>
        <w:t xml:space="preserve">:  </w:t>
      </w:r>
      <w:r w:rsidR="00792C4C" w:rsidRPr="00924A44">
        <w:rPr>
          <w:b/>
        </w:rPr>
        <w:t xml:space="preserve">What will the impact of negative interest </w:t>
      </w:r>
      <w:r w:rsidR="00057080" w:rsidRPr="00924A44">
        <w:rPr>
          <w:b/>
        </w:rPr>
        <w:t xml:space="preserve">rates be </w:t>
      </w:r>
      <w:r w:rsidR="00792C4C" w:rsidRPr="00924A44">
        <w:rPr>
          <w:b/>
        </w:rPr>
        <w:t xml:space="preserve">on the financial result? </w:t>
      </w:r>
    </w:p>
    <w:p w:rsidR="00792C4C" w:rsidRPr="00924A44" w:rsidRDefault="00792C4C" w:rsidP="00203CC7">
      <w:pPr>
        <w:rPr>
          <w:b/>
        </w:rPr>
      </w:pPr>
      <w:r w:rsidRPr="00924A44">
        <w:rPr>
          <w:b/>
        </w:rPr>
        <w:t> </w:t>
      </w:r>
    </w:p>
    <w:p w:rsidR="00804452" w:rsidRPr="00924A44" w:rsidRDefault="00940056" w:rsidP="00203CC7">
      <w:r w:rsidRPr="00924A44">
        <w:t>A</w:t>
      </w:r>
      <w:r w:rsidR="00057080" w:rsidRPr="00924A44">
        <w:t>9</w:t>
      </w:r>
      <w:r w:rsidRPr="00924A44">
        <w:t>:</w:t>
      </w:r>
      <w:r w:rsidR="00804452" w:rsidRPr="00924A44">
        <w:rPr>
          <w:b/>
        </w:rPr>
        <w:t xml:space="preserve"> </w:t>
      </w:r>
      <w:r w:rsidR="00804452" w:rsidRPr="00924A44">
        <w:t>Negative interest will obviously be a cost for the Organization and will therefore be included within expenditure. The overall financial result will be reduced as a result.</w:t>
      </w:r>
    </w:p>
    <w:p w:rsidR="00792C4C" w:rsidRPr="00924A44" w:rsidRDefault="00792C4C" w:rsidP="00203CC7"/>
    <w:p w:rsidR="00792C4C" w:rsidRPr="00924A44" w:rsidRDefault="00792C4C" w:rsidP="00203CC7">
      <w:pPr>
        <w:rPr>
          <w:b/>
        </w:rPr>
      </w:pPr>
    </w:p>
    <w:p w:rsidR="004D3FE4" w:rsidRPr="00924A44" w:rsidRDefault="004D3FE4" w:rsidP="00203CC7">
      <w:pPr>
        <w:rPr>
          <w:b/>
        </w:rPr>
      </w:pPr>
      <w:r w:rsidRPr="00924A44">
        <w:rPr>
          <w:b/>
          <w:bCs/>
        </w:rPr>
        <w:t xml:space="preserve">Q10: Why is the </w:t>
      </w:r>
      <w:r w:rsidRPr="00924A44">
        <w:rPr>
          <w:b/>
        </w:rPr>
        <w:t xml:space="preserve">provision of 2.4 million Swiss francs for negative interest rates not shown in </w:t>
      </w:r>
      <w:r w:rsidR="00EF77EB" w:rsidRPr="00924A44">
        <w:rPr>
          <w:b/>
        </w:rPr>
        <w:t>T</w:t>
      </w:r>
      <w:r w:rsidRPr="00924A44">
        <w:rPr>
          <w:b/>
        </w:rPr>
        <w:t xml:space="preserve">able 3 </w:t>
      </w:r>
      <w:r w:rsidR="00EF77EB" w:rsidRPr="00924A44">
        <w:rPr>
          <w:b/>
        </w:rPr>
        <w:t xml:space="preserve">“Evolution of the Income of the Organization from 2006/07 to 2016/17? </w:t>
      </w:r>
    </w:p>
    <w:p w:rsidR="00664874" w:rsidRPr="00924A44" w:rsidRDefault="00664874" w:rsidP="00203CC7">
      <w:pPr>
        <w:pStyle w:val="ONUME"/>
        <w:numPr>
          <w:ilvl w:val="0"/>
          <w:numId w:val="0"/>
        </w:numPr>
        <w:spacing w:after="0"/>
        <w:rPr>
          <w:b/>
          <w:bCs/>
        </w:rPr>
      </w:pPr>
    </w:p>
    <w:p w:rsidR="00BB10D4" w:rsidRPr="00924A44" w:rsidRDefault="00EF77EB" w:rsidP="00203CC7">
      <w:r w:rsidRPr="00924A44">
        <w:rPr>
          <w:b/>
          <w:bCs/>
        </w:rPr>
        <w:t>A</w:t>
      </w:r>
      <w:proofErr w:type="gramStart"/>
      <w:r w:rsidRPr="00924A44">
        <w:rPr>
          <w:b/>
          <w:bCs/>
        </w:rPr>
        <w:t>:10</w:t>
      </w:r>
      <w:proofErr w:type="gramEnd"/>
      <w:r w:rsidR="00BB10D4" w:rsidRPr="00924A44">
        <w:rPr>
          <w:b/>
          <w:bCs/>
        </w:rPr>
        <w:t xml:space="preserve">  </w:t>
      </w:r>
      <w:r w:rsidR="00BB10D4" w:rsidRPr="00924A44">
        <w:t xml:space="preserve">Negative interest rates are shown under Finance Costs (Expenditure budget) as these constitute payments to service providers (banks).  They can be considered to be similar to bank charges. </w:t>
      </w:r>
    </w:p>
    <w:p w:rsidR="00EF77EB" w:rsidRPr="00924A44" w:rsidRDefault="00EF77EB" w:rsidP="00203CC7">
      <w:pPr>
        <w:pStyle w:val="ONUME"/>
        <w:numPr>
          <w:ilvl w:val="0"/>
          <w:numId w:val="0"/>
        </w:numPr>
        <w:spacing w:after="0"/>
        <w:rPr>
          <w:b/>
          <w:bCs/>
        </w:rPr>
      </w:pPr>
    </w:p>
    <w:p w:rsidR="00664874" w:rsidRPr="00924A44" w:rsidRDefault="00664874" w:rsidP="00203CC7">
      <w:pPr>
        <w:pStyle w:val="ONUME"/>
        <w:numPr>
          <w:ilvl w:val="0"/>
          <w:numId w:val="0"/>
        </w:numPr>
        <w:spacing w:after="0"/>
        <w:rPr>
          <w:b/>
          <w:bCs/>
        </w:rPr>
      </w:pPr>
    </w:p>
    <w:p w:rsidR="00057080" w:rsidRPr="00924A44" w:rsidRDefault="00057080" w:rsidP="00203CC7">
      <w:pPr>
        <w:pStyle w:val="ONUME"/>
        <w:numPr>
          <w:ilvl w:val="0"/>
          <w:numId w:val="0"/>
        </w:numPr>
        <w:rPr>
          <w:b/>
          <w:bCs/>
        </w:rPr>
      </w:pPr>
      <w:r w:rsidRPr="00924A44">
        <w:rPr>
          <w:b/>
          <w:bCs/>
        </w:rPr>
        <w:t>Q1</w:t>
      </w:r>
      <w:r w:rsidR="00EF77EB" w:rsidRPr="00924A44">
        <w:rPr>
          <w:b/>
          <w:bCs/>
        </w:rPr>
        <w:t>1</w:t>
      </w:r>
      <w:r w:rsidRPr="00924A44">
        <w:rPr>
          <w:b/>
          <w:bCs/>
        </w:rPr>
        <w:t xml:space="preserve">:  </w:t>
      </w:r>
      <w:r w:rsidRPr="00924A44">
        <w:rPr>
          <w:b/>
        </w:rPr>
        <w:t xml:space="preserve">The Budget after Transfers 2014/15 is given as at the end of March 2015.  Will the Budget after Transfers be updated for the PBC session in September 2015? </w:t>
      </w:r>
    </w:p>
    <w:p w:rsidR="00057080" w:rsidRPr="00924A44" w:rsidRDefault="00057080" w:rsidP="00203CC7">
      <w:pPr>
        <w:rPr>
          <w:bCs/>
        </w:rPr>
      </w:pPr>
      <w:r w:rsidRPr="00924A44">
        <w:rPr>
          <w:bCs/>
        </w:rPr>
        <w:t>A1</w:t>
      </w:r>
      <w:r w:rsidR="00EF77EB" w:rsidRPr="00924A44">
        <w:rPr>
          <w:bCs/>
        </w:rPr>
        <w:t>1</w:t>
      </w:r>
      <w:r w:rsidRPr="00924A44">
        <w:rPr>
          <w:bCs/>
        </w:rPr>
        <w:t xml:space="preserve">:  </w:t>
      </w:r>
      <w:r w:rsidR="00472E81" w:rsidRPr="00924A44">
        <w:rPr>
          <w:bCs/>
        </w:rPr>
        <w:t xml:space="preserve">The </w:t>
      </w:r>
      <w:r w:rsidR="00B93349" w:rsidRPr="00924A44">
        <w:rPr>
          <w:bCs/>
        </w:rPr>
        <w:t xml:space="preserve">2014/15 </w:t>
      </w:r>
      <w:r w:rsidR="00472E81" w:rsidRPr="00924A44">
        <w:rPr>
          <w:bCs/>
        </w:rPr>
        <w:t xml:space="preserve">Budget after Transfers </w:t>
      </w:r>
      <w:r w:rsidR="00B93349" w:rsidRPr="00924A44">
        <w:rPr>
          <w:bCs/>
        </w:rPr>
        <w:t>is established as at March 31, 2015</w:t>
      </w:r>
      <w:r w:rsidR="00C739E9" w:rsidRPr="00924A44">
        <w:rPr>
          <w:bCs/>
        </w:rPr>
        <w:t xml:space="preserve">.  The final Budget after Transfers 2014/15 will be </w:t>
      </w:r>
      <w:r w:rsidR="00B93349" w:rsidRPr="00924A44">
        <w:rPr>
          <w:bCs/>
        </w:rPr>
        <w:t xml:space="preserve">reported on in </w:t>
      </w:r>
      <w:r w:rsidR="00C739E9" w:rsidRPr="00924A44">
        <w:rPr>
          <w:bCs/>
        </w:rPr>
        <w:t xml:space="preserve">the Program Performance Report </w:t>
      </w:r>
      <w:r w:rsidR="00195A27">
        <w:rPr>
          <w:bCs/>
        </w:rPr>
        <w:t xml:space="preserve">for the biennium </w:t>
      </w:r>
      <w:r w:rsidR="00C739E9" w:rsidRPr="00924A44">
        <w:rPr>
          <w:bCs/>
        </w:rPr>
        <w:t>2014/15.</w:t>
      </w:r>
    </w:p>
    <w:p w:rsidR="00D62B83" w:rsidRDefault="00D62B83" w:rsidP="00203CC7">
      <w:pPr>
        <w:rPr>
          <w:b/>
          <w:sz w:val="24"/>
          <w:szCs w:val="24"/>
        </w:rPr>
      </w:pPr>
    </w:p>
    <w:p w:rsidR="00F364D6" w:rsidRPr="00924A44" w:rsidRDefault="00F364D6" w:rsidP="00203CC7">
      <w:pPr>
        <w:rPr>
          <w:b/>
          <w:sz w:val="24"/>
          <w:szCs w:val="24"/>
        </w:rPr>
      </w:pPr>
    </w:p>
    <w:p w:rsidR="003D469B" w:rsidRPr="00924A44" w:rsidRDefault="00193020" w:rsidP="00203CC7">
      <w:pPr>
        <w:rPr>
          <w:b/>
        </w:rPr>
      </w:pPr>
      <w:r w:rsidRPr="00924A44">
        <w:rPr>
          <w:b/>
        </w:rPr>
        <w:t>Q1</w:t>
      </w:r>
      <w:r w:rsidR="00EF77EB" w:rsidRPr="00924A44">
        <w:rPr>
          <w:b/>
        </w:rPr>
        <w:t>2</w:t>
      </w:r>
      <w:r w:rsidRPr="00924A44">
        <w:rPr>
          <w:b/>
        </w:rPr>
        <w:t xml:space="preserve">: </w:t>
      </w:r>
      <w:r w:rsidR="003D469B" w:rsidRPr="00924A44">
        <w:rPr>
          <w:b/>
        </w:rPr>
        <w:t>P</w:t>
      </w:r>
      <w:r w:rsidRPr="00924A44">
        <w:rPr>
          <w:b/>
        </w:rPr>
        <w:t xml:space="preserve">aragraph 8 </w:t>
      </w:r>
      <w:r w:rsidR="003D469B" w:rsidRPr="00924A44">
        <w:rPr>
          <w:b/>
        </w:rPr>
        <w:t>states</w:t>
      </w:r>
      <w:r w:rsidRPr="00924A44">
        <w:rPr>
          <w:b/>
        </w:rPr>
        <w:t xml:space="preserve"> that miscellaneous income is expected to remain stable, however, Table 3, “</w:t>
      </w:r>
      <w:r w:rsidRPr="00924A44">
        <w:rPr>
          <w:b/>
          <w:i/>
        </w:rPr>
        <w:t xml:space="preserve">Evolution of the Income of the Organization from 2006/07 to 2016/17,” </w:t>
      </w:r>
      <w:r w:rsidRPr="00924A44">
        <w:rPr>
          <w:b/>
        </w:rPr>
        <w:t xml:space="preserve">shows the 2016/17 estimate to be significantly lower than the current 2014/15 estimate.  </w:t>
      </w:r>
      <w:r w:rsidR="003D469B" w:rsidRPr="00924A44">
        <w:rPr>
          <w:b/>
        </w:rPr>
        <w:t xml:space="preserve">Can you explain? </w:t>
      </w:r>
    </w:p>
    <w:p w:rsidR="003D469B" w:rsidRPr="00924A44" w:rsidRDefault="003D469B" w:rsidP="00203CC7"/>
    <w:p w:rsidR="0056325C" w:rsidRPr="00924A44" w:rsidRDefault="00193020" w:rsidP="00203CC7">
      <w:r w:rsidRPr="00924A44">
        <w:rPr>
          <w:szCs w:val="22"/>
        </w:rPr>
        <w:t>A1</w:t>
      </w:r>
      <w:r w:rsidR="00EF77EB" w:rsidRPr="00924A44">
        <w:rPr>
          <w:szCs w:val="22"/>
        </w:rPr>
        <w:t>2</w:t>
      </w:r>
      <w:r w:rsidRPr="00924A44">
        <w:rPr>
          <w:szCs w:val="22"/>
        </w:rPr>
        <w:t>:</w:t>
      </w:r>
      <w:r w:rsidR="0056325C" w:rsidRPr="00924A44">
        <w:rPr>
          <w:szCs w:val="22"/>
        </w:rPr>
        <w:t xml:space="preserve">  </w:t>
      </w:r>
      <w:r w:rsidR="0056325C" w:rsidRPr="00924A44">
        <w:t xml:space="preserve">Miscellaneous income </w:t>
      </w:r>
      <w:r w:rsidR="00D5739D">
        <w:t xml:space="preserve">remains stable </w:t>
      </w:r>
      <w:r w:rsidR="0056325C" w:rsidRPr="00924A44">
        <w:t xml:space="preserve">in 2016/17 </w:t>
      </w:r>
      <w:r w:rsidR="00D5739D">
        <w:t>compared</w:t>
      </w:r>
      <w:r w:rsidR="0056325C" w:rsidRPr="00924A44">
        <w:t xml:space="preserve"> to the 2014/15 Approved Budget (please refer to the last column in Table 3). The </w:t>
      </w:r>
      <w:r w:rsidR="00D5739D">
        <w:t>2014/15 C</w:t>
      </w:r>
      <w:r w:rsidR="0056325C" w:rsidRPr="00924A44">
        <w:t>urrent</w:t>
      </w:r>
      <w:r w:rsidR="00D5739D">
        <w:t xml:space="preserve"> Estimate</w:t>
      </w:r>
      <w:r w:rsidR="0056325C" w:rsidRPr="00924A44">
        <w:t xml:space="preserve"> </w:t>
      </w:r>
      <w:r w:rsidR="00D5739D">
        <w:t xml:space="preserve">is higher than </w:t>
      </w:r>
      <w:r w:rsidR="009119E8">
        <w:t xml:space="preserve">the 2014/15 Approved Budget </w:t>
      </w:r>
      <w:r w:rsidR="00D5739D">
        <w:t xml:space="preserve">due to the </w:t>
      </w:r>
      <w:r w:rsidR="0056325C" w:rsidRPr="00924A44">
        <w:t xml:space="preserve">positive impact of exchange rate valuations and higher-than-expected positive accounting adjustments in respect of prior </w:t>
      </w:r>
      <w:proofErr w:type="spellStart"/>
      <w:r w:rsidR="0056325C" w:rsidRPr="00924A44">
        <w:t>years</w:t>
      </w:r>
      <w:proofErr w:type="spellEnd"/>
      <w:r w:rsidR="0056325C" w:rsidRPr="00924A44">
        <w:t xml:space="preserve"> booked in 2014. </w:t>
      </w:r>
    </w:p>
    <w:p w:rsidR="00193020" w:rsidRPr="00924A44" w:rsidRDefault="00193020" w:rsidP="00203CC7">
      <w:pPr>
        <w:rPr>
          <w:szCs w:val="22"/>
        </w:rPr>
      </w:pPr>
    </w:p>
    <w:p w:rsidR="003D469B" w:rsidRPr="00924A44" w:rsidRDefault="003D469B" w:rsidP="00203CC7"/>
    <w:p w:rsidR="003D469B" w:rsidRPr="00924A44" w:rsidRDefault="003D469B" w:rsidP="00203CC7">
      <w:pPr>
        <w:rPr>
          <w:b/>
        </w:rPr>
      </w:pPr>
      <w:r w:rsidRPr="00924A44">
        <w:rPr>
          <w:b/>
        </w:rPr>
        <w:t>Q1</w:t>
      </w:r>
      <w:r w:rsidR="00EF77EB" w:rsidRPr="00924A44">
        <w:rPr>
          <w:b/>
        </w:rPr>
        <w:t>3</w:t>
      </w:r>
      <w:r w:rsidRPr="00924A44">
        <w:rPr>
          <w:b/>
        </w:rPr>
        <w:t xml:space="preserve">: Can you give a breakdown of the budgeted miscellaneous income for 2016/17? </w:t>
      </w:r>
    </w:p>
    <w:p w:rsidR="003D469B" w:rsidRPr="00924A44" w:rsidRDefault="003D469B" w:rsidP="00203CC7"/>
    <w:p w:rsidR="009119E8" w:rsidRDefault="003D469B" w:rsidP="00203CC7">
      <w:r w:rsidRPr="00924A44">
        <w:t>A1</w:t>
      </w:r>
      <w:r w:rsidR="00EF77EB" w:rsidRPr="00924A44">
        <w:t>3</w:t>
      </w:r>
      <w:r w:rsidRPr="00924A44">
        <w:t xml:space="preserve">: </w:t>
      </w:r>
      <w:r w:rsidR="009119E8" w:rsidRPr="00924A44">
        <w:t xml:space="preserve">Miscellaneous income includes registration fee for conferences and training courses, support charges in respect of extra-budgetary activities </w:t>
      </w:r>
      <w:r w:rsidR="00D5739D">
        <w:t>implemented</w:t>
      </w:r>
      <w:r w:rsidR="009119E8" w:rsidRPr="00924A44">
        <w:t xml:space="preserve"> by WIPO and financed by </w:t>
      </w:r>
      <w:r w:rsidR="00D5739D">
        <w:t>funds-in-trust</w:t>
      </w:r>
      <w:r w:rsidR="009119E8" w:rsidRPr="00924A44">
        <w:t>, accounting adjustments (credits) in respect of prior years, currency adjustments and UPOV’s payments to WIPO for administrative support services</w:t>
      </w:r>
      <w:r w:rsidR="009119E8">
        <w:t xml:space="preserve"> (please refer also to the Definition of Cost Categories in Appendix B)</w:t>
      </w:r>
      <w:r w:rsidR="009119E8" w:rsidRPr="00924A44">
        <w:t>.</w:t>
      </w:r>
    </w:p>
    <w:p w:rsidR="009119E8" w:rsidRDefault="009119E8" w:rsidP="00203CC7"/>
    <w:p w:rsidR="009119E8" w:rsidRDefault="009119E8" w:rsidP="00203CC7">
      <w:pPr>
        <w:rPr>
          <w:b/>
        </w:rPr>
      </w:pPr>
    </w:p>
    <w:p w:rsidR="00517C4B" w:rsidRPr="00924A44" w:rsidRDefault="00517C4B" w:rsidP="00203CC7">
      <w:pPr>
        <w:rPr>
          <w:b/>
        </w:rPr>
      </w:pPr>
      <w:r w:rsidRPr="00924A44">
        <w:rPr>
          <w:b/>
        </w:rPr>
        <w:t xml:space="preserve">Q14: What is comprised under the budgetary provision for Finance Costs </w:t>
      </w:r>
      <w:r w:rsidR="00FD30CF">
        <w:rPr>
          <w:b/>
        </w:rPr>
        <w:t xml:space="preserve">in Table 5 </w:t>
      </w:r>
      <w:r w:rsidRPr="00924A44">
        <w:rPr>
          <w:b/>
        </w:rPr>
        <w:t xml:space="preserve">amounting to </w:t>
      </w:r>
      <w:r w:rsidR="00FD30CF">
        <w:rPr>
          <w:b/>
        </w:rPr>
        <w:t>7.3</w:t>
      </w:r>
      <w:r w:rsidRPr="00924A44">
        <w:rPr>
          <w:b/>
        </w:rPr>
        <w:t xml:space="preserve"> million Swiss francs?  Does it include interest payments on loans? If, yes, when can the debt be paid off? </w:t>
      </w:r>
      <w:r w:rsidR="00B328D8" w:rsidRPr="00924A44">
        <w:rPr>
          <w:b/>
        </w:rPr>
        <w:t>Which Programs have Finance Costs?</w:t>
      </w:r>
    </w:p>
    <w:p w:rsidR="003D469B" w:rsidRPr="00924A44" w:rsidRDefault="003D469B" w:rsidP="00203CC7">
      <w:pPr>
        <w:rPr>
          <w:sz w:val="24"/>
          <w:szCs w:val="24"/>
        </w:rPr>
      </w:pPr>
    </w:p>
    <w:p w:rsidR="00517C4B" w:rsidRPr="00924A44" w:rsidRDefault="00517C4B" w:rsidP="00203CC7">
      <w:pPr>
        <w:rPr>
          <w:szCs w:val="24"/>
        </w:rPr>
      </w:pPr>
      <w:r w:rsidRPr="00924A44">
        <w:rPr>
          <w:szCs w:val="24"/>
        </w:rPr>
        <w:t xml:space="preserve">A14: </w:t>
      </w:r>
      <w:r w:rsidR="00C00B35" w:rsidRPr="00924A44">
        <w:rPr>
          <w:szCs w:val="24"/>
        </w:rPr>
        <w:t xml:space="preserve">Finance Costs include provisions for the payment of interest on loans and bank charges. Finance Costs are budgeted under Program 24 (4.2 </w:t>
      </w:r>
      <w:r w:rsidR="00C00B35" w:rsidRPr="00924A44">
        <w:t>million Swiss francs)</w:t>
      </w:r>
      <w:r w:rsidR="00C00B35" w:rsidRPr="00924A44">
        <w:rPr>
          <w:szCs w:val="24"/>
        </w:rPr>
        <w:t xml:space="preserve"> for the payment of interest on </w:t>
      </w:r>
      <w:r w:rsidR="00BA65FA">
        <w:rPr>
          <w:szCs w:val="24"/>
        </w:rPr>
        <w:t xml:space="preserve">the </w:t>
      </w:r>
      <w:r w:rsidR="00C00B35" w:rsidRPr="00924A44">
        <w:rPr>
          <w:szCs w:val="24"/>
        </w:rPr>
        <w:t>loan in relation to the New Building and under Program 22 including 2.4 million for the provision for negative int</w:t>
      </w:r>
      <w:r w:rsidR="00BA65FA">
        <w:rPr>
          <w:szCs w:val="24"/>
        </w:rPr>
        <w:t xml:space="preserve">erests and 0.75 million for </w:t>
      </w:r>
      <w:r w:rsidR="00C00B35" w:rsidRPr="00924A44">
        <w:rPr>
          <w:szCs w:val="24"/>
        </w:rPr>
        <w:t>bank charges.</w:t>
      </w:r>
    </w:p>
    <w:p w:rsidR="00E01C28" w:rsidRPr="00924A44" w:rsidRDefault="00E01C28" w:rsidP="00203CC7">
      <w:pPr>
        <w:rPr>
          <w:szCs w:val="24"/>
        </w:rPr>
      </w:pPr>
    </w:p>
    <w:p w:rsidR="00E01C28" w:rsidRPr="00924A44" w:rsidRDefault="00E01C28" w:rsidP="00203CC7">
      <w:pPr>
        <w:rPr>
          <w:szCs w:val="24"/>
        </w:rPr>
      </w:pPr>
      <w:r w:rsidRPr="00924A44">
        <w:rPr>
          <w:szCs w:val="24"/>
        </w:rPr>
        <w:t>The commercial loan taken out to finance the New Building was drawn down in four separate tranches, two of which reach their maturity within the next seven months. These two tranches</w:t>
      </w:r>
      <w:r w:rsidR="009B239D">
        <w:rPr>
          <w:szCs w:val="24"/>
        </w:rPr>
        <w:t>,</w:t>
      </w:r>
      <w:r w:rsidRPr="00924A44">
        <w:rPr>
          <w:szCs w:val="24"/>
        </w:rPr>
        <w:t xml:space="preserve"> </w:t>
      </w:r>
      <w:r w:rsidR="00385111" w:rsidRPr="00924A44">
        <w:rPr>
          <w:szCs w:val="24"/>
        </w:rPr>
        <w:t>total</w:t>
      </w:r>
      <w:r w:rsidR="00385111">
        <w:rPr>
          <w:szCs w:val="24"/>
        </w:rPr>
        <w:t>ing</w:t>
      </w:r>
      <w:r w:rsidRPr="00924A44">
        <w:rPr>
          <w:szCs w:val="24"/>
        </w:rPr>
        <w:t xml:space="preserve"> 40 million Swiss francs</w:t>
      </w:r>
      <w:r w:rsidR="009B239D">
        <w:rPr>
          <w:szCs w:val="24"/>
        </w:rPr>
        <w:t>,</w:t>
      </w:r>
      <w:r w:rsidRPr="00924A44">
        <w:rPr>
          <w:szCs w:val="24"/>
        </w:rPr>
        <w:t xml:space="preserve"> </w:t>
      </w:r>
      <w:r w:rsidR="00385111">
        <w:rPr>
          <w:szCs w:val="24"/>
        </w:rPr>
        <w:t>will be repaid (</w:t>
      </w:r>
      <w:r w:rsidRPr="00924A44">
        <w:rPr>
          <w:szCs w:val="24"/>
        </w:rPr>
        <w:t>document WO/PBC/23/7</w:t>
      </w:r>
      <w:r w:rsidR="00385111">
        <w:rPr>
          <w:szCs w:val="24"/>
        </w:rPr>
        <w:t>)</w:t>
      </w:r>
      <w:r w:rsidRPr="00924A44">
        <w:rPr>
          <w:szCs w:val="24"/>
        </w:rPr>
        <w:t xml:space="preserve"> as their maturity dates are reached. The remaining two tranches reach maturity in March 2019 and November 2025. If these amounts are paid early, the </w:t>
      </w:r>
      <w:r w:rsidR="00924A44" w:rsidRPr="00924A44">
        <w:rPr>
          <w:szCs w:val="24"/>
        </w:rPr>
        <w:t>Organization</w:t>
      </w:r>
      <w:r w:rsidRPr="00924A44">
        <w:rPr>
          <w:szCs w:val="24"/>
        </w:rPr>
        <w:t xml:space="preserve"> would incur significant penalties.</w:t>
      </w:r>
    </w:p>
    <w:p w:rsidR="00E01C28" w:rsidRPr="00924A44" w:rsidRDefault="00E01C28" w:rsidP="00203CC7">
      <w:pPr>
        <w:rPr>
          <w:szCs w:val="24"/>
        </w:rPr>
      </w:pPr>
    </w:p>
    <w:p w:rsidR="00E01C28" w:rsidRPr="00924A44" w:rsidRDefault="00E01C28" w:rsidP="00203CC7">
      <w:pPr>
        <w:rPr>
          <w:szCs w:val="24"/>
        </w:rPr>
      </w:pPr>
      <w:r w:rsidRPr="00924A44">
        <w:rPr>
          <w:szCs w:val="24"/>
        </w:rPr>
        <w:t>The FIPOI loan is interest free and will be repaid within 16 years.</w:t>
      </w:r>
    </w:p>
    <w:p w:rsidR="00E01C28" w:rsidRPr="00924A44" w:rsidRDefault="00E01C28" w:rsidP="00203CC7">
      <w:pPr>
        <w:rPr>
          <w:szCs w:val="24"/>
        </w:rPr>
      </w:pPr>
    </w:p>
    <w:p w:rsidR="00D62B83" w:rsidRPr="00924A44" w:rsidRDefault="00D62B83" w:rsidP="00203CC7">
      <w:pPr>
        <w:rPr>
          <w:sz w:val="24"/>
          <w:szCs w:val="24"/>
        </w:rPr>
      </w:pPr>
      <w:r w:rsidRPr="00924A44">
        <w:rPr>
          <w:sz w:val="24"/>
          <w:szCs w:val="24"/>
        </w:rPr>
        <w:lastRenderedPageBreak/>
        <w:t>PERSONNEL</w:t>
      </w:r>
      <w:r w:rsidR="00D45E73" w:rsidRPr="00924A44">
        <w:rPr>
          <w:sz w:val="24"/>
          <w:szCs w:val="24"/>
        </w:rPr>
        <w:t xml:space="preserve"> RESOURCES</w:t>
      </w:r>
    </w:p>
    <w:p w:rsidR="00D62B83" w:rsidRPr="00924A44" w:rsidRDefault="00D62B83" w:rsidP="00203CC7">
      <w:pPr>
        <w:rPr>
          <w:sz w:val="24"/>
          <w:szCs w:val="24"/>
        </w:rPr>
      </w:pPr>
    </w:p>
    <w:p w:rsidR="00D45E73" w:rsidRPr="00924A44" w:rsidRDefault="00D45E73" w:rsidP="00203CC7">
      <w:pPr>
        <w:pStyle w:val="ONUME"/>
        <w:keepNext/>
        <w:keepLines/>
        <w:numPr>
          <w:ilvl w:val="0"/>
          <w:numId w:val="0"/>
        </w:numPr>
        <w:rPr>
          <w:b/>
          <w:bCs/>
        </w:rPr>
      </w:pPr>
      <w:r w:rsidRPr="00924A44">
        <w:rPr>
          <w:b/>
          <w:bCs/>
        </w:rPr>
        <w:t>Q</w:t>
      </w:r>
      <w:r w:rsidR="00AE54E0" w:rsidRPr="00924A44">
        <w:rPr>
          <w:b/>
          <w:bCs/>
        </w:rPr>
        <w:t>1</w:t>
      </w:r>
      <w:r w:rsidRPr="00924A44">
        <w:rPr>
          <w:b/>
          <w:bCs/>
        </w:rPr>
        <w:t xml:space="preserve">:  What is the </w:t>
      </w:r>
      <w:r w:rsidRPr="00924A44">
        <w:rPr>
          <w:b/>
        </w:rPr>
        <w:t>increase of 2.1% in personnel expenditure composed of?</w:t>
      </w:r>
    </w:p>
    <w:p w:rsidR="002064BD" w:rsidRPr="00924A44" w:rsidRDefault="00D45E73" w:rsidP="00203CC7">
      <w:pPr>
        <w:keepNext/>
        <w:keepLines/>
        <w:rPr>
          <w:bCs/>
        </w:rPr>
      </w:pPr>
      <w:r w:rsidRPr="00924A44">
        <w:rPr>
          <w:bCs/>
        </w:rPr>
        <w:t>A</w:t>
      </w:r>
      <w:r w:rsidR="00AE54E0" w:rsidRPr="00924A44">
        <w:rPr>
          <w:bCs/>
        </w:rPr>
        <w:t>1</w:t>
      </w:r>
      <w:r w:rsidRPr="00924A44">
        <w:rPr>
          <w:bCs/>
        </w:rPr>
        <w:t xml:space="preserve">:  </w:t>
      </w:r>
      <w:r w:rsidR="008E5F97" w:rsidRPr="00924A44">
        <w:rPr>
          <w:bCs/>
        </w:rPr>
        <w:t xml:space="preserve">The overall increase in personnel </w:t>
      </w:r>
      <w:r w:rsidR="002064BD">
        <w:rPr>
          <w:bCs/>
        </w:rPr>
        <w:t>costs</w:t>
      </w:r>
      <w:r w:rsidR="008E5F97" w:rsidRPr="00924A44">
        <w:rPr>
          <w:bCs/>
        </w:rPr>
        <w:t xml:space="preserve"> compared to the 2014/15 Approved Budget amount</w:t>
      </w:r>
      <w:r w:rsidR="00D5739D">
        <w:rPr>
          <w:bCs/>
        </w:rPr>
        <w:t>s</w:t>
      </w:r>
      <w:r w:rsidR="008E5F97" w:rsidRPr="00924A44">
        <w:rPr>
          <w:bCs/>
        </w:rPr>
        <w:t xml:space="preserve"> to 9.6 million or 2.1% and results primarily from statutory increases (ICSC related)</w:t>
      </w:r>
      <w:r w:rsidR="00F15AEB">
        <w:rPr>
          <w:bCs/>
        </w:rPr>
        <w:t xml:space="preserve"> and to a much lesser extent from increases in contributions to the UNJSPF (pension fund) and ASHI provisions. </w:t>
      </w:r>
      <w:r w:rsidR="002064BD">
        <w:rPr>
          <w:bCs/>
        </w:rPr>
        <w:t>No new positions are foreseen in 2016/17.</w:t>
      </w:r>
      <w:r w:rsidR="002064BD" w:rsidRPr="002064BD">
        <w:rPr>
          <w:bCs/>
        </w:rPr>
        <w:t xml:space="preserve"> </w:t>
      </w:r>
      <w:r w:rsidR="002064BD">
        <w:rPr>
          <w:bCs/>
        </w:rPr>
        <w:t xml:space="preserve"> Paragraphs 53-59 as well as </w:t>
      </w:r>
      <w:r w:rsidR="002064BD" w:rsidRPr="00924A44">
        <w:rPr>
          <w:bCs/>
        </w:rPr>
        <w:t xml:space="preserve">Appendix C ‘Costing for Personnel’ </w:t>
      </w:r>
      <w:r w:rsidR="002064BD">
        <w:rPr>
          <w:bCs/>
        </w:rPr>
        <w:t>provide</w:t>
      </w:r>
      <w:r w:rsidR="002064BD" w:rsidRPr="00924A44">
        <w:rPr>
          <w:bCs/>
        </w:rPr>
        <w:t xml:space="preserve"> more details on the planning assumptions and costing methodology</w:t>
      </w:r>
      <w:r w:rsidR="002064BD">
        <w:rPr>
          <w:bCs/>
        </w:rPr>
        <w:t xml:space="preserve"> for personnel costs</w:t>
      </w:r>
      <w:r w:rsidR="002064BD" w:rsidRPr="00924A44">
        <w:rPr>
          <w:bCs/>
        </w:rPr>
        <w:t>.</w:t>
      </w:r>
    </w:p>
    <w:p w:rsidR="008E5F97" w:rsidRPr="00924A44" w:rsidRDefault="008E5F97" w:rsidP="00203CC7">
      <w:pPr>
        <w:keepNext/>
        <w:keepLines/>
        <w:rPr>
          <w:bCs/>
        </w:rPr>
      </w:pPr>
    </w:p>
    <w:p w:rsidR="008E5F97" w:rsidRPr="00924A44" w:rsidRDefault="002064BD" w:rsidP="00203CC7">
      <w:pPr>
        <w:keepNext/>
        <w:keepLines/>
        <w:rPr>
          <w:bCs/>
        </w:rPr>
      </w:pPr>
      <w:r>
        <w:rPr>
          <w:bCs/>
        </w:rPr>
        <w:t xml:space="preserve">As a result of the containment of the </w:t>
      </w:r>
      <w:r w:rsidRPr="00924A44">
        <w:rPr>
          <w:bCs/>
        </w:rPr>
        <w:t xml:space="preserve">increase </w:t>
      </w:r>
      <w:r>
        <w:rPr>
          <w:bCs/>
        </w:rPr>
        <w:t xml:space="preserve">in personnel costs for 2016/17, </w:t>
      </w:r>
      <w:r w:rsidR="008E5F97" w:rsidRPr="00924A44">
        <w:rPr>
          <w:bCs/>
        </w:rPr>
        <w:t>the share of budgeted personnel costs as compared to the total budget has decreased from 66.3 per cent in 2014/15 to 64.6 per cent in 2016/17</w:t>
      </w:r>
      <w:r w:rsidR="00FD30CF">
        <w:rPr>
          <w:bCs/>
        </w:rPr>
        <w:t xml:space="preserve"> (paragraph 56 refers)</w:t>
      </w:r>
      <w:r>
        <w:rPr>
          <w:bCs/>
        </w:rPr>
        <w:t xml:space="preserve">. </w:t>
      </w:r>
    </w:p>
    <w:p w:rsidR="008E5F97" w:rsidRPr="00924A44" w:rsidRDefault="008E5F97" w:rsidP="00203CC7">
      <w:pPr>
        <w:keepNext/>
        <w:keepLines/>
        <w:rPr>
          <w:bCs/>
        </w:rPr>
      </w:pPr>
    </w:p>
    <w:p w:rsidR="002F446C" w:rsidRPr="00924A44" w:rsidRDefault="002F446C" w:rsidP="00203CC7">
      <w:pPr>
        <w:widowControl w:val="0"/>
        <w:tabs>
          <w:tab w:val="num" w:pos="720"/>
        </w:tabs>
      </w:pPr>
    </w:p>
    <w:p w:rsidR="00AE54E0" w:rsidRPr="00924A44" w:rsidRDefault="002F446C" w:rsidP="00203CC7">
      <w:pPr>
        <w:widowControl w:val="0"/>
        <w:tabs>
          <w:tab w:val="num" w:pos="720"/>
        </w:tabs>
        <w:rPr>
          <w:b/>
        </w:rPr>
      </w:pPr>
      <w:r w:rsidRPr="00924A44">
        <w:rPr>
          <w:b/>
        </w:rPr>
        <w:t>Q</w:t>
      </w:r>
      <w:r w:rsidR="00AE54E0" w:rsidRPr="00924A44">
        <w:rPr>
          <w:b/>
        </w:rPr>
        <w:t>2</w:t>
      </w:r>
      <w:r w:rsidRPr="00924A44">
        <w:rPr>
          <w:b/>
        </w:rPr>
        <w:t>: Does the 2,</w:t>
      </w:r>
      <w:r w:rsidR="00AE54E0" w:rsidRPr="00924A44">
        <w:rPr>
          <w:b/>
        </w:rPr>
        <w:t>1</w:t>
      </w:r>
      <w:r w:rsidRPr="00924A44">
        <w:rPr>
          <w:b/>
        </w:rPr>
        <w:t xml:space="preserve">% </w:t>
      </w:r>
      <w:r w:rsidR="00AE54E0" w:rsidRPr="00924A44">
        <w:rPr>
          <w:b/>
        </w:rPr>
        <w:t xml:space="preserve">increase in personnel cost take into account the </w:t>
      </w:r>
      <w:r w:rsidRPr="00924A44">
        <w:rPr>
          <w:b/>
        </w:rPr>
        <w:t>savings of 4</w:t>
      </w:r>
      <w:r w:rsidR="00AE54E0" w:rsidRPr="00924A44">
        <w:rPr>
          <w:b/>
        </w:rPr>
        <w:t xml:space="preserve"> </w:t>
      </w:r>
      <w:r w:rsidRPr="00924A44">
        <w:rPr>
          <w:b/>
        </w:rPr>
        <w:t>m</w:t>
      </w:r>
      <w:r w:rsidR="00AE54E0" w:rsidRPr="00924A44">
        <w:rPr>
          <w:b/>
        </w:rPr>
        <w:t>illion</w:t>
      </w:r>
      <w:r w:rsidRPr="00924A44">
        <w:rPr>
          <w:b/>
        </w:rPr>
        <w:t xml:space="preserve"> </w:t>
      </w:r>
      <w:r w:rsidR="00AE54E0" w:rsidRPr="00924A44">
        <w:rPr>
          <w:b/>
        </w:rPr>
        <w:t>Swiss francs</w:t>
      </w:r>
      <w:r w:rsidRPr="00924A44">
        <w:rPr>
          <w:b/>
        </w:rPr>
        <w:t xml:space="preserve"> </w:t>
      </w:r>
      <w:r w:rsidR="00AE54E0" w:rsidRPr="00924A44">
        <w:rPr>
          <w:b/>
        </w:rPr>
        <w:t xml:space="preserve">expected from the implementation of the </w:t>
      </w:r>
      <w:r w:rsidRPr="00924A44">
        <w:rPr>
          <w:b/>
        </w:rPr>
        <w:t>new policy</w:t>
      </w:r>
      <w:r w:rsidR="00AE54E0" w:rsidRPr="00924A44">
        <w:rPr>
          <w:b/>
        </w:rPr>
        <w:t xml:space="preserve"> on home leave travel</w:t>
      </w:r>
      <w:r w:rsidRPr="00924A44">
        <w:rPr>
          <w:b/>
        </w:rPr>
        <w:t xml:space="preserve">? </w:t>
      </w:r>
    </w:p>
    <w:p w:rsidR="00AE54E0" w:rsidRPr="00924A44" w:rsidRDefault="00AE54E0" w:rsidP="00203CC7">
      <w:pPr>
        <w:widowControl w:val="0"/>
        <w:tabs>
          <w:tab w:val="num" w:pos="720"/>
        </w:tabs>
      </w:pPr>
    </w:p>
    <w:p w:rsidR="00AE54E0" w:rsidRPr="00924A44" w:rsidRDefault="00AE54E0" w:rsidP="00203CC7">
      <w:pPr>
        <w:widowControl w:val="0"/>
        <w:tabs>
          <w:tab w:val="num" w:pos="720"/>
        </w:tabs>
      </w:pPr>
      <w:r w:rsidRPr="00924A44">
        <w:t>A2:</w:t>
      </w:r>
      <w:r w:rsidR="008E5F97" w:rsidRPr="00924A44">
        <w:t xml:space="preserve"> </w:t>
      </w:r>
      <w:r w:rsidR="00E54C63">
        <w:t>P</w:t>
      </w:r>
      <w:r w:rsidR="000C0DE3" w:rsidRPr="00924A44">
        <w:t>rovision for home leave entitlements is</w:t>
      </w:r>
      <w:r w:rsidR="008E5F97" w:rsidRPr="00924A44">
        <w:t xml:space="preserve"> included in the estimated personnel cost</w:t>
      </w:r>
      <w:r w:rsidR="00E54C63">
        <w:t xml:space="preserve"> for </w:t>
      </w:r>
      <w:r w:rsidR="00E54C63" w:rsidRPr="00924A44">
        <w:t>2016/17</w:t>
      </w:r>
      <w:r w:rsidR="00E54C63">
        <w:t xml:space="preserve">.  It takes duly </w:t>
      </w:r>
      <w:r w:rsidR="008E5F97" w:rsidRPr="00924A44">
        <w:t>into account the savings of 4 million Swiss francs expected from the implementation of the new policy on home leave travel</w:t>
      </w:r>
      <w:r w:rsidR="00D261A0">
        <w:t xml:space="preserve"> </w:t>
      </w:r>
      <w:r w:rsidR="008E5F97" w:rsidRPr="00924A44">
        <w:t>(</w:t>
      </w:r>
      <w:r w:rsidR="00D261A0">
        <w:t>p</w:t>
      </w:r>
      <w:r w:rsidR="008E5F97" w:rsidRPr="00924A44">
        <w:t xml:space="preserve">lease refer to the </w:t>
      </w:r>
      <w:r w:rsidR="00FD30CF">
        <w:t>5</w:t>
      </w:r>
      <w:r w:rsidR="00FD30CF" w:rsidRPr="00FD30CF">
        <w:rPr>
          <w:vertAlign w:val="superscript"/>
        </w:rPr>
        <w:t>th</w:t>
      </w:r>
      <w:r w:rsidR="00FD30CF">
        <w:t xml:space="preserve"> bullet under </w:t>
      </w:r>
      <w:r w:rsidR="008E5F97" w:rsidRPr="00924A44">
        <w:t xml:space="preserve">‘Planning Assumptions’ </w:t>
      </w:r>
      <w:r w:rsidR="00D261A0">
        <w:t>in paragraphs 56-59</w:t>
      </w:r>
      <w:r w:rsidR="008E5F97" w:rsidRPr="00924A44">
        <w:t>)</w:t>
      </w:r>
      <w:r w:rsidR="00D261A0">
        <w:t>.</w:t>
      </w:r>
      <w:r w:rsidR="008E5F97" w:rsidRPr="00924A44">
        <w:t xml:space="preserve">  </w:t>
      </w:r>
    </w:p>
    <w:p w:rsidR="00AE54E0" w:rsidRPr="00924A44" w:rsidRDefault="00AE54E0" w:rsidP="00203CC7">
      <w:pPr>
        <w:widowControl w:val="0"/>
        <w:tabs>
          <w:tab w:val="num" w:pos="720"/>
        </w:tabs>
      </w:pPr>
    </w:p>
    <w:p w:rsidR="00E54C63" w:rsidRDefault="00E54C63" w:rsidP="00203CC7">
      <w:pPr>
        <w:widowControl w:val="0"/>
        <w:tabs>
          <w:tab w:val="num" w:pos="720"/>
        </w:tabs>
        <w:rPr>
          <w:b/>
        </w:rPr>
      </w:pPr>
    </w:p>
    <w:p w:rsidR="002F446C" w:rsidRPr="005340D4" w:rsidRDefault="00AE54E0" w:rsidP="00203CC7">
      <w:pPr>
        <w:widowControl w:val="0"/>
        <w:tabs>
          <w:tab w:val="num" w:pos="720"/>
        </w:tabs>
        <w:rPr>
          <w:rFonts w:eastAsia="Arial"/>
          <w:b/>
        </w:rPr>
      </w:pPr>
      <w:r w:rsidRPr="005340D4">
        <w:rPr>
          <w:b/>
        </w:rPr>
        <w:t xml:space="preserve">Q3: Does the estimated personnel cost for 2016/17 take into account the current ongoing review of the </w:t>
      </w:r>
      <w:r w:rsidR="002F446C" w:rsidRPr="005340D4">
        <w:rPr>
          <w:b/>
        </w:rPr>
        <w:t>UN common compensation package</w:t>
      </w:r>
      <w:r w:rsidRPr="005340D4">
        <w:rPr>
          <w:b/>
        </w:rPr>
        <w:t>?</w:t>
      </w:r>
      <w:r w:rsidR="002F446C" w:rsidRPr="005340D4">
        <w:rPr>
          <w:b/>
        </w:rPr>
        <w:t xml:space="preserve"> </w:t>
      </w:r>
    </w:p>
    <w:p w:rsidR="00D261A0" w:rsidRPr="005340D4" w:rsidRDefault="00D261A0" w:rsidP="00203CC7">
      <w:pPr>
        <w:rPr>
          <w:bCs/>
        </w:rPr>
      </w:pPr>
    </w:p>
    <w:p w:rsidR="00D45E73" w:rsidRPr="005340D4" w:rsidRDefault="002F446C" w:rsidP="00203CC7">
      <w:pPr>
        <w:rPr>
          <w:bCs/>
          <w:szCs w:val="22"/>
        </w:rPr>
      </w:pPr>
      <w:r w:rsidRPr="005340D4">
        <w:rPr>
          <w:bCs/>
          <w:szCs w:val="22"/>
        </w:rPr>
        <w:t>A</w:t>
      </w:r>
      <w:r w:rsidR="00AE54E0" w:rsidRPr="005340D4">
        <w:rPr>
          <w:bCs/>
          <w:szCs w:val="22"/>
        </w:rPr>
        <w:t>3</w:t>
      </w:r>
      <w:r w:rsidRPr="005340D4">
        <w:rPr>
          <w:bCs/>
          <w:szCs w:val="22"/>
        </w:rPr>
        <w:t>:</w:t>
      </w:r>
      <w:r w:rsidR="003A778D" w:rsidRPr="005340D4">
        <w:rPr>
          <w:bCs/>
          <w:szCs w:val="22"/>
        </w:rPr>
        <w:t xml:space="preserve"> There is currently </w:t>
      </w:r>
      <w:r w:rsidR="00D261A0" w:rsidRPr="005340D4">
        <w:rPr>
          <w:bCs/>
          <w:szCs w:val="22"/>
        </w:rPr>
        <w:t xml:space="preserve">insufficient information </w:t>
      </w:r>
      <w:r w:rsidR="003A778D" w:rsidRPr="005340D4">
        <w:rPr>
          <w:bCs/>
          <w:szCs w:val="22"/>
        </w:rPr>
        <w:t xml:space="preserve">on the </w:t>
      </w:r>
      <w:r w:rsidR="005340D4" w:rsidRPr="005340D4">
        <w:rPr>
          <w:color w:val="282828"/>
          <w:szCs w:val="22"/>
          <w:lang w:val="en-GB"/>
        </w:rPr>
        <w:t xml:space="preserve">financial implications of the </w:t>
      </w:r>
      <w:r w:rsidR="005340D4">
        <w:rPr>
          <w:color w:val="282828"/>
          <w:szCs w:val="22"/>
          <w:lang w:val="en-GB"/>
        </w:rPr>
        <w:t xml:space="preserve">changes </w:t>
      </w:r>
      <w:r w:rsidR="005340D4" w:rsidRPr="005340D4">
        <w:rPr>
          <w:color w:val="282828"/>
          <w:szCs w:val="22"/>
          <w:lang w:val="en-GB"/>
        </w:rPr>
        <w:t xml:space="preserve">proposed or discussed </w:t>
      </w:r>
      <w:r w:rsidR="005340D4" w:rsidRPr="005340D4">
        <w:rPr>
          <w:bCs/>
          <w:szCs w:val="22"/>
        </w:rPr>
        <w:t>in the ICSC C</w:t>
      </w:r>
      <w:r w:rsidR="003A778D" w:rsidRPr="005340D4">
        <w:rPr>
          <w:bCs/>
          <w:szCs w:val="22"/>
        </w:rPr>
        <w:t xml:space="preserve">ompensation </w:t>
      </w:r>
      <w:r w:rsidR="005340D4" w:rsidRPr="005340D4">
        <w:rPr>
          <w:bCs/>
          <w:szCs w:val="22"/>
        </w:rPr>
        <w:t>R</w:t>
      </w:r>
      <w:r w:rsidR="003A778D" w:rsidRPr="005340D4">
        <w:rPr>
          <w:bCs/>
          <w:szCs w:val="22"/>
        </w:rPr>
        <w:t>eview</w:t>
      </w:r>
      <w:r w:rsidR="005340D4">
        <w:rPr>
          <w:bCs/>
          <w:szCs w:val="22"/>
        </w:rPr>
        <w:t xml:space="preserve">. It can be assumed, however, that in the short term the changes are unlikely to have any significant impact on costs. The estimated personnel costs for 2016/17 are therefore based on an assumption of “no change”. </w:t>
      </w:r>
    </w:p>
    <w:p w:rsidR="002F446C" w:rsidRDefault="002F446C" w:rsidP="00203CC7">
      <w:pPr>
        <w:rPr>
          <w:b/>
          <w:bCs/>
        </w:rPr>
      </w:pPr>
    </w:p>
    <w:p w:rsidR="003A778D" w:rsidRPr="00924A44" w:rsidRDefault="003A778D" w:rsidP="00203CC7"/>
    <w:p w:rsidR="00D62B83" w:rsidRPr="00924A44" w:rsidRDefault="00D62B83" w:rsidP="00203CC7">
      <w:pPr>
        <w:pStyle w:val="ONUME"/>
        <w:numPr>
          <w:ilvl w:val="0"/>
          <w:numId w:val="0"/>
        </w:numPr>
        <w:rPr>
          <w:b/>
        </w:rPr>
      </w:pPr>
      <w:r w:rsidRPr="00924A44">
        <w:rPr>
          <w:b/>
        </w:rPr>
        <w:t>Q</w:t>
      </w:r>
      <w:r w:rsidR="00F15AEB">
        <w:rPr>
          <w:b/>
        </w:rPr>
        <w:t>4</w:t>
      </w:r>
      <w:r w:rsidR="00523716" w:rsidRPr="00924A44">
        <w:rPr>
          <w:b/>
        </w:rPr>
        <w:t>:  Why is there a decrease in personnel expenditure for temporary staff?</w:t>
      </w:r>
    </w:p>
    <w:p w:rsidR="00D62B83" w:rsidRPr="00924A44" w:rsidRDefault="00D62B83" w:rsidP="00203CC7">
      <w:r w:rsidRPr="00924A44">
        <w:t>A</w:t>
      </w:r>
      <w:r w:rsidR="00F15AEB">
        <w:t>4</w:t>
      </w:r>
      <w:r w:rsidRPr="00924A44">
        <w:t xml:space="preserve">:  </w:t>
      </w:r>
      <w:r w:rsidR="00580EB3">
        <w:t xml:space="preserve">The decrease in personnel cost for temporary staff is due to the </w:t>
      </w:r>
      <w:r w:rsidR="00417ED8">
        <w:t>regularization</w:t>
      </w:r>
      <w:r w:rsidR="00580EB3">
        <w:t xml:space="preserve"> of continuing functions </w:t>
      </w:r>
      <w:r w:rsidR="00417ED8">
        <w:t xml:space="preserve">completed </w:t>
      </w:r>
      <w:r w:rsidR="00580EB3">
        <w:t xml:space="preserve">in 2014/15 </w:t>
      </w:r>
      <w:r w:rsidR="00580EB3" w:rsidRPr="00924A44">
        <w:rPr>
          <w:bCs/>
          <w:szCs w:val="22"/>
        </w:rPr>
        <w:t>(within the framework of the 156 regularization posts approved in principle by Member States (ref. WO/CC/63/5)</w:t>
      </w:r>
      <w:r w:rsidR="00417ED8">
        <w:rPr>
          <w:bCs/>
          <w:szCs w:val="22"/>
        </w:rPr>
        <w:t>).  The number of temporary positions budgeted for 2016/17 thus amounts to 111 as compared to 144 in the biennium 2014/15.</w:t>
      </w:r>
    </w:p>
    <w:p w:rsidR="00D62B83" w:rsidRPr="00924A44" w:rsidRDefault="00D62B83" w:rsidP="00203CC7"/>
    <w:p w:rsidR="00417ED8" w:rsidRDefault="00417ED8" w:rsidP="00203CC7">
      <w:pPr>
        <w:pStyle w:val="ONUME"/>
        <w:numPr>
          <w:ilvl w:val="0"/>
          <w:numId w:val="0"/>
        </w:numPr>
        <w:spacing w:after="0"/>
        <w:rPr>
          <w:b/>
        </w:rPr>
      </w:pPr>
    </w:p>
    <w:p w:rsidR="00D62B83" w:rsidRPr="00924A44" w:rsidRDefault="00D62B83" w:rsidP="00203CC7">
      <w:pPr>
        <w:pStyle w:val="ONUME"/>
        <w:numPr>
          <w:ilvl w:val="0"/>
          <w:numId w:val="0"/>
        </w:numPr>
        <w:spacing w:after="0"/>
        <w:rPr>
          <w:b/>
        </w:rPr>
      </w:pPr>
      <w:r w:rsidRPr="00924A44">
        <w:rPr>
          <w:b/>
        </w:rPr>
        <w:t>Q</w:t>
      </w:r>
      <w:r w:rsidR="00F15AEB">
        <w:rPr>
          <w:b/>
        </w:rPr>
        <w:t>5</w:t>
      </w:r>
      <w:r w:rsidRPr="00924A44">
        <w:rPr>
          <w:b/>
        </w:rPr>
        <w:t xml:space="preserve">:  </w:t>
      </w:r>
      <w:r w:rsidR="009571B1" w:rsidRPr="00924A44">
        <w:rPr>
          <w:b/>
        </w:rPr>
        <w:t xml:space="preserve">Does the </w:t>
      </w:r>
      <w:r w:rsidR="00523716" w:rsidRPr="00924A44">
        <w:rPr>
          <w:b/>
        </w:rPr>
        <w:t xml:space="preserve">regularization </w:t>
      </w:r>
      <w:r w:rsidR="009571B1" w:rsidRPr="00924A44">
        <w:rPr>
          <w:b/>
        </w:rPr>
        <w:t>of continuing functions lead</w:t>
      </w:r>
      <w:r w:rsidR="00523716" w:rsidRPr="00924A44">
        <w:rPr>
          <w:b/>
        </w:rPr>
        <w:t xml:space="preserve"> to an increase in expenditure under “</w:t>
      </w:r>
      <w:r w:rsidR="002A62DE">
        <w:rPr>
          <w:b/>
        </w:rPr>
        <w:t>P</w:t>
      </w:r>
      <w:r w:rsidR="00523716" w:rsidRPr="00924A44">
        <w:rPr>
          <w:b/>
        </w:rPr>
        <w:t>osts”</w:t>
      </w:r>
      <w:r w:rsidRPr="00924A44">
        <w:rPr>
          <w:b/>
        </w:rPr>
        <w:t xml:space="preserve">? </w:t>
      </w:r>
    </w:p>
    <w:p w:rsidR="00417ED8" w:rsidRDefault="00417ED8" w:rsidP="00203CC7"/>
    <w:p w:rsidR="0058105B" w:rsidRDefault="00D62B83" w:rsidP="00203CC7">
      <w:r w:rsidRPr="00924A44">
        <w:t>A</w:t>
      </w:r>
      <w:r w:rsidR="00F15AEB">
        <w:t>5</w:t>
      </w:r>
      <w:r w:rsidRPr="00924A44">
        <w:t xml:space="preserve">:  </w:t>
      </w:r>
      <w:r w:rsidR="0058105B">
        <w:t>The regularization of continuing functions (see Q4 above) converts temporary positions to posts. The associated increase under “</w:t>
      </w:r>
      <w:r w:rsidR="002A62DE">
        <w:t>P</w:t>
      </w:r>
      <w:r w:rsidR="0058105B">
        <w:t xml:space="preserve">osts” </w:t>
      </w:r>
      <w:r w:rsidR="002A62DE">
        <w:t xml:space="preserve">(and decrease under “Temporary Staff”) </w:t>
      </w:r>
      <w:r w:rsidR="0058105B">
        <w:t>therefore amounts to the difference in the cost of a temporary position and a post</w:t>
      </w:r>
      <w:r w:rsidR="002A62DE">
        <w:t xml:space="preserve"> (</w:t>
      </w:r>
      <w:r w:rsidR="00E70D65">
        <w:t>difference in benefits and entitlements between these two types of contacts</w:t>
      </w:r>
      <w:r w:rsidR="002A62DE">
        <w:t>)</w:t>
      </w:r>
      <w:r w:rsidR="0058105B">
        <w:t xml:space="preserve">. </w:t>
      </w:r>
    </w:p>
    <w:p w:rsidR="00D62B83" w:rsidRPr="00924A44" w:rsidRDefault="0058105B" w:rsidP="00203CC7">
      <w:r>
        <w:t xml:space="preserve"> </w:t>
      </w:r>
    </w:p>
    <w:p w:rsidR="00D62B83" w:rsidRPr="00924A44" w:rsidRDefault="00D62B83" w:rsidP="00203CC7">
      <w:pPr>
        <w:keepNext/>
        <w:keepLines/>
      </w:pPr>
    </w:p>
    <w:p w:rsidR="00523716" w:rsidRPr="00924A44" w:rsidRDefault="00523716" w:rsidP="00203CC7">
      <w:r w:rsidRPr="00924A44">
        <w:rPr>
          <w:b/>
          <w:bCs/>
        </w:rPr>
        <w:t>Q</w:t>
      </w:r>
      <w:r w:rsidR="00F15AEB">
        <w:rPr>
          <w:b/>
          <w:bCs/>
        </w:rPr>
        <w:t>6</w:t>
      </w:r>
      <w:r w:rsidRPr="00924A44">
        <w:rPr>
          <w:b/>
          <w:bCs/>
        </w:rPr>
        <w:t xml:space="preserve">:  </w:t>
      </w:r>
      <w:r w:rsidRPr="00924A44">
        <w:rPr>
          <w:b/>
        </w:rPr>
        <w:t xml:space="preserve">Does the 2.1% increase in personnel costs include </w:t>
      </w:r>
      <w:r w:rsidR="009571B1" w:rsidRPr="00924A44">
        <w:rPr>
          <w:b/>
        </w:rPr>
        <w:t>a</w:t>
      </w:r>
      <w:r w:rsidR="002A62DE">
        <w:rPr>
          <w:b/>
        </w:rPr>
        <w:t xml:space="preserve"> provision for </w:t>
      </w:r>
      <w:r w:rsidRPr="00924A44">
        <w:rPr>
          <w:b/>
        </w:rPr>
        <w:t>ASHI?</w:t>
      </w:r>
    </w:p>
    <w:p w:rsidR="00523716" w:rsidRPr="00924A44" w:rsidRDefault="00523716" w:rsidP="00203CC7">
      <w:pPr>
        <w:rPr>
          <w:b/>
          <w:bCs/>
        </w:rPr>
      </w:pPr>
    </w:p>
    <w:p w:rsidR="00804452" w:rsidRPr="00924A44" w:rsidRDefault="00523716" w:rsidP="00203CC7">
      <w:pPr>
        <w:rPr>
          <w:b/>
          <w:bCs/>
        </w:rPr>
      </w:pPr>
      <w:r w:rsidRPr="00924A44">
        <w:rPr>
          <w:bCs/>
        </w:rPr>
        <w:t>A</w:t>
      </w:r>
      <w:r w:rsidR="00F15AEB">
        <w:rPr>
          <w:bCs/>
        </w:rPr>
        <w:t>6</w:t>
      </w:r>
      <w:r w:rsidRPr="00924A44">
        <w:rPr>
          <w:bCs/>
        </w:rPr>
        <w:t xml:space="preserve">:  </w:t>
      </w:r>
      <w:r w:rsidR="002A62DE">
        <w:rPr>
          <w:bCs/>
        </w:rPr>
        <w:t xml:space="preserve">Provisions for ASHI have been maintained at 6%; same as in the Program and Budget 2014/15 (please refer to the personnel cost planning assumptions in paragraphs 56-59). </w:t>
      </w:r>
    </w:p>
    <w:p w:rsidR="00523716" w:rsidRPr="00924A44" w:rsidRDefault="00523716" w:rsidP="00203CC7">
      <w:pPr>
        <w:rPr>
          <w:bCs/>
        </w:rPr>
      </w:pPr>
    </w:p>
    <w:p w:rsidR="00523716" w:rsidRPr="00924A44" w:rsidRDefault="00523716" w:rsidP="00203CC7">
      <w:pPr>
        <w:keepNext/>
        <w:keepLines/>
        <w:spacing w:before="120"/>
        <w:rPr>
          <w:b/>
          <w:bCs/>
          <w:highlight w:val="yellow"/>
        </w:rPr>
      </w:pPr>
    </w:p>
    <w:p w:rsidR="005F0E99" w:rsidRPr="00671B9C" w:rsidRDefault="005F0E99" w:rsidP="00203CC7">
      <w:pPr>
        <w:pStyle w:val="ONUME"/>
        <w:keepNext/>
        <w:keepLines/>
        <w:numPr>
          <w:ilvl w:val="0"/>
          <w:numId w:val="0"/>
        </w:numPr>
        <w:rPr>
          <w:b/>
        </w:rPr>
      </w:pPr>
      <w:r w:rsidRPr="00671B9C">
        <w:rPr>
          <w:b/>
          <w:bCs/>
        </w:rPr>
        <w:t>Q</w:t>
      </w:r>
      <w:r w:rsidR="00F15AEB" w:rsidRPr="00671B9C">
        <w:rPr>
          <w:b/>
          <w:bCs/>
        </w:rPr>
        <w:t>7</w:t>
      </w:r>
      <w:r w:rsidRPr="00671B9C">
        <w:rPr>
          <w:b/>
          <w:bCs/>
        </w:rPr>
        <w:t xml:space="preserve">:  </w:t>
      </w:r>
      <w:r w:rsidRPr="00671B9C">
        <w:rPr>
          <w:b/>
        </w:rPr>
        <w:t xml:space="preserve">What progress has been made </w:t>
      </w:r>
      <w:r w:rsidR="009571B1" w:rsidRPr="00671B9C">
        <w:rPr>
          <w:b/>
        </w:rPr>
        <w:t>in</w:t>
      </w:r>
      <w:r w:rsidRPr="00671B9C">
        <w:rPr>
          <w:b/>
        </w:rPr>
        <w:t xml:space="preserve"> containing the ASHI liability and the management of ASHI funds since 2013?  </w:t>
      </w:r>
    </w:p>
    <w:p w:rsidR="00670D4C" w:rsidRPr="00670D4C" w:rsidRDefault="005F0E99" w:rsidP="00203CC7">
      <w:pPr>
        <w:textAlignment w:val="top"/>
        <w:rPr>
          <w:rFonts w:eastAsia="Times New Roman"/>
          <w:color w:val="282828"/>
          <w:sz w:val="23"/>
          <w:szCs w:val="23"/>
          <w:lang w:eastAsia="en-US"/>
        </w:rPr>
      </w:pPr>
      <w:r w:rsidRPr="00671B9C">
        <w:rPr>
          <w:bCs/>
        </w:rPr>
        <w:t>A</w:t>
      </w:r>
      <w:r w:rsidR="00F15AEB" w:rsidRPr="00671B9C">
        <w:rPr>
          <w:bCs/>
        </w:rPr>
        <w:t>7</w:t>
      </w:r>
      <w:r w:rsidRPr="00671B9C">
        <w:rPr>
          <w:bCs/>
        </w:rPr>
        <w:t xml:space="preserve">:  </w:t>
      </w:r>
      <w:r w:rsidR="00670D4C" w:rsidRPr="00671B9C">
        <w:rPr>
          <w:bCs/>
        </w:rPr>
        <w:t xml:space="preserve">The Secretariat pursues a conscious strategy to contain personnel costs through a move towards a more agile and mobile workforce </w:t>
      </w:r>
      <w:proofErr w:type="gramStart"/>
      <w:r w:rsidR="00670D4C" w:rsidRPr="00671B9C">
        <w:rPr>
          <w:bCs/>
        </w:rPr>
        <w:t>which</w:t>
      </w:r>
      <w:proofErr w:type="gramEnd"/>
      <w:r w:rsidR="00670D4C" w:rsidRPr="00671B9C">
        <w:rPr>
          <w:bCs/>
        </w:rPr>
        <w:t xml:space="preserve"> can easily adapt to business needs </w:t>
      </w:r>
      <w:r w:rsidR="00670D4C" w:rsidRPr="00671B9C">
        <w:rPr>
          <w:rFonts w:eastAsia="Times New Roman"/>
          <w:color w:val="282828"/>
          <w:sz w:val="23"/>
          <w:szCs w:val="23"/>
          <w:lang w:eastAsia="en-US"/>
        </w:rPr>
        <w:t xml:space="preserve">as well as </w:t>
      </w:r>
      <w:r w:rsidR="00A23598" w:rsidRPr="00671B9C">
        <w:rPr>
          <w:rFonts w:eastAsia="Times New Roman"/>
          <w:color w:val="282828"/>
          <w:sz w:val="23"/>
          <w:szCs w:val="23"/>
          <w:lang w:eastAsia="en-US"/>
        </w:rPr>
        <w:t xml:space="preserve">the promotion of </w:t>
      </w:r>
      <w:r w:rsidR="00670D4C" w:rsidRPr="00671B9C">
        <w:rPr>
          <w:rFonts w:eastAsia="Times New Roman"/>
          <w:color w:val="282828"/>
          <w:sz w:val="23"/>
          <w:szCs w:val="23"/>
          <w:lang w:eastAsia="en-US"/>
        </w:rPr>
        <w:t xml:space="preserve">flexible resourcing models to ensure that increases on long term employee benefit liabilities are contained. </w:t>
      </w:r>
      <w:r w:rsidR="004D1C21" w:rsidRPr="00671B9C">
        <w:rPr>
          <w:rFonts w:eastAsia="Times New Roman"/>
          <w:color w:val="282828"/>
          <w:sz w:val="23"/>
          <w:szCs w:val="23"/>
          <w:lang w:eastAsia="en-US"/>
        </w:rPr>
        <w:t>There are therefore no new posts proposed for 2016/17.</w:t>
      </w:r>
      <w:r w:rsidR="004D1C21">
        <w:rPr>
          <w:rFonts w:eastAsia="Times New Roman"/>
          <w:color w:val="282828"/>
          <w:sz w:val="23"/>
          <w:szCs w:val="23"/>
          <w:lang w:eastAsia="en-US"/>
        </w:rPr>
        <w:t xml:space="preserve"> </w:t>
      </w:r>
    </w:p>
    <w:p w:rsidR="00670D4C" w:rsidRDefault="00670D4C" w:rsidP="00203CC7">
      <w:pPr>
        <w:keepNext/>
        <w:keepLines/>
        <w:rPr>
          <w:bCs/>
        </w:rPr>
      </w:pPr>
    </w:p>
    <w:p w:rsidR="00804452" w:rsidRPr="00924A44" w:rsidRDefault="00804452" w:rsidP="00203CC7">
      <w:pPr>
        <w:keepNext/>
        <w:keepLines/>
      </w:pPr>
      <w:r w:rsidRPr="00924A44">
        <w:t xml:space="preserve">WIPO has </w:t>
      </w:r>
      <w:r w:rsidR="003A5261">
        <w:t xml:space="preserve">also </w:t>
      </w:r>
      <w:r w:rsidRPr="00924A44">
        <w:t xml:space="preserve">been an active member of the ASHI Working Group, established by the </w:t>
      </w:r>
      <w:r w:rsidR="00670D4C">
        <w:t xml:space="preserve">UN </w:t>
      </w:r>
      <w:r w:rsidRPr="00924A44">
        <w:t>F</w:t>
      </w:r>
      <w:r w:rsidR="005A5191">
        <w:t xml:space="preserve">inance and </w:t>
      </w:r>
      <w:r w:rsidRPr="00924A44">
        <w:t>B</w:t>
      </w:r>
      <w:r w:rsidR="005A5191">
        <w:t>udget</w:t>
      </w:r>
      <w:r w:rsidRPr="00924A44">
        <w:t xml:space="preserve"> Network in 2013, and is also a member of the Steering Team.  The subject of ASHI is a large and complex one and it was recognized last year by the Working Group that the assistance of consultants was required. The consultants were engaged in early 2015 and have been working alongsid</w:t>
      </w:r>
      <w:r w:rsidR="005A5191">
        <w:t>e the Working Group on the issuance</w:t>
      </w:r>
      <w:r w:rsidRPr="00924A44">
        <w:t xml:space="preserve"> and analysis of a comprehensive survey of healthcare plans across the UN system. </w:t>
      </w:r>
      <w:r w:rsidR="006A7C20">
        <w:t>A</w:t>
      </w:r>
      <w:r w:rsidRPr="00924A44">
        <w:t xml:space="preserve">dditional data has now been requested from </w:t>
      </w:r>
      <w:r w:rsidR="006A7C20">
        <w:t>all</w:t>
      </w:r>
      <w:r w:rsidRPr="00924A44">
        <w:t xml:space="preserve"> agencies </w:t>
      </w:r>
      <w:r w:rsidR="002A49A1">
        <w:t xml:space="preserve">and </w:t>
      </w:r>
      <w:r w:rsidRPr="00924A44">
        <w:t>several areas to be investigated in depth have already been identified. These include use of national health schemes, joining forces between agencies in order to obtain a better price from healthcare providers and the establishment of internally managed healthcare schemes, amongst others. Work continues and the Working Group is expected to report to the General Assembly at its resumed session in early 2016.</w:t>
      </w:r>
    </w:p>
    <w:p w:rsidR="005F0E99" w:rsidRPr="00924A44" w:rsidRDefault="005F0E99" w:rsidP="00203CC7">
      <w:pPr>
        <w:keepNext/>
        <w:keepLines/>
        <w:rPr>
          <w:bCs/>
        </w:rPr>
      </w:pPr>
    </w:p>
    <w:p w:rsidR="005F0E99" w:rsidRPr="00924A44" w:rsidRDefault="005F0E99" w:rsidP="00203CC7">
      <w:pPr>
        <w:spacing w:before="120"/>
        <w:rPr>
          <w:b/>
          <w:bCs/>
        </w:rPr>
      </w:pPr>
    </w:p>
    <w:p w:rsidR="005F0E99" w:rsidRPr="00924A44" w:rsidRDefault="005F0E99" w:rsidP="00203CC7">
      <w:pPr>
        <w:pStyle w:val="ONUME"/>
        <w:numPr>
          <w:ilvl w:val="0"/>
          <w:numId w:val="0"/>
        </w:numPr>
        <w:rPr>
          <w:b/>
          <w:bCs/>
        </w:rPr>
      </w:pPr>
      <w:r w:rsidRPr="00924A44">
        <w:rPr>
          <w:b/>
          <w:bCs/>
        </w:rPr>
        <w:t>Q</w:t>
      </w:r>
      <w:r w:rsidR="00F15AEB">
        <w:rPr>
          <w:b/>
          <w:bCs/>
        </w:rPr>
        <w:t>8</w:t>
      </w:r>
      <w:r w:rsidRPr="00924A44">
        <w:rPr>
          <w:b/>
          <w:bCs/>
        </w:rPr>
        <w:t xml:space="preserve">:  </w:t>
      </w:r>
      <w:r w:rsidRPr="00924A44">
        <w:rPr>
          <w:b/>
        </w:rPr>
        <w:t>Does the ASHI liability in the financial statements take account of the discount rate following negative interest rates?</w:t>
      </w:r>
    </w:p>
    <w:p w:rsidR="00804452" w:rsidRPr="00924A44" w:rsidRDefault="005F0E99" w:rsidP="00203CC7">
      <w:r w:rsidRPr="00924A44">
        <w:rPr>
          <w:bCs/>
        </w:rPr>
        <w:t>A</w:t>
      </w:r>
      <w:r w:rsidR="00F15AEB">
        <w:rPr>
          <w:bCs/>
        </w:rPr>
        <w:t>8</w:t>
      </w:r>
      <w:r w:rsidRPr="00924A44">
        <w:rPr>
          <w:bCs/>
        </w:rPr>
        <w:t xml:space="preserve">:  </w:t>
      </w:r>
      <w:r w:rsidRPr="00924A44">
        <w:t xml:space="preserve"> </w:t>
      </w:r>
      <w:r w:rsidR="00804452" w:rsidRPr="00924A44">
        <w:t>The discount rate reflects the situation as at the end of December 2014, before the removal of the EUR/CHF currency peg and the widespread introduction of negative interest rates.</w:t>
      </w:r>
    </w:p>
    <w:p w:rsidR="005F0E99" w:rsidRPr="00924A44" w:rsidRDefault="005F0E99" w:rsidP="00203CC7"/>
    <w:p w:rsidR="005F0E99" w:rsidRPr="00924A44" w:rsidRDefault="005F0E99" w:rsidP="00203CC7">
      <w:pPr>
        <w:rPr>
          <w:b/>
          <w:bCs/>
        </w:rPr>
      </w:pPr>
    </w:p>
    <w:p w:rsidR="005F0E99" w:rsidRPr="00924A44" w:rsidRDefault="005F0E99" w:rsidP="00203CC7">
      <w:pPr>
        <w:pStyle w:val="ONUME"/>
        <w:numPr>
          <w:ilvl w:val="0"/>
          <w:numId w:val="0"/>
        </w:numPr>
        <w:rPr>
          <w:b/>
          <w:bCs/>
        </w:rPr>
      </w:pPr>
      <w:r w:rsidRPr="00924A44">
        <w:rPr>
          <w:b/>
          <w:bCs/>
        </w:rPr>
        <w:t>Q</w:t>
      </w:r>
      <w:r w:rsidR="00F15AEB">
        <w:rPr>
          <w:b/>
          <w:bCs/>
        </w:rPr>
        <w:t>9</w:t>
      </w:r>
      <w:r w:rsidRPr="00924A44">
        <w:rPr>
          <w:b/>
          <w:bCs/>
        </w:rPr>
        <w:t xml:space="preserve">:  </w:t>
      </w:r>
      <w:r w:rsidRPr="00924A44">
        <w:rPr>
          <w:b/>
        </w:rPr>
        <w:t>Is there an updated figure for ASHI?  Has an actuarial study been done to update this figure?</w:t>
      </w:r>
    </w:p>
    <w:p w:rsidR="00804452" w:rsidRPr="00924A44" w:rsidRDefault="006C37C3" w:rsidP="00203CC7">
      <w:pPr>
        <w:pStyle w:val="ONUME"/>
        <w:numPr>
          <w:ilvl w:val="0"/>
          <w:numId w:val="0"/>
        </w:numPr>
        <w:spacing w:after="0"/>
        <w:rPr>
          <w:bCs/>
        </w:rPr>
      </w:pPr>
      <w:r w:rsidRPr="00924A44">
        <w:rPr>
          <w:bCs/>
        </w:rPr>
        <w:t>A</w:t>
      </w:r>
      <w:r w:rsidR="00F15AEB">
        <w:rPr>
          <w:bCs/>
        </w:rPr>
        <w:t>9</w:t>
      </w:r>
      <w:r w:rsidRPr="00924A44">
        <w:rPr>
          <w:bCs/>
        </w:rPr>
        <w:t>:</w:t>
      </w:r>
      <w:r w:rsidR="00804452" w:rsidRPr="00924A44">
        <w:rPr>
          <w:bCs/>
        </w:rPr>
        <w:t xml:space="preserve"> An actuarial study was carried out in early 2015 in order to update the figure for ASHI. This exercise is done annually. The liability, included within the 2014 financial statements, is 127.858 million Swiss francs.</w:t>
      </w:r>
    </w:p>
    <w:p w:rsidR="00D45E73" w:rsidRPr="00924A44" w:rsidRDefault="00D45E73" w:rsidP="00203CC7">
      <w:pPr>
        <w:pStyle w:val="ONUME"/>
        <w:numPr>
          <w:ilvl w:val="0"/>
          <w:numId w:val="0"/>
        </w:numPr>
        <w:rPr>
          <w:bCs/>
        </w:rPr>
      </w:pPr>
    </w:p>
    <w:p w:rsidR="00193020" w:rsidRPr="00924A44" w:rsidRDefault="00193020" w:rsidP="00203CC7">
      <w:pPr>
        <w:rPr>
          <w:b/>
        </w:rPr>
      </w:pPr>
      <w:r w:rsidRPr="00924A44">
        <w:rPr>
          <w:b/>
        </w:rPr>
        <w:t>Q1</w:t>
      </w:r>
      <w:r w:rsidR="00F15AEB">
        <w:rPr>
          <w:b/>
        </w:rPr>
        <w:t>0</w:t>
      </w:r>
      <w:r w:rsidRPr="00924A44">
        <w:rPr>
          <w:b/>
        </w:rPr>
        <w:t xml:space="preserve">: How is the provision for overtime under </w:t>
      </w:r>
      <w:proofErr w:type="gramStart"/>
      <w:r w:rsidRPr="00924A44">
        <w:rPr>
          <w:b/>
        </w:rPr>
        <w:t>Unallocated</w:t>
      </w:r>
      <w:proofErr w:type="gramEnd"/>
      <w:r w:rsidRPr="00924A44">
        <w:rPr>
          <w:b/>
        </w:rPr>
        <w:t xml:space="preserve"> split between Programs? </w:t>
      </w:r>
    </w:p>
    <w:p w:rsidR="00193020" w:rsidRPr="00924A44" w:rsidRDefault="00193020" w:rsidP="00203CC7"/>
    <w:p w:rsidR="00193020" w:rsidRPr="00924A44" w:rsidRDefault="00193020" w:rsidP="00203CC7">
      <w:r w:rsidRPr="00924A44">
        <w:t>A1</w:t>
      </w:r>
      <w:r w:rsidR="00F15AEB">
        <w:t>0</w:t>
      </w:r>
      <w:r w:rsidRPr="00924A44">
        <w:t>:</w:t>
      </w:r>
      <w:r w:rsidR="002A49A1">
        <w:t xml:space="preserve"> </w:t>
      </w:r>
      <w:r w:rsidR="006E2777">
        <w:t>In order to enable the Secretariat to better monitor and control overtime expenses, the estimated overtime costs are budgeted in a separate</w:t>
      </w:r>
      <w:r w:rsidR="002A49A1">
        <w:t xml:space="preserve"> provision </w:t>
      </w:r>
      <w:r w:rsidR="006E2777">
        <w:t>(</w:t>
      </w:r>
      <w:r w:rsidR="002A49A1">
        <w:t>2 million Swiss francs</w:t>
      </w:r>
      <w:r w:rsidR="006E2777">
        <w:t>)</w:t>
      </w:r>
      <w:r w:rsidR="002A49A1">
        <w:t xml:space="preserve"> </w:t>
      </w:r>
      <w:r w:rsidR="006E2777">
        <w:t>in</w:t>
      </w:r>
      <w:r w:rsidR="002A49A1">
        <w:t xml:space="preserve"> </w:t>
      </w:r>
      <w:r w:rsidR="006E2777">
        <w:t>“</w:t>
      </w:r>
      <w:r w:rsidR="002A49A1">
        <w:t>Unallocated (Personnel)</w:t>
      </w:r>
      <w:r w:rsidR="006E2777">
        <w:t xml:space="preserve">”. The estimated overtime costs for 2016/17 are therefore not budgeted under the individual Programs. </w:t>
      </w:r>
    </w:p>
    <w:p w:rsidR="006C37C3" w:rsidRDefault="006C37C3" w:rsidP="00203CC7">
      <w:pPr>
        <w:rPr>
          <w:sz w:val="24"/>
          <w:szCs w:val="24"/>
        </w:rPr>
      </w:pPr>
    </w:p>
    <w:p w:rsidR="009F68F2" w:rsidRDefault="009F68F2" w:rsidP="00203CC7">
      <w:pPr>
        <w:rPr>
          <w:sz w:val="24"/>
          <w:szCs w:val="24"/>
        </w:rPr>
      </w:pPr>
    </w:p>
    <w:p w:rsidR="005F0E99" w:rsidRPr="00924A44" w:rsidRDefault="005F0E99" w:rsidP="00203CC7">
      <w:pPr>
        <w:rPr>
          <w:sz w:val="24"/>
          <w:szCs w:val="24"/>
        </w:rPr>
      </w:pPr>
      <w:r w:rsidRPr="00924A44">
        <w:rPr>
          <w:sz w:val="24"/>
          <w:szCs w:val="24"/>
        </w:rPr>
        <w:t>DEVELOPMENT EXPENDITURE</w:t>
      </w:r>
    </w:p>
    <w:p w:rsidR="005F0E99" w:rsidRPr="00924A44" w:rsidRDefault="005F0E99" w:rsidP="00203CC7">
      <w:pPr>
        <w:rPr>
          <w:sz w:val="24"/>
          <w:szCs w:val="24"/>
        </w:rPr>
      </w:pPr>
    </w:p>
    <w:p w:rsidR="005F0E99" w:rsidRPr="00924A44" w:rsidRDefault="005F0E99" w:rsidP="00203CC7">
      <w:pPr>
        <w:pStyle w:val="ONUME"/>
        <w:numPr>
          <w:ilvl w:val="0"/>
          <w:numId w:val="0"/>
        </w:numPr>
        <w:rPr>
          <w:b/>
        </w:rPr>
      </w:pPr>
      <w:r w:rsidRPr="00924A44">
        <w:rPr>
          <w:b/>
        </w:rPr>
        <w:t xml:space="preserve">Q1:  If </w:t>
      </w:r>
      <w:r w:rsidR="0078453E" w:rsidRPr="00924A44">
        <w:rPr>
          <w:b/>
        </w:rPr>
        <w:t>a</w:t>
      </w:r>
      <w:r w:rsidRPr="00924A44">
        <w:rPr>
          <w:b/>
        </w:rPr>
        <w:t xml:space="preserve"> consensus </w:t>
      </w:r>
      <w:r w:rsidR="0078453E" w:rsidRPr="00924A44">
        <w:rPr>
          <w:b/>
        </w:rPr>
        <w:t xml:space="preserve">were to be reached </w:t>
      </w:r>
      <w:r w:rsidRPr="00924A44">
        <w:rPr>
          <w:b/>
        </w:rPr>
        <w:t xml:space="preserve">on </w:t>
      </w:r>
      <w:r w:rsidR="0078453E" w:rsidRPr="00924A44">
        <w:rPr>
          <w:b/>
        </w:rPr>
        <w:t xml:space="preserve">a revised </w:t>
      </w:r>
      <w:r w:rsidRPr="00924A44">
        <w:rPr>
          <w:b/>
        </w:rPr>
        <w:t>definition</w:t>
      </w:r>
      <w:r w:rsidR="0078453E" w:rsidRPr="00924A44">
        <w:rPr>
          <w:b/>
        </w:rPr>
        <w:t xml:space="preserve"> </w:t>
      </w:r>
      <w:r w:rsidRPr="00924A44">
        <w:rPr>
          <w:b/>
        </w:rPr>
        <w:t xml:space="preserve">of </w:t>
      </w:r>
      <w:r w:rsidR="0078453E" w:rsidRPr="00924A44">
        <w:rPr>
          <w:b/>
        </w:rPr>
        <w:t>d</w:t>
      </w:r>
      <w:r w:rsidRPr="00924A44">
        <w:rPr>
          <w:b/>
        </w:rPr>
        <w:t xml:space="preserve">evelopment </w:t>
      </w:r>
      <w:r w:rsidR="0078453E" w:rsidRPr="00924A44">
        <w:rPr>
          <w:b/>
        </w:rPr>
        <w:t>e</w:t>
      </w:r>
      <w:r w:rsidRPr="00924A44">
        <w:rPr>
          <w:b/>
        </w:rPr>
        <w:t xml:space="preserve">xpenditure, could this </w:t>
      </w:r>
      <w:r w:rsidR="0078453E" w:rsidRPr="00924A44">
        <w:rPr>
          <w:b/>
        </w:rPr>
        <w:t xml:space="preserve">revised </w:t>
      </w:r>
      <w:r w:rsidRPr="00924A44">
        <w:rPr>
          <w:b/>
        </w:rPr>
        <w:t xml:space="preserve">definition be </w:t>
      </w:r>
      <w:r w:rsidR="0078453E" w:rsidRPr="00924A44">
        <w:rPr>
          <w:b/>
        </w:rPr>
        <w:t>applied for the Program and Budget</w:t>
      </w:r>
      <w:r w:rsidRPr="00924A44">
        <w:rPr>
          <w:b/>
        </w:rPr>
        <w:t xml:space="preserve"> 2016</w:t>
      </w:r>
      <w:r w:rsidR="0078453E" w:rsidRPr="00924A44">
        <w:rPr>
          <w:b/>
        </w:rPr>
        <w:t>/17</w:t>
      </w:r>
      <w:r w:rsidRPr="00924A44">
        <w:rPr>
          <w:b/>
        </w:rPr>
        <w:t>?</w:t>
      </w:r>
    </w:p>
    <w:p w:rsidR="005F0E99" w:rsidRPr="00924A44" w:rsidRDefault="005F0E99" w:rsidP="00203CC7">
      <w:r w:rsidRPr="00924A44">
        <w:t xml:space="preserve">A1: </w:t>
      </w:r>
      <w:r w:rsidR="006008FC">
        <w:t>Due to the considerable work involved in preparing a Program and Budget, including the estimation of development expenditure, a</w:t>
      </w:r>
      <w:r w:rsidR="00E3161B">
        <w:t xml:space="preserve"> revised definition of development expenditure</w:t>
      </w:r>
      <w:r w:rsidR="006008FC">
        <w:t>,</w:t>
      </w:r>
      <w:r w:rsidR="00E3161B">
        <w:t xml:space="preserve"> </w:t>
      </w:r>
      <w:r w:rsidR="006008FC">
        <w:t xml:space="preserve">agreed to by Member States in 2015, </w:t>
      </w:r>
      <w:r w:rsidR="00E3161B">
        <w:t>c</w:t>
      </w:r>
      <w:r w:rsidR="00317B9F">
        <w:t>an</w:t>
      </w:r>
      <w:r w:rsidR="00E3161B">
        <w:t xml:space="preserve"> be applied </w:t>
      </w:r>
      <w:r w:rsidR="006008FC">
        <w:t xml:space="preserve">for the preparation of the </w:t>
      </w:r>
      <w:r w:rsidR="00E3161B">
        <w:t>Program and Budget for the biennium 2018/19.</w:t>
      </w:r>
      <w:r w:rsidR="0078453E" w:rsidRPr="00924A44">
        <w:t xml:space="preserve"> </w:t>
      </w:r>
      <w:r w:rsidRPr="00924A44">
        <w:t xml:space="preserve"> </w:t>
      </w:r>
    </w:p>
    <w:p w:rsidR="005F0E99" w:rsidRDefault="005F0E99" w:rsidP="00203CC7"/>
    <w:p w:rsidR="006008FC" w:rsidRPr="00924A44" w:rsidRDefault="006008FC" w:rsidP="00203CC7"/>
    <w:p w:rsidR="005F0E99" w:rsidRPr="00924A44" w:rsidRDefault="005F0E99" w:rsidP="00203CC7">
      <w:pPr>
        <w:pStyle w:val="ONUME"/>
        <w:numPr>
          <w:ilvl w:val="0"/>
          <w:numId w:val="0"/>
        </w:numPr>
        <w:spacing w:after="0"/>
        <w:rPr>
          <w:b/>
        </w:rPr>
      </w:pPr>
      <w:r w:rsidRPr="00924A44">
        <w:rPr>
          <w:b/>
        </w:rPr>
        <w:t xml:space="preserve">Q2:  Which </w:t>
      </w:r>
      <w:r w:rsidR="0078453E" w:rsidRPr="00924A44">
        <w:rPr>
          <w:b/>
        </w:rPr>
        <w:t>P</w:t>
      </w:r>
      <w:r w:rsidRPr="00924A44">
        <w:rPr>
          <w:b/>
        </w:rPr>
        <w:t xml:space="preserve">rograms, if any, do not have development </w:t>
      </w:r>
      <w:r w:rsidR="0078453E" w:rsidRPr="00924A44">
        <w:rPr>
          <w:b/>
        </w:rPr>
        <w:t>expenditure</w:t>
      </w:r>
      <w:r w:rsidRPr="00924A44">
        <w:rPr>
          <w:b/>
        </w:rPr>
        <w:t>?</w:t>
      </w:r>
    </w:p>
    <w:p w:rsidR="008218A1" w:rsidRDefault="008218A1" w:rsidP="00203CC7"/>
    <w:p w:rsidR="005F0E99" w:rsidRPr="00924A44" w:rsidRDefault="005F0E99" w:rsidP="00203CC7">
      <w:r w:rsidRPr="00924A44">
        <w:t xml:space="preserve">A2:  </w:t>
      </w:r>
      <w:r w:rsidR="00CB17C0">
        <w:t>Most</w:t>
      </w:r>
      <w:r w:rsidR="008218A1">
        <w:t xml:space="preserve"> Programs associated with Strategic Goal IX “Efficient Administrative and Financial Support” do not have a development share (p</w:t>
      </w:r>
      <w:r w:rsidR="003E60CC">
        <w:t xml:space="preserve">lease refer to Table 6 </w:t>
      </w:r>
      <w:r w:rsidR="008218A1">
        <w:t>“</w:t>
      </w:r>
      <w:r w:rsidR="003E60CC">
        <w:t>Development Expenditures in 2016/17 by Program</w:t>
      </w:r>
      <w:r w:rsidR="008218A1">
        <w:t>”).</w:t>
      </w:r>
    </w:p>
    <w:p w:rsidR="005F0E99" w:rsidRDefault="005F0E99" w:rsidP="00203CC7"/>
    <w:p w:rsidR="00F364D6" w:rsidRPr="00924A44" w:rsidRDefault="00F364D6" w:rsidP="00203CC7"/>
    <w:p w:rsidR="005F0E99" w:rsidRPr="00924A44" w:rsidRDefault="005F0E99" w:rsidP="00203CC7">
      <w:pPr>
        <w:pStyle w:val="ONUME"/>
        <w:numPr>
          <w:ilvl w:val="0"/>
          <w:numId w:val="0"/>
        </w:numPr>
        <w:rPr>
          <w:b/>
        </w:rPr>
      </w:pPr>
      <w:r w:rsidRPr="00924A44">
        <w:rPr>
          <w:b/>
        </w:rPr>
        <w:t xml:space="preserve">Q3:  Is the development share in the proposed </w:t>
      </w:r>
      <w:r w:rsidR="0078453E" w:rsidRPr="00924A44">
        <w:rPr>
          <w:b/>
        </w:rPr>
        <w:t>Program and Budget for 2016/17 similar to the development share in the Program and Budget 2014/15</w:t>
      </w:r>
      <w:r w:rsidRPr="00924A44">
        <w:rPr>
          <w:b/>
        </w:rPr>
        <w:t xml:space="preserve">? </w:t>
      </w:r>
    </w:p>
    <w:p w:rsidR="005F0E99" w:rsidRPr="00924A44" w:rsidRDefault="005F0E99" w:rsidP="00203CC7">
      <w:r w:rsidRPr="00924A44">
        <w:t>A3:</w:t>
      </w:r>
      <w:r w:rsidR="0078453E" w:rsidRPr="00924A44">
        <w:t xml:space="preserve">  </w:t>
      </w:r>
      <w:r w:rsidR="00F63E0D">
        <w:t>Development continues to be a priority in 2016/17 reflected by a stable development share of 21.3%</w:t>
      </w:r>
      <w:r w:rsidR="000D6BCA">
        <w:t>. It should be noted that the absolute increase in development expenditure in 2016/17 represents 7.6 million Swiss francs, or 5.2%, compared to the 2014/15 Approved Budget (</w:t>
      </w:r>
      <w:r w:rsidR="003E60CC">
        <w:t xml:space="preserve">Please refer </w:t>
      </w:r>
      <w:r w:rsidR="000D6BCA">
        <w:t xml:space="preserve">also to the Results Framework Chart on page 11, paragraph 60 and </w:t>
      </w:r>
      <w:r w:rsidR="003E60CC">
        <w:t xml:space="preserve">Table 6 </w:t>
      </w:r>
      <w:r w:rsidR="000D6BCA">
        <w:t>“</w:t>
      </w:r>
      <w:r w:rsidR="003E60CC">
        <w:t>Development Expenditures in 2016/17 by Program</w:t>
      </w:r>
      <w:r w:rsidR="000D6BCA">
        <w:t>”</w:t>
      </w:r>
      <w:r w:rsidR="003E60CC">
        <w:t>)</w:t>
      </w:r>
      <w:r w:rsidR="000D6BCA">
        <w:t>.</w:t>
      </w:r>
    </w:p>
    <w:p w:rsidR="0078453E" w:rsidRPr="00924A44" w:rsidRDefault="0078453E" w:rsidP="00203CC7">
      <w:pPr>
        <w:rPr>
          <w:b/>
          <w:bCs/>
        </w:rPr>
      </w:pPr>
    </w:p>
    <w:p w:rsidR="000C32DE" w:rsidRDefault="000C32DE" w:rsidP="00203CC7">
      <w:pPr>
        <w:rPr>
          <w:b/>
          <w:bCs/>
        </w:rPr>
      </w:pPr>
    </w:p>
    <w:p w:rsidR="005F0E99" w:rsidRPr="00924A44" w:rsidRDefault="005F0E99" w:rsidP="00203CC7">
      <w:pPr>
        <w:rPr>
          <w:b/>
        </w:rPr>
      </w:pPr>
      <w:r w:rsidRPr="00924A44">
        <w:rPr>
          <w:b/>
          <w:bCs/>
        </w:rPr>
        <w:t>Q</w:t>
      </w:r>
      <w:r w:rsidR="0078453E" w:rsidRPr="00924A44">
        <w:rPr>
          <w:b/>
          <w:bCs/>
        </w:rPr>
        <w:t>4</w:t>
      </w:r>
      <w:r w:rsidRPr="00924A44">
        <w:rPr>
          <w:b/>
          <w:bCs/>
        </w:rPr>
        <w:t xml:space="preserve">:  </w:t>
      </w:r>
      <w:r w:rsidR="00D45E73" w:rsidRPr="00924A44">
        <w:rPr>
          <w:b/>
          <w:bCs/>
        </w:rPr>
        <w:t>What is the CDIP approval process for the DA projects budgeted for 2016/17</w:t>
      </w:r>
      <w:r w:rsidRPr="00924A44">
        <w:rPr>
          <w:b/>
        </w:rPr>
        <w:t>?</w:t>
      </w:r>
    </w:p>
    <w:p w:rsidR="000C32DE" w:rsidRDefault="000C32DE" w:rsidP="00203CC7"/>
    <w:p w:rsidR="000C32DE" w:rsidRPr="000C32DE" w:rsidRDefault="005F0E99" w:rsidP="00203CC7">
      <w:pPr>
        <w:rPr>
          <w:szCs w:val="22"/>
        </w:rPr>
      </w:pPr>
      <w:r w:rsidRPr="000C32DE">
        <w:rPr>
          <w:szCs w:val="22"/>
        </w:rPr>
        <w:t>A</w:t>
      </w:r>
      <w:r w:rsidR="0078453E" w:rsidRPr="000C32DE">
        <w:rPr>
          <w:szCs w:val="22"/>
        </w:rPr>
        <w:t>4</w:t>
      </w:r>
      <w:r w:rsidRPr="000C32DE">
        <w:rPr>
          <w:szCs w:val="22"/>
        </w:rPr>
        <w:t>:</w:t>
      </w:r>
      <w:r w:rsidR="000C32DE" w:rsidRPr="000C32DE">
        <w:rPr>
          <w:szCs w:val="22"/>
        </w:rPr>
        <w:t xml:space="preserve"> The DA projects planned for 2016/17 fall in</w:t>
      </w:r>
      <w:r w:rsidR="000C32DE">
        <w:rPr>
          <w:szCs w:val="22"/>
        </w:rPr>
        <w:t>to</w:t>
      </w:r>
      <w:r w:rsidR="000C32DE" w:rsidRPr="000C32DE">
        <w:rPr>
          <w:szCs w:val="22"/>
        </w:rPr>
        <w:t xml:space="preserve"> three categories: </w:t>
      </w:r>
    </w:p>
    <w:p w:rsidR="000C32DE" w:rsidRPr="000C32DE" w:rsidRDefault="000C32DE" w:rsidP="00203CC7">
      <w:pPr>
        <w:rPr>
          <w:szCs w:val="22"/>
        </w:rPr>
      </w:pPr>
    </w:p>
    <w:p w:rsidR="000C32DE" w:rsidRPr="00203CC7" w:rsidRDefault="000C32DE" w:rsidP="00203CC7">
      <w:pPr>
        <w:pStyle w:val="ListParagraph"/>
        <w:numPr>
          <w:ilvl w:val="0"/>
          <w:numId w:val="13"/>
        </w:numPr>
        <w:spacing w:after="120"/>
        <w:ind w:left="1282"/>
        <w:rPr>
          <w:rFonts w:ascii="Arial" w:hAnsi="Arial" w:cs="Arial"/>
          <w:sz w:val="22"/>
          <w:szCs w:val="22"/>
          <w:lang w:val="en-US"/>
        </w:rPr>
      </w:pPr>
      <w:r w:rsidRPr="00203CC7">
        <w:rPr>
          <w:rFonts w:ascii="Arial" w:hAnsi="Arial" w:cs="Arial"/>
          <w:sz w:val="22"/>
          <w:szCs w:val="22"/>
          <w:lang w:val="en-US"/>
        </w:rPr>
        <w:t xml:space="preserve">projects which have already been approved by the CDIP and for which implementation is foreseen to continue in 2016/17 </w:t>
      </w:r>
      <w:r w:rsidR="004537FF" w:rsidRPr="00203CC7">
        <w:rPr>
          <w:rFonts w:ascii="Arial" w:hAnsi="Arial" w:cs="Arial"/>
          <w:sz w:val="22"/>
          <w:szCs w:val="22"/>
          <w:lang w:val="en-US"/>
        </w:rPr>
        <w:t>(</w:t>
      </w:r>
      <w:r w:rsidRPr="00203CC7">
        <w:rPr>
          <w:rFonts w:ascii="Arial" w:hAnsi="Arial" w:cs="Arial"/>
          <w:sz w:val="22"/>
          <w:szCs w:val="22"/>
          <w:lang w:val="en-US"/>
        </w:rPr>
        <w:t>as per the project do</w:t>
      </w:r>
      <w:r w:rsidR="009E4BAD" w:rsidRPr="00203CC7">
        <w:rPr>
          <w:rFonts w:ascii="Arial" w:hAnsi="Arial" w:cs="Arial"/>
          <w:sz w:val="22"/>
          <w:szCs w:val="22"/>
          <w:lang w:val="en-US"/>
        </w:rPr>
        <w:t>c</w:t>
      </w:r>
      <w:r w:rsidRPr="00203CC7">
        <w:rPr>
          <w:rFonts w:ascii="Arial" w:hAnsi="Arial" w:cs="Arial"/>
          <w:sz w:val="22"/>
          <w:szCs w:val="22"/>
          <w:lang w:val="en-US"/>
        </w:rPr>
        <w:t>uments approved by the CDIP</w:t>
      </w:r>
      <w:r w:rsidR="004537FF" w:rsidRPr="00203CC7">
        <w:rPr>
          <w:rFonts w:ascii="Arial" w:hAnsi="Arial" w:cs="Arial"/>
          <w:sz w:val="22"/>
          <w:szCs w:val="22"/>
          <w:lang w:val="en-US"/>
        </w:rPr>
        <w:t>)</w:t>
      </w:r>
      <w:r w:rsidRPr="00203CC7">
        <w:rPr>
          <w:rFonts w:ascii="Arial" w:hAnsi="Arial" w:cs="Arial"/>
          <w:sz w:val="22"/>
          <w:szCs w:val="22"/>
          <w:lang w:val="en-US"/>
        </w:rPr>
        <w:t>;</w:t>
      </w:r>
    </w:p>
    <w:p w:rsidR="000C32DE" w:rsidRPr="00203CC7" w:rsidRDefault="000C32DE" w:rsidP="00203CC7">
      <w:pPr>
        <w:pStyle w:val="ListParagraph"/>
        <w:numPr>
          <w:ilvl w:val="0"/>
          <w:numId w:val="13"/>
        </w:numPr>
        <w:spacing w:after="120"/>
        <w:ind w:left="1282"/>
        <w:rPr>
          <w:rFonts w:ascii="Arial" w:hAnsi="Arial" w:cs="Arial"/>
          <w:sz w:val="22"/>
          <w:szCs w:val="22"/>
          <w:lang w:val="en-US"/>
        </w:rPr>
      </w:pPr>
      <w:r w:rsidRPr="00203CC7">
        <w:rPr>
          <w:rFonts w:ascii="Arial" w:hAnsi="Arial" w:cs="Arial"/>
          <w:sz w:val="22"/>
          <w:szCs w:val="22"/>
          <w:lang w:val="en-US"/>
        </w:rPr>
        <w:t xml:space="preserve">phase II of projects which are currently being implemented (subject to CDIP approval); and, </w:t>
      </w:r>
    </w:p>
    <w:p w:rsidR="000C32DE" w:rsidRPr="00203CC7" w:rsidRDefault="004537FF" w:rsidP="00203CC7">
      <w:pPr>
        <w:pStyle w:val="ListParagraph"/>
        <w:numPr>
          <w:ilvl w:val="0"/>
          <w:numId w:val="13"/>
        </w:numPr>
        <w:rPr>
          <w:rFonts w:ascii="Arial" w:hAnsi="Arial" w:cs="Arial"/>
          <w:sz w:val="22"/>
          <w:szCs w:val="22"/>
          <w:lang w:val="en-US"/>
        </w:rPr>
      </w:pPr>
      <w:proofErr w:type="gramStart"/>
      <w:r w:rsidRPr="00203CC7">
        <w:rPr>
          <w:rFonts w:ascii="Arial" w:hAnsi="Arial" w:cs="Arial"/>
          <w:sz w:val="22"/>
          <w:szCs w:val="22"/>
          <w:lang w:val="en-US"/>
        </w:rPr>
        <w:t>proposals</w:t>
      </w:r>
      <w:proofErr w:type="gramEnd"/>
      <w:r w:rsidRPr="00203CC7">
        <w:rPr>
          <w:rFonts w:ascii="Arial" w:hAnsi="Arial" w:cs="Arial"/>
          <w:sz w:val="22"/>
          <w:szCs w:val="22"/>
          <w:lang w:val="en-US"/>
        </w:rPr>
        <w:t xml:space="preserve"> for </w:t>
      </w:r>
      <w:r w:rsidR="000C32DE" w:rsidRPr="00203CC7">
        <w:rPr>
          <w:rFonts w:ascii="Arial" w:hAnsi="Arial" w:cs="Arial"/>
          <w:sz w:val="22"/>
          <w:szCs w:val="22"/>
          <w:lang w:val="en-US"/>
        </w:rPr>
        <w:t xml:space="preserve">new </w:t>
      </w:r>
      <w:r w:rsidRPr="00203CC7">
        <w:rPr>
          <w:rFonts w:ascii="Arial" w:hAnsi="Arial" w:cs="Arial"/>
          <w:sz w:val="22"/>
          <w:szCs w:val="22"/>
          <w:lang w:val="en-US"/>
        </w:rPr>
        <w:t>p</w:t>
      </w:r>
      <w:r w:rsidR="000C32DE" w:rsidRPr="00203CC7">
        <w:rPr>
          <w:rFonts w:ascii="Arial" w:hAnsi="Arial" w:cs="Arial"/>
          <w:sz w:val="22"/>
          <w:szCs w:val="22"/>
          <w:lang w:val="en-US"/>
        </w:rPr>
        <w:t xml:space="preserve">roject (subject to CDIP approval).  </w:t>
      </w:r>
    </w:p>
    <w:p w:rsidR="00CB0F2F" w:rsidRPr="000C32DE" w:rsidRDefault="000C32DE" w:rsidP="00203CC7">
      <w:pPr>
        <w:ind w:left="927"/>
        <w:rPr>
          <w:szCs w:val="22"/>
        </w:rPr>
      </w:pPr>
      <w:r w:rsidRPr="000C32DE">
        <w:rPr>
          <w:szCs w:val="22"/>
        </w:rPr>
        <w:t xml:space="preserve"> </w:t>
      </w:r>
      <w:r w:rsidR="005F0E99" w:rsidRPr="000C32DE">
        <w:rPr>
          <w:szCs w:val="22"/>
        </w:rPr>
        <w:t xml:space="preserve">  </w:t>
      </w:r>
    </w:p>
    <w:p w:rsidR="000C32DE" w:rsidRPr="000C32DE" w:rsidRDefault="000C32DE" w:rsidP="00203CC7">
      <w:pPr>
        <w:rPr>
          <w:b/>
          <w:szCs w:val="22"/>
        </w:rPr>
      </w:pPr>
    </w:p>
    <w:p w:rsidR="00BB10D4" w:rsidRPr="005340D4" w:rsidRDefault="00BB10D4" w:rsidP="00203CC7">
      <w:pPr>
        <w:rPr>
          <w:sz w:val="24"/>
          <w:szCs w:val="24"/>
        </w:rPr>
      </w:pPr>
      <w:r w:rsidRPr="005340D4">
        <w:rPr>
          <w:b/>
        </w:rPr>
        <w:t>Q5: Table 6 “</w:t>
      </w:r>
      <w:r w:rsidRPr="005340D4">
        <w:rPr>
          <w:b/>
          <w:i/>
        </w:rPr>
        <w:t>Development Expenditures in 2016/17 by Program</w:t>
      </w:r>
      <w:r w:rsidRPr="005340D4">
        <w:rPr>
          <w:b/>
        </w:rPr>
        <w:t xml:space="preserve">” </w:t>
      </w:r>
      <w:r w:rsidR="00562E3F" w:rsidRPr="005340D4">
        <w:rPr>
          <w:b/>
        </w:rPr>
        <w:t>includes a single development expenditure estimate for both the Madrid and Lisbon Systems under Program 6. Can you provide the split between the two systems</w:t>
      </w:r>
      <w:r w:rsidRPr="005340D4">
        <w:rPr>
          <w:b/>
        </w:rPr>
        <w:t xml:space="preserve">?  </w:t>
      </w:r>
    </w:p>
    <w:p w:rsidR="00D45E73" w:rsidRPr="005340D4" w:rsidRDefault="00D45E73" w:rsidP="00203CC7">
      <w:pPr>
        <w:rPr>
          <w:sz w:val="24"/>
          <w:szCs w:val="24"/>
        </w:rPr>
      </w:pPr>
    </w:p>
    <w:p w:rsidR="00BB10D4" w:rsidRPr="00924A44" w:rsidRDefault="00BB10D4" w:rsidP="00203CC7">
      <w:pPr>
        <w:rPr>
          <w:b/>
        </w:rPr>
      </w:pPr>
      <w:r w:rsidRPr="005340D4">
        <w:rPr>
          <w:szCs w:val="22"/>
        </w:rPr>
        <w:t>A5:</w:t>
      </w:r>
      <w:r w:rsidRPr="005340D4">
        <w:rPr>
          <w:sz w:val="24"/>
          <w:szCs w:val="24"/>
        </w:rPr>
        <w:t xml:space="preserve">  </w:t>
      </w:r>
      <w:r w:rsidR="00D27C18" w:rsidRPr="005340D4">
        <w:t>O</w:t>
      </w:r>
      <w:r w:rsidRPr="005340D4">
        <w:t xml:space="preserve">f </w:t>
      </w:r>
      <w:r w:rsidR="00D27C18" w:rsidRPr="005340D4">
        <w:t xml:space="preserve">the total </w:t>
      </w:r>
      <w:r w:rsidRPr="005340D4">
        <w:t xml:space="preserve">13.5 million </w:t>
      </w:r>
      <w:r w:rsidR="00CA68B8" w:rsidRPr="005340D4">
        <w:t>Swiss francs</w:t>
      </w:r>
      <w:r w:rsidRPr="005340D4">
        <w:t xml:space="preserve"> development expenditure under Program 6, </w:t>
      </w:r>
      <w:r w:rsidR="00D27C18" w:rsidRPr="005340D4">
        <w:t xml:space="preserve">a total of 13.0 million Swiss francs is attributable to Madrid and </w:t>
      </w:r>
      <w:r w:rsidRPr="005340D4">
        <w:t xml:space="preserve">0.5 million </w:t>
      </w:r>
      <w:r w:rsidR="00CA68B8" w:rsidRPr="005340D4">
        <w:t>Swiss francs</w:t>
      </w:r>
      <w:r w:rsidRPr="005340D4">
        <w:t xml:space="preserve"> </w:t>
      </w:r>
      <w:r w:rsidR="00D27C18" w:rsidRPr="005340D4">
        <w:t>to</w:t>
      </w:r>
      <w:r w:rsidRPr="005340D4">
        <w:t xml:space="preserve"> Lisbon.</w:t>
      </w:r>
      <w:r w:rsidRPr="00924A44">
        <w:rPr>
          <w:b/>
        </w:rPr>
        <w:t xml:space="preserve">  </w:t>
      </w:r>
    </w:p>
    <w:p w:rsidR="00BB10D4" w:rsidRPr="00924A44" w:rsidRDefault="00BB10D4" w:rsidP="00203CC7">
      <w:pPr>
        <w:rPr>
          <w:sz w:val="24"/>
          <w:szCs w:val="24"/>
        </w:rPr>
      </w:pPr>
    </w:p>
    <w:p w:rsidR="009F68F2" w:rsidRDefault="009F68F2" w:rsidP="00203CC7">
      <w:pPr>
        <w:pStyle w:val="Heading1"/>
        <w:spacing w:before="0" w:after="0"/>
        <w:rPr>
          <w:bCs w:val="0"/>
          <w:caps w:val="0"/>
          <w:kern w:val="0"/>
          <w:szCs w:val="20"/>
        </w:rPr>
      </w:pPr>
    </w:p>
    <w:p w:rsidR="009F68F2" w:rsidRPr="009F68F2" w:rsidRDefault="009F68F2" w:rsidP="00203CC7">
      <w:pPr>
        <w:pStyle w:val="Heading1"/>
        <w:spacing w:before="0" w:after="0"/>
        <w:rPr>
          <w:bCs w:val="0"/>
          <w:caps w:val="0"/>
          <w:kern w:val="0"/>
          <w:szCs w:val="20"/>
        </w:rPr>
      </w:pPr>
      <w:r w:rsidRPr="009F68F2">
        <w:rPr>
          <w:bCs w:val="0"/>
          <w:caps w:val="0"/>
          <w:kern w:val="0"/>
          <w:szCs w:val="20"/>
        </w:rPr>
        <w:t xml:space="preserve">Q6: </w:t>
      </w:r>
      <w:r>
        <w:rPr>
          <w:bCs w:val="0"/>
          <w:caps w:val="0"/>
          <w:kern w:val="0"/>
          <w:szCs w:val="20"/>
        </w:rPr>
        <w:t>C</w:t>
      </w:r>
      <w:r w:rsidRPr="009F68F2">
        <w:rPr>
          <w:bCs w:val="0"/>
          <w:caps w:val="0"/>
          <w:kern w:val="0"/>
          <w:szCs w:val="20"/>
        </w:rPr>
        <w:t>a</w:t>
      </w:r>
      <w:r>
        <w:rPr>
          <w:bCs w:val="0"/>
          <w:caps w:val="0"/>
          <w:kern w:val="0"/>
          <w:szCs w:val="20"/>
        </w:rPr>
        <w:t xml:space="preserve">n the Secretariat provide a breakdown of the 90% reduction </w:t>
      </w:r>
      <w:r w:rsidRPr="009F68F2">
        <w:rPr>
          <w:bCs w:val="0"/>
          <w:caps w:val="0"/>
          <w:kern w:val="0"/>
          <w:szCs w:val="20"/>
        </w:rPr>
        <w:t>in certain PCT fees granted to certain international applications filed under the Patent Cooperation Treaty (PCT) according to whether those reductions were granted to applicants from developing countries or otherwise</w:t>
      </w:r>
      <w:r>
        <w:rPr>
          <w:bCs w:val="0"/>
          <w:caps w:val="0"/>
          <w:kern w:val="0"/>
          <w:szCs w:val="20"/>
        </w:rPr>
        <w:t xml:space="preserve">? </w:t>
      </w:r>
    </w:p>
    <w:p w:rsidR="009F68F2" w:rsidRDefault="009F68F2" w:rsidP="00203CC7">
      <w:pPr>
        <w:pStyle w:val="ONUME"/>
        <w:numPr>
          <w:ilvl w:val="0"/>
          <w:numId w:val="0"/>
        </w:numPr>
        <w:spacing w:after="0"/>
      </w:pPr>
    </w:p>
    <w:p w:rsidR="00484241" w:rsidRDefault="009F68F2" w:rsidP="00203CC7">
      <w:pPr>
        <w:pStyle w:val="ONUME"/>
        <w:numPr>
          <w:ilvl w:val="0"/>
          <w:numId w:val="0"/>
        </w:numPr>
      </w:pPr>
      <w:r>
        <w:t xml:space="preserve">A6: </w:t>
      </w:r>
      <w:r w:rsidR="00484241">
        <w:t xml:space="preserve">The table below lists all the States whose applicants in 2014 benefitted from the </w:t>
      </w:r>
      <w:r w:rsidR="00484241" w:rsidRPr="00314DF5">
        <w:t>90% reduction in certain PCT fees, broken down by the country of residence of the first named applicant</w:t>
      </w:r>
      <w:r w:rsidR="00484241">
        <w:t xml:space="preserve">.  The </w:t>
      </w:r>
      <w:r w:rsidR="00484241" w:rsidRPr="00440353">
        <w:rPr>
          <w:i/>
          <w:iCs/>
        </w:rPr>
        <w:t>amounts</w:t>
      </w:r>
      <w:r w:rsidR="00484241">
        <w:t xml:space="preserve"> of the fee reductions were approximately 1,200 Swiss francs per international application</w:t>
      </w:r>
      <w:r w:rsidR="00484241">
        <w:rPr>
          <w:rStyle w:val="FootnoteReference"/>
        </w:rPr>
        <w:footnoteReference w:id="2"/>
      </w:r>
      <w:r w:rsidR="00484241">
        <w:t>.</w:t>
      </w:r>
    </w:p>
    <w:p w:rsidR="00484241" w:rsidRDefault="00484241" w:rsidP="00203CC7">
      <w:pPr>
        <w:pStyle w:val="ONUME"/>
        <w:numPr>
          <w:ilvl w:val="0"/>
          <w:numId w:val="0"/>
        </w:numPr>
      </w:pPr>
      <w:r>
        <w:t>The eligibility of an international application for a reduction in certain PCT fees is determined in accordance with the criteria set out in the PCT Schedule of Fees.  The information set out in the table below is based on the criteria as in force during 2014</w:t>
      </w:r>
      <w:r>
        <w:rPr>
          <w:rStyle w:val="FootnoteReference"/>
        </w:rPr>
        <w:footnoteReference w:id="3"/>
      </w:r>
      <w:r>
        <w:t xml:space="preserve">.  With effect from July 1, 2015, new </w:t>
      </w:r>
      <w:r>
        <w:lastRenderedPageBreak/>
        <w:t>criteria have entered into force</w:t>
      </w:r>
      <w:r>
        <w:rPr>
          <w:rStyle w:val="FootnoteReference"/>
        </w:rPr>
        <w:footnoteReference w:id="4"/>
      </w:r>
      <w:r>
        <w:t>, resulting in applicants from two States</w:t>
      </w:r>
      <w:r>
        <w:rPr>
          <w:rStyle w:val="FootnoteReference"/>
        </w:rPr>
        <w:footnoteReference w:id="5"/>
      </w:r>
      <w:r>
        <w:t xml:space="preserve"> no longer being eligible for the fee reductions, whereas certain applicants from ten other States</w:t>
      </w:r>
      <w:r>
        <w:rPr>
          <w:rStyle w:val="FootnoteReference"/>
        </w:rPr>
        <w:footnoteReference w:id="6"/>
      </w:r>
      <w:r>
        <w:t xml:space="preserve"> have become eligible for such fee reductions.</w:t>
      </w:r>
    </w:p>
    <w:p w:rsidR="00484241" w:rsidRDefault="00484241" w:rsidP="00203CC7">
      <w:pPr>
        <w:pStyle w:val="ONUME"/>
        <w:numPr>
          <w:ilvl w:val="0"/>
          <w:numId w:val="0"/>
        </w:numPr>
      </w:pPr>
      <w:r>
        <w:t>For each State on the list, the table indicates:</w:t>
      </w:r>
    </w:p>
    <w:p w:rsidR="00484241" w:rsidRDefault="00484241" w:rsidP="00203CC7">
      <w:pPr>
        <w:pStyle w:val="ONUME"/>
        <w:numPr>
          <w:ilvl w:val="1"/>
          <w:numId w:val="2"/>
        </w:numPr>
      </w:pPr>
      <w:r w:rsidRPr="00314DF5">
        <w:t xml:space="preserve">the </w:t>
      </w:r>
      <w:r w:rsidRPr="00440353">
        <w:rPr>
          <w:iCs/>
        </w:rPr>
        <w:t>number</w:t>
      </w:r>
      <w:r w:rsidRPr="00314DF5">
        <w:t xml:space="preserve"> of international applications </w:t>
      </w:r>
      <w:r>
        <w:t xml:space="preserve">filed in 2014 by applicants from that State </w:t>
      </w:r>
      <w:r w:rsidRPr="00314DF5">
        <w:t>which benefitted from the 90% reduction in certain PCT fees;</w:t>
      </w:r>
      <w:r>
        <w:t xml:space="preserve">  </w:t>
      </w:r>
    </w:p>
    <w:p w:rsidR="00484241" w:rsidRDefault="00484241" w:rsidP="00203CC7">
      <w:pPr>
        <w:pStyle w:val="ONUME"/>
        <w:numPr>
          <w:ilvl w:val="1"/>
          <w:numId w:val="2"/>
        </w:numPr>
      </w:pPr>
      <w:r w:rsidRPr="00314DF5">
        <w:t xml:space="preserve">the </w:t>
      </w:r>
      <w:r>
        <w:t xml:space="preserve">total </w:t>
      </w:r>
      <w:r w:rsidRPr="00314DF5">
        <w:t xml:space="preserve">number of </w:t>
      </w:r>
      <w:r>
        <w:t xml:space="preserve">international applications filed in 2014 by applicants from that State;  </w:t>
      </w:r>
    </w:p>
    <w:p w:rsidR="00484241" w:rsidRDefault="00484241" w:rsidP="00203CC7">
      <w:pPr>
        <w:pStyle w:val="ONUME"/>
        <w:numPr>
          <w:ilvl w:val="1"/>
          <w:numId w:val="2"/>
        </w:numPr>
      </w:pPr>
      <w:r>
        <w:t>the percentage of the total number of international applications filed in 2014 by applicants from that State which benefitted from the PCT fee reductions;</w:t>
      </w:r>
    </w:p>
    <w:p w:rsidR="00484241" w:rsidRDefault="00484241" w:rsidP="00203CC7">
      <w:pPr>
        <w:pStyle w:val="ONUME"/>
        <w:numPr>
          <w:ilvl w:val="1"/>
          <w:numId w:val="2"/>
        </w:numPr>
      </w:pPr>
      <w:r>
        <w:t xml:space="preserve">the percentage of the total fee reductions granted in 2014 granted to applicants from that State;  and </w:t>
      </w:r>
    </w:p>
    <w:p w:rsidR="00484241" w:rsidRPr="00314DF5" w:rsidRDefault="00484241" w:rsidP="00203CC7">
      <w:pPr>
        <w:pStyle w:val="ONUME"/>
        <w:numPr>
          <w:ilvl w:val="1"/>
          <w:numId w:val="2"/>
        </w:numPr>
      </w:pPr>
      <w:proofErr w:type="gramStart"/>
      <w:r>
        <w:t>whether</w:t>
      </w:r>
      <w:proofErr w:type="gramEnd"/>
      <w:r>
        <w:t xml:space="preserve"> or not that State is a PCT Member State.</w:t>
      </w:r>
    </w:p>
    <w:p w:rsidR="00484241" w:rsidRDefault="00484241" w:rsidP="00203CC7">
      <w:pPr>
        <w:pStyle w:val="ONUME"/>
        <w:numPr>
          <w:ilvl w:val="0"/>
          <w:numId w:val="0"/>
        </w:numPr>
      </w:pPr>
      <w:r>
        <w:t>It is not possible for the International Bureau to present a breakdown of the PCT fee reductions granted in 2014 according to whether those reductions were granted to applicants from developing countries or otherwise, noting that there is no universally agreed definition of what constitutes a developing country for this purpose.</w:t>
      </w:r>
    </w:p>
    <w:p w:rsidR="00484241" w:rsidRDefault="00484241" w:rsidP="00203CC7">
      <w:r>
        <w:br w:type="page"/>
      </w:r>
    </w:p>
    <w:p w:rsidR="00484241" w:rsidRPr="00BE0F66" w:rsidRDefault="00484241" w:rsidP="00203CC7">
      <w:pPr>
        <w:keepNext/>
        <w:keepLines/>
        <w:spacing w:after="120"/>
        <w:rPr>
          <w:b/>
          <w:bCs/>
        </w:rPr>
      </w:pPr>
      <w:r>
        <w:rPr>
          <w:b/>
          <w:bCs/>
        </w:rPr>
        <w:lastRenderedPageBreak/>
        <w:t>Breakdown of 90% PCT Fee Reductions Granted to International Applications in 2014</w:t>
      </w:r>
    </w:p>
    <w:tbl>
      <w:tblPr>
        <w:tblStyle w:val="TableGrid"/>
        <w:tblW w:w="5276" w:type="pct"/>
        <w:tblInd w:w="-242" w:type="dxa"/>
        <w:tblLayout w:type="fixed"/>
        <w:tblCellMar>
          <w:left w:w="28" w:type="dxa"/>
          <w:right w:w="28" w:type="dxa"/>
        </w:tblCellMar>
        <w:tblLook w:val="04A0" w:firstRow="1" w:lastRow="0" w:firstColumn="1" w:lastColumn="0" w:noHBand="0" w:noVBand="1"/>
      </w:tblPr>
      <w:tblGrid>
        <w:gridCol w:w="650"/>
        <w:gridCol w:w="2784"/>
        <w:gridCol w:w="1299"/>
        <w:gridCol w:w="1299"/>
        <w:gridCol w:w="1299"/>
        <w:gridCol w:w="1299"/>
        <w:gridCol w:w="1300"/>
      </w:tblGrid>
      <w:tr w:rsidR="00484241" w:rsidRPr="003572BA" w:rsidTr="0057790C">
        <w:trPr>
          <w:cantSplit/>
          <w:tblHeader/>
        </w:trPr>
        <w:tc>
          <w:tcPr>
            <w:tcW w:w="630" w:type="dxa"/>
            <w:noWrap/>
            <w:hideMark/>
          </w:tcPr>
          <w:p w:rsidR="00484241" w:rsidRPr="00A410E0" w:rsidRDefault="00484241" w:rsidP="00203CC7">
            <w:pPr>
              <w:spacing w:before="60" w:after="60"/>
              <w:rPr>
                <w:b/>
                <w:bCs/>
                <w:sz w:val="16"/>
                <w:szCs w:val="16"/>
              </w:rPr>
            </w:pPr>
            <w:r w:rsidRPr="00A410E0">
              <w:rPr>
                <w:b/>
                <w:bCs/>
                <w:sz w:val="16"/>
                <w:szCs w:val="16"/>
              </w:rPr>
              <w:t>Code</w:t>
            </w:r>
          </w:p>
        </w:tc>
        <w:tc>
          <w:tcPr>
            <w:tcW w:w="2700" w:type="dxa"/>
          </w:tcPr>
          <w:p w:rsidR="00484241" w:rsidRPr="00A410E0" w:rsidRDefault="00484241" w:rsidP="00203CC7">
            <w:pPr>
              <w:spacing w:before="60" w:after="60"/>
              <w:rPr>
                <w:b/>
                <w:bCs/>
                <w:sz w:val="16"/>
                <w:szCs w:val="16"/>
              </w:rPr>
            </w:pPr>
            <w:r w:rsidRPr="00A410E0">
              <w:rPr>
                <w:b/>
                <w:bCs/>
                <w:sz w:val="16"/>
                <w:szCs w:val="16"/>
              </w:rPr>
              <w:t>Country Name</w:t>
            </w:r>
            <w:r w:rsidRPr="00A410E0">
              <w:rPr>
                <w:b/>
                <w:bCs/>
                <w:sz w:val="16"/>
                <w:szCs w:val="16"/>
              </w:rPr>
              <w:br/>
              <w:t xml:space="preserve">(based on </w:t>
            </w:r>
            <w:r w:rsidRPr="00A410E0">
              <w:rPr>
                <w:b/>
                <w:sz w:val="16"/>
                <w:szCs w:val="16"/>
              </w:rPr>
              <w:t>residence of the first named applicant)</w:t>
            </w:r>
          </w:p>
        </w:tc>
        <w:tc>
          <w:tcPr>
            <w:tcW w:w="1260" w:type="dxa"/>
            <w:noWrap/>
            <w:hideMark/>
          </w:tcPr>
          <w:p w:rsidR="00484241" w:rsidRPr="00A410E0" w:rsidRDefault="00484241" w:rsidP="00203CC7">
            <w:pPr>
              <w:pStyle w:val="a"/>
              <w:jc w:val="left"/>
              <w:rPr>
                <w:sz w:val="16"/>
                <w:szCs w:val="16"/>
              </w:rPr>
            </w:pPr>
            <w:r w:rsidRPr="00A410E0">
              <w:rPr>
                <w:sz w:val="16"/>
                <w:szCs w:val="16"/>
              </w:rPr>
              <w:t># of IAs filed in 2014 which benefitted from PCT fee reductions</w:t>
            </w:r>
          </w:p>
        </w:tc>
        <w:tc>
          <w:tcPr>
            <w:tcW w:w="1260" w:type="dxa"/>
            <w:noWrap/>
            <w:hideMark/>
          </w:tcPr>
          <w:p w:rsidR="00484241" w:rsidRPr="00A410E0" w:rsidRDefault="00484241" w:rsidP="00203CC7">
            <w:pPr>
              <w:spacing w:before="60" w:after="60"/>
              <w:rPr>
                <w:b/>
                <w:bCs/>
                <w:sz w:val="16"/>
                <w:szCs w:val="16"/>
              </w:rPr>
            </w:pPr>
            <w:r w:rsidRPr="00A410E0">
              <w:rPr>
                <w:b/>
                <w:bCs/>
                <w:sz w:val="16"/>
                <w:szCs w:val="16"/>
              </w:rPr>
              <w:t xml:space="preserve">Total # of IAs </w:t>
            </w:r>
            <w:r w:rsidRPr="00A410E0">
              <w:rPr>
                <w:b/>
                <w:bCs/>
                <w:sz w:val="16"/>
                <w:szCs w:val="16"/>
              </w:rPr>
              <w:br/>
              <w:t>filed in 2014</w:t>
            </w:r>
          </w:p>
        </w:tc>
        <w:tc>
          <w:tcPr>
            <w:tcW w:w="1260" w:type="dxa"/>
          </w:tcPr>
          <w:p w:rsidR="00484241" w:rsidRPr="00A410E0" w:rsidRDefault="00484241" w:rsidP="00203CC7">
            <w:pPr>
              <w:spacing w:before="60" w:after="60"/>
              <w:rPr>
                <w:b/>
                <w:bCs/>
                <w:sz w:val="16"/>
                <w:szCs w:val="16"/>
              </w:rPr>
            </w:pPr>
            <w:r w:rsidRPr="00A410E0">
              <w:rPr>
                <w:b/>
                <w:bCs/>
                <w:sz w:val="16"/>
                <w:szCs w:val="16"/>
              </w:rPr>
              <w:t>% of IAs filed in 2014 which benefitted from PCT fee reductions</w:t>
            </w:r>
          </w:p>
        </w:tc>
        <w:tc>
          <w:tcPr>
            <w:tcW w:w="1260" w:type="dxa"/>
            <w:noWrap/>
            <w:hideMark/>
          </w:tcPr>
          <w:p w:rsidR="00484241" w:rsidRPr="00A410E0" w:rsidRDefault="00484241" w:rsidP="00203CC7">
            <w:pPr>
              <w:spacing w:before="60" w:after="60"/>
              <w:rPr>
                <w:b/>
                <w:bCs/>
                <w:sz w:val="16"/>
                <w:szCs w:val="16"/>
              </w:rPr>
            </w:pPr>
            <w:r w:rsidRPr="00A410E0">
              <w:rPr>
                <w:b/>
                <w:bCs/>
                <w:sz w:val="16"/>
                <w:szCs w:val="16"/>
              </w:rPr>
              <w:t>% of total PCT fee reductions granted in 2014</w:t>
            </w:r>
          </w:p>
        </w:tc>
        <w:tc>
          <w:tcPr>
            <w:tcW w:w="1261" w:type="dxa"/>
            <w:noWrap/>
            <w:hideMark/>
          </w:tcPr>
          <w:p w:rsidR="00484241" w:rsidRPr="00A410E0" w:rsidRDefault="00484241" w:rsidP="00203CC7">
            <w:pPr>
              <w:spacing w:before="60" w:after="60"/>
              <w:rPr>
                <w:b/>
                <w:bCs/>
                <w:sz w:val="16"/>
                <w:szCs w:val="16"/>
              </w:rPr>
            </w:pPr>
            <w:r w:rsidRPr="00A410E0">
              <w:rPr>
                <w:b/>
                <w:bCs/>
                <w:sz w:val="16"/>
                <w:szCs w:val="16"/>
              </w:rPr>
              <w:t>PCT Member State?</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CN</w:t>
            </w:r>
          </w:p>
        </w:tc>
        <w:tc>
          <w:tcPr>
            <w:tcW w:w="2700" w:type="dxa"/>
          </w:tcPr>
          <w:p w:rsidR="00484241" w:rsidRPr="00A410E0" w:rsidRDefault="00484241" w:rsidP="00203CC7">
            <w:pPr>
              <w:rPr>
                <w:sz w:val="16"/>
                <w:szCs w:val="16"/>
              </w:rPr>
            </w:pPr>
            <w:r w:rsidRPr="00A410E0">
              <w:rPr>
                <w:sz w:val="16"/>
                <w:szCs w:val="16"/>
              </w:rPr>
              <w:t>China</w:t>
            </w:r>
          </w:p>
        </w:tc>
        <w:tc>
          <w:tcPr>
            <w:tcW w:w="1260" w:type="dxa"/>
            <w:noWrap/>
            <w:hideMark/>
          </w:tcPr>
          <w:p w:rsidR="00484241" w:rsidRPr="00A410E0" w:rsidRDefault="00484241" w:rsidP="00203CC7">
            <w:pPr>
              <w:rPr>
                <w:sz w:val="16"/>
                <w:szCs w:val="16"/>
              </w:rPr>
            </w:pPr>
            <w:r w:rsidRPr="00A410E0">
              <w:rPr>
                <w:sz w:val="16"/>
                <w:szCs w:val="16"/>
              </w:rPr>
              <w:t>3281</w:t>
            </w:r>
          </w:p>
        </w:tc>
        <w:tc>
          <w:tcPr>
            <w:tcW w:w="1260" w:type="dxa"/>
            <w:noWrap/>
            <w:hideMark/>
          </w:tcPr>
          <w:p w:rsidR="00484241" w:rsidRPr="00A410E0" w:rsidRDefault="00484241" w:rsidP="00203CC7">
            <w:pPr>
              <w:rPr>
                <w:sz w:val="16"/>
                <w:szCs w:val="16"/>
              </w:rPr>
            </w:pPr>
            <w:r w:rsidRPr="00A410E0">
              <w:rPr>
                <w:sz w:val="16"/>
                <w:szCs w:val="16"/>
              </w:rPr>
              <w:t>25546</w:t>
            </w:r>
          </w:p>
        </w:tc>
        <w:tc>
          <w:tcPr>
            <w:tcW w:w="1260" w:type="dxa"/>
          </w:tcPr>
          <w:p w:rsidR="00484241" w:rsidRPr="00A410E0" w:rsidRDefault="00484241" w:rsidP="00203CC7">
            <w:pPr>
              <w:rPr>
                <w:sz w:val="16"/>
                <w:szCs w:val="16"/>
              </w:rPr>
            </w:pPr>
            <w:r w:rsidRPr="00A410E0">
              <w:rPr>
                <w:sz w:val="16"/>
                <w:szCs w:val="16"/>
              </w:rPr>
              <w:t>12.8%</w:t>
            </w:r>
          </w:p>
        </w:tc>
        <w:tc>
          <w:tcPr>
            <w:tcW w:w="1260" w:type="dxa"/>
            <w:noWrap/>
            <w:hideMark/>
          </w:tcPr>
          <w:p w:rsidR="00484241" w:rsidRPr="00A410E0" w:rsidRDefault="00484241" w:rsidP="00203CC7">
            <w:pPr>
              <w:rPr>
                <w:sz w:val="16"/>
                <w:szCs w:val="16"/>
              </w:rPr>
            </w:pPr>
            <w:r w:rsidRPr="00A410E0">
              <w:rPr>
                <w:sz w:val="16"/>
                <w:szCs w:val="16"/>
              </w:rPr>
              <w:t>59.6%</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RU</w:t>
            </w:r>
          </w:p>
        </w:tc>
        <w:tc>
          <w:tcPr>
            <w:tcW w:w="2700" w:type="dxa"/>
          </w:tcPr>
          <w:p w:rsidR="00484241" w:rsidRPr="00A410E0" w:rsidRDefault="00484241" w:rsidP="00203CC7">
            <w:pPr>
              <w:rPr>
                <w:sz w:val="16"/>
                <w:szCs w:val="16"/>
              </w:rPr>
            </w:pPr>
            <w:r w:rsidRPr="00A410E0">
              <w:rPr>
                <w:sz w:val="16"/>
                <w:szCs w:val="16"/>
              </w:rPr>
              <w:t>Russian Federation</w:t>
            </w:r>
          </w:p>
        </w:tc>
        <w:tc>
          <w:tcPr>
            <w:tcW w:w="1260" w:type="dxa"/>
            <w:noWrap/>
            <w:hideMark/>
          </w:tcPr>
          <w:p w:rsidR="00484241" w:rsidRPr="00A410E0" w:rsidRDefault="00484241" w:rsidP="00203CC7">
            <w:pPr>
              <w:rPr>
                <w:sz w:val="16"/>
                <w:szCs w:val="16"/>
              </w:rPr>
            </w:pPr>
            <w:r w:rsidRPr="00A410E0">
              <w:rPr>
                <w:sz w:val="16"/>
                <w:szCs w:val="16"/>
              </w:rPr>
              <w:t>456</w:t>
            </w:r>
          </w:p>
        </w:tc>
        <w:tc>
          <w:tcPr>
            <w:tcW w:w="1260" w:type="dxa"/>
            <w:noWrap/>
            <w:hideMark/>
          </w:tcPr>
          <w:p w:rsidR="00484241" w:rsidRPr="00A410E0" w:rsidRDefault="00484241" w:rsidP="00203CC7">
            <w:pPr>
              <w:rPr>
                <w:sz w:val="16"/>
                <w:szCs w:val="16"/>
              </w:rPr>
            </w:pPr>
            <w:r w:rsidRPr="00A410E0">
              <w:rPr>
                <w:sz w:val="16"/>
                <w:szCs w:val="16"/>
              </w:rPr>
              <w:t>948</w:t>
            </w:r>
          </w:p>
        </w:tc>
        <w:tc>
          <w:tcPr>
            <w:tcW w:w="1260" w:type="dxa"/>
          </w:tcPr>
          <w:p w:rsidR="00484241" w:rsidRPr="00A410E0" w:rsidRDefault="00484241" w:rsidP="00203CC7">
            <w:pPr>
              <w:rPr>
                <w:sz w:val="16"/>
                <w:szCs w:val="16"/>
              </w:rPr>
            </w:pPr>
            <w:r w:rsidRPr="00A410E0">
              <w:rPr>
                <w:sz w:val="16"/>
                <w:szCs w:val="16"/>
              </w:rPr>
              <w:t>48.1%</w:t>
            </w:r>
          </w:p>
        </w:tc>
        <w:tc>
          <w:tcPr>
            <w:tcW w:w="1260" w:type="dxa"/>
            <w:noWrap/>
            <w:hideMark/>
          </w:tcPr>
          <w:p w:rsidR="00484241" w:rsidRPr="00A410E0" w:rsidRDefault="00484241" w:rsidP="00203CC7">
            <w:pPr>
              <w:rPr>
                <w:sz w:val="16"/>
                <w:szCs w:val="16"/>
              </w:rPr>
            </w:pPr>
            <w:r w:rsidRPr="00A410E0">
              <w:rPr>
                <w:sz w:val="16"/>
                <w:szCs w:val="16"/>
              </w:rPr>
              <w:t>8.3%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IN</w:t>
            </w:r>
          </w:p>
        </w:tc>
        <w:tc>
          <w:tcPr>
            <w:tcW w:w="2700" w:type="dxa"/>
          </w:tcPr>
          <w:p w:rsidR="00484241" w:rsidRPr="00A410E0" w:rsidRDefault="00484241" w:rsidP="00203CC7">
            <w:pPr>
              <w:rPr>
                <w:sz w:val="16"/>
                <w:szCs w:val="16"/>
              </w:rPr>
            </w:pPr>
            <w:r w:rsidRPr="00A410E0">
              <w:rPr>
                <w:sz w:val="16"/>
                <w:szCs w:val="16"/>
              </w:rPr>
              <w:t>India</w:t>
            </w:r>
          </w:p>
        </w:tc>
        <w:tc>
          <w:tcPr>
            <w:tcW w:w="1260" w:type="dxa"/>
            <w:noWrap/>
            <w:hideMark/>
          </w:tcPr>
          <w:p w:rsidR="00484241" w:rsidRPr="00A410E0" w:rsidRDefault="00484241" w:rsidP="00203CC7">
            <w:pPr>
              <w:rPr>
                <w:sz w:val="16"/>
                <w:szCs w:val="16"/>
              </w:rPr>
            </w:pPr>
            <w:r w:rsidRPr="00A410E0">
              <w:rPr>
                <w:sz w:val="16"/>
                <w:szCs w:val="16"/>
              </w:rPr>
              <w:t>367</w:t>
            </w:r>
          </w:p>
        </w:tc>
        <w:tc>
          <w:tcPr>
            <w:tcW w:w="1260" w:type="dxa"/>
            <w:noWrap/>
            <w:hideMark/>
          </w:tcPr>
          <w:p w:rsidR="00484241" w:rsidRPr="00A410E0" w:rsidRDefault="00484241" w:rsidP="00203CC7">
            <w:pPr>
              <w:rPr>
                <w:sz w:val="16"/>
                <w:szCs w:val="16"/>
              </w:rPr>
            </w:pPr>
            <w:r w:rsidRPr="00A410E0">
              <w:rPr>
                <w:sz w:val="16"/>
                <w:szCs w:val="16"/>
              </w:rPr>
              <w:t>1425</w:t>
            </w:r>
          </w:p>
        </w:tc>
        <w:tc>
          <w:tcPr>
            <w:tcW w:w="1260" w:type="dxa"/>
          </w:tcPr>
          <w:p w:rsidR="00484241" w:rsidRPr="00A410E0" w:rsidRDefault="00484241" w:rsidP="00203CC7">
            <w:pPr>
              <w:rPr>
                <w:sz w:val="16"/>
                <w:szCs w:val="16"/>
              </w:rPr>
            </w:pPr>
            <w:r w:rsidRPr="00A410E0">
              <w:rPr>
                <w:sz w:val="16"/>
                <w:szCs w:val="16"/>
              </w:rPr>
              <w:t>25.8%</w:t>
            </w:r>
          </w:p>
        </w:tc>
        <w:tc>
          <w:tcPr>
            <w:tcW w:w="1260" w:type="dxa"/>
            <w:noWrap/>
            <w:hideMark/>
          </w:tcPr>
          <w:p w:rsidR="00484241" w:rsidRPr="00A410E0" w:rsidRDefault="00484241" w:rsidP="00203CC7">
            <w:pPr>
              <w:rPr>
                <w:sz w:val="16"/>
                <w:szCs w:val="16"/>
              </w:rPr>
            </w:pPr>
            <w:r w:rsidRPr="00A410E0">
              <w:rPr>
                <w:sz w:val="16"/>
                <w:szCs w:val="16"/>
              </w:rPr>
              <w:t>6.7%</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TR</w:t>
            </w:r>
          </w:p>
        </w:tc>
        <w:tc>
          <w:tcPr>
            <w:tcW w:w="2700" w:type="dxa"/>
          </w:tcPr>
          <w:p w:rsidR="00484241" w:rsidRPr="00A410E0" w:rsidRDefault="00484241" w:rsidP="00203CC7">
            <w:pPr>
              <w:rPr>
                <w:sz w:val="16"/>
                <w:szCs w:val="16"/>
              </w:rPr>
            </w:pPr>
            <w:r w:rsidRPr="00A410E0">
              <w:rPr>
                <w:sz w:val="16"/>
                <w:szCs w:val="16"/>
              </w:rPr>
              <w:t>Turkey</w:t>
            </w:r>
          </w:p>
        </w:tc>
        <w:tc>
          <w:tcPr>
            <w:tcW w:w="1260" w:type="dxa"/>
            <w:noWrap/>
            <w:hideMark/>
          </w:tcPr>
          <w:p w:rsidR="00484241" w:rsidRPr="00A410E0" w:rsidRDefault="00484241" w:rsidP="00203CC7">
            <w:pPr>
              <w:rPr>
                <w:sz w:val="16"/>
                <w:szCs w:val="16"/>
              </w:rPr>
            </w:pPr>
            <w:r w:rsidRPr="00A410E0">
              <w:rPr>
                <w:sz w:val="16"/>
                <w:szCs w:val="16"/>
              </w:rPr>
              <w:t>238</w:t>
            </w:r>
          </w:p>
        </w:tc>
        <w:tc>
          <w:tcPr>
            <w:tcW w:w="1260" w:type="dxa"/>
            <w:noWrap/>
            <w:hideMark/>
          </w:tcPr>
          <w:p w:rsidR="00484241" w:rsidRPr="00A410E0" w:rsidRDefault="00484241" w:rsidP="00203CC7">
            <w:pPr>
              <w:rPr>
                <w:sz w:val="16"/>
                <w:szCs w:val="16"/>
              </w:rPr>
            </w:pPr>
            <w:r w:rsidRPr="00A410E0">
              <w:rPr>
                <w:sz w:val="16"/>
                <w:szCs w:val="16"/>
              </w:rPr>
              <w:t>853</w:t>
            </w:r>
          </w:p>
        </w:tc>
        <w:tc>
          <w:tcPr>
            <w:tcW w:w="1260" w:type="dxa"/>
          </w:tcPr>
          <w:p w:rsidR="00484241" w:rsidRPr="00A410E0" w:rsidRDefault="00484241" w:rsidP="00203CC7">
            <w:pPr>
              <w:rPr>
                <w:sz w:val="16"/>
                <w:szCs w:val="16"/>
              </w:rPr>
            </w:pPr>
            <w:r w:rsidRPr="00A410E0">
              <w:rPr>
                <w:sz w:val="16"/>
                <w:szCs w:val="16"/>
              </w:rPr>
              <w:t>27.9%</w:t>
            </w:r>
          </w:p>
        </w:tc>
        <w:tc>
          <w:tcPr>
            <w:tcW w:w="1260" w:type="dxa"/>
            <w:noWrap/>
            <w:hideMark/>
          </w:tcPr>
          <w:p w:rsidR="00484241" w:rsidRPr="00A410E0" w:rsidRDefault="00484241" w:rsidP="00203CC7">
            <w:pPr>
              <w:rPr>
                <w:sz w:val="16"/>
                <w:szCs w:val="16"/>
              </w:rPr>
            </w:pPr>
            <w:r w:rsidRPr="00A410E0">
              <w:rPr>
                <w:sz w:val="16"/>
                <w:szCs w:val="16"/>
              </w:rPr>
              <w:t>4.3%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BR</w:t>
            </w:r>
          </w:p>
        </w:tc>
        <w:tc>
          <w:tcPr>
            <w:tcW w:w="2700" w:type="dxa"/>
          </w:tcPr>
          <w:p w:rsidR="00484241" w:rsidRPr="00A410E0" w:rsidRDefault="00484241" w:rsidP="00203CC7">
            <w:pPr>
              <w:rPr>
                <w:sz w:val="16"/>
                <w:szCs w:val="16"/>
              </w:rPr>
            </w:pPr>
            <w:r w:rsidRPr="00A410E0">
              <w:rPr>
                <w:sz w:val="16"/>
                <w:szCs w:val="16"/>
              </w:rPr>
              <w:t>Brazil</w:t>
            </w:r>
          </w:p>
        </w:tc>
        <w:tc>
          <w:tcPr>
            <w:tcW w:w="1260" w:type="dxa"/>
            <w:noWrap/>
            <w:hideMark/>
          </w:tcPr>
          <w:p w:rsidR="00484241" w:rsidRPr="00A410E0" w:rsidRDefault="00484241" w:rsidP="00203CC7">
            <w:pPr>
              <w:rPr>
                <w:sz w:val="16"/>
                <w:szCs w:val="16"/>
              </w:rPr>
            </w:pPr>
            <w:r w:rsidRPr="00A410E0">
              <w:rPr>
                <w:sz w:val="16"/>
                <w:szCs w:val="16"/>
              </w:rPr>
              <w:t>207</w:t>
            </w:r>
          </w:p>
        </w:tc>
        <w:tc>
          <w:tcPr>
            <w:tcW w:w="1260" w:type="dxa"/>
            <w:noWrap/>
            <w:hideMark/>
          </w:tcPr>
          <w:p w:rsidR="00484241" w:rsidRPr="00A410E0" w:rsidRDefault="00484241" w:rsidP="00203CC7">
            <w:pPr>
              <w:rPr>
                <w:sz w:val="16"/>
                <w:szCs w:val="16"/>
              </w:rPr>
            </w:pPr>
            <w:r w:rsidRPr="00A410E0">
              <w:rPr>
                <w:sz w:val="16"/>
                <w:szCs w:val="16"/>
              </w:rPr>
              <w:t>580</w:t>
            </w:r>
          </w:p>
        </w:tc>
        <w:tc>
          <w:tcPr>
            <w:tcW w:w="1260" w:type="dxa"/>
          </w:tcPr>
          <w:p w:rsidR="00484241" w:rsidRPr="00A410E0" w:rsidRDefault="00484241" w:rsidP="00203CC7">
            <w:pPr>
              <w:rPr>
                <w:sz w:val="16"/>
                <w:szCs w:val="16"/>
              </w:rPr>
            </w:pPr>
            <w:r w:rsidRPr="00A410E0">
              <w:rPr>
                <w:sz w:val="16"/>
                <w:szCs w:val="16"/>
              </w:rPr>
              <w:t>35.7%</w:t>
            </w:r>
          </w:p>
        </w:tc>
        <w:tc>
          <w:tcPr>
            <w:tcW w:w="1260" w:type="dxa"/>
            <w:noWrap/>
            <w:hideMark/>
          </w:tcPr>
          <w:p w:rsidR="00484241" w:rsidRPr="00A410E0" w:rsidRDefault="00484241" w:rsidP="00203CC7">
            <w:pPr>
              <w:rPr>
                <w:sz w:val="16"/>
                <w:szCs w:val="16"/>
              </w:rPr>
            </w:pPr>
            <w:r w:rsidRPr="00A410E0">
              <w:rPr>
                <w:sz w:val="16"/>
                <w:szCs w:val="16"/>
              </w:rPr>
              <w:t>3.8%</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ZA</w:t>
            </w:r>
          </w:p>
        </w:tc>
        <w:tc>
          <w:tcPr>
            <w:tcW w:w="2700" w:type="dxa"/>
          </w:tcPr>
          <w:p w:rsidR="00484241" w:rsidRPr="00A410E0" w:rsidRDefault="00484241" w:rsidP="00203CC7">
            <w:pPr>
              <w:rPr>
                <w:sz w:val="16"/>
                <w:szCs w:val="16"/>
              </w:rPr>
            </w:pPr>
            <w:r w:rsidRPr="00A410E0">
              <w:rPr>
                <w:sz w:val="16"/>
                <w:szCs w:val="16"/>
              </w:rPr>
              <w:t>South Africa</w:t>
            </w:r>
          </w:p>
        </w:tc>
        <w:tc>
          <w:tcPr>
            <w:tcW w:w="1260" w:type="dxa"/>
            <w:noWrap/>
            <w:hideMark/>
          </w:tcPr>
          <w:p w:rsidR="00484241" w:rsidRPr="00A410E0" w:rsidRDefault="00484241" w:rsidP="00203CC7">
            <w:pPr>
              <w:rPr>
                <w:sz w:val="16"/>
                <w:szCs w:val="16"/>
              </w:rPr>
            </w:pPr>
            <w:r w:rsidRPr="00A410E0">
              <w:rPr>
                <w:sz w:val="16"/>
                <w:szCs w:val="16"/>
              </w:rPr>
              <w:t>131</w:t>
            </w:r>
          </w:p>
        </w:tc>
        <w:tc>
          <w:tcPr>
            <w:tcW w:w="1260" w:type="dxa"/>
            <w:noWrap/>
            <w:hideMark/>
          </w:tcPr>
          <w:p w:rsidR="00484241" w:rsidRPr="00A410E0" w:rsidRDefault="00484241" w:rsidP="00203CC7">
            <w:pPr>
              <w:rPr>
                <w:sz w:val="16"/>
                <w:szCs w:val="16"/>
              </w:rPr>
            </w:pPr>
            <w:r w:rsidRPr="00A410E0">
              <w:rPr>
                <w:sz w:val="16"/>
                <w:szCs w:val="16"/>
              </w:rPr>
              <w:t>313</w:t>
            </w:r>
          </w:p>
        </w:tc>
        <w:tc>
          <w:tcPr>
            <w:tcW w:w="1260" w:type="dxa"/>
          </w:tcPr>
          <w:p w:rsidR="00484241" w:rsidRPr="00A410E0" w:rsidRDefault="00484241" w:rsidP="00203CC7">
            <w:pPr>
              <w:rPr>
                <w:sz w:val="16"/>
                <w:szCs w:val="16"/>
              </w:rPr>
            </w:pPr>
            <w:r w:rsidRPr="00A410E0">
              <w:rPr>
                <w:sz w:val="16"/>
                <w:szCs w:val="16"/>
              </w:rPr>
              <w:t>41.9%</w:t>
            </w:r>
          </w:p>
        </w:tc>
        <w:tc>
          <w:tcPr>
            <w:tcW w:w="1260" w:type="dxa"/>
            <w:noWrap/>
            <w:hideMark/>
          </w:tcPr>
          <w:p w:rsidR="00484241" w:rsidRPr="00A410E0" w:rsidRDefault="00484241" w:rsidP="00203CC7">
            <w:pPr>
              <w:rPr>
                <w:sz w:val="16"/>
                <w:szCs w:val="16"/>
              </w:rPr>
            </w:pPr>
            <w:r w:rsidRPr="00A410E0">
              <w:rPr>
                <w:sz w:val="16"/>
                <w:szCs w:val="16"/>
              </w:rPr>
              <w:t>2.4%</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MX</w:t>
            </w:r>
          </w:p>
        </w:tc>
        <w:tc>
          <w:tcPr>
            <w:tcW w:w="2700" w:type="dxa"/>
          </w:tcPr>
          <w:p w:rsidR="00484241" w:rsidRPr="00A410E0" w:rsidRDefault="00484241" w:rsidP="00203CC7">
            <w:pPr>
              <w:rPr>
                <w:sz w:val="16"/>
                <w:szCs w:val="16"/>
              </w:rPr>
            </w:pPr>
            <w:r w:rsidRPr="00A410E0">
              <w:rPr>
                <w:sz w:val="16"/>
                <w:szCs w:val="16"/>
              </w:rPr>
              <w:t>Mexico</w:t>
            </w:r>
          </w:p>
        </w:tc>
        <w:tc>
          <w:tcPr>
            <w:tcW w:w="1260" w:type="dxa"/>
            <w:noWrap/>
            <w:hideMark/>
          </w:tcPr>
          <w:p w:rsidR="00484241" w:rsidRPr="00A410E0" w:rsidRDefault="00484241" w:rsidP="00203CC7">
            <w:pPr>
              <w:rPr>
                <w:sz w:val="16"/>
                <w:szCs w:val="16"/>
              </w:rPr>
            </w:pPr>
            <w:r w:rsidRPr="00A410E0">
              <w:rPr>
                <w:sz w:val="16"/>
                <w:szCs w:val="16"/>
              </w:rPr>
              <w:t>119</w:t>
            </w:r>
          </w:p>
        </w:tc>
        <w:tc>
          <w:tcPr>
            <w:tcW w:w="1260" w:type="dxa"/>
            <w:noWrap/>
            <w:hideMark/>
          </w:tcPr>
          <w:p w:rsidR="00484241" w:rsidRPr="00A410E0" w:rsidRDefault="00484241" w:rsidP="00203CC7">
            <w:pPr>
              <w:rPr>
                <w:sz w:val="16"/>
                <w:szCs w:val="16"/>
              </w:rPr>
            </w:pPr>
            <w:r w:rsidRPr="00A410E0">
              <w:rPr>
                <w:sz w:val="16"/>
                <w:szCs w:val="16"/>
              </w:rPr>
              <w:t>284</w:t>
            </w:r>
          </w:p>
        </w:tc>
        <w:tc>
          <w:tcPr>
            <w:tcW w:w="1260" w:type="dxa"/>
          </w:tcPr>
          <w:p w:rsidR="00484241" w:rsidRPr="00A410E0" w:rsidRDefault="00484241" w:rsidP="00203CC7">
            <w:pPr>
              <w:rPr>
                <w:sz w:val="16"/>
                <w:szCs w:val="16"/>
              </w:rPr>
            </w:pPr>
            <w:r w:rsidRPr="00A410E0">
              <w:rPr>
                <w:sz w:val="16"/>
                <w:szCs w:val="16"/>
              </w:rPr>
              <w:t>41.9%</w:t>
            </w:r>
          </w:p>
        </w:tc>
        <w:tc>
          <w:tcPr>
            <w:tcW w:w="1260" w:type="dxa"/>
            <w:noWrap/>
            <w:hideMark/>
          </w:tcPr>
          <w:p w:rsidR="00484241" w:rsidRPr="00A410E0" w:rsidRDefault="00484241" w:rsidP="00203CC7">
            <w:pPr>
              <w:rPr>
                <w:sz w:val="16"/>
                <w:szCs w:val="16"/>
              </w:rPr>
            </w:pPr>
            <w:r w:rsidRPr="00A410E0">
              <w:rPr>
                <w:sz w:val="16"/>
                <w:szCs w:val="16"/>
              </w:rPr>
              <w:t>2.2%</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UA</w:t>
            </w:r>
          </w:p>
        </w:tc>
        <w:tc>
          <w:tcPr>
            <w:tcW w:w="2700" w:type="dxa"/>
          </w:tcPr>
          <w:p w:rsidR="00484241" w:rsidRPr="00A410E0" w:rsidRDefault="00484241" w:rsidP="00203CC7">
            <w:pPr>
              <w:rPr>
                <w:sz w:val="16"/>
                <w:szCs w:val="16"/>
              </w:rPr>
            </w:pPr>
            <w:r w:rsidRPr="00A410E0">
              <w:rPr>
                <w:sz w:val="16"/>
                <w:szCs w:val="16"/>
              </w:rPr>
              <w:t>Ukraine</w:t>
            </w:r>
          </w:p>
        </w:tc>
        <w:tc>
          <w:tcPr>
            <w:tcW w:w="1260" w:type="dxa"/>
            <w:noWrap/>
            <w:hideMark/>
          </w:tcPr>
          <w:p w:rsidR="00484241" w:rsidRPr="00A410E0" w:rsidRDefault="00484241" w:rsidP="00203CC7">
            <w:pPr>
              <w:rPr>
                <w:sz w:val="16"/>
                <w:szCs w:val="16"/>
              </w:rPr>
            </w:pPr>
            <w:r w:rsidRPr="00A410E0">
              <w:rPr>
                <w:sz w:val="16"/>
                <w:szCs w:val="16"/>
              </w:rPr>
              <w:t>93</w:t>
            </w:r>
          </w:p>
        </w:tc>
        <w:tc>
          <w:tcPr>
            <w:tcW w:w="1260" w:type="dxa"/>
            <w:noWrap/>
            <w:hideMark/>
          </w:tcPr>
          <w:p w:rsidR="00484241" w:rsidRPr="00A410E0" w:rsidRDefault="00484241" w:rsidP="00203CC7">
            <w:pPr>
              <w:rPr>
                <w:sz w:val="16"/>
                <w:szCs w:val="16"/>
              </w:rPr>
            </w:pPr>
            <w:r w:rsidRPr="00A410E0">
              <w:rPr>
                <w:sz w:val="16"/>
                <w:szCs w:val="16"/>
              </w:rPr>
              <w:t>147</w:t>
            </w:r>
          </w:p>
        </w:tc>
        <w:tc>
          <w:tcPr>
            <w:tcW w:w="1260" w:type="dxa"/>
          </w:tcPr>
          <w:p w:rsidR="00484241" w:rsidRPr="00A410E0" w:rsidRDefault="00484241" w:rsidP="00203CC7">
            <w:pPr>
              <w:rPr>
                <w:sz w:val="16"/>
                <w:szCs w:val="16"/>
              </w:rPr>
            </w:pPr>
            <w:r w:rsidRPr="00A410E0">
              <w:rPr>
                <w:sz w:val="16"/>
                <w:szCs w:val="16"/>
              </w:rPr>
              <w:t>63.3%</w:t>
            </w:r>
          </w:p>
        </w:tc>
        <w:tc>
          <w:tcPr>
            <w:tcW w:w="1260" w:type="dxa"/>
            <w:noWrap/>
            <w:hideMark/>
          </w:tcPr>
          <w:p w:rsidR="00484241" w:rsidRPr="00A410E0" w:rsidRDefault="00484241" w:rsidP="00203CC7">
            <w:pPr>
              <w:rPr>
                <w:sz w:val="16"/>
                <w:szCs w:val="16"/>
              </w:rPr>
            </w:pPr>
            <w:r w:rsidRPr="00A410E0">
              <w:rPr>
                <w:sz w:val="16"/>
                <w:szCs w:val="16"/>
              </w:rPr>
              <w:t>1.7%</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HU</w:t>
            </w:r>
          </w:p>
        </w:tc>
        <w:tc>
          <w:tcPr>
            <w:tcW w:w="2700" w:type="dxa"/>
          </w:tcPr>
          <w:p w:rsidR="00484241" w:rsidRPr="00A410E0" w:rsidRDefault="00484241" w:rsidP="00203CC7">
            <w:pPr>
              <w:rPr>
                <w:sz w:val="16"/>
                <w:szCs w:val="16"/>
              </w:rPr>
            </w:pPr>
            <w:r w:rsidRPr="00A410E0">
              <w:rPr>
                <w:sz w:val="16"/>
                <w:szCs w:val="16"/>
              </w:rPr>
              <w:t>Hungary</w:t>
            </w:r>
          </w:p>
        </w:tc>
        <w:tc>
          <w:tcPr>
            <w:tcW w:w="1260" w:type="dxa"/>
            <w:noWrap/>
            <w:hideMark/>
          </w:tcPr>
          <w:p w:rsidR="00484241" w:rsidRPr="00A410E0" w:rsidRDefault="00484241" w:rsidP="00203CC7">
            <w:pPr>
              <w:rPr>
                <w:sz w:val="16"/>
                <w:szCs w:val="16"/>
              </w:rPr>
            </w:pPr>
            <w:r w:rsidRPr="00A410E0">
              <w:rPr>
                <w:sz w:val="16"/>
                <w:szCs w:val="16"/>
              </w:rPr>
              <w:t>58</w:t>
            </w:r>
          </w:p>
        </w:tc>
        <w:tc>
          <w:tcPr>
            <w:tcW w:w="1260" w:type="dxa"/>
            <w:noWrap/>
            <w:hideMark/>
          </w:tcPr>
          <w:p w:rsidR="00484241" w:rsidRPr="00A410E0" w:rsidRDefault="00484241" w:rsidP="00203CC7">
            <w:pPr>
              <w:rPr>
                <w:sz w:val="16"/>
                <w:szCs w:val="16"/>
              </w:rPr>
            </w:pPr>
            <w:r w:rsidRPr="00A410E0">
              <w:rPr>
                <w:sz w:val="16"/>
                <w:szCs w:val="16"/>
              </w:rPr>
              <w:t>158</w:t>
            </w:r>
          </w:p>
        </w:tc>
        <w:tc>
          <w:tcPr>
            <w:tcW w:w="1260" w:type="dxa"/>
          </w:tcPr>
          <w:p w:rsidR="00484241" w:rsidRPr="00A410E0" w:rsidRDefault="00484241" w:rsidP="00203CC7">
            <w:pPr>
              <w:rPr>
                <w:sz w:val="16"/>
                <w:szCs w:val="16"/>
              </w:rPr>
            </w:pPr>
            <w:r w:rsidRPr="00A410E0">
              <w:rPr>
                <w:sz w:val="16"/>
                <w:szCs w:val="16"/>
              </w:rPr>
              <w:t>36.7%</w:t>
            </w:r>
          </w:p>
        </w:tc>
        <w:tc>
          <w:tcPr>
            <w:tcW w:w="1260" w:type="dxa"/>
            <w:noWrap/>
            <w:hideMark/>
          </w:tcPr>
          <w:p w:rsidR="00484241" w:rsidRPr="00A410E0" w:rsidRDefault="00484241" w:rsidP="00203CC7">
            <w:pPr>
              <w:rPr>
                <w:sz w:val="16"/>
                <w:szCs w:val="16"/>
              </w:rPr>
            </w:pPr>
            <w:r w:rsidRPr="00A410E0">
              <w:rPr>
                <w:sz w:val="16"/>
                <w:szCs w:val="16"/>
              </w:rPr>
              <w:t>1.1%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PL</w:t>
            </w:r>
          </w:p>
        </w:tc>
        <w:tc>
          <w:tcPr>
            <w:tcW w:w="2700" w:type="dxa"/>
          </w:tcPr>
          <w:p w:rsidR="00484241" w:rsidRPr="00A410E0" w:rsidRDefault="00484241" w:rsidP="00203CC7">
            <w:pPr>
              <w:rPr>
                <w:sz w:val="16"/>
                <w:szCs w:val="16"/>
              </w:rPr>
            </w:pPr>
            <w:r w:rsidRPr="00A410E0">
              <w:rPr>
                <w:sz w:val="16"/>
                <w:szCs w:val="16"/>
              </w:rPr>
              <w:t>Poland</w:t>
            </w:r>
          </w:p>
        </w:tc>
        <w:tc>
          <w:tcPr>
            <w:tcW w:w="1260" w:type="dxa"/>
            <w:noWrap/>
            <w:hideMark/>
          </w:tcPr>
          <w:p w:rsidR="00484241" w:rsidRPr="00A410E0" w:rsidRDefault="00484241" w:rsidP="00203CC7">
            <w:pPr>
              <w:rPr>
                <w:sz w:val="16"/>
                <w:szCs w:val="16"/>
              </w:rPr>
            </w:pPr>
            <w:r w:rsidRPr="00A410E0">
              <w:rPr>
                <w:sz w:val="16"/>
                <w:szCs w:val="16"/>
              </w:rPr>
              <w:t>51</w:t>
            </w:r>
          </w:p>
        </w:tc>
        <w:tc>
          <w:tcPr>
            <w:tcW w:w="1260" w:type="dxa"/>
            <w:noWrap/>
            <w:hideMark/>
          </w:tcPr>
          <w:p w:rsidR="00484241" w:rsidRPr="00A410E0" w:rsidRDefault="00484241" w:rsidP="00203CC7">
            <w:pPr>
              <w:rPr>
                <w:sz w:val="16"/>
                <w:szCs w:val="16"/>
              </w:rPr>
            </w:pPr>
            <w:r w:rsidRPr="00A410E0">
              <w:rPr>
                <w:sz w:val="16"/>
                <w:szCs w:val="16"/>
              </w:rPr>
              <w:t>348</w:t>
            </w:r>
          </w:p>
        </w:tc>
        <w:tc>
          <w:tcPr>
            <w:tcW w:w="1260" w:type="dxa"/>
          </w:tcPr>
          <w:p w:rsidR="00484241" w:rsidRPr="00A410E0" w:rsidRDefault="00484241" w:rsidP="00203CC7">
            <w:pPr>
              <w:rPr>
                <w:sz w:val="16"/>
                <w:szCs w:val="16"/>
              </w:rPr>
            </w:pPr>
            <w:r w:rsidRPr="00A410E0">
              <w:rPr>
                <w:sz w:val="16"/>
                <w:szCs w:val="16"/>
              </w:rPr>
              <w:t>14.7%</w:t>
            </w:r>
          </w:p>
        </w:tc>
        <w:tc>
          <w:tcPr>
            <w:tcW w:w="1260" w:type="dxa"/>
            <w:noWrap/>
            <w:hideMark/>
          </w:tcPr>
          <w:p w:rsidR="00484241" w:rsidRPr="00A410E0" w:rsidRDefault="00484241" w:rsidP="00203CC7">
            <w:pPr>
              <w:rPr>
                <w:sz w:val="16"/>
                <w:szCs w:val="16"/>
              </w:rPr>
            </w:pPr>
            <w:r w:rsidRPr="00A410E0">
              <w:rPr>
                <w:sz w:val="16"/>
                <w:szCs w:val="16"/>
              </w:rPr>
              <w:t>0.9%</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SG</w:t>
            </w:r>
          </w:p>
        </w:tc>
        <w:tc>
          <w:tcPr>
            <w:tcW w:w="2700" w:type="dxa"/>
          </w:tcPr>
          <w:p w:rsidR="00484241" w:rsidRPr="00A410E0" w:rsidRDefault="00484241" w:rsidP="00203CC7">
            <w:pPr>
              <w:rPr>
                <w:sz w:val="16"/>
                <w:szCs w:val="16"/>
              </w:rPr>
            </w:pPr>
            <w:r w:rsidRPr="00A410E0">
              <w:rPr>
                <w:sz w:val="16"/>
                <w:szCs w:val="16"/>
              </w:rPr>
              <w:t>Singapore</w:t>
            </w:r>
          </w:p>
        </w:tc>
        <w:tc>
          <w:tcPr>
            <w:tcW w:w="1260" w:type="dxa"/>
            <w:noWrap/>
            <w:hideMark/>
          </w:tcPr>
          <w:p w:rsidR="00484241" w:rsidRPr="00A410E0" w:rsidRDefault="00484241" w:rsidP="00203CC7">
            <w:pPr>
              <w:rPr>
                <w:sz w:val="16"/>
                <w:szCs w:val="16"/>
              </w:rPr>
            </w:pPr>
            <w:r w:rsidRPr="00A410E0">
              <w:rPr>
                <w:sz w:val="16"/>
                <w:szCs w:val="16"/>
              </w:rPr>
              <w:t>46</w:t>
            </w:r>
          </w:p>
        </w:tc>
        <w:tc>
          <w:tcPr>
            <w:tcW w:w="1260" w:type="dxa"/>
            <w:noWrap/>
            <w:hideMark/>
          </w:tcPr>
          <w:p w:rsidR="00484241" w:rsidRPr="00A410E0" w:rsidRDefault="00484241" w:rsidP="00203CC7">
            <w:pPr>
              <w:rPr>
                <w:sz w:val="16"/>
                <w:szCs w:val="16"/>
              </w:rPr>
            </w:pPr>
            <w:r w:rsidRPr="00A410E0">
              <w:rPr>
                <w:sz w:val="16"/>
                <w:szCs w:val="16"/>
              </w:rPr>
              <w:t>940</w:t>
            </w:r>
          </w:p>
        </w:tc>
        <w:tc>
          <w:tcPr>
            <w:tcW w:w="1260" w:type="dxa"/>
          </w:tcPr>
          <w:p w:rsidR="00484241" w:rsidRPr="00A410E0" w:rsidRDefault="00484241" w:rsidP="00203CC7">
            <w:pPr>
              <w:rPr>
                <w:sz w:val="16"/>
                <w:szCs w:val="16"/>
              </w:rPr>
            </w:pPr>
            <w:r w:rsidRPr="00A410E0">
              <w:rPr>
                <w:sz w:val="16"/>
                <w:szCs w:val="16"/>
              </w:rPr>
              <w:t>4.9%</w:t>
            </w:r>
          </w:p>
        </w:tc>
        <w:tc>
          <w:tcPr>
            <w:tcW w:w="1260" w:type="dxa"/>
            <w:noWrap/>
            <w:hideMark/>
          </w:tcPr>
          <w:p w:rsidR="00484241" w:rsidRPr="00A410E0" w:rsidRDefault="00484241" w:rsidP="00203CC7">
            <w:pPr>
              <w:rPr>
                <w:sz w:val="16"/>
                <w:szCs w:val="16"/>
              </w:rPr>
            </w:pPr>
            <w:r w:rsidRPr="00A410E0">
              <w:rPr>
                <w:sz w:val="16"/>
                <w:szCs w:val="16"/>
              </w:rPr>
              <w:t>0.8%</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EG</w:t>
            </w:r>
          </w:p>
        </w:tc>
        <w:tc>
          <w:tcPr>
            <w:tcW w:w="2700" w:type="dxa"/>
          </w:tcPr>
          <w:p w:rsidR="00484241" w:rsidRPr="00A410E0" w:rsidRDefault="00484241" w:rsidP="00203CC7">
            <w:pPr>
              <w:rPr>
                <w:sz w:val="16"/>
                <w:szCs w:val="16"/>
              </w:rPr>
            </w:pPr>
            <w:r w:rsidRPr="00A410E0">
              <w:rPr>
                <w:sz w:val="16"/>
                <w:szCs w:val="16"/>
              </w:rPr>
              <w:t>Egypt</w:t>
            </w:r>
          </w:p>
        </w:tc>
        <w:tc>
          <w:tcPr>
            <w:tcW w:w="1260" w:type="dxa"/>
            <w:noWrap/>
            <w:hideMark/>
          </w:tcPr>
          <w:p w:rsidR="00484241" w:rsidRPr="00A410E0" w:rsidRDefault="00484241" w:rsidP="00203CC7">
            <w:pPr>
              <w:rPr>
                <w:sz w:val="16"/>
                <w:szCs w:val="16"/>
              </w:rPr>
            </w:pPr>
            <w:r w:rsidRPr="00A410E0">
              <w:rPr>
                <w:sz w:val="16"/>
                <w:szCs w:val="16"/>
              </w:rPr>
              <w:t>38</w:t>
            </w:r>
          </w:p>
        </w:tc>
        <w:tc>
          <w:tcPr>
            <w:tcW w:w="1260" w:type="dxa"/>
            <w:noWrap/>
            <w:hideMark/>
          </w:tcPr>
          <w:p w:rsidR="00484241" w:rsidRPr="00A410E0" w:rsidRDefault="00484241" w:rsidP="00203CC7">
            <w:pPr>
              <w:rPr>
                <w:sz w:val="16"/>
                <w:szCs w:val="16"/>
              </w:rPr>
            </w:pPr>
            <w:r w:rsidRPr="00A410E0">
              <w:rPr>
                <w:sz w:val="16"/>
                <w:szCs w:val="16"/>
              </w:rPr>
              <w:t>47</w:t>
            </w:r>
          </w:p>
        </w:tc>
        <w:tc>
          <w:tcPr>
            <w:tcW w:w="1260" w:type="dxa"/>
          </w:tcPr>
          <w:p w:rsidR="00484241" w:rsidRPr="00A410E0" w:rsidRDefault="00484241" w:rsidP="00203CC7">
            <w:pPr>
              <w:rPr>
                <w:sz w:val="16"/>
                <w:szCs w:val="16"/>
              </w:rPr>
            </w:pPr>
            <w:r w:rsidRPr="00A410E0">
              <w:rPr>
                <w:sz w:val="16"/>
                <w:szCs w:val="16"/>
              </w:rPr>
              <w:t>80.9%</w:t>
            </w:r>
          </w:p>
        </w:tc>
        <w:tc>
          <w:tcPr>
            <w:tcW w:w="1260" w:type="dxa"/>
            <w:noWrap/>
            <w:hideMark/>
          </w:tcPr>
          <w:p w:rsidR="00484241" w:rsidRPr="00A410E0" w:rsidRDefault="00484241" w:rsidP="00203CC7">
            <w:pPr>
              <w:rPr>
                <w:sz w:val="16"/>
                <w:szCs w:val="16"/>
              </w:rPr>
            </w:pPr>
            <w:r w:rsidRPr="00A410E0">
              <w:rPr>
                <w:sz w:val="16"/>
                <w:szCs w:val="16"/>
              </w:rPr>
              <w:t>0.7%</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MY</w:t>
            </w:r>
          </w:p>
        </w:tc>
        <w:tc>
          <w:tcPr>
            <w:tcW w:w="2700" w:type="dxa"/>
          </w:tcPr>
          <w:p w:rsidR="00484241" w:rsidRPr="00A410E0" w:rsidRDefault="00484241" w:rsidP="00203CC7">
            <w:pPr>
              <w:rPr>
                <w:sz w:val="16"/>
                <w:szCs w:val="16"/>
              </w:rPr>
            </w:pPr>
            <w:r w:rsidRPr="00A410E0">
              <w:rPr>
                <w:sz w:val="16"/>
                <w:szCs w:val="16"/>
              </w:rPr>
              <w:t>Malaysia</w:t>
            </w:r>
          </w:p>
        </w:tc>
        <w:tc>
          <w:tcPr>
            <w:tcW w:w="1260" w:type="dxa"/>
            <w:noWrap/>
            <w:hideMark/>
          </w:tcPr>
          <w:p w:rsidR="00484241" w:rsidRPr="00A410E0" w:rsidRDefault="00484241" w:rsidP="00203CC7">
            <w:pPr>
              <w:rPr>
                <w:sz w:val="16"/>
                <w:szCs w:val="16"/>
              </w:rPr>
            </w:pPr>
            <w:r w:rsidRPr="00A410E0">
              <w:rPr>
                <w:sz w:val="16"/>
                <w:szCs w:val="16"/>
              </w:rPr>
              <w:t>33</w:t>
            </w:r>
          </w:p>
        </w:tc>
        <w:tc>
          <w:tcPr>
            <w:tcW w:w="1260" w:type="dxa"/>
            <w:noWrap/>
            <w:hideMark/>
          </w:tcPr>
          <w:p w:rsidR="00484241" w:rsidRPr="00A410E0" w:rsidRDefault="00484241" w:rsidP="00203CC7">
            <w:pPr>
              <w:rPr>
                <w:sz w:val="16"/>
                <w:szCs w:val="16"/>
              </w:rPr>
            </w:pPr>
            <w:r w:rsidRPr="00A410E0">
              <w:rPr>
                <w:sz w:val="16"/>
                <w:szCs w:val="16"/>
              </w:rPr>
              <w:t>313</w:t>
            </w:r>
          </w:p>
        </w:tc>
        <w:tc>
          <w:tcPr>
            <w:tcW w:w="1260" w:type="dxa"/>
          </w:tcPr>
          <w:p w:rsidR="00484241" w:rsidRPr="00A410E0" w:rsidRDefault="00484241" w:rsidP="00203CC7">
            <w:pPr>
              <w:rPr>
                <w:sz w:val="16"/>
                <w:szCs w:val="16"/>
              </w:rPr>
            </w:pPr>
            <w:r w:rsidRPr="00A410E0">
              <w:rPr>
                <w:sz w:val="16"/>
                <w:szCs w:val="16"/>
              </w:rPr>
              <w:t>10.5%</w:t>
            </w:r>
          </w:p>
        </w:tc>
        <w:tc>
          <w:tcPr>
            <w:tcW w:w="1260" w:type="dxa"/>
            <w:noWrap/>
            <w:hideMark/>
          </w:tcPr>
          <w:p w:rsidR="00484241" w:rsidRPr="00A410E0" w:rsidRDefault="00484241" w:rsidP="00203CC7">
            <w:pPr>
              <w:rPr>
                <w:sz w:val="16"/>
                <w:szCs w:val="16"/>
              </w:rPr>
            </w:pPr>
            <w:r w:rsidRPr="00A410E0">
              <w:rPr>
                <w:sz w:val="16"/>
                <w:szCs w:val="16"/>
              </w:rPr>
              <w:t>0.6%</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CZ</w:t>
            </w:r>
          </w:p>
        </w:tc>
        <w:tc>
          <w:tcPr>
            <w:tcW w:w="2700" w:type="dxa"/>
          </w:tcPr>
          <w:p w:rsidR="00484241" w:rsidRPr="00A410E0" w:rsidRDefault="00484241" w:rsidP="00203CC7">
            <w:pPr>
              <w:rPr>
                <w:sz w:val="16"/>
                <w:szCs w:val="16"/>
              </w:rPr>
            </w:pPr>
            <w:r w:rsidRPr="00A410E0">
              <w:rPr>
                <w:sz w:val="16"/>
                <w:szCs w:val="16"/>
              </w:rPr>
              <w:t>Czech Republic</w:t>
            </w:r>
          </w:p>
        </w:tc>
        <w:tc>
          <w:tcPr>
            <w:tcW w:w="1260" w:type="dxa"/>
            <w:noWrap/>
            <w:hideMark/>
          </w:tcPr>
          <w:p w:rsidR="00484241" w:rsidRPr="00A410E0" w:rsidRDefault="00484241" w:rsidP="00203CC7">
            <w:pPr>
              <w:rPr>
                <w:sz w:val="16"/>
                <w:szCs w:val="16"/>
              </w:rPr>
            </w:pPr>
            <w:r w:rsidRPr="00A410E0">
              <w:rPr>
                <w:sz w:val="16"/>
                <w:szCs w:val="16"/>
              </w:rPr>
              <w:t>31</w:t>
            </w:r>
          </w:p>
        </w:tc>
        <w:tc>
          <w:tcPr>
            <w:tcW w:w="1260" w:type="dxa"/>
            <w:noWrap/>
            <w:hideMark/>
          </w:tcPr>
          <w:p w:rsidR="00484241" w:rsidRPr="00A410E0" w:rsidRDefault="00484241" w:rsidP="00203CC7">
            <w:pPr>
              <w:rPr>
                <w:sz w:val="16"/>
                <w:szCs w:val="16"/>
              </w:rPr>
            </w:pPr>
            <w:r w:rsidRPr="00A410E0">
              <w:rPr>
                <w:sz w:val="16"/>
                <w:szCs w:val="16"/>
              </w:rPr>
              <w:t>189</w:t>
            </w:r>
          </w:p>
        </w:tc>
        <w:tc>
          <w:tcPr>
            <w:tcW w:w="1260" w:type="dxa"/>
          </w:tcPr>
          <w:p w:rsidR="00484241" w:rsidRPr="00A410E0" w:rsidRDefault="00484241" w:rsidP="00203CC7">
            <w:pPr>
              <w:rPr>
                <w:sz w:val="16"/>
                <w:szCs w:val="16"/>
              </w:rPr>
            </w:pPr>
            <w:r w:rsidRPr="00A410E0">
              <w:rPr>
                <w:sz w:val="16"/>
                <w:szCs w:val="16"/>
              </w:rPr>
              <w:t>16.4%</w:t>
            </w:r>
          </w:p>
        </w:tc>
        <w:tc>
          <w:tcPr>
            <w:tcW w:w="1260" w:type="dxa"/>
            <w:noWrap/>
            <w:hideMark/>
          </w:tcPr>
          <w:p w:rsidR="00484241" w:rsidRPr="00A410E0" w:rsidRDefault="00484241" w:rsidP="00203CC7">
            <w:pPr>
              <w:rPr>
                <w:sz w:val="16"/>
                <w:szCs w:val="16"/>
              </w:rPr>
            </w:pPr>
            <w:r w:rsidRPr="00A410E0">
              <w:rPr>
                <w:sz w:val="16"/>
                <w:szCs w:val="16"/>
              </w:rPr>
              <w:t>0.6%</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CL</w:t>
            </w:r>
          </w:p>
        </w:tc>
        <w:tc>
          <w:tcPr>
            <w:tcW w:w="2700" w:type="dxa"/>
          </w:tcPr>
          <w:p w:rsidR="00484241" w:rsidRPr="00A410E0" w:rsidRDefault="00484241" w:rsidP="00203CC7">
            <w:pPr>
              <w:rPr>
                <w:sz w:val="16"/>
                <w:szCs w:val="16"/>
              </w:rPr>
            </w:pPr>
            <w:r w:rsidRPr="00A410E0">
              <w:rPr>
                <w:sz w:val="16"/>
                <w:szCs w:val="16"/>
              </w:rPr>
              <w:t>Chile</w:t>
            </w:r>
          </w:p>
        </w:tc>
        <w:tc>
          <w:tcPr>
            <w:tcW w:w="1260" w:type="dxa"/>
            <w:noWrap/>
            <w:hideMark/>
          </w:tcPr>
          <w:p w:rsidR="00484241" w:rsidRPr="00A410E0" w:rsidRDefault="00484241" w:rsidP="00203CC7">
            <w:pPr>
              <w:rPr>
                <w:sz w:val="16"/>
                <w:szCs w:val="16"/>
              </w:rPr>
            </w:pPr>
            <w:r w:rsidRPr="00A410E0">
              <w:rPr>
                <w:sz w:val="16"/>
                <w:szCs w:val="16"/>
              </w:rPr>
              <w:t>24</w:t>
            </w:r>
          </w:p>
        </w:tc>
        <w:tc>
          <w:tcPr>
            <w:tcW w:w="1260" w:type="dxa"/>
            <w:noWrap/>
            <w:hideMark/>
          </w:tcPr>
          <w:p w:rsidR="00484241" w:rsidRPr="00A410E0" w:rsidRDefault="00484241" w:rsidP="00203CC7">
            <w:pPr>
              <w:rPr>
                <w:sz w:val="16"/>
                <w:szCs w:val="16"/>
              </w:rPr>
            </w:pPr>
            <w:r w:rsidRPr="00A410E0">
              <w:rPr>
                <w:sz w:val="16"/>
                <w:szCs w:val="16"/>
              </w:rPr>
              <w:t>141</w:t>
            </w:r>
          </w:p>
        </w:tc>
        <w:tc>
          <w:tcPr>
            <w:tcW w:w="1260" w:type="dxa"/>
          </w:tcPr>
          <w:p w:rsidR="00484241" w:rsidRPr="00A410E0" w:rsidRDefault="00484241" w:rsidP="00203CC7">
            <w:pPr>
              <w:rPr>
                <w:sz w:val="16"/>
                <w:szCs w:val="16"/>
              </w:rPr>
            </w:pPr>
            <w:r w:rsidRPr="00A410E0">
              <w:rPr>
                <w:sz w:val="16"/>
                <w:szCs w:val="16"/>
              </w:rPr>
              <w:t>17.0%</w:t>
            </w:r>
          </w:p>
        </w:tc>
        <w:tc>
          <w:tcPr>
            <w:tcW w:w="1260" w:type="dxa"/>
            <w:noWrap/>
            <w:hideMark/>
          </w:tcPr>
          <w:p w:rsidR="00484241" w:rsidRPr="00A410E0" w:rsidRDefault="00484241" w:rsidP="00203CC7">
            <w:pPr>
              <w:rPr>
                <w:sz w:val="16"/>
                <w:szCs w:val="16"/>
              </w:rPr>
            </w:pPr>
            <w:r w:rsidRPr="00A410E0">
              <w:rPr>
                <w:sz w:val="16"/>
                <w:szCs w:val="16"/>
              </w:rPr>
              <w:t>0.4%</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AE</w:t>
            </w:r>
          </w:p>
        </w:tc>
        <w:tc>
          <w:tcPr>
            <w:tcW w:w="2700" w:type="dxa"/>
          </w:tcPr>
          <w:p w:rsidR="00484241" w:rsidRPr="00A410E0" w:rsidRDefault="00484241" w:rsidP="00203CC7">
            <w:pPr>
              <w:rPr>
                <w:sz w:val="16"/>
                <w:szCs w:val="16"/>
              </w:rPr>
            </w:pPr>
            <w:r w:rsidRPr="00A410E0">
              <w:rPr>
                <w:sz w:val="16"/>
                <w:szCs w:val="16"/>
              </w:rPr>
              <w:t>United Arab Emirates</w:t>
            </w:r>
          </w:p>
        </w:tc>
        <w:tc>
          <w:tcPr>
            <w:tcW w:w="1260" w:type="dxa"/>
            <w:noWrap/>
            <w:hideMark/>
          </w:tcPr>
          <w:p w:rsidR="00484241" w:rsidRPr="00A410E0" w:rsidRDefault="00484241" w:rsidP="00203CC7">
            <w:pPr>
              <w:rPr>
                <w:sz w:val="16"/>
                <w:szCs w:val="16"/>
              </w:rPr>
            </w:pPr>
            <w:r w:rsidRPr="00A410E0">
              <w:rPr>
                <w:sz w:val="16"/>
                <w:szCs w:val="16"/>
              </w:rPr>
              <w:t>23</w:t>
            </w:r>
          </w:p>
        </w:tc>
        <w:tc>
          <w:tcPr>
            <w:tcW w:w="1260" w:type="dxa"/>
            <w:noWrap/>
            <w:hideMark/>
          </w:tcPr>
          <w:p w:rsidR="00484241" w:rsidRPr="00A410E0" w:rsidRDefault="00484241" w:rsidP="00203CC7">
            <w:pPr>
              <w:rPr>
                <w:sz w:val="16"/>
                <w:szCs w:val="16"/>
              </w:rPr>
            </w:pPr>
            <w:r w:rsidRPr="00A410E0">
              <w:rPr>
                <w:sz w:val="16"/>
                <w:szCs w:val="16"/>
              </w:rPr>
              <w:t>98</w:t>
            </w:r>
          </w:p>
        </w:tc>
        <w:tc>
          <w:tcPr>
            <w:tcW w:w="1260" w:type="dxa"/>
          </w:tcPr>
          <w:p w:rsidR="00484241" w:rsidRPr="00A410E0" w:rsidRDefault="00484241" w:rsidP="00203CC7">
            <w:pPr>
              <w:rPr>
                <w:sz w:val="16"/>
                <w:szCs w:val="16"/>
              </w:rPr>
            </w:pPr>
            <w:r w:rsidRPr="00A410E0">
              <w:rPr>
                <w:sz w:val="16"/>
                <w:szCs w:val="16"/>
              </w:rPr>
              <w:t>23.5%</w:t>
            </w:r>
          </w:p>
        </w:tc>
        <w:tc>
          <w:tcPr>
            <w:tcW w:w="1260" w:type="dxa"/>
            <w:noWrap/>
            <w:hideMark/>
          </w:tcPr>
          <w:p w:rsidR="00484241" w:rsidRPr="00A410E0" w:rsidRDefault="00484241" w:rsidP="00203CC7">
            <w:pPr>
              <w:rPr>
                <w:sz w:val="16"/>
                <w:szCs w:val="16"/>
              </w:rPr>
            </w:pPr>
            <w:r w:rsidRPr="00A410E0">
              <w:rPr>
                <w:sz w:val="16"/>
                <w:szCs w:val="16"/>
              </w:rPr>
              <w:t>0.4%</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CO</w:t>
            </w:r>
          </w:p>
        </w:tc>
        <w:tc>
          <w:tcPr>
            <w:tcW w:w="2700" w:type="dxa"/>
          </w:tcPr>
          <w:p w:rsidR="00484241" w:rsidRPr="00A410E0" w:rsidRDefault="00484241" w:rsidP="00203CC7">
            <w:pPr>
              <w:rPr>
                <w:sz w:val="16"/>
                <w:szCs w:val="16"/>
              </w:rPr>
            </w:pPr>
            <w:r w:rsidRPr="00A410E0">
              <w:rPr>
                <w:sz w:val="16"/>
                <w:szCs w:val="16"/>
              </w:rPr>
              <w:t>Colombia</w:t>
            </w:r>
          </w:p>
        </w:tc>
        <w:tc>
          <w:tcPr>
            <w:tcW w:w="1260" w:type="dxa"/>
            <w:noWrap/>
            <w:hideMark/>
          </w:tcPr>
          <w:p w:rsidR="00484241" w:rsidRPr="00A410E0" w:rsidRDefault="00484241" w:rsidP="00203CC7">
            <w:pPr>
              <w:rPr>
                <w:sz w:val="16"/>
                <w:szCs w:val="16"/>
              </w:rPr>
            </w:pPr>
            <w:r w:rsidRPr="00A410E0">
              <w:rPr>
                <w:sz w:val="16"/>
                <w:szCs w:val="16"/>
              </w:rPr>
              <w:t>22</w:t>
            </w:r>
          </w:p>
        </w:tc>
        <w:tc>
          <w:tcPr>
            <w:tcW w:w="1260" w:type="dxa"/>
            <w:noWrap/>
            <w:hideMark/>
          </w:tcPr>
          <w:p w:rsidR="00484241" w:rsidRPr="00A410E0" w:rsidRDefault="00484241" w:rsidP="00203CC7">
            <w:pPr>
              <w:rPr>
                <w:sz w:val="16"/>
                <w:szCs w:val="16"/>
              </w:rPr>
            </w:pPr>
            <w:r w:rsidRPr="00A410E0">
              <w:rPr>
                <w:sz w:val="16"/>
                <w:szCs w:val="16"/>
              </w:rPr>
              <w:t>102</w:t>
            </w:r>
          </w:p>
        </w:tc>
        <w:tc>
          <w:tcPr>
            <w:tcW w:w="1260" w:type="dxa"/>
          </w:tcPr>
          <w:p w:rsidR="00484241" w:rsidRPr="00A410E0" w:rsidRDefault="00484241" w:rsidP="00203CC7">
            <w:pPr>
              <w:rPr>
                <w:sz w:val="16"/>
                <w:szCs w:val="16"/>
              </w:rPr>
            </w:pPr>
            <w:r w:rsidRPr="00A410E0">
              <w:rPr>
                <w:sz w:val="16"/>
                <w:szCs w:val="16"/>
              </w:rPr>
              <w:t>21.6%</w:t>
            </w:r>
          </w:p>
        </w:tc>
        <w:tc>
          <w:tcPr>
            <w:tcW w:w="1260" w:type="dxa"/>
            <w:noWrap/>
            <w:hideMark/>
          </w:tcPr>
          <w:p w:rsidR="00484241" w:rsidRPr="00A410E0" w:rsidRDefault="00484241" w:rsidP="00203CC7">
            <w:pPr>
              <w:rPr>
                <w:sz w:val="16"/>
                <w:szCs w:val="16"/>
              </w:rPr>
            </w:pPr>
            <w:r w:rsidRPr="00A410E0">
              <w:rPr>
                <w:sz w:val="16"/>
                <w:szCs w:val="16"/>
              </w:rPr>
              <w:t>0.4%</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HR</w:t>
            </w:r>
          </w:p>
        </w:tc>
        <w:tc>
          <w:tcPr>
            <w:tcW w:w="2700" w:type="dxa"/>
          </w:tcPr>
          <w:p w:rsidR="00484241" w:rsidRPr="00A410E0" w:rsidRDefault="00484241" w:rsidP="00203CC7">
            <w:pPr>
              <w:rPr>
                <w:sz w:val="16"/>
                <w:szCs w:val="16"/>
              </w:rPr>
            </w:pPr>
            <w:r w:rsidRPr="00A410E0">
              <w:rPr>
                <w:sz w:val="16"/>
                <w:szCs w:val="16"/>
              </w:rPr>
              <w:t>Croatia</w:t>
            </w:r>
          </w:p>
        </w:tc>
        <w:tc>
          <w:tcPr>
            <w:tcW w:w="1260" w:type="dxa"/>
            <w:noWrap/>
            <w:hideMark/>
          </w:tcPr>
          <w:p w:rsidR="00484241" w:rsidRPr="00A410E0" w:rsidRDefault="00484241" w:rsidP="00203CC7">
            <w:pPr>
              <w:rPr>
                <w:sz w:val="16"/>
                <w:szCs w:val="16"/>
              </w:rPr>
            </w:pPr>
            <w:r w:rsidRPr="00A410E0">
              <w:rPr>
                <w:sz w:val="16"/>
                <w:szCs w:val="16"/>
              </w:rPr>
              <w:t>22</w:t>
            </w:r>
          </w:p>
        </w:tc>
        <w:tc>
          <w:tcPr>
            <w:tcW w:w="1260" w:type="dxa"/>
            <w:noWrap/>
            <w:hideMark/>
          </w:tcPr>
          <w:p w:rsidR="00484241" w:rsidRPr="00A410E0" w:rsidRDefault="00484241" w:rsidP="00203CC7">
            <w:pPr>
              <w:rPr>
                <w:sz w:val="16"/>
                <w:szCs w:val="16"/>
              </w:rPr>
            </w:pPr>
            <w:r w:rsidRPr="00A410E0">
              <w:rPr>
                <w:sz w:val="16"/>
                <w:szCs w:val="16"/>
              </w:rPr>
              <w:t>54</w:t>
            </w:r>
          </w:p>
        </w:tc>
        <w:tc>
          <w:tcPr>
            <w:tcW w:w="1260" w:type="dxa"/>
          </w:tcPr>
          <w:p w:rsidR="00484241" w:rsidRPr="00A410E0" w:rsidRDefault="00484241" w:rsidP="00203CC7">
            <w:pPr>
              <w:rPr>
                <w:sz w:val="16"/>
                <w:szCs w:val="16"/>
              </w:rPr>
            </w:pPr>
            <w:r w:rsidRPr="00A410E0">
              <w:rPr>
                <w:sz w:val="16"/>
                <w:szCs w:val="16"/>
              </w:rPr>
              <w:t>40.7%</w:t>
            </w:r>
          </w:p>
        </w:tc>
        <w:tc>
          <w:tcPr>
            <w:tcW w:w="1260" w:type="dxa"/>
            <w:noWrap/>
            <w:hideMark/>
          </w:tcPr>
          <w:p w:rsidR="00484241" w:rsidRPr="00A410E0" w:rsidRDefault="00484241" w:rsidP="00203CC7">
            <w:pPr>
              <w:rPr>
                <w:sz w:val="16"/>
                <w:szCs w:val="16"/>
              </w:rPr>
            </w:pPr>
            <w:r w:rsidRPr="00A410E0">
              <w:rPr>
                <w:sz w:val="16"/>
                <w:szCs w:val="16"/>
              </w:rPr>
              <w:t>0.4%</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IR</w:t>
            </w:r>
          </w:p>
        </w:tc>
        <w:tc>
          <w:tcPr>
            <w:tcW w:w="2700" w:type="dxa"/>
          </w:tcPr>
          <w:p w:rsidR="00484241" w:rsidRPr="00A410E0" w:rsidRDefault="00484241" w:rsidP="00203CC7">
            <w:pPr>
              <w:rPr>
                <w:sz w:val="16"/>
                <w:szCs w:val="16"/>
              </w:rPr>
            </w:pPr>
            <w:r w:rsidRPr="00A410E0">
              <w:rPr>
                <w:sz w:val="16"/>
                <w:szCs w:val="16"/>
              </w:rPr>
              <w:t>Iran (Islamic Rep. of)</w:t>
            </w:r>
          </w:p>
        </w:tc>
        <w:tc>
          <w:tcPr>
            <w:tcW w:w="1260" w:type="dxa"/>
            <w:noWrap/>
            <w:hideMark/>
          </w:tcPr>
          <w:p w:rsidR="00484241" w:rsidRPr="00A410E0" w:rsidRDefault="00484241" w:rsidP="00203CC7">
            <w:pPr>
              <w:rPr>
                <w:sz w:val="16"/>
                <w:szCs w:val="16"/>
              </w:rPr>
            </w:pPr>
            <w:r w:rsidRPr="00A410E0">
              <w:rPr>
                <w:sz w:val="16"/>
                <w:szCs w:val="16"/>
              </w:rPr>
              <w:t>21</w:t>
            </w:r>
          </w:p>
        </w:tc>
        <w:tc>
          <w:tcPr>
            <w:tcW w:w="1260" w:type="dxa"/>
            <w:noWrap/>
            <w:hideMark/>
          </w:tcPr>
          <w:p w:rsidR="00484241" w:rsidRPr="00A410E0" w:rsidRDefault="00484241" w:rsidP="00203CC7">
            <w:pPr>
              <w:rPr>
                <w:sz w:val="16"/>
                <w:szCs w:val="16"/>
              </w:rPr>
            </w:pPr>
            <w:r w:rsidRPr="00A410E0">
              <w:rPr>
                <w:sz w:val="16"/>
                <w:szCs w:val="16"/>
              </w:rPr>
              <w:t>35</w:t>
            </w:r>
          </w:p>
        </w:tc>
        <w:tc>
          <w:tcPr>
            <w:tcW w:w="1260" w:type="dxa"/>
          </w:tcPr>
          <w:p w:rsidR="00484241" w:rsidRPr="00A410E0" w:rsidRDefault="00484241" w:rsidP="00203CC7">
            <w:pPr>
              <w:rPr>
                <w:sz w:val="16"/>
                <w:szCs w:val="16"/>
              </w:rPr>
            </w:pPr>
            <w:r w:rsidRPr="00A410E0">
              <w:rPr>
                <w:sz w:val="16"/>
                <w:szCs w:val="16"/>
              </w:rPr>
              <w:t>60.0%</w:t>
            </w:r>
          </w:p>
        </w:tc>
        <w:tc>
          <w:tcPr>
            <w:tcW w:w="1260" w:type="dxa"/>
            <w:noWrap/>
            <w:hideMark/>
          </w:tcPr>
          <w:p w:rsidR="00484241" w:rsidRPr="00A410E0" w:rsidRDefault="00484241" w:rsidP="00203CC7">
            <w:pPr>
              <w:rPr>
                <w:sz w:val="16"/>
                <w:szCs w:val="16"/>
              </w:rPr>
            </w:pPr>
            <w:r w:rsidRPr="00A410E0">
              <w:rPr>
                <w:sz w:val="16"/>
                <w:szCs w:val="16"/>
              </w:rPr>
              <w:t>0.4%</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BG</w:t>
            </w:r>
          </w:p>
        </w:tc>
        <w:tc>
          <w:tcPr>
            <w:tcW w:w="2700" w:type="dxa"/>
          </w:tcPr>
          <w:p w:rsidR="00484241" w:rsidRPr="00A410E0" w:rsidRDefault="00484241" w:rsidP="00203CC7">
            <w:pPr>
              <w:rPr>
                <w:sz w:val="16"/>
                <w:szCs w:val="16"/>
              </w:rPr>
            </w:pPr>
            <w:r w:rsidRPr="00A410E0">
              <w:rPr>
                <w:sz w:val="16"/>
                <w:szCs w:val="16"/>
              </w:rPr>
              <w:t>Bulgaria</w:t>
            </w:r>
          </w:p>
        </w:tc>
        <w:tc>
          <w:tcPr>
            <w:tcW w:w="1260" w:type="dxa"/>
            <w:noWrap/>
            <w:hideMark/>
          </w:tcPr>
          <w:p w:rsidR="00484241" w:rsidRPr="00A410E0" w:rsidRDefault="00484241" w:rsidP="00203CC7">
            <w:pPr>
              <w:rPr>
                <w:sz w:val="16"/>
                <w:szCs w:val="16"/>
              </w:rPr>
            </w:pPr>
            <w:r w:rsidRPr="00A410E0">
              <w:rPr>
                <w:sz w:val="16"/>
                <w:szCs w:val="16"/>
              </w:rPr>
              <w:t>19</w:t>
            </w:r>
          </w:p>
        </w:tc>
        <w:tc>
          <w:tcPr>
            <w:tcW w:w="1260" w:type="dxa"/>
            <w:noWrap/>
            <w:hideMark/>
          </w:tcPr>
          <w:p w:rsidR="00484241" w:rsidRPr="00A410E0" w:rsidRDefault="00484241" w:rsidP="00203CC7">
            <w:pPr>
              <w:rPr>
                <w:sz w:val="16"/>
                <w:szCs w:val="16"/>
              </w:rPr>
            </w:pPr>
            <w:r w:rsidRPr="00A410E0">
              <w:rPr>
                <w:sz w:val="16"/>
                <w:szCs w:val="16"/>
              </w:rPr>
              <w:t>52</w:t>
            </w:r>
          </w:p>
        </w:tc>
        <w:tc>
          <w:tcPr>
            <w:tcW w:w="1260" w:type="dxa"/>
          </w:tcPr>
          <w:p w:rsidR="00484241" w:rsidRPr="00A410E0" w:rsidRDefault="00484241" w:rsidP="00203CC7">
            <w:pPr>
              <w:rPr>
                <w:sz w:val="16"/>
                <w:szCs w:val="16"/>
              </w:rPr>
            </w:pPr>
            <w:r w:rsidRPr="00A410E0">
              <w:rPr>
                <w:sz w:val="16"/>
                <w:szCs w:val="16"/>
              </w:rPr>
              <w:t>36.5%</w:t>
            </w:r>
          </w:p>
        </w:tc>
        <w:tc>
          <w:tcPr>
            <w:tcW w:w="1260" w:type="dxa"/>
            <w:noWrap/>
            <w:hideMark/>
          </w:tcPr>
          <w:p w:rsidR="00484241" w:rsidRPr="00A410E0" w:rsidRDefault="00484241" w:rsidP="00203CC7">
            <w:pPr>
              <w:rPr>
                <w:sz w:val="16"/>
                <w:szCs w:val="16"/>
              </w:rPr>
            </w:pPr>
            <w:r w:rsidRPr="00A410E0">
              <w:rPr>
                <w:sz w:val="16"/>
                <w:szCs w:val="16"/>
              </w:rPr>
              <w:t>0.3%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PH</w:t>
            </w:r>
          </w:p>
        </w:tc>
        <w:tc>
          <w:tcPr>
            <w:tcW w:w="2700" w:type="dxa"/>
          </w:tcPr>
          <w:p w:rsidR="00484241" w:rsidRPr="00A410E0" w:rsidRDefault="00484241" w:rsidP="00203CC7">
            <w:pPr>
              <w:rPr>
                <w:sz w:val="16"/>
                <w:szCs w:val="16"/>
              </w:rPr>
            </w:pPr>
            <w:r w:rsidRPr="00A410E0">
              <w:rPr>
                <w:sz w:val="16"/>
                <w:szCs w:val="16"/>
              </w:rPr>
              <w:t>Philippines</w:t>
            </w:r>
          </w:p>
        </w:tc>
        <w:tc>
          <w:tcPr>
            <w:tcW w:w="1260" w:type="dxa"/>
            <w:noWrap/>
            <w:hideMark/>
          </w:tcPr>
          <w:p w:rsidR="00484241" w:rsidRPr="00A410E0" w:rsidRDefault="00484241" w:rsidP="00203CC7">
            <w:pPr>
              <w:rPr>
                <w:sz w:val="16"/>
                <w:szCs w:val="16"/>
              </w:rPr>
            </w:pPr>
            <w:r w:rsidRPr="00A410E0">
              <w:rPr>
                <w:sz w:val="16"/>
                <w:szCs w:val="16"/>
              </w:rPr>
              <w:t>19</w:t>
            </w:r>
          </w:p>
        </w:tc>
        <w:tc>
          <w:tcPr>
            <w:tcW w:w="1260" w:type="dxa"/>
            <w:noWrap/>
            <w:hideMark/>
          </w:tcPr>
          <w:p w:rsidR="00484241" w:rsidRPr="00A410E0" w:rsidRDefault="00484241" w:rsidP="00203CC7">
            <w:pPr>
              <w:rPr>
                <w:sz w:val="16"/>
                <w:szCs w:val="16"/>
              </w:rPr>
            </w:pPr>
            <w:r w:rsidRPr="00A410E0">
              <w:rPr>
                <w:sz w:val="16"/>
                <w:szCs w:val="16"/>
              </w:rPr>
              <w:t>35</w:t>
            </w:r>
          </w:p>
        </w:tc>
        <w:tc>
          <w:tcPr>
            <w:tcW w:w="1260" w:type="dxa"/>
          </w:tcPr>
          <w:p w:rsidR="00484241" w:rsidRPr="00A410E0" w:rsidRDefault="00484241" w:rsidP="00203CC7">
            <w:pPr>
              <w:rPr>
                <w:sz w:val="16"/>
                <w:szCs w:val="16"/>
              </w:rPr>
            </w:pPr>
            <w:r w:rsidRPr="00A410E0">
              <w:rPr>
                <w:sz w:val="16"/>
                <w:szCs w:val="16"/>
              </w:rPr>
              <w:t>54.3%</w:t>
            </w:r>
          </w:p>
        </w:tc>
        <w:tc>
          <w:tcPr>
            <w:tcW w:w="1260" w:type="dxa"/>
            <w:noWrap/>
            <w:hideMark/>
          </w:tcPr>
          <w:p w:rsidR="00484241" w:rsidRPr="00A410E0" w:rsidRDefault="00484241" w:rsidP="00203CC7">
            <w:pPr>
              <w:rPr>
                <w:sz w:val="16"/>
                <w:szCs w:val="16"/>
              </w:rPr>
            </w:pPr>
            <w:r w:rsidRPr="00A410E0">
              <w:rPr>
                <w:sz w:val="16"/>
                <w:szCs w:val="16"/>
              </w:rPr>
              <w:t>0.3%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SK</w:t>
            </w:r>
          </w:p>
        </w:tc>
        <w:tc>
          <w:tcPr>
            <w:tcW w:w="2700" w:type="dxa"/>
          </w:tcPr>
          <w:p w:rsidR="00484241" w:rsidRPr="00A410E0" w:rsidRDefault="00484241" w:rsidP="00203CC7">
            <w:pPr>
              <w:rPr>
                <w:sz w:val="16"/>
                <w:szCs w:val="16"/>
              </w:rPr>
            </w:pPr>
            <w:r w:rsidRPr="00A410E0">
              <w:rPr>
                <w:sz w:val="16"/>
                <w:szCs w:val="16"/>
              </w:rPr>
              <w:t>Slovakia</w:t>
            </w:r>
          </w:p>
        </w:tc>
        <w:tc>
          <w:tcPr>
            <w:tcW w:w="1260" w:type="dxa"/>
            <w:noWrap/>
            <w:hideMark/>
          </w:tcPr>
          <w:p w:rsidR="00484241" w:rsidRPr="00A410E0" w:rsidRDefault="00484241" w:rsidP="00203CC7">
            <w:pPr>
              <w:rPr>
                <w:sz w:val="16"/>
                <w:szCs w:val="16"/>
              </w:rPr>
            </w:pPr>
            <w:r w:rsidRPr="00A410E0">
              <w:rPr>
                <w:sz w:val="16"/>
                <w:szCs w:val="16"/>
              </w:rPr>
              <w:t>16</w:t>
            </w:r>
          </w:p>
        </w:tc>
        <w:tc>
          <w:tcPr>
            <w:tcW w:w="1260" w:type="dxa"/>
            <w:noWrap/>
            <w:hideMark/>
          </w:tcPr>
          <w:p w:rsidR="00484241" w:rsidRPr="00A410E0" w:rsidRDefault="00484241" w:rsidP="00203CC7">
            <w:pPr>
              <w:rPr>
                <w:sz w:val="16"/>
                <w:szCs w:val="16"/>
              </w:rPr>
            </w:pPr>
            <w:r w:rsidRPr="00A410E0">
              <w:rPr>
                <w:sz w:val="16"/>
                <w:szCs w:val="16"/>
              </w:rPr>
              <w:t>65</w:t>
            </w:r>
          </w:p>
        </w:tc>
        <w:tc>
          <w:tcPr>
            <w:tcW w:w="1260" w:type="dxa"/>
          </w:tcPr>
          <w:p w:rsidR="00484241" w:rsidRPr="00A410E0" w:rsidRDefault="00484241" w:rsidP="00203CC7">
            <w:pPr>
              <w:rPr>
                <w:sz w:val="16"/>
                <w:szCs w:val="16"/>
              </w:rPr>
            </w:pPr>
            <w:r w:rsidRPr="00A410E0">
              <w:rPr>
                <w:sz w:val="16"/>
                <w:szCs w:val="16"/>
              </w:rPr>
              <w:t>24.6%</w:t>
            </w:r>
          </w:p>
        </w:tc>
        <w:tc>
          <w:tcPr>
            <w:tcW w:w="1260" w:type="dxa"/>
            <w:noWrap/>
            <w:hideMark/>
          </w:tcPr>
          <w:p w:rsidR="00484241" w:rsidRPr="00A410E0" w:rsidRDefault="00484241" w:rsidP="00203CC7">
            <w:pPr>
              <w:rPr>
                <w:sz w:val="16"/>
                <w:szCs w:val="16"/>
              </w:rPr>
            </w:pPr>
            <w:r w:rsidRPr="00A410E0">
              <w:rPr>
                <w:sz w:val="16"/>
                <w:szCs w:val="16"/>
              </w:rPr>
              <w:t>0.3%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TH</w:t>
            </w:r>
          </w:p>
        </w:tc>
        <w:tc>
          <w:tcPr>
            <w:tcW w:w="2700" w:type="dxa"/>
          </w:tcPr>
          <w:p w:rsidR="00484241" w:rsidRPr="00A410E0" w:rsidRDefault="00484241" w:rsidP="00203CC7">
            <w:pPr>
              <w:rPr>
                <w:sz w:val="16"/>
                <w:szCs w:val="16"/>
              </w:rPr>
            </w:pPr>
            <w:r w:rsidRPr="00A410E0">
              <w:rPr>
                <w:sz w:val="16"/>
                <w:szCs w:val="16"/>
              </w:rPr>
              <w:t>Thailand</w:t>
            </w:r>
          </w:p>
        </w:tc>
        <w:tc>
          <w:tcPr>
            <w:tcW w:w="1260" w:type="dxa"/>
            <w:noWrap/>
            <w:hideMark/>
          </w:tcPr>
          <w:p w:rsidR="00484241" w:rsidRPr="00A410E0" w:rsidRDefault="00484241" w:rsidP="00203CC7">
            <w:pPr>
              <w:rPr>
                <w:sz w:val="16"/>
                <w:szCs w:val="16"/>
              </w:rPr>
            </w:pPr>
            <w:r w:rsidRPr="00A410E0">
              <w:rPr>
                <w:sz w:val="16"/>
                <w:szCs w:val="16"/>
              </w:rPr>
              <w:t>16</w:t>
            </w:r>
          </w:p>
        </w:tc>
        <w:tc>
          <w:tcPr>
            <w:tcW w:w="1260" w:type="dxa"/>
            <w:noWrap/>
            <w:hideMark/>
          </w:tcPr>
          <w:p w:rsidR="00484241" w:rsidRPr="00A410E0" w:rsidRDefault="00484241" w:rsidP="00203CC7">
            <w:pPr>
              <w:rPr>
                <w:sz w:val="16"/>
                <w:szCs w:val="16"/>
              </w:rPr>
            </w:pPr>
            <w:r w:rsidRPr="00A410E0">
              <w:rPr>
                <w:sz w:val="16"/>
                <w:szCs w:val="16"/>
              </w:rPr>
              <w:t>68</w:t>
            </w:r>
          </w:p>
        </w:tc>
        <w:tc>
          <w:tcPr>
            <w:tcW w:w="1260" w:type="dxa"/>
          </w:tcPr>
          <w:p w:rsidR="00484241" w:rsidRPr="00A410E0" w:rsidRDefault="00484241" w:rsidP="00203CC7">
            <w:pPr>
              <w:rPr>
                <w:sz w:val="16"/>
                <w:szCs w:val="16"/>
              </w:rPr>
            </w:pPr>
            <w:r w:rsidRPr="00A410E0">
              <w:rPr>
                <w:sz w:val="16"/>
                <w:szCs w:val="16"/>
              </w:rPr>
              <w:t>23.5%</w:t>
            </w:r>
          </w:p>
        </w:tc>
        <w:tc>
          <w:tcPr>
            <w:tcW w:w="1260" w:type="dxa"/>
            <w:noWrap/>
            <w:hideMark/>
          </w:tcPr>
          <w:p w:rsidR="00484241" w:rsidRPr="00A410E0" w:rsidRDefault="00484241" w:rsidP="00203CC7">
            <w:pPr>
              <w:rPr>
                <w:sz w:val="16"/>
                <w:szCs w:val="16"/>
              </w:rPr>
            </w:pPr>
            <w:r w:rsidRPr="00A410E0">
              <w:rPr>
                <w:sz w:val="16"/>
                <w:szCs w:val="16"/>
              </w:rPr>
              <w:t>0.3%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KZ</w:t>
            </w:r>
          </w:p>
        </w:tc>
        <w:tc>
          <w:tcPr>
            <w:tcW w:w="2700" w:type="dxa"/>
          </w:tcPr>
          <w:p w:rsidR="00484241" w:rsidRPr="00A410E0" w:rsidRDefault="00484241" w:rsidP="00203CC7">
            <w:pPr>
              <w:rPr>
                <w:sz w:val="16"/>
                <w:szCs w:val="16"/>
              </w:rPr>
            </w:pPr>
            <w:r w:rsidRPr="00A410E0">
              <w:rPr>
                <w:sz w:val="16"/>
                <w:szCs w:val="16"/>
              </w:rPr>
              <w:t>Kazakhstan</w:t>
            </w:r>
          </w:p>
        </w:tc>
        <w:tc>
          <w:tcPr>
            <w:tcW w:w="1260" w:type="dxa"/>
            <w:noWrap/>
            <w:hideMark/>
          </w:tcPr>
          <w:p w:rsidR="00484241" w:rsidRPr="00A410E0" w:rsidRDefault="00484241" w:rsidP="00203CC7">
            <w:pPr>
              <w:rPr>
                <w:sz w:val="16"/>
                <w:szCs w:val="16"/>
              </w:rPr>
            </w:pPr>
            <w:r w:rsidRPr="00A410E0">
              <w:rPr>
                <w:sz w:val="16"/>
                <w:szCs w:val="16"/>
              </w:rPr>
              <w:t>15</w:t>
            </w:r>
          </w:p>
        </w:tc>
        <w:tc>
          <w:tcPr>
            <w:tcW w:w="1260" w:type="dxa"/>
            <w:noWrap/>
            <w:hideMark/>
          </w:tcPr>
          <w:p w:rsidR="00484241" w:rsidRPr="00A410E0" w:rsidRDefault="00484241" w:rsidP="00203CC7">
            <w:pPr>
              <w:rPr>
                <w:sz w:val="16"/>
                <w:szCs w:val="16"/>
              </w:rPr>
            </w:pPr>
            <w:r w:rsidRPr="00A410E0">
              <w:rPr>
                <w:sz w:val="16"/>
                <w:szCs w:val="16"/>
              </w:rPr>
              <w:t>21</w:t>
            </w:r>
          </w:p>
        </w:tc>
        <w:tc>
          <w:tcPr>
            <w:tcW w:w="1260" w:type="dxa"/>
          </w:tcPr>
          <w:p w:rsidR="00484241" w:rsidRPr="00A410E0" w:rsidRDefault="00484241" w:rsidP="00203CC7">
            <w:pPr>
              <w:rPr>
                <w:sz w:val="16"/>
                <w:szCs w:val="16"/>
              </w:rPr>
            </w:pPr>
            <w:r w:rsidRPr="00A410E0">
              <w:rPr>
                <w:sz w:val="16"/>
                <w:szCs w:val="16"/>
              </w:rPr>
              <w:t>71.4%</w:t>
            </w:r>
          </w:p>
        </w:tc>
        <w:tc>
          <w:tcPr>
            <w:tcW w:w="1260" w:type="dxa"/>
            <w:noWrap/>
            <w:hideMark/>
          </w:tcPr>
          <w:p w:rsidR="00484241" w:rsidRPr="00A410E0" w:rsidRDefault="00484241" w:rsidP="00203CC7">
            <w:pPr>
              <w:rPr>
                <w:sz w:val="16"/>
                <w:szCs w:val="16"/>
              </w:rPr>
            </w:pPr>
            <w:r w:rsidRPr="00A410E0">
              <w:rPr>
                <w:sz w:val="16"/>
                <w:szCs w:val="16"/>
              </w:rPr>
              <w:t>0.3%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MA</w:t>
            </w:r>
          </w:p>
        </w:tc>
        <w:tc>
          <w:tcPr>
            <w:tcW w:w="2700" w:type="dxa"/>
          </w:tcPr>
          <w:p w:rsidR="00484241" w:rsidRPr="00A410E0" w:rsidRDefault="00484241" w:rsidP="00203CC7">
            <w:pPr>
              <w:rPr>
                <w:sz w:val="16"/>
                <w:szCs w:val="16"/>
              </w:rPr>
            </w:pPr>
            <w:r w:rsidRPr="00A410E0">
              <w:rPr>
                <w:sz w:val="16"/>
                <w:szCs w:val="16"/>
              </w:rPr>
              <w:t>Morocco</w:t>
            </w:r>
          </w:p>
        </w:tc>
        <w:tc>
          <w:tcPr>
            <w:tcW w:w="1260" w:type="dxa"/>
            <w:noWrap/>
            <w:hideMark/>
          </w:tcPr>
          <w:p w:rsidR="00484241" w:rsidRPr="00A410E0" w:rsidRDefault="00484241" w:rsidP="00203CC7">
            <w:pPr>
              <w:rPr>
                <w:sz w:val="16"/>
                <w:szCs w:val="16"/>
              </w:rPr>
            </w:pPr>
            <w:r w:rsidRPr="00A410E0">
              <w:rPr>
                <w:sz w:val="16"/>
                <w:szCs w:val="16"/>
              </w:rPr>
              <w:t>14</w:t>
            </w:r>
          </w:p>
        </w:tc>
        <w:tc>
          <w:tcPr>
            <w:tcW w:w="1260" w:type="dxa"/>
            <w:noWrap/>
            <w:hideMark/>
          </w:tcPr>
          <w:p w:rsidR="00484241" w:rsidRPr="00A410E0" w:rsidRDefault="00484241" w:rsidP="00203CC7">
            <w:pPr>
              <w:rPr>
                <w:sz w:val="16"/>
                <w:szCs w:val="16"/>
              </w:rPr>
            </w:pPr>
            <w:r w:rsidRPr="00A410E0">
              <w:rPr>
                <w:sz w:val="16"/>
                <w:szCs w:val="16"/>
              </w:rPr>
              <w:t>60</w:t>
            </w:r>
          </w:p>
        </w:tc>
        <w:tc>
          <w:tcPr>
            <w:tcW w:w="1260" w:type="dxa"/>
          </w:tcPr>
          <w:p w:rsidR="00484241" w:rsidRPr="00A410E0" w:rsidRDefault="00484241" w:rsidP="00203CC7">
            <w:pPr>
              <w:rPr>
                <w:sz w:val="16"/>
                <w:szCs w:val="16"/>
              </w:rPr>
            </w:pPr>
            <w:r w:rsidRPr="00A410E0">
              <w:rPr>
                <w:sz w:val="16"/>
                <w:szCs w:val="16"/>
              </w:rPr>
              <w:t>23.3%</w:t>
            </w:r>
          </w:p>
        </w:tc>
        <w:tc>
          <w:tcPr>
            <w:tcW w:w="1260" w:type="dxa"/>
            <w:noWrap/>
            <w:hideMark/>
          </w:tcPr>
          <w:p w:rsidR="00484241" w:rsidRPr="00A410E0" w:rsidRDefault="00484241" w:rsidP="00203CC7">
            <w:pPr>
              <w:rPr>
                <w:sz w:val="16"/>
                <w:szCs w:val="16"/>
              </w:rPr>
            </w:pPr>
            <w:r w:rsidRPr="00A410E0">
              <w:rPr>
                <w:sz w:val="16"/>
                <w:szCs w:val="16"/>
              </w:rPr>
              <w:t>0.3%</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BY</w:t>
            </w:r>
          </w:p>
        </w:tc>
        <w:tc>
          <w:tcPr>
            <w:tcW w:w="2700" w:type="dxa"/>
          </w:tcPr>
          <w:p w:rsidR="00484241" w:rsidRPr="00A410E0" w:rsidRDefault="00484241" w:rsidP="00203CC7">
            <w:pPr>
              <w:rPr>
                <w:sz w:val="16"/>
                <w:szCs w:val="16"/>
              </w:rPr>
            </w:pPr>
            <w:r w:rsidRPr="00A410E0">
              <w:rPr>
                <w:sz w:val="16"/>
                <w:szCs w:val="16"/>
              </w:rPr>
              <w:t>Belarus</w:t>
            </w:r>
          </w:p>
        </w:tc>
        <w:tc>
          <w:tcPr>
            <w:tcW w:w="1260" w:type="dxa"/>
            <w:noWrap/>
            <w:hideMark/>
          </w:tcPr>
          <w:p w:rsidR="00484241" w:rsidRPr="00A410E0" w:rsidRDefault="00484241" w:rsidP="00203CC7">
            <w:pPr>
              <w:rPr>
                <w:sz w:val="16"/>
                <w:szCs w:val="16"/>
              </w:rPr>
            </w:pPr>
            <w:r w:rsidRPr="00A410E0">
              <w:rPr>
                <w:sz w:val="16"/>
                <w:szCs w:val="16"/>
              </w:rPr>
              <w:t>13</w:t>
            </w:r>
          </w:p>
        </w:tc>
        <w:tc>
          <w:tcPr>
            <w:tcW w:w="1260" w:type="dxa"/>
            <w:noWrap/>
            <w:hideMark/>
          </w:tcPr>
          <w:p w:rsidR="00484241" w:rsidRPr="00A410E0" w:rsidRDefault="00484241" w:rsidP="00203CC7">
            <w:pPr>
              <w:rPr>
                <w:sz w:val="16"/>
                <w:szCs w:val="16"/>
              </w:rPr>
            </w:pPr>
            <w:r w:rsidRPr="00A410E0">
              <w:rPr>
                <w:sz w:val="16"/>
                <w:szCs w:val="16"/>
              </w:rPr>
              <w:t>13</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0.2%</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LV</w:t>
            </w:r>
          </w:p>
        </w:tc>
        <w:tc>
          <w:tcPr>
            <w:tcW w:w="2700" w:type="dxa"/>
          </w:tcPr>
          <w:p w:rsidR="00484241" w:rsidRPr="00A410E0" w:rsidRDefault="00484241" w:rsidP="00203CC7">
            <w:pPr>
              <w:rPr>
                <w:sz w:val="16"/>
                <w:szCs w:val="16"/>
              </w:rPr>
            </w:pPr>
            <w:r w:rsidRPr="00A410E0">
              <w:rPr>
                <w:sz w:val="16"/>
                <w:szCs w:val="16"/>
              </w:rPr>
              <w:t>Latvia</w:t>
            </w:r>
          </w:p>
        </w:tc>
        <w:tc>
          <w:tcPr>
            <w:tcW w:w="1260" w:type="dxa"/>
            <w:noWrap/>
            <w:hideMark/>
          </w:tcPr>
          <w:p w:rsidR="00484241" w:rsidRPr="00A410E0" w:rsidRDefault="00484241" w:rsidP="00203CC7">
            <w:pPr>
              <w:rPr>
                <w:sz w:val="16"/>
                <w:szCs w:val="16"/>
              </w:rPr>
            </w:pPr>
            <w:r w:rsidRPr="00A410E0">
              <w:rPr>
                <w:sz w:val="16"/>
                <w:szCs w:val="16"/>
              </w:rPr>
              <w:t>13</w:t>
            </w:r>
          </w:p>
        </w:tc>
        <w:tc>
          <w:tcPr>
            <w:tcW w:w="1260" w:type="dxa"/>
            <w:noWrap/>
            <w:hideMark/>
          </w:tcPr>
          <w:p w:rsidR="00484241" w:rsidRPr="00A410E0" w:rsidRDefault="00484241" w:rsidP="00203CC7">
            <w:pPr>
              <w:rPr>
                <w:sz w:val="16"/>
                <w:szCs w:val="16"/>
              </w:rPr>
            </w:pPr>
            <w:r w:rsidRPr="00A410E0">
              <w:rPr>
                <w:sz w:val="16"/>
                <w:szCs w:val="16"/>
              </w:rPr>
              <w:t>29</w:t>
            </w:r>
          </w:p>
        </w:tc>
        <w:tc>
          <w:tcPr>
            <w:tcW w:w="1260" w:type="dxa"/>
          </w:tcPr>
          <w:p w:rsidR="00484241" w:rsidRPr="00A410E0" w:rsidRDefault="00484241" w:rsidP="00203CC7">
            <w:pPr>
              <w:rPr>
                <w:sz w:val="16"/>
                <w:szCs w:val="16"/>
              </w:rPr>
            </w:pPr>
            <w:r w:rsidRPr="00A410E0">
              <w:rPr>
                <w:sz w:val="16"/>
                <w:szCs w:val="16"/>
              </w:rPr>
              <w:t>44.8%</w:t>
            </w:r>
          </w:p>
        </w:tc>
        <w:tc>
          <w:tcPr>
            <w:tcW w:w="1260" w:type="dxa"/>
            <w:noWrap/>
            <w:hideMark/>
          </w:tcPr>
          <w:p w:rsidR="00484241" w:rsidRPr="00A410E0" w:rsidRDefault="00484241" w:rsidP="00203CC7">
            <w:pPr>
              <w:rPr>
                <w:sz w:val="16"/>
                <w:szCs w:val="16"/>
              </w:rPr>
            </w:pPr>
            <w:r w:rsidRPr="00A410E0">
              <w:rPr>
                <w:sz w:val="16"/>
                <w:szCs w:val="16"/>
              </w:rPr>
              <w:t>0.2%</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PE</w:t>
            </w:r>
          </w:p>
        </w:tc>
        <w:tc>
          <w:tcPr>
            <w:tcW w:w="2700" w:type="dxa"/>
          </w:tcPr>
          <w:p w:rsidR="00484241" w:rsidRPr="00A410E0" w:rsidRDefault="00484241" w:rsidP="00203CC7">
            <w:pPr>
              <w:rPr>
                <w:sz w:val="16"/>
                <w:szCs w:val="16"/>
              </w:rPr>
            </w:pPr>
            <w:r w:rsidRPr="00A410E0">
              <w:rPr>
                <w:sz w:val="16"/>
                <w:szCs w:val="16"/>
              </w:rPr>
              <w:t>Peru</w:t>
            </w:r>
          </w:p>
        </w:tc>
        <w:tc>
          <w:tcPr>
            <w:tcW w:w="1260" w:type="dxa"/>
            <w:noWrap/>
            <w:hideMark/>
          </w:tcPr>
          <w:p w:rsidR="00484241" w:rsidRPr="00A410E0" w:rsidRDefault="00484241" w:rsidP="00203CC7">
            <w:pPr>
              <w:rPr>
                <w:sz w:val="16"/>
                <w:szCs w:val="16"/>
              </w:rPr>
            </w:pPr>
            <w:r w:rsidRPr="00A410E0">
              <w:rPr>
                <w:sz w:val="16"/>
                <w:szCs w:val="16"/>
              </w:rPr>
              <w:t>12</w:t>
            </w:r>
          </w:p>
        </w:tc>
        <w:tc>
          <w:tcPr>
            <w:tcW w:w="1260" w:type="dxa"/>
            <w:noWrap/>
            <w:hideMark/>
          </w:tcPr>
          <w:p w:rsidR="00484241" w:rsidRPr="00A410E0" w:rsidRDefault="00484241" w:rsidP="00203CC7">
            <w:pPr>
              <w:rPr>
                <w:sz w:val="16"/>
                <w:szCs w:val="16"/>
              </w:rPr>
            </w:pPr>
            <w:r w:rsidRPr="00A410E0">
              <w:rPr>
                <w:sz w:val="16"/>
                <w:szCs w:val="16"/>
              </w:rPr>
              <w:t>16</w:t>
            </w:r>
          </w:p>
        </w:tc>
        <w:tc>
          <w:tcPr>
            <w:tcW w:w="1260" w:type="dxa"/>
          </w:tcPr>
          <w:p w:rsidR="00484241" w:rsidRPr="00A410E0" w:rsidRDefault="00484241" w:rsidP="00203CC7">
            <w:pPr>
              <w:rPr>
                <w:sz w:val="16"/>
                <w:szCs w:val="16"/>
              </w:rPr>
            </w:pPr>
            <w:r w:rsidRPr="00A410E0">
              <w:rPr>
                <w:sz w:val="16"/>
                <w:szCs w:val="16"/>
              </w:rPr>
              <w:t>75.0%</w:t>
            </w:r>
          </w:p>
        </w:tc>
        <w:tc>
          <w:tcPr>
            <w:tcW w:w="1260" w:type="dxa"/>
            <w:noWrap/>
            <w:hideMark/>
          </w:tcPr>
          <w:p w:rsidR="00484241" w:rsidRPr="00A410E0" w:rsidRDefault="00484241" w:rsidP="00203CC7">
            <w:pPr>
              <w:rPr>
                <w:sz w:val="16"/>
                <w:szCs w:val="16"/>
              </w:rPr>
            </w:pPr>
            <w:r w:rsidRPr="00A410E0">
              <w:rPr>
                <w:sz w:val="16"/>
                <w:szCs w:val="16"/>
              </w:rPr>
              <w:t>0.2%</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RO</w:t>
            </w:r>
          </w:p>
        </w:tc>
        <w:tc>
          <w:tcPr>
            <w:tcW w:w="2700" w:type="dxa"/>
          </w:tcPr>
          <w:p w:rsidR="00484241" w:rsidRPr="00A410E0" w:rsidRDefault="00484241" w:rsidP="00203CC7">
            <w:pPr>
              <w:rPr>
                <w:sz w:val="16"/>
                <w:szCs w:val="16"/>
              </w:rPr>
            </w:pPr>
            <w:r w:rsidRPr="00A410E0">
              <w:rPr>
                <w:sz w:val="16"/>
                <w:szCs w:val="16"/>
              </w:rPr>
              <w:t>Romania</w:t>
            </w:r>
          </w:p>
        </w:tc>
        <w:tc>
          <w:tcPr>
            <w:tcW w:w="1260" w:type="dxa"/>
            <w:noWrap/>
            <w:hideMark/>
          </w:tcPr>
          <w:p w:rsidR="00484241" w:rsidRPr="00A410E0" w:rsidRDefault="00484241" w:rsidP="00203CC7">
            <w:pPr>
              <w:rPr>
                <w:sz w:val="16"/>
                <w:szCs w:val="16"/>
              </w:rPr>
            </w:pPr>
            <w:r w:rsidRPr="00A410E0">
              <w:rPr>
                <w:sz w:val="16"/>
                <w:szCs w:val="16"/>
              </w:rPr>
              <w:t>11</w:t>
            </w:r>
          </w:p>
        </w:tc>
        <w:tc>
          <w:tcPr>
            <w:tcW w:w="1260" w:type="dxa"/>
            <w:noWrap/>
            <w:hideMark/>
          </w:tcPr>
          <w:p w:rsidR="00484241" w:rsidRPr="00A410E0" w:rsidRDefault="00484241" w:rsidP="00203CC7">
            <w:pPr>
              <w:rPr>
                <w:sz w:val="16"/>
                <w:szCs w:val="16"/>
              </w:rPr>
            </w:pPr>
            <w:r w:rsidRPr="00A410E0">
              <w:rPr>
                <w:sz w:val="16"/>
                <w:szCs w:val="16"/>
              </w:rPr>
              <w:t>25</w:t>
            </w:r>
          </w:p>
        </w:tc>
        <w:tc>
          <w:tcPr>
            <w:tcW w:w="1260" w:type="dxa"/>
          </w:tcPr>
          <w:p w:rsidR="00484241" w:rsidRPr="00A410E0" w:rsidRDefault="00484241" w:rsidP="00203CC7">
            <w:pPr>
              <w:rPr>
                <w:sz w:val="16"/>
                <w:szCs w:val="16"/>
              </w:rPr>
            </w:pPr>
            <w:r w:rsidRPr="00A410E0">
              <w:rPr>
                <w:sz w:val="16"/>
                <w:szCs w:val="16"/>
              </w:rPr>
              <w:t>44.0%</w:t>
            </w:r>
          </w:p>
        </w:tc>
        <w:tc>
          <w:tcPr>
            <w:tcW w:w="1260" w:type="dxa"/>
            <w:noWrap/>
            <w:hideMark/>
          </w:tcPr>
          <w:p w:rsidR="00484241" w:rsidRPr="00A410E0" w:rsidRDefault="00484241" w:rsidP="00203CC7">
            <w:pPr>
              <w:rPr>
                <w:sz w:val="16"/>
                <w:szCs w:val="16"/>
              </w:rPr>
            </w:pPr>
            <w:r w:rsidRPr="00A410E0">
              <w:rPr>
                <w:sz w:val="16"/>
                <w:szCs w:val="16"/>
              </w:rPr>
              <w:t>0.2%</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LK</w:t>
            </w:r>
          </w:p>
        </w:tc>
        <w:tc>
          <w:tcPr>
            <w:tcW w:w="2700" w:type="dxa"/>
          </w:tcPr>
          <w:p w:rsidR="00484241" w:rsidRPr="00A410E0" w:rsidRDefault="00484241" w:rsidP="00203CC7">
            <w:pPr>
              <w:rPr>
                <w:sz w:val="16"/>
                <w:szCs w:val="16"/>
              </w:rPr>
            </w:pPr>
            <w:r w:rsidRPr="00A410E0">
              <w:rPr>
                <w:sz w:val="16"/>
                <w:szCs w:val="16"/>
              </w:rPr>
              <w:t>Sri Lanka</w:t>
            </w:r>
          </w:p>
        </w:tc>
        <w:tc>
          <w:tcPr>
            <w:tcW w:w="1260" w:type="dxa"/>
            <w:noWrap/>
            <w:hideMark/>
          </w:tcPr>
          <w:p w:rsidR="00484241" w:rsidRPr="00A410E0" w:rsidRDefault="00484241" w:rsidP="00203CC7">
            <w:pPr>
              <w:rPr>
                <w:sz w:val="16"/>
                <w:szCs w:val="16"/>
              </w:rPr>
            </w:pPr>
            <w:r w:rsidRPr="00A410E0">
              <w:rPr>
                <w:sz w:val="16"/>
                <w:szCs w:val="16"/>
              </w:rPr>
              <w:t>10</w:t>
            </w:r>
          </w:p>
        </w:tc>
        <w:tc>
          <w:tcPr>
            <w:tcW w:w="1260" w:type="dxa"/>
            <w:noWrap/>
            <w:hideMark/>
          </w:tcPr>
          <w:p w:rsidR="00484241" w:rsidRPr="00A410E0" w:rsidRDefault="00484241" w:rsidP="00203CC7">
            <w:pPr>
              <w:rPr>
                <w:sz w:val="16"/>
                <w:szCs w:val="16"/>
              </w:rPr>
            </w:pPr>
            <w:r w:rsidRPr="00A410E0">
              <w:rPr>
                <w:sz w:val="16"/>
                <w:szCs w:val="16"/>
              </w:rPr>
              <w:t>21</w:t>
            </w:r>
          </w:p>
        </w:tc>
        <w:tc>
          <w:tcPr>
            <w:tcW w:w="1260" w:type="dxa"/>
          </w:tcPr>
          <w:p w:rsidR="00484241" w:rsidRPr="00A410E0" w:rsidRDefault="00484241" w:rsidP="00203CC7">
            <w:pPr>
              <w:rPr>
                <w:sz w:val="16"/>
                <w:szCs w:val="16"/>
              </w:rPr>
            </w:pPr>
            <w:r w:rsidRPr="00A410E0">
              <w:rPr>
                <w:sz w:val="16"/>
                <w:szCs w:val="16"/>
              </w:rPr>
              <w:t>47.6%</w:t>
            </w:r>
          </w:p>
        </w:tc>
        <w:tc>
          <w:tcPr>
            <w:tcW w:w="1260" w:type="dxa"/>
            <w:noWrap/>
            <w:hideMark/>
          </w:tcPr>
          <w:p w:rsidR="00484241" w:rsidRPr="00A410E0" w:rsidRDefault="00484241" w:rsidP="00203CC7">
            <w:pPr>
              <w:rPr>
                <w:sz w:val="16"/>
                <w:szCs w:val="16"/>
              </w:rPr>
            </w:pPr>
            <w:r w:rsidRPr="00A410E0">
              <w:rPr>
                <w:sz w:val="16"/>
                <w:szCs w:val="16"/>
              </w:rPr>
              <w:t>0.2%</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DZ</w:t>
            </w:r>
          </w:p>
        </w:tc>
        <w:tc>
          <w:tcPr>
            <w:tcW w:w="2700" w:type="dxa"/>
          </w:tcPr>
          <w:p w:rsidR="00484241" w:rsidRPr="00A410E0" w:rsidRDefault="00484241" w:rsidP="00203CC7">
            <w:pPr>
              <w:rPr>
                <w:sz w:val="16"/>
                <w:szCs w:val="16"/>
              </w:rPr>
            </w:pPr>
            <w:r w:rsidRPr="00A410E0">
              <w:rPr>
                <w:sz w:val="16"/>
                <w:szCs w:val="16"/>
              </w:rPr>
              <w:t>Algeria</w:t>
            </w:r>
          </w:p>
        </w:tc>
        <w:tc>
          <w:tcPr>
            <w:tcW w:w="1260" w:type="dxa"/>
            <w:noWrap/>
            <w:hideMark/>
          </w:tcPr>
          <w:p w:rsidR="00484241" w:rsidRPr="00A410E0" w:rsidRDefault="00484241" w:rsidP="00203CC7">
            <w:pPr>
              <w:rPr>
                <w:sz w:val="16"/>
                <w:szCs w:val="16"/>
              </w:rPr>
            </w:pPr>
            <w:r w:rsidRPr="00A410E0">
              <w:rPr>
                <w:sz w:val="16"/>
                <w:szCs w:val="16"/>
              </w:rPr>
              <w:t>7</w:t>
            </w:r>
          </w:p>
        </w:tc>
        <w:tc>
          <w:tcPr>
            <w:tcW w:w="1260" w:type="dxa"/>
            <w:noWrap/>
            <w:hideMark/>
          </w:tcPr>
          <w:p w:rsidR="00484241" w:rsidRPr="00A410E0" w:rsidRDefault="00484241" w:rsidP="00203CC7">
            <w:pPr>
              <w:rPr>
                <w:sz w:val="16"/>
                <w:szCs w:val="16"/>
              </w:rPr>
            </w:pPr>
            <w:r w:rsidRPr="00A410E0">
              <w:rPr>
                <w:sz w:val="16"/>
                <w:szCs w:val="16"/>
              </w:rPr>
              <w:t>7</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ID</w:t>
            </w:r>
          </w:p>
        </w:tc>
        <w:tc>
          <w:tcPr>
            <w:tcW w:w="2700" w:type="dxa"/>
          </w:tcPr>
          <w:p w:rsidR="00484241" w:rsidRPr="00A410E0" w:rsidRDefault="00484241" w:rsidP="00203CC7">
            <w:pPr>
              <w:rPr>
                <w:sz w:val="16"/>
                <w:szCs w:val="16"/>
              </w:rPr>
            </w:pPr>
            <w:r w:rsidRPr="00A410E0">
              <w:rPr>
                <w:sz w:val="16"/>
                <w:szCs w:val="16"/>
              </w:rPr>
              <w:t>Indonesia</w:t>
            </w:r>
          </w:p>
        </w:tc>
        <w:tc>
          <w:tcPr>
            <w:tcW w:w="1260" w:type="dxa"/>
            <w:noWrap/>
            <w:hideMark/>
          </w:tcPr>
          <w:p w:rsidR="00484241" w:rsidRPr="00A410E0" w:rsidRDefault="00484241" w:rsidP="00203CC7">
            <w:pPr>
              <w:rPr>
                <w:sz w:val="16"/>
                <w:szCs w:val="16"/>
              </w:rPr>
            </w:pPr>
            <w:r w:rsidRPr="00A410E0">
              <w:rPr>
                <w:sz w:val="16"/>
                <w:szCs w:val="16"/>
              </w:rPr>
              <w:t>7</w:t>
            </w:r>
          </w:p>
        </w:tc>
        <w:tc>
          <w:tcPr>
            <w:tcW w:w="1260" w:type="dxa"/>
            <w:noWrap/>
            <w:hideMark/>
          </w:tcPr>
          <w:p w:rsidR="00484241" w:rsidRPr="00A410E0" w:rsidRDefault="00484241" w:rsidP="00203CC7">
            <w:pPr>
              <w:rPr>
                <w:sz w:val="16"/>
                <w:szCs w:val="16"/>
              </w:rPr>
            </w:pPr>
            <w:r w:rsidRPr="00A410E0">
              <w:rPr>
                <w:sz w:val="16"/>
                <w:szCs w:val="16"/>
              </w:rPr>
              <w:t>17</w:t>
            </w:r>
          </w:p>
        </w:tc>
        <w:tc>
          <w:tcPr>
            <w:tcW w:w="1260" w:type="dxa"/>
          </w:tcPr>
          <w:p w:rsidR="00484241" w:rsidRPr="00A410E0" w:rsidRDefault="00484241" w:rsidP="00203CC7">
            <w:pPr>
              <w:rPr>
                <w:sz w:val="16"/>
                <w:szCs w:val="16"/>
              </w:rPr>
            </w:pPr>
            <w:r w:rsidRPr="00A410E0">
              <w:rPr>
                <w:sz w:val="16"/>
                <w:szCs w:val="16"/>
              </w:rPr>
              <w:t>41.2%</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KE</w:t>
            </w:r>
          </w:p>
        </w:tc>
        <w:tc>
          <w:tcPr>
            <w:tcW w:w="2700" w:type="dxa"/>
          </w:tcPr>
          <w:p w:rsidR="00484241" w:rsidRPr="00A410E0" w:rsidRDefault="00484241" w:rsidP="00203CC7">
            <w:pPr>
              <w:rPr>
                <w:sz w:val="16"/>
                <w:szCs w:val="16"/>
              </w:rPr>
            </w:pPr>
            <w:r w:rsidRPr="00A410E0">
              <w:rPr>
                <w:sz w:val="16"/>
                <w:szCs w:val="16"/>
              </w:rPr>
              <w:t>Kenya</w:t>
            </w:r>
          </w:p>
        </w:tc>
        <w:tc>
          <w:tcPr>
            <w:tcW w:w="1260" w:type="dxa"/>
            <w:noWrap/>
            <w:hideMark/>
          </w:tcPr>
          <w:p w:rsidR="00484241" w:rsidRPr="00A410E0" w:rsidRDefault="00484241" w:rsidP="00203CC7">
            <w:pPr>
              <w:rPr>
                <w:sz w:val="16"/>
                <w:szCs w:val="16"/>
              </w:rPr>
            </w:pPr>
            <w:r w:rsidRPr="00A410E0">
              <w:rPr>
                <w:sz w:val="16"/>
                <w:szCs w:val="16"/>
              </w:rPr>
              <w:t>7</w:t>
            </w:r>
          </w:p>
        </w:tc>
        <w:tc>
          <w:tcPr>
            <w:tcW w:w="1260" w:type="dxa"/>
            <w:noWrap/>
            <w:hideMark/>
          </w:tcPr>
          <w:p w:rsidR="00484241" w:rsidRPr="00A410E0" w:rsidRDefault="00484241" w:rsidP="00203CC7">
            <w:pPr>
              <w:rPr>
                <w:sz w:val="16"/>
                <w:szCs w:val="16"/>
              </w:rPr>
            </w:pPr>
            <w:r w:rsidRPr="00A410E0">
              <w:rPr>
                <w:sz w:val="16"/>
                <w:szCs w:val="16"/>
              </w:rPr>
              <w:t>9</w:t>
            </w:r>
          </w:p>
        </w:tc>
        <w:tc>
          <w:tcPr>
            <w:tcW w:w="1260" w:type="dxa"/>
          </w:tcPr>
          <w:p w:rsidR="00484241" w:rsidRPr="00A410E0" w:rsidRDefault="00484241" w:rsidP="00203CC7">
            <w:pPr>
              <w:rPr>
                <w:sz w:val="16"/>
                <w:szCs w:val="16"/>
              </w:rPr>
            </w:pPr>
            <w:r w:rsidRPr="00A410E0">
              <w:rPr>
                <w:sz w:val="16"/>
                <w:szCs w:val="16"/>
              </w:rPr>
              <w:t>77.8%</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RS</w:t>
            </w:r>
          </w:p>
        </w:tc>
        <w:tc>
          <w:tcPr>
            <w:tcW w:w="2700" w:type="dxa"/>
          </w:tcPr>
          <w:p w:rsidR="00484241" w:rsidRPr="00A410E0" w:rsidRDefault="00484241" w:rsidP="00203CC7">
            <w:pPr>
              <w:rPr>
                <w:sz w:val="16"/>
                <w:szCs w:val="16"/>
              </w:rPr>
            </w:pPr>
            <w:r w:rsidRPr="00A410E0">
              <w:rPr>
                <w:sz w:val="16"/>
                <w:szCs w:val="16"/>
              </w:rPr>
              <w:t>Serbia</w:t>
            </w:r>
          </w:p>
        </w:tc>
        <w:tc>
          <w:tcPr>
            <w:tcW w:w="1260" w:type="dxa"/>
            <w:noWrap/>
            <w:hideMark/>
          </w:tcPr>
          <w:p w:rsidR="00484241" w:rsidRPr="00A410E0" w:rsidRDefault="00484241" w:rsidP="00203CC7">
            <w:pPr>
              <w:rPr>
                <w:sz w:val="16"/>
                <w:szCs w:val="16"/>
              </w:rPr>
            </w:pPr>
            <w:r w:rsidRPr="00A410E0">
              <w:rPr>
                <w:sz w:val="16"/>
                <w:szCs w:val="16"/>
              </w:rPr>
              <w:t>6</w:t>
            </w:r>
          </w:p>
        </w:tc>
        <w:tc>
          <w:tcPr>
            <w:tcW w:w="1260" w:type="dxa"/>
            <w:noWrap/>
            <w:hideMark/>
          </w:tcPr>
          <w:p w:rsidR="00484241" w:rsidRPr="00A410E0" w:rsidRDefault="00484241" w:rsidP="00203CC7">
            <w:pPr>
              <w:rPr>
                <w:sz w:val="16"/>
                <w:szCs w:val="16"/>
              </w:rPr>
            </w:pPr>
            <w:r w:rsidRPr="00A410E0">
              <w:rPr>
                <w:sz w:val="16"/>
                <w:szCs w:val="16"/>
              </w:rPr>
              <w:t>14</w:t>
            </w:r>
          </w:p>
        </w:tc>
        <w:tc>
          <w:tcPr>
            <w:tcW w:w="1260" w:type="dxa"/>
          </w:tcPr>
          <w:p w:rsidR="00484241" w:rsidRPr="00A410E0" w:rsidRDefault="00484241" w:rsidP="00203CC7">
            <w:pPr>
              <w:rPr>
                <w:sz w:val="16"/>
                <w:szCs w:val="16"/>
              </w:rPr>
            </w:pPr>
            <w:r w:rsidRPr="00A410E0">
              <w:rPr>
                <w:sz w:val="16"/>
                <w:szCs w:val="16"/>
              </w:rPr>
              <w:t>42.9%</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BA</w:t>
            </w:r>
          </w:p>
        </w:tc>
        <w:tc>
          <w:tcPr>
            <w:tcW w:w="2700" w:type="dxa"/>
          </w:tcPr>
          <w:p w:rsidR="00484241" w:rsidRPr="00A410E0" w:rsidRDefault="00484241" w:rsidP="00203CC7">
            <w:pPr>
              <w:rPr>
                <w:sz w:val="16"/>
                <w:szCs w:val="16"/>
              </w:rPr>
            </w:pPr>
            <w:r w:rsidRPr="00A410E0">
              <w:rPr>
                <w:sz w:val="16"/>
                <w:szCs w:val="16"/>
              </w:rPr>
              <w:t>Bosnia and Herzegovina</w:t>
            </w:r>
          </w:p>
        </w:tc>
        <w:tc>
          <w:tcPr>
            <w:tcW w:w="1260" w:type="dxa"/>
            <w:noWrap/>
            <w:hideMark/>
          </w:tcPr>
          <w:p w:rsidR="00484241" w:rsidRPr="00A410E0" w:rsidRDefault="00484241" w:rsidP="00203CC7">
            <w:pPr>
              <w:rPr>
                <w:sz w:val="16"/>
                <w:szCs w:val="16"/>
              </w:rPr>
            </w:pPr>
            <w:r w:rsidRPr="00A410E0">
              <w:rPr>
                <w:sz w:val="16"/>
                <w:szCs w:val="16"/>
              </w:rPr>
              <w:t>5</w:t>
            </w:r>
          </w:p>
        </w:tc>
        <w:tc>
          <w:tcPr>
            <w:tcW w:w="1260" w:type="dxa"/>
            <w:noWrap/>
            <w:hideMark/>
          </w:tcPr>
          <w:p w:rsidR="00484241" w:rsidRPr="00A410E0" w:rsidRDefault="00484241" w:rsidP="00203CC7">
            <w:pPr>
              <w:rPr>
                <w:sz w:val="16"/>
                <w:szCs w:val="16"/>
              </w:rPr>
            </w:pPr>
            <w:r w:rsidRPr="00A410E0">
              <w:rPr>
                <w:sz w:val="16"/>
                <w:szCs w:val="16"/>
              </w:rPr>
              <w:t>5</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TN</w:t>
            </w:r>
          </w:p>
        </w:tc>
        <w:tc>
          <w:tcPr>
            <w:tcW w:w="2700" w:type="dxa"/>
          </w:tcPr>
          <w:p w:rsidR="00484241" w:rsidRPr="00A410E0" w:rsidRDefault="00484241" w:rsidP="00203CC7">
            <w:pPr>
              <w:rPr>
                <w:sz w:val="16"/>
                <w:szCs w:val="16"/>
              </w:rPr>
            </w:pPr>
            <w:r w:rsidRPr="00A410E0">
              <w:rPr>
                <w:sz w:val="16"/>
                <w:szCs w:val="16"/>
              </w:rPr>
              <w:t>Tunisia</w:t>
            </w:r>
          </w:p>
        </w:tc>
        <w:tc>
          <w:tcPr>
            <w:tcW w:w="1260" w:type="dxa"/>
            <w:noWrap/>
            <w:hideMark/>
          </w:tcPr>
          <w:p w:rsidR="00484241" w:rsidRPr="00A410E0" w:rsidRDefault="00484241" w:rsidP="00203CC7">
            <w:pPr>
              <w:rPr>
                <w:sz w:val="16"/>
                <w:szCs w:val="16"/>
              </w:rPr>
            </w:pPr>
            <w:r w:rsidRPr="00A410E0">
              <w:rPr>
                <w:sz w:val="16"/>
                <w:szCs w:val="16"/>
              </w:rPr>
              <w:t>5</w:t>
            </w:r>
          </w:p>
        </w:tc>
        <w:tc>
          <w:tcPr>
            <w:tcW w:w="1260" w:type="dxa"/>
            <w:noWrap/>
            <w:hideMark/>
          </w:tcPr>
          <w:p w:rsidR="00484241" w:rsidRPr="00A410E0" w:rsidRDefault="00484241" w:rsidP="00203CC7">
            <w:pPr>
              <w:rPr>
                <w:sz w:val="16"/>
                <w:szCs w:val="16"/>
              </w:rPr>
            </w:pPr>
            <w:r w:rsidRPr="00A410E0">
              <w:rPr>
                <w:sz w:val="16"/>
                <w:szCs w:val="16"/>
              </w:rPr>
              <w:t>8</w:t>
            </w:r>
          </w:p>
        </w:tc>
        <w:tc>
          <w:tcPr>
            <w:tcW w:w="1260" w:type="dxa"/>
          </w:tcPr>
          <w:p w:rsidR="00484241" w:rsidRPr="00A410E0" w:rsidRDefault="00484241" w:rsidP="00203CC7">
            <w:pPr>
              <w:rPr>
                <w:sz w:val="16"/>
                <w:szCs w:val="16"/>
              </w:rPr>
            </w:pPr>
            <w:r w:rsidRPr="00A410E0">
              <w:rPr>
                <w:sz w:val="16"/>
                <w:szCs w:val="16"/>
              </w:rPr>
              <w:t>62.5%</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AM</w:t>
            </w:r>
          </w:p>
        </w:tc>
        <w:tc>
          <w:tcPr>
            <w:tcW w:w="2700" w:type="dxa"/>
          </w:tcPr>
          <w:p w:rsidR="00484241" w:rsidRPr="00A410E0" w:rsidRDefault="00484241" w:rsidP="00203CC7">
            <w:pPr>
              <w:rPr>
                <w:sz w:val="16"/>
                <w:szCs w:val="16"/>
              </w:rPr>
            </w:pPr>
            <w:r w:rsidRPr="00A410E0">
              <w:rPr>
                <w:sz w:val="16"/>
                <w:szCs w:val="16"/>
              </w:rPr>
              <w:t>Armenia</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UZ</w:t>
            </w:r>
          </w:p>
        </w:tc>
        <w:tc>
          <w:tcPr>
            <w:tcW w:w="2700" w:type="dxa"/>
          </w:tcPr>
          <w:p w:rsidR="00484241" w:rsidRPr="00A410E0" w:rsidRDefault="00484241" w:rsidP="00203CC7">
            <w:pPr>
              <w:rPr>
                <w:sz w:val="16"/>
                <w:szCs w:val="16"/>
              </w:rPr>
            </w:pPr>
            <w:r w:rsidRPr="00A410E0">
              <w:rPr>
                <w:sz w:val="16"/>
                <w:szCs w:val="16"/>
              </w:rPr>
              <w:t>Uzbekistan</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noWrap/>
            <w:hideMark/>
          </w:tcPr>
          <w:p w:rsidR="00484241" w:rsidRPr="00A410E0" w:rsidRDefault="00484241" w:rsidP="00203CC7">
            <w:pPr>
              <w:rPr>
                <w:sz w:val="16"/>
                <w:szCs w:val="16"/>
              </w:rPr>
            </w:pPr>
            <w:r w:rsidRPr="00A410E0">
              <w:rPr>
                <w:sz w:val="16"/>
                <w:szCs w:val="16"/>
              </w:rPr>
              <w:t>6</w:t>
            </w:r>
          </w:p>
        </w:tc>
        <w:tc>
          <w:tcPr>
            <w:tcW w:w="1260" w:type="dxa"/>
          </w:tcPr>
          <w:p w:rsidR="00484241" w:rsidRPr="00A410E0" w:rsidRDefault="00484241" w:rsidP="00203CC7">
            <w:pPr>
              <w:rPr>
                <w:sz w:val="16"/>
                <w:szCs w:val="16"/>
              </w:rPr>
            </w:pPr>
            <w:r w:rsidRPr="00A410E0">
              <w:rPr>
                <w:sz w:val="16"/>
                <w:szCs w:val="16"/>
              </w:rPr>
              <w:t>66.7%</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VN</w:t>
            </w:r>
          </w:p>
        </w:tc>
        <w:tc>
          <w:tcPr>
            <w:tcW w:w="2700" w:type="dxa"/>
          </w:tcPr>
          <w:p w:rsidR="00484241" w:rsidRPr="00A410E0" w:rsidRDefault="00484241" w:rsidP="00203CC7">
            <w:pPr>
              <w:rPr>
                <w:sz w:val="16"/>
                <w:szCs w:val="16"/>
              </w:rPr>
            </w:pPr>
            <w:r w:rsidRPr="00A410E0">
              <w:rPr>
                <w:sz w:val="16"/>
                <w:szCs w:val="16"/>
              </w:rPr>
              <w:t>Viet Nam</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noWrap/>
            <w:hideMark/>
          </w:tcPr>
          <w:p w:rsidR="00484241" w:rsidRPr="00A410E0" w:rsidRDefault="00484241" w:rsidP="00203CC7">
            <w:pPr>
              <w:rPr>
                <w:sz w:val="16"/>
                <w:szCs w:val="16"/>
              </w:rPr>
            </w:pPr>
            <w:r w:rsidRPr="00A410E0">
              <w:rPr>
                <w:sz w:val="16"/>
                <w:szCs w:val="16"/>
              </w:rPr>
              <w:t>7</w:t>
            </w:r>
          </w:p>
        </w:tc>
        <w:tc>
          <w:tcPr>
            <w:tcW w:w="1260" w:type="dxa"/>
          </w:tcPr>
          <w:p w:rsidR="00484241" w:rsidRPr="00A410E0" w:rsidRDefault="00484241" w:rsidP="00203CC7">
            <w:pPr>
              <w:rPr>
                <w:sz w:val="16"/>
                <w:szCs w:val="16"/>
              </w:rPr>
            </w:pPr>
            <w:r w:rsidRPr="00A410E0">
              <w:rPr>
                <w:sz w:val="16"/>
                <w:szCs w:val="16"/>
              </w:rPr>
              <w:t>57.1%</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KP</w:t>
            </w:r>
          </w:p>
        </w:tc>
        <w:tc>
          <w:tcPr>
            <w:tcW w:w="2700" w:type="dxa"/>
          </w:tcPr>
          <w:p w:rsidR="00484241" w:rsidRPr="00A410E0" w:rsidRDefault="00484241" w:rsidP="00203CC7">
            <w:pPr>
              <w:rPr>
                <w:sz w:val="16"/>
                <w:szCs w:val="16"/>
              </w:rPr>
            </w:pPr>
            <w:r w:rsidRPr="00A410E0">
              <w:rPr>
                <w:sz w:val="16"/>
                <w:szCs w:val="16"/>
              </w:rPr>
              <w:t>Democratic People’s Rep. of Korea</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tcPr>
          <w:p w:rsidR="00484241" w:rsidRPr="00A410E0" w:rsidRDefault="00484241" w:rsidP="00203CC7">
            <w:pPr>
              <w:rPr>
                <w:sz w:val="16"/>
                <w:szCs w:val="16"/>
              </w:rPr>
            </w:pPr>
            <w:r w:rsidRPr="00A410E0">
              <w:rPr>
                <w:sz w:val="16"/>
                <w:szCs w:val="16"/>
              </w:rPr>
              <w:t>75.0%</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DO</w:t>
            </w:r>
          </w:p>
        </w:tc>
        <w:tc>
          <w:tcPr>
            <w:tcW w:w="2700" w:type="dxa"/>
          </w:tcPr>
          <w:p w:rsidR="00484241" w:rsidRPr="00A410E0" w:rsidRDefault="00484241" w:rsidP="00203CC7">
            <w:pPr>
              <w:rPr>
                <w:sz w:val="16"/>
                <w:szCs w:val="16"/>
              </w:rPr>
            </w:pPr>
            <w:r w:rsidRPr="00A410E0">
              <w:rPr>
                <w:sz w:val="16"/>
                <w:szCs w:val="16"/>
              </w:rPr>
              <w:t>Dominican Republic</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EE</w:t>
            </w:r>
          </w:p>
        </w:tc>
        <w:tc>
          <w:tcPr>
            <w:tcW w:w="2700" w:type="dxa"/>
          </w:tcPr>
          <w:p w:rsidR="00484241" w:rsidRPr="00A410E0" w:rsidRDefault="00484241" w:rsidP="00203CC7">
            <w:pPr>
              <w:rPr>
                <w:sz w:val="16"/>
                <w:szCs w:val="16"/>
              </w:rPr>
            </w:pPr>
            <w:r w:rsidRPr="00A410E0">
              <w:rPr>
                <w:sz w:val="16"/>
                <w:szCs w:val="16"/>
              </w:rPr>
              <w:t>Estonia</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noWrap/>
            <w:hideMark/>
          </w:tcPr>
          <w:p w:rsidR="00484241" w:rsidRPr="00A410E0" w:rsidRDefault="00484241" w:rsidP="00203CC7">
            <w:pPr>
              <w:rPr>
                <w:sz w:val="16"/>
                <w:szCs w:val="16"/>
              </w:rPr>
            </w:pPr>
            <w:r w:rsidRPr="00A410E0">
              <w:rPr>
                <w:sz w:val="16"/>
                <w:szCs w:val="16"/>
              </w:rPr>
              <w:t>33</w:t>
            </w:r>
          </w:p>
        </w:tc>
        <w:tc>
          <w:tcPr>
            <w:tcW w:w="1260" w:type="dxa"/>
          </w:tcPr>
          <w:p w:rsidR="00484241" w:rsidRPr="00A410E0" w:rsidRDefault="00484241" w:rsidP="00203CC7">
            <w:pPr>
              <w:rPr>
                <w:sz w:val="16"/>
                <w:szCs w:val="16"/>
              </w:rPr>
            </w:pPr>
            <w:r w:rsidRPr="00A410E0">
              <w:rPr>
                <w:sz w:val="16"/>
                <w:szCs w:val="16"/>
              </w:rPr>
              <w:t>9.1%</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LT</w:t>
            </w:r>
          </w:p>
        </w:tc>
        <w:tc>
          <w:tcPr>
            <w:tcW w:w="2700" w:type="dxa"/>
          </w:tcPr>
          <w:p w:rsidR="00484241" w:rsidRPr="00A410E0" w:rsidRDefault="00484241" w:rsidP="00203CC7">
            <w:pPr>
              <w:rPr>
                <w:sz w:val="16"/>
                <w:szCs w:val="16"/>
              </w:rPr>
            </w:pPr>
            <w:r w:rsidRPr="00A410E0">
              <w:rPr>
                <w:sz w:val="16"/>
                <w:szCs w:val="16"/>
              </w:rPr>
              <w:t>Lithuania</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noWrap/>
            <w:hideMark/>
          </w:tcPr>
          <w:p w:rsidR="00484241" w:rsidRPr="00A410E0" w:rsidRDefault="00484241" w:rsidP="00203CC7">
            <w:pPr>
              <w:rPr>
                <w:sz w:val="16"/>
                <w:szCs w:val="16"/>
              </w:rPr>
            </w:pPr>
            <w:r w:rsidRPr="00A410E0">
              <w:rPr>
                <w:sz w:val="16"/>
                <w:szCs w:val="16"/>
              </w:rPr>
              <w:t>54</w:t>
            </w:r>
          </w:p>
        </w:tc>
        <w:tc>
          <w:tcPr>
            <w:tcW w:w="1260" w:type="dxa"/>
          </w:tcPr>
          <w:p w:rsidR="00484241" w:rsidRPr="00A410E0" w:rsidRDefault="00484241" w:rsidP="00203CC7">
            <w:pPr>
              <w:rPr>
                <w:sz w:val="16"/>
                <w:szCs w:val="16"/>
              </w:rPr>
            </w:pPr>
            <w:r w:rsidRPr="00A410E0">
              <w:rPr>
                <w:sz w:val="16"/>
                <w:szCs w:val="16"/>
              </w:rPr>
              <w:t>5.6%</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MK</w:t>
            </w:r>
          </w:p>
        </w:tc>
        <w:tc>
          <w:tcPr>
            <w:tcW w:w="2700" w:type="dxa"/>
          </w:tcPr>
          <w:p w:rsidR="00484241" w:rsidRPr="00A410E0" w:rsidRDefault="00484241" w:rsidP="00203CC7">
            <w:pPr>
              <w:rPr>
                <w:sz w:val="16"/>
                <w:szCs w:val="16"/>
              </w:rPr>
            </w:pPr>
            <w:r w:rsidRPr="00A410E0">
              <w:rPr>
                <w:sz w:val="16"/>
                <w:szCs w:val="16"/>
              </w:rPr>
              <w:t>Former Yugoslav Rep. of Macedonia</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tcPr>
          <w:p w:rsidR="00484241" w:rsidRPr="00A410E0" w:rsidRDefault="00484241" w:rsidP="00203CC7">
            <w:pPr>
              <w:rPr>
                <w:sz w:val="16"/>
                <w:szCs w:val="16"/>
              </w:rPr>
            </w:pPr>
            <w:r w:rsidRPr="00A410E0">
              <w:rPr>
                <w:sz w:val="16"/>
                <w:szCs w:val="16"/>
              </w:rPr>
              <w:t>75.0%</w:t>
            </w:r>
          </w:p>
        </w:tc>
        <w:tc>
          <w:tcPr>
            <w:tcW w:w="1260" w:type="dxa"/>
            <w:noWrap/>
            <w:hideMark/>
          </w:tcPr>
          <w:p w:rsidR="00484241" w:rsidRPr="00A410E0" w:rsidRDefault="00484241" w:rsidP="00203CC7">
            <w:pPr>
              <w:rPr>
                <w:sz w:val="16"/>
                <w:szCs w:val="16"/>
              </w:rPr>
            </w:pPr>
            <w:r w:rsidRPr="00A410E0">
              <w:rPr>
                <w:sz w:val="16"/>
                <w:szCs w:val="16"/>
              </w:rPr>
              <w:t>0.1%</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AR</w:t>
            </w:r>
          </w:p>
        </w:tc>
        <w:tc>
          <w:tcPr>
            <w:tcW w:w="2700" w:type="dxa"/>
          </w:tcPr>
          <w:p w:rsidR="00484241" w:rsidRPr="00A410E0" w:rsidRDefault="00484241" w:rsidP="00203CC7">
            <w:pPr>
              <w:rPr>
                <w:sz w:val="16"/>
                <w:szCs w:val="16"/>
              </w:rPr>
            </w:pPr>
            <w:r w:rsidRPr="00A410E0">
              <w:rPr>
                <w:sz w:val="16"/>
                <w:szCs w:val="16"/>
              </w:rPr>
              <w:t>Argentina</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noWrap/>
            <w:hideMark/>
          </w:tcPr>
          <w:p w:rsidR="00484241" w:rsidRPr="00A410E0" w:rsidRDefault="00484241" w:rsidP="00203CC7">
            <w:pPr>
              <w:rPr>
                <w:sz w:val="16"/>
                <w:szCs w:val="16"/>
              </w:rPr>
            </w:pPr>
            <w:r w:rsidRPr="00A410E0">
              <w:rPr>
                <w:sz w:val="16"/>
                <w:szCs w:val="16"/>
              </w:rPr>
              <w:t>33</w:t>
            </w:r>
          </w:p>
        </w:tc>
        <w:tc>
          <w:tcPr>
            <w:tcW w:w="1260" w:type="dxa"/>
          </w:tcPr>
          <w:p w:rsidR="00484241" w:rsidRPr="00A410E0" w:rsidRDefault="00484241" w:rsidP="00203CC7">
            <w:pPr>
              <w:rPr>
                <w:sz w:val="16"/>
                <w:szCs w:val="16"/>
              </w:rPr>
            </w:pPr>
            <w:r w:rsidRPr="00A410E0">
              <w:rPr>
                <w:sz w:val="16"/>
                <w:szCs w:val="16"/>
              </w:rPr>
              <w:t>6.1%</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No</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BH</w:t>
            </w:r>
          </w:p>
        </w:tc>
        <w:tc>
          <w:tcPr>
            <w:tcW w:w="2700" w:type="dxa"/>
          </w:tcPr>
          <w:p w:rsidR="00484241" w:rsidRPr="00A410E0" w:rsidRDefault="00484241" w:rsidP="00203CC7">
            <w:pPr>
              <w:rPr>
                <w:sz w:val="16"/>
                <w:szCs w:val="16"/>
              </w:rPr>
            </w:pPr>
            <w:r w:rsidRPr="00A410E0">
              <w:rPr>
                <w:sz w:val="16"/>
                <w:szCs w:val="16"/>
              </w:rPr>
              <w:t>Bahrain</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CI</w:t>
            </w:r>
          </w:p>
        </w:tc>
        <w:tc>
          <w:tcPr>
            <w:tcW w:w="2700" w:type="dxa"/>
          </w:tcPr>
          <w:p w:rsidR="00484241" w:rsidRPr="00A410E0" w:rsidRDefault="00484241" w:rsidP="00203CC7">
            <w:pPr>
              <w:rPr>
                <w:sz w:val="16"/>
                <w:szCs w:val="16"/>
              </w:rPr>
            </w:pPr>
            <w:r w:rsidRPr="00A410E0">
              <w:rPr>
                <w:sz w:val="16"/>
                <w:szCs w:val="16"/>
              </w:rPr>
              <w:t>Côte d'Ivoire</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MG</w:t>
            </w:r>
          </w:p>
        </w:tc>
        <w:tc>
          <w:tcPr>
            <w:tcW w:w="2700" w:type="dxa"/>
          </w:tcPr>
          <w:p w:rsidR="00484241" w:rsidRPr="00A410E0" w:rsidRDefault="00484241" w:rsidP="00203CC7">
            <w:pPr>
              <w:rPr>
                <w:sz w:val="16"/>
                <w:szCs w:val="16"/>
              </w:rPr>
            </w:pPr>
            <w:r w:rsidRPr="00A410E0">
              <w:rPr>
                <w:sz w:val="16"/>
                <w:szCs w:val="16"/>
              </w:rPr>
              <w:t>Madagascar</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NA</w:t>
            </w:r>
          </w:p>
        </w:tc>
        <w:tc>
          <w:tcPr>
            <w:tcW w:w="2700" w:type="dxa"/>
          </w:tcPr>
          <w:p w:rsidR="00484241" w:rsidRPr="00A410E0" w:rsidRDefault="00484241" w:rsidP="00203CC7">
            <w:pPr>
              <w:rPr>
                <w:sz w:val="16"/>
                <w:szCs w:val="16"/>
              </w:rPr>
            </w:pPr>
            <w:r w:rsidRPr="00A410E0">
              <w:rPr>
                <w:sz w:val="16"/>
                <w:szCs w:val="16"/>
              </w:rPr>
              <w:t>Namibia</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tcPr>
          <w:p w:rsidR="00484241" w:rsidRPr="00A410E0" w:rsidRDefault="00484241" w:rsidP="00203CC7">
            <w:pPr>
              <w:rPr>
                <w:sz w:val="16"/>
                <w:szCs w:val="16"/>
              </w:rPr>
            </w:pPr>
            <w:r w:rsidRPr="00A410E0">
              <w:rPr>
                <w:sz w:val="16"/>
                <w:szCs w:val="16"/>
              </w:rPr>
              <w:t>66.7%</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MD</w:t>
            </w:r>
          </w:p>
        </w:tc>
        <w:tc>
          <w:tcPr>
            <w:tcW w:w="2700" w:type="dxa"/>
          </w:tcPr>
          <w:p w:rsidR="00484241" w:rsidRPr="00A410E0" w:rsidRDefault="00484241" w:rsidP="00203CC7">
            <w:pPr>
              <w:rPr>
                <w:sz w:val="16"/>
                <w:szCs w:val="16"/>
              </w:rPr>
            </w:pPr>
            <w:r w:rsidRPr="00A410E0">
              <w:rPr>
                <w:sz w:val="16"/>
                <w:szCs w:val="16"/>
              </w:rPr>
              <w:t>Republic of Moldova</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tcPr>
          <w:p w:rsidR="00484241" w:rsidRPr="00A410E0" w:rsidRDefault="00484241" w:rsidP="00203CC7">
            <w:pPr>
              <w:rPr>
                <w:sz w:val="16"/>
                <w:szCs w:val="16"/>
              </w:rPr>
            </w:pPr>
            <w:r w:rsidRPr="00A410E0">
              <w:rPr>
                <w:sz w:val="16"/>
                <w:szCs w:val="16"/>
              </w:rPr>
              <w:t>66.7%</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SD</w:t>
            </w:r>
          </w:p>
        </w:tc>
        <w:tc>
          <w:tcPr>
            <w:tcW w:w="2700" w:type="dxa"/>
          </w:tcPr>
          <w:p w:rsidR="00484241" w:rsidRPr="00A410E0" w:rsidRDefault="00484241" w:rsidP="00203CC7">
            <w:pPr>
              <w:rPr>
                <w:sz w:val="16"/>
                <w:szCs w:val="16"/>
              </w:rPr>
            </w:pPr>
            <w:r w:rsidRPr="00A410E0">
              <w:rPr>
                <w:sz w:val="16"/>
                <w:szCs w:val="16"/>
              </w:rPr>
              <w:t>Sudan</w:t>
            </w:r>
          </w:p>
        </w:tc>
        <w:tc>
          <w:tcPr>
            <w:tcW w:w="1260" w:type="dxa"/>
            <w:noWrap/>
            <w:hideMark/>
          </w:tcPr>
          <w:p w:rsidR="00484241" w:rsidRPr="00A410E0" w:rsidRDefault="00484241" w:rsidP="00203CC7">
            <w:pPr>
              <w:rPr>
                <w:sz w:val="16"/>
                <w:szCs w:val="16"/>
              </w:rPr>
            </w:pPr>
            <w:r w:rsidRPr="00A410E0">
              <w:rPr>
                <w:sz w:val="16"/>
                <w:szCs w:val="16"/>
              </w:rPr>
              <w:t>2</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tcPr>
          <w:p w:rsidR="00484241" w:rsidRPr="00A410E0" w:rsidRDefault="00484241" w:rsidP="00203CC7">
            <w:pPr>
              <w:rPr>
                <w:sz w:val="16"/>
                <w:szCs w:val="16"/>
              </w:rPr>
            </w:pPr>
            <w:r w:rsidRPr="00A410E0">
              <w:rPr>
                <w:sz w:val="16"/>
                <w:szCs w:val="16"/>
              </w:rPr>
              <w:t>50.0%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AL</w:t>
            </w:r>
          </w:p>
        </w:tc>
        <w:tc>
          <w:tcPr>
            <w:tcW w:w="2700" w:type="dxa"/>
          </w:tcPr>
          <w:p w:rsidR="00484241" w:rsidRPr="00A410E0" w:rsidRDefault="00484241" w:rsidP="00203CC7">
            <w:pPr>
              <w:rPr>
                <w:sz w:val="16"/>
                <w:szCs w:val="16"/>
              </w:rPr>
            </w:pPr>
            <w:r w:rsidRPr="00A410E0">
              <w:rPr>
                <w:sz w:val="16"/>
                <w:szCs w:val="16"/>
              </w:rPr>
              <w:t>Albania</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BB</w:t>
            </w:r>
          </w:p>
        </w:tc>
        <w:tc>
          <w:tcPr>
            <w:tcW w:w="2700" w:type="dxa"/>
          </w:tcPr>
          <w:p w:rsidR="00484241" w:rsidRPr="00A410E0" w:rsidRDefault="00484241" w:rsidP="00203CC7">
            <w:pPr>
              <w:rPr>
                <w:sz w:val="16"/>
                <w:szCs w:val="16"/>
              </w:rPr>
            </w:pPr>
            <w:r w:rsidRPr="00A410E0">
              <w:rPr>
                <w:sz w:val="16"/>
                <w:szCs w:val="16"/>
              </w:rPr>
              <w:t>Barbados</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173</w:t>
            </w:r>
          </w:p>
        </w:tc>
        <w:tc>
          <w:tcPr>
            <w:tcW w:w="1260" w:type="dxa"/>
          </w:tcPr>
          <w:p w:rsidR="00484241" w:rsidRPr="00A410E0" w:rsidRDefault="00484241" w:rsidP="00203CC7">
            <w:pPr>
              <w:rPr>
                <w:sz w:val="16"/>
                <w:szCs w:val="16"/>
              </w:rPr>
            </w:pPr>
            <w:r w:rsidRPr="00A410E0">
              <w:rPr>
                <w:sz w:val="16"/>
                <w:szCs w:val="16"/>
              </w:rPr>
              <w:t>0.6%</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CD</w:t>
            </w:r>
          </w:p>
        </w:tc>
        <w:tc>
          <w:tcPr>
            <w:tcW w:w="2700" w:type="dxa"/>
          </w:tcPr>
          <w:p w:rsidR="00484241" w:rsidRPr="00A410E0" w:rsidRDefault="00484241" w:rsidP="00203CC7">
            <w:pPr>
              <w:rPr>
                <w:sz w:val="16"/>
                <w:szCs w:val="16"/>
              </w:rPr>
            </w:pPr>
            <w:r w:rsidRPr="00A410E0">
              <w:rPr>
                <w:sz w:val="16"/>
                <w:szCs w:val="16"/>
              </w:rPr>
              <w:t>Democratic Republic of the Congo</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No</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SV</w:t>
            </w:r>
          </w:p>
        </w:tc>
        <w:tc>
          <w:tcPr>
            <w:tcW w:w="2700" w:type="dxa"/>
          </w:tcPr>
          <w:p w:rsidR="00484241" w:rsidRPr="00A410E0" w:rsidRDefault="00484241" w:rsidP="00203CC7">
            <w:pPr>
              <w:rPr>
                <w:sz w:val="16"/>
                <w:szCs w:val="16"/>
              </w:rPr>
            </w:pPr>
            <w:r w:rsidRPr="00A410E0">
              <w:rPr>
                <w:sz w:val="16"/>
                <w:szCs w:val="16"/>
              </w:rPr>
              <w:t>El Salvador</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tcPr>
          <w:p w:rsidR="00484241" w:rsidRPr="00A410E0" w:rsidRDefault="00484241" w:rsidP="00203CC7">
            <w:pPr>
              <w:rPr>
                <w:sz w:val="16"/>
                <w:szCs w:val="16"/>
              </w:rPr>
            </w:pPr>
            <w:r w:rsidRPr="00A410E0">
              <w:rPr>
                <w:sz w:val="16"/>
                <w:szCs w:val="16"/>
              </w:rPr>
              <w:t>33.3%</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GE</w:t>
            </w:r>
          </w:p>
        </w:tc>
        <w:tc>
          <w:tcPr>
            <w:tcW w:w="2700" w:type="dxa"/>
          </w:tcPr>
          <w:p w:rsidR="00484241" w:rsidRPr="00A410E0" w:rsidRDefault="00484241" w:rsidP="00203CC7">
            <w:pPr>
              <w:rPr>
                <w:sz w:val="16"/>
                <w:szCs w:val="16"/>
              </w:rPr>
            </w:pPr>
            <w:r w:rsidRPr="00A410E0">
              <w:rPr>
                <w:sz w:val="16"/>
                <w:szCs w:val="16"/>
              </w:rPr>
              <w:t>Georgia</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GT</w:t>
            </w:r>
          </w:p>
        </w:tc>
        <w:tc>
          <w:tcPr>
            <w:tcW w:w="2700" w:type="dxa"/>
          </w:tcPr>
          <w:p w:rsidR="00484241" w:rsidRPr="00A410E0" w:rsidRDefault="00484241" w:rsidP="00203CC7">
            <w:pPr>
              <w:rPr>
                <w:sz w:val="16"/>
                <w:szCs w:val="16"/>
              </w:rPr>
            </w:pPr>
            <w:r w:rsidRPr="00A410E0">
              <w:rPr>
                <w:sz w:val="16"/>
                <w:szCs w:val="16"/>
              </w:rPr>
              <w:t>Guatemala</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ME</w:t>
            </w:r>
          </w:p>
        </w:tc>
        <w:tc>
          <w:tcPr>
            <w:tcW w:w="2700" w:type="dxa"/>
          </w:tcPr>
          <w:p w:rsidR="00484241" w:rsidRPr="00A410E0" w:rsidRDefault="00484241" w:rsidP="00203CC7">
            <w:pPr>
              <w:rPr>
                <w:sz w:val="16"/>
                <w:szCs w:val="16"/>
              </w:rPr>
            </w:pPr>
            <w:r w:rsidRPr="00A410E0">
              <w:rPr>
                <w:sz w:val="16"/>
                <w:szCs w:val="16"/>
              </w:rPr>
              <w:t>Montenegro</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NG</w:t>
            </w:r>
          </w:p>
        </w:tc>
        <w:tc>
          <w:tcPr>
            <w:tcW w:w="2700" w:type="dxa"/>
          </w:tcPr>
          <w:p w:rsidR="00484241" w:rsidRPr="00A410E0" w:rsidRDefault="00484241" w:rsidP="00203CC7">
            <w:pPr>
              <w:rPr>
                <w:sz w:val="16"/>
                <w:szCs w:val="16"/>
              </w:rPr>
            </w:pPr>
            <w:r w:rsidRPr="00A410E0">
              <w:rPr>
                <w:sz w:val="16"/>
                <w:szCs w:val="16"/>
              </w:rPr>
              <w:t>Nigeria</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tcPr>
          <w:p w:rsidR="00484241" w:rsidRPr="00A410E0" w:rsidRDefault="00484241" w:rsidP="00203CC7">
            <w:pPr>
              <w:rPr>
                <w:sz w:val="16"/>
                <w:szCs w:val="16"/>
              </w:rPr>
            </w:pPr>
            <w:r w:rsidRPr="00A410E0">
              <w:rPr>
                <w:sz w:val="16"/>
                <w:szCs w:val="16"/>
              </w:rPr>
              <w:t>25.0%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SN</w:t>
            </w:r>
          </w:p>
        </w:tc>
        <w:tc>
          <w:tcPr>
            <w:tcW w:w="2700" w:type="dxa"/>
          </w:tcPr>
          <w:p w:rsidR="00484241" w:rsidRPr="00A410E0" w:rsidRDefault="00484241" w:rsidP="00203CC7">
            <w:pPr>
              <w:rPr>
                <w:sz w:val="16"/>
                <w:szCs w:val="16"/>
              </w:rPr>
            </w:pPr>
            <w:r w:rsidRPr="00A410E0">
              <w:rPr>
                <w:sz w:val="16"/>
                <w:szCs w:val="16"/>
              </w:rPr>
              <w:t>Senegal</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3</w:t>
            </w:r>
          </w:p>
        </w:tc>
        <w:tc>
          <w:tcPr>
            <w:tcW w:w="1260" w:type="dxa"/>
          </w:tcPr>
          <w:p w:rsidR="00484241" w:rsidRPr="00A410E0" w:rsidRDefault="00484241" w:rsidP="00203CC7">
            <w:pPr>
              <w:rPr>
                <w:sz w:val="16"/>
                <w:szCs w:val="16"/>
              </w:rPr>
            </w:pPr>
            <w:r w:rsidRPr="00A410E0">
              <w:rPr>
                <w:sz w:val="16"/>
                <w:szCs w:val="16"/>
              </w:rPr>
              <w:t>33.3%</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TT</w:t>
            </w:r>
          </w:p>
        </w:tc>
        <w:tc>
          <w:tcPr>
            <w:tcW w:w="2700" w:type="dxa"/>
          </w:tcPr>
          <w:p w:rsidR="00484241" w:rsidRPr="00A410E0" w:rsidRDefault="00484241" w:rsidP="00203CC7">
            <w:pPr>
              <w:rPr>
                <w:sz w:val="16"/>
                <w:szCs w:val="16"/>
              </w:rPr>
            </w:pPr>
            <w:r w:rsidRPr="00A410E0">
              <w:rPr>
                <w:sz w:val="16"/>
                <w:szCs w:val="16"/>
              </w:rPr>
              <w:t>Trinidad and Tobago</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tcPr>
          <w:p w:rsidR="00484241" w:rsidRPr="00A410E0" w:rsidRDefault="00484241" w:rsidP="00203CC7">
            <w:pPr>
              <w:rPr>
                <w:sz w:val="16"/>
                <w:szCs w:val="16"/>
              </w:rPr>
            </w:pPr>
            <w:r w:rsidRPr="00A410E0">
              <w:rPr>
                <w:sz w:val="16"/>
                <w:szCs w:val="16"/>
              </w:rPr>
              <w:t>100.0%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sz w:val="16"/>
                <w:szCs w:val="16"/>
              </w:rPr>
            </w:pPr>
            <w:r w:rsidRPr="00A410E0">
              <w:rPr>
                <w:sz w:val="16"/>
                <w:szCs w:val="16"/>
              </w:rPr>
              <w:t>UG</w:t>
            </w:r>
          </w:p>
        </w:tc>
        <w:tc>
          <w:tcPr>
            <w:tcW w:w="2700" w:type="dxa"/>
          </w:tcPr>
          <w:p w:rsidR="00484241" w:rsidRPr="00A410E0" w:rsidRDefault="00484241" w:rsidP="00203CC7">
            <w:pPr>
              <w:rPr>
                <w:sz w:val="16"/>
                <w:szCs w:val="16"/>
              </w:rPr>
            </w:pPr>
            <w:r w:rsidRPr="00A410E0">
              <w:rPr>
                <w:sz w:val="16"/>
                <w:szCs w:val="16"/>
              </w:rPr>
              <w:t>Uganda</w:t>
            </w:r>
          </w:p>
        </w:tc>
        <w:tc>
          <w:tcPr>
            <w:tcW w:w="1260" w:type="dxa"/>
            <w:noWrap/>
            <w:hideMark/>
          </w:tcPr>
          <w:p w:rsidR="00484241" w:rsidRPr="00A410E0" w:rsidRDefault="00484241" w:rsidP="00203CC7">
            <w:pPr>
              <w:rPr>
                <w:sz w:val="16"/>
                <w:szCs w:val="16"/>
              </w:rPr>
            </w:pPr>
            <w:r w:rsidRPr="00A410E0">
              <w:rPr>
                <w:sz w:val="16"/>
                <w:szCs w:val="16"/>
              </w:rPr>
              <w:t>1</w:t>
            </w:r>
          </w:p>
        </w:tc>
        <w:tc>
          <w:tcPr>
            <w:tcW w:w="1260" w:type="dxa"/>
            <w:noWrap/>
            <w:hideMark/>
          </w:tcPr>
          <w:p w:rsidR="00484241" w:rsidRPr="00A410E0" w:rsidRDefault="00484241" w:rsidP="00203CC7">
            <w:pPr>
              <w:rPr>
                <w:sz w:val="16"/>
                <w:szCs w:val="16"/>
              </w:rPr>
            </w:pPr>
            <w:r w:rsidRPr="00A410E0">
              <w:rPr>
                <w:sz w:val="16"/>
                <w:szCs w:val="16"/>
              </w:rPr>
              <w:t>4</w:t>
            </w:r>
          </w:p>
        </w:tc>
        <w:tc>
          <w:tcPr>
            <w:tcW w:w="1260" w:type="dxa"/>
          </w:tcPr>
          <w:p w:rsidR="00484241" w:rsidRPr="00A410E0" w:rsidRDefault="00484241" w:rsidP="00203CC7">
            <w:pPr>
              <w:rPr>
                <w:sz w:val="16"/>
                <w:szCs w:val="16"/>
              </w:rPr>
            </w:pPr>
            <w:r w:rsidRPr="00A410E0">
              <w:rPr>
                <w:sz w:val="16"/>
                <w:szCs w:val="16"/>
              </w:rPr>
              <w:t>25.0%</w:t>
            </w:r>
          </w:p>
        </w:tc>
        <w:tc>
          <w:tcPr>
            <w:tcW w:w="1260" w:type="dxa"/>
            <w:noWrap/>
            <w:hideMark/>
          </w:tcPr>
          <w:p w:rsidR="00484241" w:rsidRPr="00A410E0" w:rsidRDefault="00484241" w:rsidP="00203CC7">
            <w:pPr>
              <w:rPr>
                <w:sz w:val="16"/>
                <w:szCs w:val="16"/>
              </w:rPr>
            </w:pPr>
            <w:r w:rsidRPr="00A410E0">
              <w:rPr>
                <w:sz w:val="16"/>
                <w:szCs w:val="16"/>
              </w:rPr>
              <w:t>0.0%</w:t>
            </w:r>
          </w:p>
        </w:tc>
        <w:tc>
          <w:tcPr>
            <w:tcW w:w="1261" w:type="dxa"/>
            <w:noWrap/>
            <w:hideMark/>
          </w:tcPr>
          <w:p w:rsidR="00484241" w:rsidRPr="00A410E0" w:rsidRDefault="00484241" w:rsidP="00203CC7">
            <w:pPr>
              <w:rPr>
                <w:sz w:val="16"/>
                <w:szCs w:val="16"/>
              </w:rPr>
            </w:pPr>
            <w:r w:rsidRPr="00A410E0">
              <w:rPr>
                <w:sz w:val="16"/>
                <w:szCs w:val="16"/>
              </w:rPr>
              <w:t>Yes</w:t>
            </w:r>
          </w:p>
        </w:tc>
      </w:tr>
      <w:tr w:rsidR="00484241" w:rsidRPr="00BE0F66" w:rsidTr="0057790C">
        <w:trPr>
          <w:cantSplit/>
        </w:trPr>
        <w:tc>
          <w:tcPr>
            <w:tcW w:w="630" w:type="dxa"/>
            <w:noWrap/>
            <w:hideMark/>
          </w:tcPr>
          <w:p w:rsidR="00484241" w:rsidRPr="00A410E0" w:rsidRDefault="00484241" w:rsidP="00203CC7">
            <w:pPr>
              <w:rPr>
                <w:i/>
                <w:iCs/>
                <w:sz w:val="16"/>
                <w:szCs w:val="16"/>
              </w:rPr>
            </w:pPr>
            <w:r w:rsidRPr="00A410E0">
              <w:rPr>
                <w:i/>
                <w:iCs/>
                <w:sz w:val="16"/>
                <w:szCs w:val="16"/>
              </w:rPr>
              <w:t>Total</w:t>
            </w:r>
          </w:p>
        </w:tc>
        <w:tc>
          <w:tcPr>
            <w:tcW w:w="2700" w:type="dxa"/>
          </w:tcPr>
          <w:p w:rsidR="00484241" w:rsidRPr="00A410E0" w:rsidRDefault="00484241" w:rsidP="00203CC7">
            <w:pPr>
              <w:rPr>
                <w:sz w:val="16"/>
                <w:szCs w:val="16"/>
              </w:rPr>
            </w:pPr>
          </w:p>
        </w:tc>
        <w:tc>
          <w:tcPr>
            <w:tcW w:w="1260" w:type="dxa"/>
            <w:noWrap/>
            <w:hideMark/>
          </w:tcPr>
          <w:p w:rsidR="00484241" w:rsidRPr="00A410E0" w:rsidRDefault="00484241" w:rsidP="00203CC7">
            <w:pPr>
              <w:rPr>
                <w:i/>
                <w:iCs/>
                <w:sz w:val="16"/>
                <w:szCs w:val="16"/>
              </w:rPr>
            </w:pPr>
            <w:r w:rsidRPr="00A410E0">
              <w:rPr>
                <w:i/>
                <w:iCs/>
                <w:sz w:val="16"/>
                <w:szCs w:val="16"/>
              </w:rPr>
              <w:t>5508</w:t>
            </w:r>
          </w:p>
        </w:tc>
        <w:tc>
          <w:tcPr>
            <w:tcW w:w="1260" w:type="dxa"/>
            <w:noWrap/>
            <w:hideMark/>
          </w:tcPr>
          <w:p w:rsidR="00484241" w:rsidRPr="00A410E0" w:rsidRDefault="00484241" w:rsidP="00203CC7">
            <w:pPr>
              <w:rPr>
                <w:i/>
                <w:iCs/>
                <w:sz w:val="16"/>
                <w:szCs w:val="16"/>
              </w:rPr>
            </w:pPr>
          </w:p>
        </w:tc>
        <w:tc>
          <w:tcPr>
            <w:tcW w:w="1260" w:type="dxa"/>
          </w:tcPr>
          <w:p w:rsidR="00484241" w:rsidRPr="00A410E0" w:rsidRDefault="00484241" w:rsidP="00203CC7">
            <w:pPr>
              <w:rPr>
                <w:sz w:val="16"/>
                <w:szCs w:val="16"/>
              </w:rPr>
            </w:pPr>
          </w:p>
        </w:tc>
        <w:tc>
          <w:tcPr>
            <w:tcW w:w="1260" w:type="dxa"/>
            <w:noWrap/>
            <w:hideMark/>
          </w:tcPr>
          <w:p w:rsidR="00484241" w:rsidRPr="00A410E0" w:rsidRDefault="00484241" w:rsidP="00203CC7">
            <w:pPr>
              <w:rPr>
                <w:sz w:val="16"/>
                <w:szCs w:val="16"/>
              </w:rPr>
            </w:pPr>
          </w:p>
        </w:tc>
        <w:tc>
          <w:tcPr>
            <w:tcW w:w="1261" w:type="dxa"/>
            <w:noWrap/>
            <w:hideMark/>
          </w:tcPr>
          <w:p w:rsidR="00484241" w:rsidRPr="00A410E0" w:rsidRDefault="00484241" w:rsidP="00203CC7">
            <w:pPr>
              <w:rPr>
                <w:sz w:val="16"/>
                <w:szCs w:val="16"/>
              </w:rPr>
            </w:pPr>
          </w:p>
        </w:tc>
      </w:tr>
    </w:tbl>
    <w:p w:rsidR="00484241" w:rsidRDefault="00484241" w:rsidP="00203CC7"/>
    <w:p w:rsidR="009F68F2" w:rsidRDefault="009F68F2" w:rsidP="00203CC7">
      <w:pPr>
        <w:pStyle w:val="ONUME"/>
        <w:numPr>
          <w:ilvl w:val="0"/>
          <w:numId w:val="0"/>
        </w:numPr>
      </w:pPr>
    </w:p>
    <w:p w:rsidR="00562E3F" w:rsidRDefault="00562E3F" w:rsidP="00203CC7">
      <w:pPr>
        <w:rPr>
          <w:sz w:val="24"/>
          <w:szCs w:val="24"/>
        </w:rPr>
      </w:pPr>
    </w:p>
    <w:p w:rsidR="00C25DAA" w:rsidRPr="00924A44" w:rsidRDefault="00CD11C1" w:rsidP="00203CC7">
      <w:pPr>
        <w:rPr>
          <w:sz w:val="24"/>
          <w:szCs w:val="24"/>
        </w:rPr>
      </w:pPr>
      <w:r w:rsidRPr="00924A44">
        <w:rPr>
          <w:sz w:val="24"/>
          <w:szCs w:val="24"/>
        </w:rPr>
        <w:lastRenderedPageBreak/>
        <w:t>STRATEGIC GOAL I:  BALANCED EVOLUTION OF THE INTERNATIONAL NORMATIVE FRAMEWORK FOR IP</w:t>
      </w:r>
    </w:p>
    <w:p w:rsidR="007D5422" w:rsidRPr="00924A44" w:rsidRDefault="007D5422" w:rsidP="00203CC7">
      <w:pPr>
        <w:spacing w:before="120"/>
        <w:rPr>
          <w:smallCaps/>
        </w:rPr>
      </w:pPr>
    </w:p>
    <w:p w:rsidR="00C25DAA" w:rsidRPr="00924A44" w:rsidRDefault="007D5422" w:rsidP="00203CC7">
      <w:pPr>
        <w:pStyle w:val="ONUME"/>
        <w:numPr>
          <w:ilvl w:val="0"/>
          <w:numId w:val="0"/>
        </w:numPr>
        <w:rPr>
          <w:b/>
        </w:rPr>
      </w:pPr>
      <w:r w:rsidRPr="00924A44">
        <w:rPr>
          <w:b/>
          <w:bCs/>
        </w:rPr>
        <w:t>Q</w:t>
      </w:r>
      <w:r w:rsidR="000B248A" w:rsidRPr="00924A44">
        <w:rPr>
          <w:b/>
          <w:bCs/>
        </w:rPr>
        <w:t>1</w:t>
      </w:r>
      <w:r w:rsidRPr="00924A44">
        <w:rPr>
          <w:b/>
          <w:bCs/>
        </w:rPr>
        <w:t xml:space="preserve">:  </w:t>
      </w:r>
      <w:r w:rsidR="0087278A" w:rsidRPr="00924A44">
        <w:rPr>
          <w:b/>
          <w:bCs/>
        </w:rPr>
        <w:t xml:space="preserve">Why is there a difference in the </w:t>
      </w:r>
      <w:r w:rsidR="006D5A8E" w:rsidRPr="00924A44">
        <w:rPr>
          <w:b/>
          <w:bCs/>
        </w:rPr>
        <w:t xml:space="preserve">number of sessions budgeted for the </w:t>
      </w:r>
      <w:r w:rsidR="00C92C28" w:rsidRPr="00924A44">
        <w:rPr>
          <w:b/>
          <w:bCs/>
        </w:rPr>
        <w:t>SCP and the SCT</w:t>
      </w:r>
      <w:r w:rsidR="00F2007B">
        <w:rPr>
          <w:b/>
          <w:bCs/>
        </w:rPr>
        <w:t>,</w:t>
      </w:r>
      <w:r w:rsidR="00C92C28" w:rsidRPr="00924A44">
        <w:rPr>
          <w:b/>
          <w:bCs/>
        </w:rPr>
        <w:t xml:space="preserve"> on the one hand</w:t>
      </w:r>
      <w:r w:rsidR="00F2007B">
        <w:rPr>
          <w:b/>
          <w:bCs/>
        </w:rPr>
        <w:t>,</w:t>
      </w:r>
      <w:r w:rsidR="00C92C28" w:rsidRPr="00924A44">
        <w:rPr>
          <w:b/>
          <w:bCs/>
        </w:rPr>
        <w:t xml:space="preserve"> and the SCCR and IGC</w:t>
      </w:r>
      <w:r w:rsidR="00F2007B">
        <w:rPr>
          <w:b/>
          <w:bCs/>
        </w:rPr>
        <w:t>,</w:t>
      </w:r>
      <w:r w:rsidR="00C92C28" w:rsidRPr="00924A44">
        <w:rPr>
          <w:b/>
          <w:bCs/>
        </w:rPr>
        <w:t xml:space="preserve"> on the other hand?</w:t>
      </w:r>
    </w:p>
    <w:p w:rsidR="0054119F" w:rsidRPr="00924A44" w:rsidRDefault="00C25DAA" w:rsidP="00203CC7">
      <w:pPr>
        <w:tabs>
          <w:tab w:val="num" w:pos="690"/>
        </w:tabs>
      </w:pPr>
      <w:r w:rsidRPr="00924A44">
        <w:t>A</w:t>
      </w:r>
      <w:r w:rsidR="000B248A" w:rsidRPr="00924A44">
        <w:t>1</w:t>
      </w:r>
      <w:r w:rsidRPr="00924A44">
        <w:t>:</w:t>
      </w:r>
      <w:r w:rsidRPr="00924A44">
        <w:rPr>
          <w:bCs/>
        </w:rPr>
        <w:t xml:space="preserve"> </w:t>
      </w:r>
      <w:r w:rsidR="007D5422" w:rsidRPr="00924A44">
        <w:t xml:space="preserve"> </w:t>
      </w:r>
      <w:r w:rsidR="003A778D" w:rsidRPr="00924A44">
        <w:t xml:space="preserve">The planning assumption </w:t>
      </w:r>
      <w:r w:rsidR="00F2007B">
        <w:t>for</w:t>
      </w:r>
      <w:r w:rsidR="00262366" w:rsidRPr="00924A44">
        <w:t xml:space="preserve"> </w:t>
      </w:r>
      <w:r w:rsidR="00F2007B">
        <w:t xml:space="preserve">2016/17 regarding </w:t>
      </w:r>
      <w:r w:rsidR="00262366" w:rsidRPr="00924A44">
        <w:t xml:space="preserve">the </w:t>
      </w:r>
      <w:r w:rsidR="00F2007B" w:rsidRPr="00924A44">
        <w:t xml:space="preserve">number sessions for </w:t>
      </w:r>
      <w:r w:rsidR="00F2007B">
        <w:t xml:space="preserve">the SCP, SCT, </w:t>
      </w:r>
      <w:r w:rsidR="00F2007B" w:rsidRPr="00924A44">
        <w:t xml:space="preserve">SCCR </w:t>
      </w:r>
      <w:r w:rsidR="00F2007B">
        <w:t xml:space="preserve">and IGC </w:t>
      </w:r>
      <w:r w:rsidR="00262366" w:rsidRPr="00924A44">
        <w:t xml:space="preserve">remain unchanged from the 2014/15 biennium. </w:t>
      </w:r>
      <w:r w:rsidR="004C197A">
        <w:t xml:space="preserve"> </w:t>
      </w:r>
      <w:r w:rsidR="00ED52AC" w:rsidRPr="00924A44">
        <w:t xml:space="preserve">The primary cost drivers for Standing Committees are the </w:t>
      </w:r>
      <w:r w:rsidR="00ED52AC">
        <w:t xml:space="preserve">number of sessions, the </w:t>
      </w:r>
      <w:r w:rsidR="00ED52AC" w:rsidRPr="00924A44">
        <w:t xml:space="preserve">number of days per session, interpretation and translation costs </w:t>
      </w:r>
      <w:r w:rsidR="00ED52AC">
        <w:t>as well as</w:t>
      </w:r>
      <w:r w:rsidR="00ED52AC" w:rsidRPr="00924A44">
        <w:t xml:space="preserve"> travel costs.  </w:t>
      </w:r>
      <w:r w:rsidR="00ED52AC">
        <w:t xml:space="preserve">The budget estimates for 2016/17 </w:t>
      </w:r>
      <w:proofErr w:type="gramStart"/>
      <w:r w:rsidR="00ED52AC">
        <w:t>have</w:t>
      </w:r>
      <w:proofErr w:type="gramEnd"/>
      <w:r w:rsidR="00ED52AC">
        <w:t xml:space="preserve"> been</w:t>
      </w:r>
      <w:r w:rsidR="00ED52AC" w:rsidRPr="00924A44">
        <w:t xml:space="preserve"> refined based on past expenditure patterns</w:t>
      </w:r>
      <w:r w:rsidR="00ED52AC">
        <w:t xml:space="preserve"> and assumes five working days per session</w:t>
      </w:r>
      <w:r w:rsidR="003A778D" w:rsidRPr="00924A44">
        <w:t>.</w:t>
      </w:r>
      <w:r w:rsidR="00CB0F8B" w:rsidRPr="00924A44">
        <w:t xml:space="preserve"> </w:t>
      </w:r>
      <w:r w:rsidR="00ED52AC">
        <w:t xml:space="preserve"> Should the Member States, during the biennium, decide to convene more sessions of a Standing Committee than what was budgeted for, the Secretariat will identify the </w:t>
      </w:r>
      <w:r w:rsidR="009E4BAD">
        <w:t xml:space="preserve">required </w:t>
      </w:r>
      <w:r w:rsidR="00ED52AC">
        <w:t xml:space="preserve">resources from cost-efficiencies realized in the biennium.  </w:t>
      </w:r>
    </w:p>
    <w:p w:rsidR="0054119F" w:rsidRPr="00924A44" w:rsidRDefault="0054119F" w:rsidP="00203CC7">
      <w:pPr>
        <w:tabs>
          <w:tab w:val="num" w:pos="690"/>
        </w:tabs>
      </w:pPr>
    </w:p>
    <w:p w:rsidR="00F2007B" w:rsidRDefault="00F2007B" w:rsidP="00203CC7">
      <w:pPr>
        <w:pStyle w:val="ONUME"/>
        <w:numPr>
          <w:ilvl w:val="0"/>
          <w:numId w:val="0"/>
        </w:numPr>
        <w:spacing w:after="0"/>
        <w:rPr>
          <w:b/>
        </w:rPr>
      </w:pPr>
    </w:p>
    <w:p w:rsidR="009E4BAD" w:rsidRDefault="009E4BAD" w:rsidP="00203CC7">
      <w:pPr>
        <w:pStyle w:val="ONUME"/>
        <w:numPr>
          <w:ilvl w:val="0"/>
          <w:numId w:val="0"/>
        </w:numPr>
        <w:spacing w:after="0"/>
        <w:rPr>
          <w:b/>
        </w:rPr>
      </w:pPr>
    </w:p>
    <w:p w:rsidR="0054119F" w:rsidRPr="00924A44" w:rsidRDefault="0054119F" w:rsidP="00203CC7">
      <w:pPr>
        <w:pStyle w:val="ONUME"/>
        <w:numPr>
          <w:ilvl w:val="0"/>
          <w:numId w:val="0"/>
        </w:numPr>
        <w:spacing w:after="0"/>
        <w:rPr>
          <w:b/>
        </w:rPr>
      </w:pPr>
      <w:r w:rsidRPr="00924A44">
        <w:rPr>
          <w:b/>
        </w:rPr>
        <w:t>Q2:  The planning assumption for 2016/17 includes</w:t>
      </w:r>
      <w:r w:rsidR="00C92C28" w:rsidRPr="00924A44">
        <w:rPr>
          <w:b/>
        </w:rPr>
        <w:t xml:space="preserve"> up to four sessions of the </w:t>
      </w:r>
      <w:r w:rsidRPr="00924A44">
        <w:rPr>
          <w:b/>
        </w:rPr>
        <w:t xml:space="preserve">IGC.  </w:t>
      </w:r>
      <w:r w:rsidR="00C92C28" w:rsidRPr="00924A44">
        <w:rPr>
          <w:b/>
        </w:rPr>
        <w:t>Are the resources proposed for the IGC process in 2016/17 at the same level as in 2014/15?</w:t>
      </w:r>
      <w:r w:rsidRPr="00924A44">
        <w:rPr>
          <w:b/>
        </w:rPr>
        <w:t xml:space="preserve"> </w:t>
      </w:r>
    </w:p>
    <w:p w:rsidR="0076128F" w:rsidRDefault="0076128F" w:rsidP="00203CC7"/>
    <w:p w:rsidR="0054119F" w:rsidRPr="00924A44" w:rsidRDefault="0054119F" w:rsidP="00203CC7">
      <w:r w:rsidRPr="00924A44">
        <w:t xml:space="preserve">A2:  </w:t>
      </w:r>
      <w:r w:rsidR="009917E4" w:rsidRPr="00924A44">
        <w:t xml:space="preserve">The resources </w:t>
      </w:r>
      <w:r w:rsidR="0076128F">
        <w:t>budgeted</w:t>
      </w:r>
      <w:r w:rsidR="009917E4" w:rsidRPr="00924A44">
        <w:t xml:space="preserve"> </w:t>
      </w:r>
      <w:r w:rsidR="0076128F">
        <w:t xml:space="preserve">to support the IGC </w:t>
      </w:r>
      <w:proofErr w:type="gramStart"/>
      <w:r w:rsidR="0076128F">
        <w:t>process in</w:t>
      </w:r>
      <w:r w:rsidR="009917E4" w:rsidRPr="00924A44">
        <w:t xml:space="preserve"> the 2016/17 b</w:t>
      </w:r>
      <w:r w:rsidR="0076128F">
        <w:t>iennium are</w:t>
      </w:r>
      <w:proofErr w:type="gramEnd"/>
      <w:r w:rsidR="0076128F">
        <w:t xml:space="preserve"> consistent with the resources budgeted in</w:t>
      </w:r>
      <w:r w:rsidR="009917E4" w:rsidRPr="00924A44">
        <w:t xml:space="preserve"> 2014/15.  In 2016/17, the provision for a possible Diplomatic Conference is reflected under Unallocated.</w:t>
      </w:r>
    </w:p>
    <w:p w:rsidR="009A0CE7" w:rsidRPr="00924A44" w:rsidRDefault="009A0CE7" w:rsidP="00203CC7"/>
    <w:p w:rsidR="0054119F" w:rsidRPr="00924A44" w:rsidRDefault="0054119F" w:rsidP="00203CC7">
      <w:pPr>
        <w:spacing w:before="120"/>
        <w:rPr>
          <w:b/>
        </w:rPr>
      </w:pPr>
    </w:p>
    <w:p w:rsidR="003D469B" w:rsidRPr="00924A44" w:rsidRDefault="003D469B" w:rsidP="00203CC7">
      <w:pPr>
        <w:keepNext/>
        <w:keepLines/>
        <w:rPr>
          <w:sz w:val="24"/>
          <w:szCs w:val="24"/>
        </w:rPr>
      </w:pPr>
      <w:r w:rsidRPr="00924A44">
        <w:rPr>
          <w:sz w:val="24"/>
          <w:szCs w:val="24"/>
        </w:rPr>
        <w:t xml:space="preserve">STRATEGIC GOAL II: PROVISION OF PREMIER GLOBAL IP SERVICES </w:t>
      </w:r>
    </w:p>
    <w:p w:rsidR="004329E3" w:rsidRPr="00924A44" w:rsidRDefault="004329E3" w:rsidP="00203CC7">
      <w:pPr>
        <w:rPr>
          <w:b/>
          <w:u w:val="single"/>
        </w:rPr>
      </w:pPr>
    </w:p>
    <w:p w:rsidR="003D469B" w:rsidRPr="00924A44" w:rsidRDefault="003D469B" w:rsidP="00203CC7">
      <w:pPr>
        <w:rPr>
          <w:b/>
        </w:rPr>
      </w:pPr>
      <w:r w:rsidRPr="00924A44">
        <w:rPr>
          <w:b/>
        </w:rPr>
        <w:t>Q1: Usage of the Hague System is likely to significantly increase in 2016/17.  Why is there no proposed increase in resources proposed for the Hague System?</w:t>
      </w:r>
    </w:p>
    <w:p w:rsidR="003D469B" w:rsidRPr="00924A44" w:rsidRDefault="003D469B" w:rsidP="00203CC7">
      <w:r w:rsidRPr="00924A44">
        <w:t xml:space="preserve"> </w:t>
      </w:r>
    </w:p>
    <w:p w:rsidR="003D469B" w:rsidRPr="00924A44" w:rsidRDefault="008C26E8" w:rsidP="00203CC7">
      <w:r w:rsidRPr="00924A44">
        <w:t xml:space="preserve">A1: </w:t>
      </w:r>
      <w:r w:rsidR="009917E4" w:rsidRPr="00924A44">
        <w:t>The</w:t>
      </w:r>
      <w:r w:rsidR="003B0AF5" w:rsidRPr="00924A44">
        <w:t xml:space="preserve"> 2016/17</w:t>
      </w:r>
      <w:r w:rsidR="009917E4" w:rsidRPr="00924A44">
        <w:t xml:space="preserve"> </w:t>
      </w:r>
      <w:r w:rsidR="005E5A91">
        <w:t xml:space="preserve">budgeted </w:t>
      </w:r>
      <w:r w:rsidR="009917E4" w:rsidRPr="00924A44">
        <w:t>resource</w:t>
      </w:r>
      <w:r w:rsidR="005E5A91">
        <w:t>s</w:t>
      </w:r>
      <w:r w:rsidR="009917E4" w:rsidRPr="00924A44">
        <w:t xml:space="preserve"> for the Hague System is based on the </w:t>
      </w:r>
      <w:r w:rsidR="000F24B5">
        <w:t xml:space="preserve">actual </w:t>
      </w:r>
      <w:r w:rsidR="009917E4" w:rsidRPr="00924A44">
        <w:t xml:space="preserve">budget utilization rate in 2014/15 and </w:t>
      </w:r>
      <w:r w:rsidR="005E5A91">
        <w:t xml:space="preserve">takes duly into account </w:t>
      </w:r>
      <w:r w:rsidR="000F24B5">
        <w:t xml:space="preserve">the anticipated workload based on </w:t>
      </w:r>
      <w:r w:rsidR="009917E4" w:rsidRPr="00924A44">
        <w:t xml:space="preserve">the </w:t>
      </w:r>
      <w:r w:rsidR="000F24B5">
        <w:t>projected</w:t>
      </w:r>
      <w:r w:rsidR="009917E4" w:rsidRPr="00924A44">
        <w:t xml:space="preserve"> growth</w:t>
      </w:r>
      <w:r w:rsidR="005E5A91">
        <w:t xml:space="preserve"> in the number of </w:t>
      </w:r>
      <w:r w:rsidR="000F24B5">
        <w:t>registrations and renewals (as reflected in Table 2 “Estimates for Demand for Services under the PCT, Madrid and Hague Systems”)</w:t>
      </w:r>
      <w:r w:rsidR="009917E4" w:rsidRPr="00924A44">
        <w:t>.</w:t>
      </w:r>
      <w:r w:rsidR="000F24B5">
        <w:t xml:space="preserve"> It should also be noted that, at the time of preparing the proposed Program and Budget, a number of regularizations of continuing examiner functions, were still pending in Program 31. When implemented, these would result in an increase in the number of posts in the Program. </w:t>
      </w:r>
    </w:p>
    <w:p w:rsidR="008C26E8" w:rsidRPr="00924A44" w:rsidRDefault="008C26E8" w:rsidP="00203CC7"/>
    <w:p w:rsidR="005E5A91" w:rsidRDefault="005E5A91" w:rsidP="00203CC7">
      <w:pPr>
        <w:rPr>
          <w:b/>
        </w:rPr>
      </w:pPr>
    </w:p>
    <w:p w:rsidR="003D469B" w:rsidRPr="000B384F" w:rsidRDefault="003D469B" w:rsidP="00203CC7">
      <w:pPr>
        <w:rPr>
          <w:b/>
        </w:rPr>
      </w:pPr>
      <w:r w:rsidRPr="000B384F">
        <w:rPr>
          <w:b/>
        </w:rPr>
        <w:t>Q2: The proposed budget for Program 6</w:t>
      </w:r>
      <w:r w:rsidRPr="000B384F">
        <w:rPr>
          <w:b/>
          <w:i/>
        </w:rPr>
        <w:t xml:space="preserve"> </w:t>
      </w:r>
      <w:r w:rsidRPr="000B384F">
        <w:rPr>
          <w:b/>
        </w:rPr>
        <w:t>includes a single budget figure for both</w:t>
      </w:r>
      <w:r w:rsidR="000B384F" w:rsidRPr="000B384F">
        <w:rPr>
          <w:b/>
        </w:rPr>
        <w:t xml:space="preserve"> the Madrid and Lisbon</w:t>
      </w:r>
      <w:r w:rsidRPr="000B384F">
        <w:rPr>
          <w:b/>
        </w:rPr>
        <w:t xml:space="preserve"> systems. Can you give the breakdown of the budget figures for both systems? </w:t>
      </w:r>
    </w:p>
    <w:p w:rsidR="003D469B" w:rsidRPr="000B384F" w:rsidRDefault="003D469B" w:rsidP="00203CC7"/>
    <w:p w:rsidR="007B6F22" w:rsidRDefault="008C26E8" w:rsidP="00203CC7">
      <w:r w:rsidRPr="000B384F">
        <w:t xml:space="preserve">A2: </w:t>
      </w:r>
      <w:r w:rsidR="000B384F" w:rsidRPr="000B384F">
        <w:t>O</w:t>
      </w:r>
      <w:r w:rsidR="007B6F22" w:rsidRPr="000B384F">
        <w:t xml:space="preserve">f the total budget of 59.4 million Swiss francs for Program 6, </w:t>
      </w:r>
      <w:r w:rsidR="000B384F" w:rsidRPr="000B384F">
        <w:t xml:space="preserve">a total of </w:t>
      </w:r>
      <w:r w:rsidR="007B6F22" w:rsidRPr="000B384F">
        <w:t xml:space="preserve">58.1 million Swiss francs </w:t>
      </w:r>
      <w:proofErr w:type="gramStart"/>
      <w:r w:rsidR="007B6F22" w:rsidRPr="000B384F">
        <w:t>is</w:t>
      </w:r>
      <w:proofErr w:type="gramEnd"/>
      <w:r w:rsidR="007B6F22" w:rsidRPr="000B384F">
        <w:t xml:space="preserve"> </w:t>
      </w:r>
      <w:r w:rsidR="000B384F" w:rsidRPr="000B384F">
        <w:t xml:space="preserve">attributable to </w:t>
      </w:r>
      <w:r w:rsidR="007B6F22" w:rsidRPr="000B384F">
        <w:t xml:space="preserve">Madrid and 1.3 million Swiss francs </w:t>
      </w:r>
      <w:r w:rsidR="000B384F" w:rsidRPr="000B384F">
        <w:t>to</w:t>
      </w:r>
      <w:r w:rsidR="007B6F22" w:rsidRPr="000B384F">
        <w:t xml:space="preserve"> Lisbon.</w:t>
      </w:r>
    </w:p>
    <w:p w:rsidR="003D469B" w:rsidRPr="00924A44" w:rsidRDefault="003D469B" w:rsidP="00203CC7"/>
    <w:p w:rsidR="008C26E8" w:rsidRPr="00924A44" w:rsidRDefault="008C26E8" w:rsidP="00203CC7">
      <w:pPr>
        <w:rPr>
          <w:b/>
          <w:u w:val="single"/>
        </w:rPr>
      </w:pPr>
    </w:p>
    <w:p w:rsidR="00B328D8" w:rsidRPr="00671B9C" w:rsidRDefault="00B328D8" w:rsidP="00203CC7">
      <w:pPr>
        <w:rPr>
          <w:b/>
        </w:rPr>
      </w:pPr>
      <w:r w:rsidRPr="00671B9C">
        <w:rPr>
          <w:b/>
        </w:rPr>
        <w:t>Q3: Why are the performance indicators for “improved productivity and service quality” of the PCT, Hague, Madrid and Lisbon systems not the same?</w:t>
      </w:r>
    </w:p>
    <w:p w:rsidR="00B328D8" w:rsidRPr="00671B9C" w:rsidRDefault="00B328D8" w:rsidP="00203CC7">
      <w:pPr>
        <w:rPr>
          <w:b/>
        </w:rPr>
      </w:pPr>
    </w:p>
    <w:p w:rsidR="00B328D8" w:rsidRPr="00924A44" w:rsidRDefault="00B328D8" w:rsidP="00203CC7">
      <w:r w:rsidRPr="00671B9C">
        <w:t xml:space="preserve">A3: </w:t>
      </w:r>
      <w:r w:rsidR="00537E52" w:rsidRPr="00671B9C">
        <w:t>Taking into consideration the particularities and individual requirements of each System, as well as the varying maturity levels, the performance indicators for "improved productivity and service quality" of the PCT, Hague, Madrid and Lisbon Systems are defined to reflect the most relevant metrics for each System in the 2016/17 biennium.</w:t>
      </w:r>
    </w:p>
    <w:p w:rsidR="00BB0F4A" w:rsidRDefault="00BB0F4A" w:rsidP="00203CC7">
      <w:pPr>
        <w:rPr>
          <w:b/>
        </w:rPr>
      </w:pPr>
    </w:p>
    <w:p w:rsidR="000B384F" w:rsidRPr="00924A44" w:rsidRDefault="000B384F" w:rsidP="00203CC7">
      <w:pPr>
        <w:rPr>
          <w:b/>
        </w:rPr>
      </w:pPr>
    </w:p>
    <w:p w:rsidR="00BB0F4A" w:rsidRPr="00924A44" w:rsidRDefault="00BB0F4A" w:rsidP="00203CC7">
      <w:pPr>
        <w:keepNext/>
        <w:keepLines/>
        <w:rPr>
          <w:b/>
        </w:rPr>
      </w:pPr>
      <w:r w:rsidRPr="00924A44">
        <w:rPr>
          <w:b/>
        </w:rPr>
        <w:lastRenderedPageBreak/>
        <w:t>Q4: In the Results Framework for Program 6, what is meant by the Performance Indicator “Filing Rate”?</w:t>
      </w:r>
    </w:p>
    <w:p w:rsidR="00BB0F4A" w:rsidRPr="00924A44" w:rsidRDefault="00BB0F4A" w:rsidP="00203CC7">
      <w:pPr>
        <w:keepNext/>
        <w:keepLines/>
        <w:rPr>
          <w:b/>
        </w:rPr>
      </w:pPr>
    </w:p>
    <w:p w:rsidR="00BB0F4A" w:rsidRPr="00924A44" w:rsidRDefault="00BB0F4A" w:rsidP="00203CC7">
      <w:pPr>
        <w:keepNext/>
        <w:keepLines/>
      </w:pPr>
      <w:r w:rsidRPr="00924A44">
        <w:t xml:space="preserve">A4: </w:t>
      </w:r>
      <w:r w:rsidR="002F00FA" w:rsidRPr="00924A44">
        <w:t xml:space="preserve"> </w:t>
      </w:r>
      <w:r w:rsidRPr="00924A44">
        <w:t>The filing rate for the Madrid System refers to the number of applications filed in a given year.  For example, 47,885 applications were filed in 2014, which represents a 2.3 per cent increase in the filing rate over 2013.</w:t>
      </w:r>
    </w:p>
    <w:p w:rsidR="00BB0F4A" w:rsidRPr="00924A44" w:rsidRDefault="00BB0F4A" w:rsidP="00203CC7">
      <w:pPr>
        <w:rPr>
          <w:b/>
        </w:rPr>
      </w:pPr>
    </w:p>
    <w:p w:rsidR="000B384F" w:rsidRDefault="000B384F" w:rsidP="00203CC7">
      <w:pPr>
        <w:rPr>
          <w:b/>
        </w:rPr>
      </w:pPr>
    </w:p>
    <w:p w:rsidR="002F00FA" w:rsidRPr="00924A44" w:rsidRDefault="002F00FA" w:rsidP="00203CC7">
      <w:pPr>
        <w:rPr>
          <w:b/>
        </w:rPr>
      </w:pPr>
      <w:r w:rsidRPr="00924A44">
        <w:rPr>
          <w:b/>
        </w:rPr>
        <w:t>Q5: In the Results Framework for Program 6, how are the Performance Indicators for the Madrid System and the Lisbon System differentiated?</w:t>
      </w:r>
    </w:p>
    <w:p w:rsidR="002F00FA" w:rsidRPr="00924A44" w:rsidRDefault="002F00FA" w:rsidP="00203CC7">
      <w:pPr>
        <w:rPr>
          <w:b/>
        </w:rPr>
      </w:pPr>
    </w:p>
    <w:p w:rsidR="002F00FA" w:rsidRPr="00924A44" w:rsidRDefault="002F00FA" w:rsidP="00203CC7">
      <w:r w:rsidRPr="00924A44">
        <w:t xml:space="preserve">A5:  In the Results Framework for Program 6, for each Expected Result, the Performance Indicators for the Madrid System are listed first, followed by the Performance Indicators for the Lisbon System.  For the Lisbon System, </w:t>
      </w:r>
      <w:r w:rsidR="009E4BAD">
        <w:t xml:space="preserve">wherever relevant, </w:t>
      </w:r>
      <w:r w:rsidRPr="00924A44">
        <w:t xml:space="preserve">there is a </w:t>
      </w:r>
      <w:r w:rsidR="009E4BAD">
        <w:t xml:space="preserve">specific </w:t>
      </w:r>
      <w:r w:rsidRPr="00924A44">
        <w:t xml:space="preserve">reference to Lisbon in the Performance Indicator description, baseline and/or target.  </w:t>
      </w:r>
    </w:p>
    <w:p w:rsidR="00F364D6" w:rsidRDefault="00F364D6" w:rsidP="00203CC7">
      <w:pPr>
        <w:rPr>
          <w:b/>
        </w:rPr>
      </w:pPr>
    </w:p>
    <w:p w:rsidR="00F364D6" w:rsidRDefault="00F364D6" w:rsidP="00203CC7">
      <w:pPr>
        <w:rPr>
          <w:b/>
        </w:rPr>
      </w:pPr>
    </w:p>
    <w:p w:rsidR="00A74F4B" w:rsidRPr="000620CD" w:rsidRDefault="00A74F4B" w:rsidP="00203CC7">
      <w:pPr>
        <w:rPr>
          <w:b/>
          <w:szCs w:val="22"/>
        </w:rPr>
      </w:pPr>
      <w:r w:rsidRPr="000620CD">
        <w:rPr>
          <w:b/>
          <w:szCs w:val="22"/>
        </w:rPr>
        <w:t>Q</w:t>
      </w:r>
      <w:r w:rsidR="00671B9C" w:rsidRPr="000620CD">
        <w:rPr>
          <w:b/>
          <w:szCs w:val="22"/>
        </w:rPr>
        <w:t>6</w:t>
      </w:r>
      <w:r w:rsidRPr="000620CD">
        <w:rPr>
          <w:b/>
          <w:szCs w:val="22"/>
        </w:rPr>
        <w:t>: In the Results Framework for Program 6, do the Performance Indicators for client satisfaction, unit cost, timeliness of transactions (days) and quality refer to both the Madrid and Lisbon Systems?</w:t>
      </w:r>
    </w:p>
    <w:p w:rsidR="00A74F4B" w:rsidRPr="000620CD" w:rsidRDefault="00A74F4B" w:rsidP="00203CC7">
      <w:pPr>
        <w:rPr>
          <w:b/>
          <w:szCs w:val="22"/>
        </w:rPr>
      </w:pPr>
    </w:p>
    <w:p w:rsidR="00A74F4B" w:rsidRPr="000620CD" w:rsidRDefault="00A74F4B" w:rsidP="00203CC7">
      <w:pPr>
        <w:rPr>
          <w:szCs w:val="22"/>
        </w:rPr>
      </w:pPr>
      <w:r w:rsidRPr="000620CD">
        <w:rPr>
          <w:szCs w:val="22"/>
        </w:rPr>
        <w:t>A</w:t>
      </w:r>
      <w:r w:rsidR="00671B9C" w:rsidRPr="000620CD">
        <w:rPr>
          <w:szCs w:val="22"/>
        </w:rPr>
        <w:t>6</w:t>
      </w:r>
      <w:r w:rsidRPr="000620CD">
        <w:rPr>
          <w:szCs w:val="22"/>
        </w:rPr>
        <w:t>:  The metrics for client satisfaction, unit cost, timeliness of transactions (days) and quality in the Results Framework for Program 6 refer only to the Madrid System.</w:t>
      </w:r>
    </w:p>
    <w:p w:rsidR="005F5015" w:rsidRPr="000620CD" w:rsidRDefault="005F5015" w:rsidP="00203CC7">
      <w:pPr>
        <w:rPr>
          <w:szCs w:val="22"/>
        </w:rPr>
      </w:pPr>
    </w:p>
    <w:p w:rsidR="000620CD" w:rsidRPr="000620CD" w:rsidRDefault="000620CD" w:rsidP="00203CC7">
      <w:pPr>
        <w:rPr>
          <w:b/>
          <w:szCs w:val="22"/>
        </w:rPr>
      </w:pPr>
    </w:p>
    <w:p w:rsidR="00D93934" w:rsidRPr="000620CD" w:rsidRDefault="00D93934" w:rsidP="00203CC7">
      <w:pPr>
        <w:rPr>
          <w:b/>
          <w:szCs w:val="22"/>
        </w:rPr>
      </w:pPr>
      <w:r w:rsidRPr="000620CD">
        <w:rPr>
          <w:b/>
          <w:szCs w:val="22"/>
        </w:rPr>
        <w:t xml:space="preserve">Q7: </w:t>
      </w:r>
      <w:r w:rsidR="00412138" w:rsidRPr="000620CD">
        <w:rPr>
          <w:b/>
          <w:szCs w:val="22"/>
        </w:rPr>
        <w:t>Can the Secretariat provide a visual representation if the Lisbon System were to be split in to a separate program?</w:t>
      </w:r>
    </w:p>
    <w:p w:rsidR="00D93934" w:rsidRPr="000620CD" w:rsidRDefault="00D93934" w:rsidP="00203CC7">
      <w:pPr>
        <w:rPr>
          <w:b/>
          <w:szCs w:val="22"/>
        </w:rPr>
      </w:pPr>
    </w:p>
    <w:p w:rsidR="00D93934" w:rsidRPr="000620CD" w:rsidRDefault="00D93934" w:rsidP="00203CC7">
      <w:pPr>
        <w:rPr>
          <w:szCs w:val="22"/>
        </w:rPr>
      </w:pPr>
      <w:r w:rsidRPr="000620CD">
        <w:rPr>
          <w:szCs w:val="22"/>
        </w:rPr>
        <w:t xml:space="preserve">A7:  This scenario is presented in Annex I. </w:t>
      </w:r>
    </w:p>
    <w:p w:rsidR="00D93934" w:rsidRPr="000620CD" w:rsidRDefault="00D93934" w:rsidP="00203CC7">
      <w:pPr>
        <w:rPr>
          <w:szCs w:val="22"/>
        </w:rPr>
      </w:pPr>
    </w:p>
    <w:p w:rsidR="00DC4D2D" w:rsidRPr="000620CD" w:rsidRDefault="00DC4D2D" w:rsidP="00203CC7">
      <w:pPr>
        <w:rPr>
          <w:szCs w:val="22"/>
        </w:rPr>
      </w:pPr>
    </w:p>
    <w:p w:rsidR="00DC4D2D" w:rsidRPr="000620CD" w:rsidRDefault="00DC4D2D" w:rsidP="00203CC7">
      <w:pPr>
        <w:rPr>
          <w:b/>
          <w:szCs w:val="22"/>
        </w:rPr>
      </w:pPr>
      <w:r w:rsidRPr="000620CD">
        <w:rPr>
          <w:b/>
          <w:szCs w:val="22"/>
        </w:rPr>
        <w:t>Q8: Table 2, “Estimates for Demand for Services under the PCT, Madrid and Hague Systems” provides estimates for demand for services for three of the four registration systems maintained by WIPO. Why not all four?</w:t>
      </w:r>
    </w:p>
    <w:p w:rsidR="00DC4D2D" w:rsidRPr="000620CD" w:rsidRDefault="00DC4D2D" w:rsidP="00203CC7">
      <w:pPr>
        <w:rPr>
          <w:szCs w:val="22"/>
        </w:rPr>
      </w:pPr>
    </w:p>
    <w:p w:rsidR="00DC4D2D" w:rsidRPr="000620CD" w:rsidRDefault="00DC4D2D" w:rsidP="00203CC7">
      <w:pPr>
        <w:tabs>
          <w:tab w:val="left" w:pos="800"/>
        </w:tabs>
        <w:ind w:hanging="8"/>
        <w:rPr>
          <w:szCs w:val="22"/>
        </w:rPr>
      </w:pPr>
      <w:r w:rsidRPr="000620CD">
        <w:rPr>
          <w:szCs w:val="22"/>
        </w:rPr>
        <w:t>A</w:t>
      </w:r>
      <w:r w:rsidR="002B62D4" w:rsidRPr="000620CD">
        <w:rPr>
          <w:szCs w:val="22"/>
        </w:rPr>
        <w:t>8</w:t>
      </w:r>
      <w:r w:rsidRPr="000620CD">
        <w:rPr>
          <w:szCs w:val="22"/>
        </w:rPr>
        <w:t xml:space="preserve">: The estimates for the Lisbon System have not been provided because the figures are very small. However, the request can be accommodated. Since the figures are very small, it would require the addition of several footnotes in Table 2. Income estimates for Lisbon are included in the footnote to Table 3.  </w:t>
      </w:r>
    </w:p>
    <w:p w:rsidR="00DC4D2D" w:rsidRPr="000620CD" w:rsidRDefault="00DC4D2D" w:rsidP="00203CC7">
      <w:pPr>
        <w:ind w:left="426" w:hanging="8"/>
        <w:rPr>
          <w:szCs w:val="22"/>
        </w:rPr>
      </w:pPr>
    </w:p>
    <w:p w:rsidR="002B62D4" w:rsidRPr="000620CD" w:rsidRDefault="002B62D4" w:rsidP="00203CC7">
      <w:pPr>
        <w:rPr>
          <w:szCs w:val="22"/>
        </w:rPr>
      </w:pPr>
    </w:p>
    <w:p w:rsidR="002B62D4" w:rsidRPr="000620CD" w:rsidRDefault="002B62D4" w:rsidP="00203CC7">
      <w:pPr>
        <w:tabs>
          <w:tab w:val="left" w:pos="800"/>
        </w:tabs>
        <w:rPr>
          <w:b/>
          <w:szCs w:val="22"/>
        </w:rPr>
      </w:pPr>
      <w:r w:rsidRPr="000620CD">
        <w:rPr>
          <w:b/>
          <w:szCs w:val="22"/>
        </w:rPr>
        <w:t xml:space="preserve">Q9: According to Article 24 of the Geneva Act of the Lisbon Agreement on Appellations of Origin and Geographical Indications, “[t]he income and expenses of the Special Union shall be reflected in the budget of the Organization in a fair and transparent manner.” Why </w:t>
      </w:r>
      <w:proofErr w:type="gramStart"/>
      <w:r w:rsidRPr="000620CD">
        <w:rPr>
          <w:b/>
          <w:szCs w:val="22"/>
        </w:rPr>
        <w:t>does</w:t>
      </w:r>
      <w:proofErr w:type="gramEnd"/>
      <w:r w:rsidRPr="000620CD">
        <w:rPr>
          <w:b/>
          <w:szCs w:val="22"/>
        </w:rPr>
        <w:t xml:space="preserve"> the Draft Proposed Program and Budget Report co-mingle income and expenses of the Lisbon Union with those of the Madrid Union?</w:t>
      </w:r>
    </w:p>
    <w:p w:rsidR="002B62D4" w:rsidRPr="000620CD" w:rsidRDefault="002B62D4" w:rsidP="00203CC7">
      <w:pPr>
        <w:rPr>
          <w:b/>
          <w:szCs w:val="22"/>
        </w:rPr>
      </w:pPr>
    </w:p>
    <w:p w:rsidR="002B62D4" w:rsidRPr="000620CD" w:rsidRDefault="002B62D4" w:rsidP="00203CC7">
      <w:pPr>
        <w:rPr>
          <w:szCs w:val="22"/>
        </w:rPr>
      </w:pPr>
      <w:r w:rsidRPr="000620CD">
        <w:rPr>
          <w:szCs w:val="22"/>
        </w:rPr>
        <w:t xml:space="preserve">A9: The income and expenditure by Union are reflected in accordance with the current methodology for the allocation of income and expenditure by Unions described in Annex III.  The income and expenditure for </w:t>
      </w:r>
      <w:r w:rsidR="006F18ED" w:rsidRPr="000620CD">
        <w:rPr>
          <w:szCs w:val="22"/>
        </w:rPr>
        <w:t xml:space="preserve">the </w:t>
      </w:r>
      <w:r w:rsidRPr="000620CD">
        <w:rPr>
          <w:szCs w:val="22"/>
        </w:rPr>
        <w:t xml:space="preserve">Madrid and Lisbon </w:t>
      </w:r>
      <w:r w:rsidR="006F18ED" w:rsidRPr="000620CD">
        <w:rPr>
          <w:szCs w:val="22"/>
        </w:rPr>
        <w:t xml:space="preserve">Unions </w:t>
      </w:r>
      <w:r w:rsidRPr="000620CD">
        <w:rPr>
          <w:szCs w:val="22"/>
        </w:rPr>
        <w:t xml:space="preserve">are </w:t>
      </w:r>
      <w:r w:rsidR="006F18ED" w:rsidRPr="000620CD">
        <w:rPr>
          <w:szCs w:val="22"/>
        </w:rPr>
        <w:t xml:space="preserve">showed </w:t>
      </w:r>
      <w:r w:rsidRPr="000620CD">
        <w:rPr>
          <w:szCs w:val="22"/>
        </w:rPr>
        <w:t>separate</w:t>
      </w:r>
      <w:r w:rsidR="006F18ED" w:rsidRPr="000620CD">
        <w:rPr>
          <w:szCs w:val="22"/>
        </w:rPr>
        <w:t>ly in accordance with the methodology</w:t>
      </w:r>
      <w:r w:rsidRPr="000620CD">
        <w:rPr>
          <w:szCs w:val="22"/>
        </w:rPr>
        <w:t>.</w:t>
      </w:r>
    </w:p>
    <w:p w:rsidR="00DC4D2D" w:rsidRPr="000620CD" w:rsidRDefault="00DC4D2D" w:rsidP="00203CC7">
      <w:pPr>
        <w:rPr>
          <w:szCs w:val="22"/>
        </w:rPr>
      </w:pPr>
    </w:p>
    <w:p w:rsidR="00004246" w:rsidRPr="000620CD" w:rsidRDefault="00004246" w:rsidP="00203CC7">
      <w:pPr>
        <w:rPr>
          <w:szCs w:val="22"/>
        </w:rPr>
      </w:pPr>
    </w:p>
    <w:p w:rsidR="00004246" w:rsidRPr="000620CD" w:rsidRDefault="00004246" w:rsidP="00203CC7">
      <w:pPr>
        <w:tabs>
          <w:tab w:val="left" w:pos="0"/>
        </w:tabs>
        <w:rPr>
          <w:b/>
          <w:szCs w:val="22"/>
        </w:rPr>
      </w:pPr>
      <w:r w:rsidRPr="000620CD">
        <w:rPr>
          <w:b/>
          <w:szCs w:val="22"/>
        </w:rPr>
        <w:t>Q10: Does the Lisbon System rely on the Madrid System’s revenues to cover the costs of the System?</w:t>
      </w:r>
    </w:p>
    <w:p w:rsidR="00004246" w:rsidRPr="000620CD" w:rsidRDefault="00004246" w:rsidP="00203CC7">
      <w:pPr>
        <w:rPr>
          <w:szCs w:val="22"/>
        </w:rPr>
      </w:pPr>
    </w:p>
    <w:p w:rsidR="00004246" w:rsidRPr="000620CD" w:rsidRDefault="00B00FB7" w:rsidP="00203CC7">
      <w:pPr>
        <w:rPr>
          <w:szCs w:val="22"/>
        </w:rPr>
      </w:pPr>
      <w:r w:rsidRPr="000620CD">
        <w:rPr>
          <w:szCs w:val="22"/>
        </w:rPr>
        <w:t xml:space="preserve">A10: </w:t>
      </w:r>
      <w:r w:rsidR="00004246" w:rsidRPr="000620CD">
        <w:rPr>
          <w:szCs w:val="22"/>
        </w:rPr>
        <w:t>The income for each Union is clearly separated.</w:t>
      </w:r>
      <w:r w:rsidR="009417B0" w:rsidRPr="000620CD">
        <w:rPr>
          <w:szCs w:val="22"/>
        </w:rPr>
        <w:t xml:space="preserve"> </w:t>
      </w:r>
      <w:r w:rsidR="00004246" w:rsidRPr="000620CD">
        <w:rPr>
          <w:szCs w:val="22"/>
        </w:rPr>
        <w:t xml:space="preserve">The income allocated to the Madrid Union comprises Madrid System fee income, rental from the Madrid union building, </w:t>
      </w:r>
      <w:proofErr w:type="gramStart"/>
      <w:r w:rsidR="00004246" w:rsidRPr="000620CD">
        <w:rPr>
          <w:szCs w:val="22"/>
        </w:rPr>
        <w:t>small</w:t>
      </w:r>
      <w:proofErr w:type="gramEnd"/>
      <w:r w:rsidR="00004246" w:rsidRPr="000620CD">
        <w:rPr>
          <w:szCs w:val="22"/>
        </w:rPr>
        <w:t xml:space="preserve"> portion of </w:t>
      </w:r>
      <w:r w:rsidR="00004246" w:rsidRPr="000620CD">
        <w:rPr>
          <w:szCs w:val="22"/>
        </w:rPr>
        <w:lastRenderedPageBreak/>
        <w:t xml:space="preserve">income </w:t>
      </w:r>
      <w:r w:rsidR="009417B0" w:rsidRPr="000620CD">
        <w:rPr>
          <w:szCs w:val="22"/>
        </w:rPr>
        <w:t xml:space="preserve">from the Arbitration and Mediation Center </w:t>
      </w:r>
      <w:r w:rsidR="00004246" w:rsidRPr="000620CD">
        <w:rPr>
          <w:szCs w:val="22"/>
        </w:rPr>
        <w:t>as well as share of Other Income which is equally distributed to each Union.</w:t>
      </w:r>
    </w:p>
    <w:p w:rsidR="00004246" w:rsidRPr="000620CD" w:rsidRDefault="00004246" w:rsidP="00203CC7">
      <w:pPr>
        <w:rPr>
          <w:szCs w:val="22"/>
        </w:rPr>
      </w:pPr>
    </w:p>
    <w:p w:rsidR="00004246" w:rsidRPr="000620CD" w:rsidRDefault="00004246" w:rsidP="00203CC7">
      <w:pPr>
        <w:rPr>
          <w:szCs w:val="22"/>
        </w:rPr>
      </w:pPr>
      <w:r w:rsidRPr="000620CD">
        <w:rPr>
          <w:szCs w:val="22"/>
        </w:rPr>
        <w:t xml:space="preserve">The income allocated to the Lisbon Union comprises Lisbon fee income, small portion of AMC income as well as share of Other Income which is equally distributed to each Union. </w:t>
      </w:r>
    </w:p>
    <w:p w:rsidR="009417B0" w:rsidRPr="000620CD" w:rsidRDefault="009417B0" w:rsidP="00203CC7">
      <w:pPr>
        <w:rPr>
          <w:szCs w:val="22"/>
        </w:rPr>
      </w:pPr>
    </w:p>
    <w:p w:rsidR="009417B0" w:rsidRPr="000620CD" w:rsidRDefault="009417B0" w:rsidP="00203CC7">
      <w:pPr>
        <w:rPr>
          <w:szCs w:val="22"/>
        </w:rPr>
      </w:pPr>
    </w:p>
    <w:p w:rsidR="009417B0" w:rsidRPr="000620CD" w:rsidRDefault="009417B0" w:rsidP="00203CC7">
      <w:pPr>
        <w:tabs>
          <w:tab w:val="left" w:pos="800"/>
        </w:tabs>
        <w:rPr>
          <w:b/>
          <w:szCs w:val="22"/>
        </w:rPr>
      </w:pPr>
      <w:r w:rsidRPr="000620CD">
        <w:rPr>
          <w:b/>
          <w:szCs w:val="22"/>
        </w:rPr>
        <w:t xml:space="preserve">Q11: Table 6 “Development Expenditures in 2016/17 by Program” lists “Program 6” as the “Madrid and Lisbon Systems” and includes a single budget figure for both systems. Can the development expenditure figures be separated for the two systems? </w:t>
      </w:r>
    </w:p>
    <w:p w:rsidR="009417B0" w:rsidRPr="000620CD" w:rsidRDefault="009417B0" w:rsidP="00203CC7">
      <w:pPr>
        <w:tabs>
          <w:tab w:val="left" w:pos="800"/>
        </w:tabs>
        <w:ind w:left="800" w:hanging="360"/>
        <w:rPr>
          <w:rFonts w:eastAsia="Times New Roman"/>
          <w:szCs w:val="22"/>
        </w:rPr>
      </w:pPr>
    </w:p>
    <w:p w:rsidR="009417B0" w:rsidRPr="000620CD" w:rsidRDefault="009417B0" w:rsidP="00203CC7">
      <w:pPr>
        <w:tabs>
          <w:tab w:val="left" w:pos="800"/>
        </w:tabs>
        <w:rPr>
          <w:szCs w:val="22"/>
        </w:rPr>
      </w:pPr>
      <w:r w:rsidRPr="000620CD">
        <w:rPr>
          <w:szCs w:val="22"/>
        </w:rPr>
        <w:t>A11: If the Program is separated into two separate Programs for the Madrid System and the Lisbon System, the development expenditure will be shown separately for the two new Programs.</w:t>
      </w:r>
    </w:p>
    <w:p w:rsidR="00E15A7A" w:rsidRPr="000620CD" w:rsidRDefault="00E15A7A" w:rsidP="00203CC7">
      <w:pPr>
        <w:rPr>
          <w:szCs w:val="22"/>
        </w:rPr>
      </w:pPr>
    </w:p>
    <w:p w:rsidR="000620CD" w:rsidRDefault="000620CD" w:rsidP="00203CC7">
      <w:pPr>
        <w:tabs>
          <w:tab w:val="left" w:pos="800"/>
        </w:tabs>
        <w:rPr>
          <w:b/>
          <w:szCs w:val="22"/>
        </w:rPr>
      </w:pPr>
    </w:p>
    <w:p w:rsidR="00E15A7A" w:rsidRPr="000620CD" w:rsidRDefault="00E15A7A" w:rsidP="00203CC7">
      <w:pPr>
        <w:tabs>
          <w:tab w:val="left" w:pos="800"/>
        </w:tabs>
        <w:rPr>
          <w:b/>
          <w:szCs w:val="22"/>
        </w:rPr>
      </w:pPr>
      <w:r w:rsidRPr="000620CD">
        <w:rPr>
          <w:b/>
          <w:szCs w:val="22"/>
        </w:rPr>
        <w:t xml:space="preserve">Q12: At the PBC meetings in 2013 where funding for a diplomatic conference for the adoption of a New Act of the Lisbon Agreement was discussed, we </w:t>
      </w:r>
      <w:r w:rsidR="00AC5573" w:rsidRPr="000620CD">
        <w:rPr>
          <w:b/>
          <w:szCs w:val="22"/>
        </w:rPr>
        <w:t>were</w:t>
      </w:r>
      <w:r w:rsidRPr="000620CD">
        <w:rPr>
          <w:b/>
          <w:szCs w:val="22"/>
        </w:rPr>
        <w:t xml:space="preserve"> told by the Lisbon Union Secretariat that the diplomatic conference would be open to full participation by all WIPO members as the Geneva Act of the Hague Agreement had been.</w:t>
      </w:r>
    </w:p>
    <w:p w:rsidR="00E15A7A" w:rsidRPr="000620CD" w:rsidRDefault="00E15A7A" w:rsidP="00203CC7">
      <w:pPr>
        <w:rPr>
          <w:szCs w:val="22"/>
          <w:highlight w:val="yellow"/>
        </w:rPr>
      </w:pPr>
    </w:p>
    <w:p w:rsidR="00E15A7A" w:rsidRPr="000620CD" w:rsidRDefault="00E15A7A" w:rsidP="00203CC7">
      <w:pPr>
        <w:rPr>
          <w:szCs w:val="22"/>
          <w:highlight w:val="yellow"/>
        </w:rPr>
      </w:pPr>
    </w:p>
    <w:p w:rsidR="00E15A7A" w:rsidRPr="000620CD" w:rsidRDefault="00E15A7A" w:rsidP="00203CC7">
      <w:pPr>
        <w:rPr>
          <w:szCs w:val="22"/>
        </w:rPr>
      </w:pPr>
      <w:r w:rsidRPr="000620CD">
        <w:rPr>
          <w:szCs w:val="22"/>
        </w:rPr>
        <w:t>A12: In this respect, the Secretariat would like to refer the PBC to the record of the 20th session of the PBC, in particular paragraph 448 of document WO/PBC/20/8.</w:t>
      </w:r>
    </w:p>
    <w:p w:rsidR="00DC4D2D" w:rsidRPr="000620CD" w:rsidRDefault="00DC4D2D" w:rsidP="00203CC7">
      <w:pPr>
        <w:rPr>
          <w:szCs w:val="22"/>
        </w:rPr>
      </w:pPr>
    </w:p>
    <w:p w:rsidR="00D93934" w:rsidRPr="000620CD" w:rsidRDefault="00D93934" w:rsidP="00203CC7">
      <w:pPr>
        <w:rPr>
          <w:szCs w:val="22"/>
        </w:rPr>
      </w:pPr>
    </w:p>
    <w:p w:rsidR="00F060FE" w:rsidRPr="000620CD" w:rsidRDefault="00F060FE" w:rsidP="00203CC7">
      <w:pPr>
        <w:tabs>
          <w:tab w:val="left" w:pos="800"/>
        </w:tabs>
        <w:rPr>
          <w:b/>
          <w:szCs w:val="22"/>
        </w:rPr>
      </w:pPr>
      <w:r w:rsidRPr="000620CD">
        <w:rPr>
          <w:b/>
          <w:szCs w:val="22"/>
        </w:rPr>
        <w:t>Q13: Article 11(3</w:t>
      </w:r>
      <w:proofErr w:type="gramStart"/>
      <w:r w:rsidRPr="000620CD">
        <w:rPr>
          <w:b/>
          <w:szCs w:val="22"/>
        </w:rPr>
        <w:t>)(</w:t>
      </w:r>
      <w:proofErr w:type="gramEnd"/>
      <w:r w:rsidRPr="000620CD">
        <w:rPr>
          <w:b/>
          <w:szCs w:val="22"/>
        </w:rPr>
        <w:t>v) of the Lisbon Agreement requires that fees should be set to cover the costs of the System and if not, that Contributions be solicited from the Contracting Parties or the Host State.</w:t>
      </w:r>
    </w:p>
    <w:p w:rsidR="00F060FE" w:rsidRPr="000620CD" w:rsidRDefault="00F060FE" w:rsidP="00203CC7">
      <w:pPr>
        <w:tabs>
          <w:tab w:val="left" w:pos="800"/>
        </w:tabs>
        <w:ind w:left="806" w:hanging="360"/>
        <w:rPr>
          <w:rFonts w:eastAsia="Times New Roman"/>
          <w:szCs w:val="22"/>
        </w:rPr>
      </w:pPr>
    </w:p>
    <w:p w:rsidR="00F060FE" w:rsidRPr="000620CD" w:rsidRDefault="00F060FE" w:rsidP="00203CC7">
      <w:pPr>
        <w:tabs>
          <w:tab w:val="left" w:pos="800"/>
        </w:tabs>
        <w:rPr>
          <w:szCs w:val="22"/>
        </w:rPr>
      </w:pPr>
      <w:r w:rsidRPr="000620CD">
        <w:rPr>
          <w:szCs w:val="22"/>
        </w:rPr>
        <w:t>A13: A revision of the Lisbon fee schedule was discussed at the 31</w:t>
      </w:r>
      <w:r w:rsidRPr="000620CD">
        <w:rPr>
          <w:szCs w:val="22"/>
          <w:vertAlign w:val="superscript"/>
        </w:rPr>
        <w:t>st</w:t>
      </w:r>
      <w:r w:rsidRPr="000620CD">
        <w:rPr>
          <w:szCs w:val="22"/>
        </w:rPr>
        <w:t xml:space="preserve"> session of the Lisbon Union Assembly. A revised working document will be submitted to the forthcoming session of the Lisbon Union Assembly in </w:t>
      </w:r>
      <w:r w:rsidR="00B91FBD">
        <w:rPr>
          <w:szCs w:val="22"/>
        </w:rPr>
        <w:t>October</w:t>
      </w:r>
      <w:r w:rsidR="00B91FBD" w:rsidRPr="000620CD">
        <w:rPr>
          <w:szCs w:val="22"/>
        </w:rPr>
        <w:t xml:space="preserve"> </w:t>
      </w:r>
      <w:r w:rsidRPr="000620CD">
        <w:rPr>
          <w:szCs w:val="22"/>
        </w:rPr>
        <w:t>2015.</w:t>
      </w:r>
    </w:p>
    <w:p w:rsidR="00F060FE" w:rsidRPr="000620CD" w:rsidRDefault="00F060FE" w:rsidP="00203CC7">
      <w:pPr>
        <w:rPr>
          <w:szCs w:val="22"/>
        </w:rPr>
      </w:pPr>
    </w:p>
    <w:p w:rsidR="00D71085" w:rsidRPr="000620CD" w:rsidRDefault="00D71085" w:rsidP="00203CC7">
      <w:pPr>
        <w:rPr>
          <w:szCs w:val="22"/>
        </w:rPr>
      </w:pPr>
    </w:p>
    <w:p w:rsidR="00D71085" w:rsidRPr="000620CD" w:rsidRDefault="00D71085" w:rsidP="00203CC7">
      <w:pPr>
        <w:tabs>
          <w:tab w:val="left" w:pos="800"/>
        </w:tabs>
        <w:rPr>
          <w:b/>
          <w:szCs w:val="22"/>
        </w:rPr>
      </w:pPr>
      <w:r w:rsidRPr="000620CD">
        <w:rPr>
          <w:b/>
          <w:szCs w:val="22"/>
        </w:rPr>
        <w:t>Q14: Lisbon Union fees have not been increased in the last 20 years to cover the continuing deficit, which in the last 10 years has risen to a total of 4,034,000 Swiss francs.</w:t>
      </w:r>
    </w:p>
    <w:p w:rsidR="00D71085" w:rsidRPr="000620CD" w:rsidRDefault="00D71085" w:rsidP="00203CC7">
      <w:pPr>
        <w:rPr>
          <w:szCs w:val="22"/>
        </w:rPr>
      </w:pPr>
    </w:p>
    <w:p w:rsidR="00F060FE" w:rsidRPr="000620CD" w:rsidRDefault="00D71085" w:rsidP="00203CC7">
      <w:pPr>
        <w:tabs>
          <w:tab w:val="left" w:pos="800"/>
        </w:tabs>
        <w:rPr>
          <w:szCs w:val="22"/>
        </w:rPr>
      </w:pPr>
      <w:r w:rsidRPr="000620CD">
        <w:rPr>
          <w:szCs w:val="22"/>
        </w:rPr>
        <w:t>A14: The accumulated deficit for the Lisbon Union amounted to 531 thousand Swiss francs at the end of 2014 (please refer to the Annual Financial Report and Financial Statements for 2014 “Revenue, Expenses and Reserves by Segment” on page 75 (English version)).</w:t>
      </w:r>
    </w:p>
    <w:p w:rsidR="0070777A" w:rsidRPr="000620CD" w:rsidRDefault="0070777A" w:rsidP="00203CC7">
      <w:pPr>
        <w:tabs>
          <w:tab w:val="left" w:pos="800"/>
        </w:tabs>
        <w:rPr>
          <w:szCs w:val="22"/>
        </w:rPr>
      </w:pPr>
    </w:p>
    <w:p w:rsidR="003415FB" w:rsidRPr="000620CD" w:rsidRDefault="003415FB" w:rsidP="00203CC7">
      <w:pPr>
        <w:tabs>
          <w:tab w:val="left" w:pos="800"/>
        </w:tabs>
        <w:rPr>
          <w:szCs w:val="22"/>
        </w:rPr>
      </w:pPr>
    </w:p>
    <w:p w:rsidR="0070777A" w:rsidRPr="000620CD" w:rsidRDefault="003415FB" w:rsidP="00203CC7">
      <w:pPr>
        <w:tabs>
          <w:tab w:val="left" w:pos="800"/>
        </w:tabs>
        <w:rPr>
          <w:b/>
          <w:szCs w:val="22"/>
        </w:rPr>
      </w:pPr>
      <w:r w:rsidRPr="000620CD">
        <w:rPr>
          <w:b/>
          <w:szCs w:val="22"/>
        </w:rPr>
        <w:t xml:space="preserve">Q15: The </w:t>
      </w:r>
      <w:r w:rsidR="0070777A" w:rsidRPr="000620CD">
        <w:rPr>
          <w:b/>
          <w:szCs w:val="22"/>
        </w:rPr>
        <w:t xml:space="preserve">WIPO Program and Budgets have </w:t>
      </w:r>
      <w:r w:rsidRPr="000620CD">
        <w:rPr>
          <w:b/>
          <w:szCs w:val="22"/>
        </w:rPr>
        <w:t xml:space="preserve">in the past </w:t>
      </w:r>
      <w:r w:rsidR="0070777A" w:rsidRPr="000620CD">
        <w:rPr>
          <w:b/>
          <w:szCs w:val="22"/>
        </w:rPr>
        <w:t>presented the Lisbon System in the same Program as the Madrid and the Hague Systems</w:t>
      </w:r>
      <w:r w:rsidRPr="000620CD">
        <w:rPr>
          <w:b/>
          <w:szCs w:val="22"/>
        </w:rPr>
        <w:t>.</w:t>
      </w:r>
      <w:r w:rsidR="0070777A" w:rsidRPr="000620CD">
        <w:rPr>
          <w:b/>
          <w:szCs w:val="22"/>
        </w:rPr>
        <w:t xml:space="preserve"> </w:t>
      </w:r>
      <w:r w:rsidR="00E50680" w:rsidRPr="000620CD">
        <w:rPr>
          <w:b/>
          <w:szCs w:val="22"/>
        </w:rPr>
        <w:t>Does this imply that t</w:t>
      </w:r>
      <w:r w:rsidRPr="000620CD">
        <w:rPr>
          <w:b/>
          <w:szCs w:val="22"/>
        </w:rPr>
        <w:t xml:space="preserve">he Lisbon System deficit has been </w:t>
      </w:r>
      <w:r w:rsidR="0070777A" w:rsidRPr="000620CD">
        <w:rPr>
          <w:b/>
          <w:szCs w:val="22"/>
        </w:rPr>
        <w:t>financed through hidden funding sources</w:t>
      </w:r>
      <w:r w:rsidR="00E50680" w:rsidRPr="000620CD">
        <w:rPr>
          <w:b/>
          <w:szCs w:val="22"/>
        </w:rPr>
        <w:t>?</w:t>
      </w:r>
    </w:p>
    <w:p w:rsidR="0070777A" w:rsidRPr="000620CD" w:rsidRDefault="0070777A" w:rsidP="00203CC7">
      <w:pPr>
        <w:tabs>
          <w:tab w:val="left" w:pos="800"/>
        </w:tabs>
        <w:ind w:left="800" w:hanging="360"/>
        <w:rPr>
          <w:rFonts w:eastAsia="Times New Roman"/>
          <w:szCs w:val="22"/>
        </w:rPr>
      </w:pPr>
    </w:p>
    <w:p w:rsidR="0070777A" w:rsidRPr="000620CD" w:rsidRDefault="003415FB" w:rsidP="00203CC7">
      <w:pPr>
        <w:tabs>
          <w:tab w:val="left" w:pos="800"/>
        </w:tabs>
        <w:rPr>
          <w:szCs w:val="22"/>
        </w:rPr>
      </w:pPr>
      <w:r w:rsidRPr="000620CD">
        <w:rPr>
          <w:szCs w:val="22"/>
        </w:rPr>
        <w:t xml:space="preserve">A15: </w:t>
      </w:r>
      <w:r w:rsidR="0070777A" w:rsidRPr="000620CD">
        <w:rPr>
          <w:szCs w:val="22"/>
        </w:rPr>
        <w:t xml:space="preserve">The sources </w:t>
      </w:r>
      <w:r w:rsidRPr="000620CD">
        <w:rPr>
          <w:szCs w:val="22"/>
        </w:rPr>
        <w:t xml:space="preserve">of funding for each of the Unions </w:t>
      </w:r>
      <w:r w:rsidR="0070777A" w:rsidRPr="000620CD">
        <w:rPr>
          <w:szCs w:val="22"/>
        </w:rPr>
        <w:t xml:space="preserve">have </w:t>
      </w:r>
      <w:r w:rsidRPr="000620CD">
        <w:rPr>
          <w:szCs w:val="22"/>
        </w:rPr>
        <w:t xml:space="preserve">been fully </w:t>
      </w:r>
      <w:r w:rsidR="0070777A" w:rsidRPr="000620CD">
        <w:rPr>
          <w:szCs w:val="22"/>
        </w:rPr>
        <w:t>disclosed in every Program and Budget as well as reported on in subsequent F</w:t>
      </w:r>
      <w:r w:rsidRPr="000620CD">
        <w:rPr>
          <w:szCs w:val="22"/>
        </w:rPr>
        <w:t xml:space="preserve">inancial </w:t>
      </w:r>
      <w:r w:rsidR="0070777A" w:rsidRPr="000620CD">
        <w:rPr>
          <w:szCs w:val="22"/>
        </w:rPr>
        <w:t>M</w:t>
      </w:r>
      <w:r w:rsidRPr="000620CD">
        <w:rPr>
          <w:szCs w:val="22"/>
        </w:rPr>
        <w:t xml:space="preserve">anagement Reports </w:t>
      </w:r>
      <w:r w:rsidR="0070777A" w:rsidRPr="000620CD">
        <w:rPr>
          <w:szCs w:val="22"/>
        </w:rPr>
        <w:t>and Financial Statements.</w:t>
      </w:r>
    </w:p>
    <w:p w:rsidR="0070777A" w:rsidRPr="000620CD" w:rsidRDefault="0070777A" w:rsidP="00203CC7">
      <w:pPr>
        <w:tabs>
          <w:tab w:val="left" w:pos="800"/>
        </w:tabs>
        <w:rPr>
          <w:szCs w:val="22"/>
        </w:rPr>
      </w:pPr>
    </w:p>
    <w:p w:rsidR="00F060FE" w:rsidRPr="000620CD" w:rsidRDefault="00F060FE" w:rsidP="00203CC7">
      <w:pPr>
        <w:rPr>
          <w:szCs w:val="22"/>
        </w:rPr>
      </w:pPr>
    </w:p>
    <w:p w:rsidR="006731ED" w:rsidRPr="000620CD" w:rsidRDefault="006731ED" w:rsidP="00203CC7">
      <w:pPr>
        <w:rPr>
          <w:b/>
          <w:szCs w:val="22"/>
        </w:rPr>
      </w:pPr>
      <w:r w:rsidRPr="000620CD">
        <w:rPr>
          <w:b/>
          <w:szCs w:val="22"/>
        </w:rPr>
        <w:t>Q16: Can Expected Results II.6 and II.7 be separated into different Expected Results for the Madrid and Lisbon Systems respectively and can the two Systems have separate performance indicators?</w:t>
      </w:r>
    </w:p>
    <w:p w:rsidR="006731ED" w:rsidRPr="000620CD" w:rsidRDefault="006731ED" w:rsidP="00203CC7">
      <w:pPr>
        <w:rPr>
          <w:szCs w:val="22"/>
        </w:rPr>
      </w:pPr>
    </w:p>
    <w:p w:rsidR="006731ED" w:rsidRPr="000620CD" w:rsidRDefault="006731ED" w:rsidP="00203CC7">
      <w:pPr>
        <w:rPr>
          <w:szCs w:val="22"/>
        </w:rPr>
      </w:pPr>
      <w:r w:rsidRPr="000620CD">
        <w:rPr>
          <w:szCs w:val="22"/>
        </w:rPr>
        <w:t>A16: Should the Member States decide to split the Madrid and Lisbon Systems into two separate Programs, a separate results framework for each System would follow automatically.</w:t>
      </w:r>
    </w:p>
    <w:p w:rsidR="006731ED" w:rsidRPr="000620CD" w:rsidRDefault="006731ED" w:rsidP="00203CC7">
      <w:pPr>
        <w:rPr>
          <w:szCs w:val="22"/>
        </w:rPr>
      </w:pPr>
    </w:p>
    <w:p w:rsidR="00F30990" w:rsidRPr="000620CD" w:rsidRDefault="00F30990" w:rsidP="00203CC7">
      <w:pPr>
        <w:rPr>
          <w:szCs w:val="22"/>
        </w:rPr>
      </w:pPr>
    </w:p>
    <w:p w:rsidR="00F30990" w:rsidRPr="000620CD" w:rsidRDefault="00F30990" w:rsidP="00203CC7">
      <w:pPr>
        <w:tabs>
          <w:tab w:val="left" w:pos="820"/>
        </w:tabs>
        <w:rPr>
          <w:b/>
          <w:szCs w:val="22"/>
        </w:rPr>
      </w:pPr>
      <w:r w:rsidRPr="000620CD">
        <w:rPr>
          <w:b/>
          <w:szCs w:val="22"/>
        </w:rPr>
        <w:t>Q17: Can a footnote be added under “Resources for Program 6”, under the Table: Resources by Object of Expenditure, which says: “While the Director General has discretion under Financial Regulation 5.5 to move up to 5% of the budget across programs, this discretion will not be exercised with regard to the Lisbon System budget.”</w:t>
      </w:r>
    </w:p>
    <w:p w:rsidR="00F30990" w:rsidRPr="000620CD" w:rsidRDefault="00F30990" w:rsidP="00203CC7">
      <w:pPr>
        <w:tabs>
          <w:tab w:val="left" w:pos="820"/>
        </w:tabs>
        <w:ind w:left="820" w:hanging="360"/>
        <w:rPr>
          <w:rFonts w:eastAsia="Times New Roman"/>
          <w:szCs w:val="22"/>
        </w:rPr>
      </w:pPr>
    </w:p>
    <w:p w:rsidR="00F30990" w:rsidRPr="000620CD" w:rsidRDefault="00F30990" w:rsidP="00203CC7">
      <w:pPr>
        <w:pStyle w:val="Default"/>
        <w:rPr>
          <w:sz w:val="22"/>
          <w:szCs w:val="22"/>
        </w:rPr>
      </w:pPr>
      <w:r w:rsidRPr="000620CD">
        <w:rPr>
          <w:rFonts w:eastAsia="SimSun"/>
          <w:color w:val="auto"/>
          <w:sz w:val="22"/>
          <w:szCs w:val="22"/>
        </w:rPr>
        <w:t>A17: The F</w:t>
      </w:r>
      <w:r w:rsidRPr="000620CD">
        <w:rPr>
          <w:sz w:val="22"/>
          <w:szCs w:val="22"/>
        </w:rPr>
        <w:t xml:space="preserve">inancial </w:t>
      </w:r>
      <w:r w:rsidRPr="000620CD">
        <w:rPr>
          <w:rFonts w:eastAsia="SimSun"/>
          <w:color w:val="auto"/>
          <w:sz w:val="22"/>
          <w:szCs w:val="22"/>
        </w:rPr>
        <w:t>R</w:t>
      </w:r>
      <w:r w:rsidRPr="000620CD">
        <w:rPr>
          <w:sz w:val="22"/>
          <w:szCs w:val="22"/>
        </w:rPr>
        <w:t>egulations and Rules (FRR) p</w:t>
      </w:r>
      <w:r w:rsidRPr="000620CD">
        <w:rPr>
          <w:rFonts w:eastAsia="SimSun"/>
          <w:color w:val="auto"/>
          <w:sz w:val="22"/>
          <w:szCs w:val="22"/>
        </w:rPr>
        <w:t>r</w:t>
      </w:r>
      <w:r w:rsidR="00A862E6" w:rsidRPr="000620CD">
        <w:rPr>
          <w:rFonts w:eastAsia="SimSun"/>
          <w:color w:val="auto"/>
          <w:sz w:val="22"/>
          <w:szCs w:val="22"/>
        </w:rPr>
        <w:t>ovide</w:t>
      </w:r>
      <w:r w:rsidRPr="000620CD">
        <w:rPr>
          <w:rFonts w:eastAsia="SimSun"/>
          <w:color w:val="auto"/>
          <w:sz w:val="22"/>
          <w:szCs w:val="22"/>
        </w:rPr>
        <w:t xml:space="preserve"> the regulatory framework for the implementation of all </w:t>
      </w:r>
      <w:r w:rsidRPr="000620CD">
        <w:rPr>
          <w:sz w:val="22"/>
          <w:szCs w:val="22"/>
        </w:rPr>
        <w:t>P</w:t>
      </w:r>
      <w:r w:rsidRPr="000620CD">
        <w:rPr>
          <w:rFonts w:eastAsia="SimSun"/>
          <w:color w:val="auto"/>
          <w:sz w:val="22"/>
          <w:szCs w:val="22"/>
        </w:rPr>
        <w:t xml:space="preserve">rograms of the </w:t>
      </w:r>
      <w:r w:rsidRPr="000620CD">
        <w:rPr>
          <w:sz w:val="22"/>
          <w:szCs w:val="22"/>
        </w:rPr>
        <w:t>O</w:t>
      </w:r>
      <w:r w:rsidRPr="000620CD">
        <w:rPr>
          <w:rFonts w:eastAsia="SimSun"/>
          <w:color w:val="auto"/>
          <w:sz w:val="22"/>
          <w:szCs w:val="22"/>
        </w:rPr>
        <w:t xml:space="preserve">rganization. </w:t>
      </w:r>
      <w:r w:rsidRPr="000620CD">
        <w:rPr>
          <w:sz w:val="22"/>
          <w:szCs w:val="22"/>
        </w:rPr>
        <w:t xml:space="preserve"> </w:t>
      </w:r>
      <w:r w:rsidR="00A862E6" w:rsidRPr="000620CD">
        <w:rPr>
          <w:sz w:val="22"/>
          <w:szCs w:val="22"/>
        </w:rPr>
        <w:t>In accordance with</w:t>
      </w:r>
      <w:r w:rsidRPr="000620CD">
        <w:rPr>
          <w:sz w:val="22"/>
          <w:szCs w:val="22"/>
        </w:rPr>
        <w:t xml:space="preserve"> </w:t>
      </w:r>
      <w:r w:rsidRPr="000620CD">
        <w:rPr>
          <w:b/>
          <w:bCs/>
          <w:sz w:val="22"/>
          <w:szCs w:val="22"/>
        </w:rPr>
        <w:t>Regulation 5.5</w:t>
      </w:r>
      <w:r w:rsidR="003C282F" w:rsidRPr="000620CD">
        <w:rPr>
          <w:b/>
          <w:bCs/>
          <w:sz w:val="22"/>
          <w:szCs w:val="22"/>
        </w:rPr>
        <w:t xml:space="preserve"> </w:t>
      </w:r>
    </w:p>
    <w:p w:rsidR="00F30990" w:rsidRPr="000620CD" w:rsidRDefault="00A862E6" w:rsidP="00203CC7">
      <w:pPr>
        <w:tabs>
          <w:tab w:val="left" w:pos="820"/>
        </w:tabs>
        <w:rPr>
          <w:szCs w:val="22"/>
        </w:rPr>
      </w:pPr>
      <w:r w:rsidRPr="000620CD">
        <w:rPr>
          <w:szCs w:val="22"/>
        </w:rPr>
        <w:t>“</w:t>
      </w:r>
      <w:r w:rsidR="00F30990" w:rsidRPr="000620CD">
        <w:rPr>
          <w:szCs w:val="22"/>
        </w:rPr>
        <w:t>The Director General may make transfers from one program of the program and budget to another for any given financial period, up to the limit of five per cent of the amount corresponding to the biennial appropriation of the receiving program, or to one per cent of the total budget, whichever is higher, when such transfers are necessary to ensure the proper functioning of the services.</w:t>
      </w:r>
      <w:r w:rsidRPr="000620CD">
        <w:rPr>
          <w:szCs w:val="22"/>
        </w:rPr>
        <w:t>”</w:t>
      </w:r>
      <w:r w:rsidR="00F30990" w:rsidRPr="000620CD">
        <w:rPr>
          <w:szCs w:val="22"/>
        </w:rPr>
        <w:t xml:space="preserve"> </w:t>
      </w:r>
      <w:r w:rsidR="00A42DA7" w:rsidRPr="000620CD">
        <w:rPr>
          <w:szCs w:val="22"/>
        </w:rPr>
        <w:t>The suggested footnote would therefore be inconsistent with the FRR.</w:t>
      </w:r>
    </w:p>
    <w:p w:rsidR="00F30990" w:rsidRPr="000620CD" w:rsidRDefault="00F30990" w:rsidP="00203CC7">
      <w:pPr>
        <w:rPr>
          <w:szCs w:val="22"/>
        </w:rPr>
      </w:pPr>
    </w:p>
    <w:p w:rsidR="00E92CC5" w:rsidRPr="000620CD" w:rsidRDefault="00E92CC5" w:rsidP="00203CC7">
      <w:pPr>
        <w:rPr>
          <w:szCs w:val="22"/>
        </w:rPr>
      </w:pPr>
    </w:p>
    <w:p w:rsidR="00E92CC5" w:rsidRPr="000620CD" w:rsidRDefault="00E92CC5" w:rsidP="00203CC7">
      <w:pPr>
        <w:tabs>
          <w:tab w:val="left" w:pos="820"/>
        </w:tabs>
        <w:rPr>
          <w:b/>
          <w:szCs w:val="22"/>
        </w:rPr>
      </w:pPr>
      <w:r w:rsidRPr="000620CD">
        <w:rPr>
          <w:b/>
          <w:szCs w:val="22"/>
        </w:rPr>
        <w:t>Q18: Can transfers made in the current biennium in respect of the Lisbon System be identified in Table 8, “2014/15 Budget after Transfers by Program” in Annex I?</w:t>
      </w:r>
    </w:p>
    <w:p w:rsidR="00E92CC5" w:rsidRPr="000620CD" w:rsidRDefault="00E92CC5" w:rsidP="00203CC7">
      <w:pPr>
        <w:rPr>
          <w:szCs w:val="22"/>
        </w:rPr>
      </w:pPr>
    </w:p>
    <w:p w:rsidR="00E92CC5" w:rsidRPr="000620CD" w:rsidRDefault="00E92CC5" w:rsidP="00203CC7">
      <w:pPr>
        <w:rPr>
          <w:szCs w:val="22"/>
        </w:rPr>
      </w:pPr>
      <w:r w:rsidRPr="000620CD">
        <w:rPr>
          <w:szCs w:val="22"/>
        </w:rPr>
        <w:t xml:space="preserve">A18: Table 8 “2014/15 Budget after Transfers by Program” reports on the transfers by Program. Should Member States decide to split the Madrid and Lisbon Systems into two separate programs, the </w:t>
      </w:r>
      <w:r w:rsidR="00C27CF6" w:rsidRPr="000620CD">
        <w:rPr>
          <w:szCs w:val="22"/>
        </w:rPr>
        <w:t>B</w:t>
      </w:r>
      <w:r w:rsidRPr="000620CD">
        <w:rPr>
          <w:szCs w:val="22"/>
        </w:rPr>
        <w:t xml:space="preserve">udget after </w:t>
      </w:r>
      <w:r w:rsidR="00C27CF6" w:rsidRPr="000620CD">
        <w:rPr>
          <w:szCs w:val="22"/>
        </w:rPr>
        <w:t>T</w:t>
      </w:r>
      <w:r w:rsidRPr="000620CD">
        <w:rPr>
          <w:szCs w:val="22"/>
        </w:rPr>
        <w:t xml:space="preserve">ransfers will be reported on separately for the two Programs in the 2016/17 </w:t>
      </w:r>
      <w:proofErr w:type="gramStart"/>
      <w:r w:rsidRPr="000620CD">
        <w:rPr>
          <w:szCs w:val="22"/>
        </w:rPr>
        <w:t>biennium.</w:t>
      </w:r>
      <w:proofErr w:type="gramEnd"/>
      <w:r w:rsidRPr="000620CD">
        <w:rPr>
          <w:szCs w:val="22"/>
        </w:rPr>
        <w:t xml:space="preserve">  </w:t>
      </w:r>
    </w:p>
    <w:p w:rsidR="00F30990" w:rsidRPr="000620CD" w:rsidRDefault="00F30990" w:rsidP="00203CC7">
      <w:pPr>
        <w:rPr>
          <w:szCs w:val="22"/>
        </w:rPr>
      </w:pPr>
    </w:p>
    <w:p w:rsidR="00A037AD" w:rsidRPr="000620CD" w:rsidRDefault="00A037AD" w:rsidP="00203CC7">
      <w:pPr>
        <w:tabs>
          <w:tab w:val="left" w:pos="800"/>
        </w:tabs>
        <w:rPr>
          <w:b/>
          <w:szCs w:val="22"/>
        </w:rPr>
      </w:pPr>
    </w:p>
    <w:p w:rsidR="00A037AD" w:rsidRPr="000620CD" w:rsidRDefault="00A037AD" w:rsidP="00203CC7">
      <w:pPr>
        <w:tabs>
          <w:tab w:val="left" w:pos="800"/>
        </w:tabs>
        <w:rPr>
          <w:b/>
          <w:szCs w:val="22"/>
        </w:rPr>
      </w:pPr>
      <w:r w:rsidRPr="000620CD">
        <w:rPr>
          <w:b/>
          <w:szCs w:val="22"/>
        </w:rPr>
        <w:t>Q19: Have any transfers been made to the Lisbon System in the last 10 years?</w:t>
      </w:r>
    </w:p>
    <w:p w:rsidR="00A037AD" w:rsidRPr="000620CD" w:rsidRDefault="00A037AD" w:rsidP="00203CC7">
      <w:pPr>
        <w:rPr>
          <w:rFonts w:eastAsia="Times New Roman"/>
          <w:color w:val="FF0000"/>
          <w:szCs w:val="22"/>
        </w:rPr>
      </w:pPr>
    </w:p>
    <w:p w:rsidR="00A037AD" w:rsidRPr="000620CD" w:rsidRDefault="00A037AD" w:rsidP="00203CC7">
      <w:pPr>
        <w:rPr>
          <w:szCs w:val="22"/>
        </w:rPr>
      </w:pPr>
      <w:r w:rsidRPr="000620CD">
        <w:rPr>
          <w:szCs w:val="22"/>
        </w:rPr>
        <w:t>A19: A separate budgetary unit for the Lisbon System only came into existence in 2014 and Lisbon-specific program activities were only created in the administrative systems following the change in the activity code system for the Organization as a whole (</w:t>
      </w:r>
      <w:r w:rsidR="00942BD7" w:rsidRPr="000620CD">
        <w:rPr>
          <w:szCs w:val="22"/>
        </w:rPr>
        <w:t>previously</w:t>
      </w:r>
      <w:r w:rsidRPr="000620CD">
        <w:rPr>
          <w:szCs w:val="22"/>
        </w:rPr>
        <w:t xml:space="preserve"> WIPO had more generic activity codes). It is therefore not possible to trace back transfers prior to 2014. In 2015, a total of 430,900 Swiss francs w</w:t>
      </w:r>
      <w:r w:rsidR="00944AB2">
        <w:rPr>
          <w:szCs w:val="22"/>
        </w:rPr>
        <w:t>ere</w:t>
      </w:r>
      <w:r w:rsidRPr="000620CD">
        <w:rPr>
          <w:szCs w:val="22"/>
        </w:rPr>
        <w:t xml:space="preserve"> transferred to Lisbon for the Diplomatic Conference</w:t>
      </w:r>
      <w:r w:rsidR="00944AB2">
        <w:rPr>
          <w:szCs w:val="22"/>
        </w:rPr>
        <w:t xml:space="preserve"> due to the change in location of the Diplomatic Conference (to Geneva).</w:t>
      </w:r>
      <w:r w:rsidRPr="000620CD">
        <w:rPr>
          <w:szCs w:val="22"/>
        </w:rPr>
        <w:t xml:space="preserve"> </w:t>
      </w:r>
    </w:p>
    <w:p w:rsidR="00A037AD" w:rsidRPr="000620CD" w:rsidRDefault="00A037AD" w:rsidP="00203CC7">
      <w:pPr>
        <w:rPr>
          <w:szCs w:val="22"/>
        </w:rPr>
      </w:pPr>
    </w:p>
    <w:p w:rsidR="003C282F" w:rsidRPr="000620CD" w:rsidRDefault="003C282F" w:rsidP="00203CC7">
      <w:pPr>
        <w:tabs>
          <w:tab w:val="left" w:pos="800"/>
        </w:tabs>
        <w:rPr>
          <w:rFonts w:eastAsia="Times New Roman"/>
          <w:szCs w:val="22"/>
        </w:rPr>
      </w:pPr>
    </w:p>
    <w:p w:rsidR="00FD2029" w:rsidRPr="000620CD" w:rsidRDefault="003C282F" w:rsidP="00203CC7">
      <w:pPr>
        <w:tabs>
          <w:tab w:val="left" w:pos="800"/>
        </w:tabs>
        <w:rPr>
          <w:b/>
          <w:szCs w:val="22"/>
        </w:rPr>
      </w:pPr>
      <w:r w:rsidRPr="000620CD">
        <w:rPr>
          <w:b/>
          <w:szCs w:val="22"/>
        </w:rPr>
        <w:t xml:space="preserve">Q20: </w:t>
      </w:r>
      <w:r w:rsidR="00FD2029" w:rsidRPr="000620CD">
        <w:rPr>
          <w:b/>
          <w:szCs w:val="22"/>
        </w:rPr>
        <w:t>Can the budget and number of posts be shown separately for the Madrid and Lisbon Systems in Table 9: 2016/17 Budget by Program and Table 10: 2016/17 Posts by Program in Annex II</w:t>
      </w:r>
      <w:r w:rsidR="00BD27F9" w:rsidRPr="000620CD">
        <w:rPr>
          <w:b/>
          <w:szCs w:val="22"/>
        </w:rPr>
        <w:t>,</w:t>
      </w:r>
      <w:r w:rsidR="00FD2029" w:rsidRPr="000620CD">
        <w:rPr>
          <w:b/>
          <w:szCs w:val="22"/>
        </w:rPr>
        <w:t xml:space="preserve"> respectively?</w:t>
      </w:r>
    </w:p>
    <w:p w:rsidR="003C282F" w:rsidRPr="000620CD" w:rsidRDefault="003C282F" w:rsidP="00203CC7">
      <w:pPr>
        <w:rPr>
          <w:szCs w:val="22"/>
        </w:rPr>
      </w:pPr>
    </w:p>
    <w:p w:rsidR="003C282F" w:rsidRPr="000620CD" w:rsidRDefault="00BD27F9" w:rsidP="00203CC7">
      <w:pPr>
        <w:rPr>
          <w:szCs w:val="22"/>
        </w:rPr>
      </w:pPr>
      <w:r w:rsidRPr="000620CD">
        <w:rPr>
          <w:szCs w:val="22"/>
        </w:rPr>
        <w:t xml:space="preserve">A20: </w:t>
      </w:r>
      <w:r w:rsidR="003C282F" w:rsidRPr="000620CD">
        <w:rPr>
          <w:szCs w:val="22"/>
        </w:rPr>
        <w:t xml:space="preserve">Should </w:t>
      </w:r>
      <w:r w:rsidRPr="000620CD">
        <w:rPr>
          <w:szCs w:val="22"/>
        </w:rPr>
        <w:t>M</w:t>
      </w:r>
      <w:r w:rsidR="003C282F" w:rsidRPr="000620CD">
        <w:rPr>
          <w:szCs w:val="22"/>
        </w:rPr>
        <w:t xml:space="preserve">ember </w:t>
      </w:r>
      <w:r w:rsidRPr="000620CD">
        <w:rPr>
          <w:szCs w:val="22"/>
        </w:rPr>
        <w:t>S</w:t>
      </w:r>
      <w:r w:rsidR="003C282F" w:rsidRPr="000620CD">
        <w:rPr>
          <w:szCs w:val="22"/>
        </w:rPr>
        <w:t xml:space="preserve">tates decide to split Madrid and Lisbon into two separate </w:t>
      </w:r>
      <w:r w:rsidRPr="000620CD">
        <w:rPr>
          <w:szCs w:val="22"/>
        </w:rPr>
        <w:t>P</w:t>
      </w:r>
      <w:r w:rsidR="003C282F" w:rsidRPr="000620CD">
        <w:rPr>
          <w:szCs w:val="22"/>
        </w:rPr>
        <w:t xml:space="preserve">rograms, </w:t>
      </w:r>
      <w:r w:rsidRPr="000620CD">
        <w:rPr>
          <w:szCs w:val="22"/>
        </w:rPr>
        <w:t xml:space="preserve">the budget and the number of posts will be reported on separately for the two Programs in </w:t>
      </w:r>
      <w:r w:rsidR="003C282F" w:rsidRPr="000620CD">
        <w:rPr>
          <w:szCs w:val="22"/>
        </w:rPr>
        <w:t xml:space="preserve">Tables 9 and 10.  </w:t>
      </w:r>
    </w:p>
    <w:p w:rsidR="003C282F" w:rsidRPr="000620CD" w:rsidRDefault="003C282F" w:rsidP="00203CC7">
      <w:pPr>
        <w:rPr>
          <w:szCs w:val="22"/>
        </w:rPr>
      </w:pPr>
    </w:p>
    <w:p w:rsidR="00E408CC" w:rsidRPr="000620CD" w:rsidRDefault="00E408CC" w:rsidP="00203CC7">
      <w:pPr>
        <w:rPr>
          <w:b/>
          <w:szCs w:val="22"/>
        </w:rPr>
      </w:pPr>
    </w:p>
    <w:p w:rsidR="00E408CC" w:rsidRPr="000620CD" w:rsidRDefault="00AB5417" w:rsidP="00203CC7">
      <w:pPr>
        <w:rPr>
          <w:b/>
          <w:szCs w:val="22"/>
        </w:rPr>
      </w:pPr>
      <w:r w:rsidRPr="000620CD">
        <w:rPr>
          <w:b/>
          <w:szCs w:val="22"/>
        </w:rPr>
        <w:t xml:space="preserve">Q21: </w:t>
      </w:r>
      <w:r w:rsidR="00E408CC" w:rsidRPr="000620CD">
        <w:rPr>
          <w:b/>
          <w:szCs w:val="22"/>
        </w:rPr>
        <w:t>Why is accounting for the Lisbon System opaque? Also, why is there limited reporting on the specifics for the Lisbon Union budget when the WIPO Financial Regulations and Rules stipulate that the budget for the Organization shall “be presented separately for each Union”?</w:t>
      </w:r>
    </w:p>
    <w:p w:rsidR="00E408CC" w:rsidRPr="000620CD" w:rsidRDefault="00E408CC" w:rsidP="00203CC7">
      <w:pPr>
        <w:rPr>
          <w:b/>
          <w:szCs w:val="22"/>
        </w:rPr>
      </w:pPr>
      <w:r w:rsidRPr="000620CD">
        <w:rPr>
          <w:b/>
          <w:szCs w:val="22"/>
        </w:rPr>
        <w:t xml:space="preserve"> </w:t>
      </w:r>
    </w:p>
    <w:p w:rsidR="00E408CC" w:rsidRPr="000620CD" w:rsidRDefault="00E408CC" w:rsidP="00203CC7">
      <w:pPr>
        <w:rPr>
          <w:szCs w:val="22"/>
        </w:rPr>
      </w:pPr>
      <w:r w:rsidRPr="000620CD">
        <w:rPr>
          <w:szCs w:val="22"/>
        </w:rPr>
        <w:t xml:space="preserve">A21: The Union view contained in Annex III provides full details of projected income and expenditure in 2016/17 attributable to the Lisbon Union. Under IPSAS, the Financial Statements include a report on </w:t>
      </w:r>
      <w:r w:rsidR="00E45784" w:rsidRPr="000620CD">
        <w:rPr>
          <w:szCs w:val="22"/>
        </w:rPr>
        <w:t>R</w:t>
      </w:r>
      <w:r w:rsidRPr="000620CD">
        <w:rPr>
          <w:szCs w:val="22"/>
        </w:rPr>
        <w:t>evenue</w:t>
      </w:r>
      <w:r w:rsidR="00E45784" w:rsidRPr="000620CD">
        <w:rPr>
          <w:szCs w:val="22"/>
        </w:rPr>
        <w:t>,</w:t>
      </w:r>
      <w:r w:rsidRPr="000620CD">
        <w:rPr>
          <w:szCs w:val="22"/>
        </w:rPr>
        <w:t xml:space="preserve"> </w:t>
      </w:r>
      <w:r w:rsidR="00E45784" w:rsidRPr="000620CD">
        <w:rPr>
          <w:szCs w:val="22"/>
        </w:rPr>
        <w:t>E</w:t>
      </w:r>
      <w:r w:rsidRPr="000620CD">
        <w:rPr>
          <w:szCs w:val="22"/>
        </w:rPr>
        <w:t xml:space="preserve">xpenses </w:t>
      </w:r>
      <w:r w:rsidR="00E45784" w:rsidRPr="000620CD">
        <w:rPr>
          <w:szCs w:val="22"/>
        </w:rPr>
        <w:t xml:space="preserve">and Reserves </w:t>
      </w:r>
      <w:r w:rsidRPr="000620CD">
        <w:rPr>
          <w:szCs w:val="22"/>
        </w:rPr>
        <w:t xml:space="preserve">by </w:t>
      </w:r>
      <w:r w:rsidR="00E45784" w:rsidRPr="000620CD">
        <w:rPr>
          <w:szCs w:val="22"/>
        </w:rPr>
        <w:t>S</w:t>
      </w:r>
      <w:r w:rsidRPr="000620CD">
        <w:rPr>
          <w:szCs w:val="22"/>
        </w:rPr>
        <w:t>egment in WIPO. These segments relate to Unions.</w:t>
      </w:r>
    </w:p>
    <w:p w:rsidR="00E408CC" w:rsidRPr="000620CD" w:rsidRDefault="00E408CC" w:rsidP="00203CC7">
      <w:pPr>
        <w:rPr>
          <w:szCs w:val="22"/>
        </w:rPr>
      </w:pPr>
    </w:p>
    <w:p w:rsidR="00CC10BF" w:rsidRPr="000620CD" w:rsidRDefault="00CC10BF" w:rsidP="00203CC7">
      <w:pPr>
        <w:tabs>
          <w:tab w:val="left" w:pos="800"/>
        </w:tabs>
        <w:rPr>
          <w:b/>
          <w:szCs w:val="22"/>
        </w:rPr>
      </w:pPr>
    </w:p>
    <w:p w:rsidR="00CC10BF" w:rsidRPr="000620CD" w:rsidRDefault="00CC10BF" w:rsidP="00203CC7">
      <w:pPr>
        <w:keepNext/>
        <w:keepLines/>
        <w:tabs>
          <w:tab w:val="left" w:pos="800"/>
        </w:tabs>
        <w:rPr>
          <w:b/>
          <w:szCs w:val="22"/>
        </w:rPr>
      </w:pPr>
      <w:r w:rsidRPr="000620CD">
        <w:rPr>
          <w:b/>
          <w:szCs w:val="22"/>
        </w:rPr>
        <w:lastRenderedPageBreak/>
        <w:t xml:space="preserve">Q22: Why are some direct and indirect expenses not attributed to the Lisbon Union? </w:t>
      </w:r>
    </w:p>
    <w:p w:rsidR="00CC10BF" w:rsidRPr="000620CD" w:rsidRDefault="00CC10BF" w:rsidP="00203CC7">
      <w:pPr>
        <w:keepNext/>
        <w:keepLines/>
        <w:rPr>
          <w:b/>
          <w:szCs w:val="22"/>
        </w:rPr>
      </w:pPr>
    </w:p>
    <w:p w:rsidR="00CC10BF" w:rsidRPr="000620CD" w:rsidRDefault="00CC10BF" w:rsidP="00203CC7">
      <w:pPr>
        <w:keepNext/>
        <w:keepLines/>
        <w:rPr>
          <w:szCs w:val="22"/>
        </w:rPr>
      </w:pPr>
      <w:r w:rsidRPr="000620CD">
        <w:rPr>
          <w:szCs w:val="22"/>
        </w:rPr>
        <w:t xml:space="preserve">A22: According to the current methodology on the allocation of expenditure by Unions, </w:t>
      </w:r>
      <w:proofErr w:type="gramStart"/>
      <w:r w:rsidRPr="000620CD">
        <w:rPr>
          <w:szCs w:val="22"/>
        </w:rPr>
        <w:t>the</w:t>
      </w:r>
      <w:proofErr w:type="gramEnd"/>
      <w:r w:rsidRPr="000620CD">
        <w:rPr>
          <w:szCs w:val="22"/>
        </w:rPr>
        <w:t xml:space="preserve"> Hague and Lisbon Unions do not bear any share of indirect union or indirect administration expenses (please refer to the methodology on the allocation of expenditure by Unions described in paragraphs 2 and 3 in Annex III).</w:t>
      </w:r>
    </w:p>
    <w:p w:rsidR="00CC10BF" w:rsidRPr="000620CD" w:rsidRDefault="00CC10BF" w:rsidP="00203CC7">
      <w:pPr>
        <w:rPr>
          <w:szCs w:val="22"/>
        </w:rPr>
      </w:pPr>
    </w:p>
    <w:p w:rsidR="00E21950" w:rsidRPr="000620CD" w:rsidRDefault="00E21950" w:rsidP="00203CC7">
      <w:pPr>
        <w:rPr>
          <w:szCs w:val="22"/>
        </w:rPr>
      </w:pPr>
    </w:p>
    <w:p w:rsidR="00AD2C21" w:rsidRPr="000620CD" w:rsidRDefault="00AD2C21" w:rsidP="00203CC7">
      <w:pPr>
        <w:tabs>
          <w:tab w:val="left" w:pos="800"/>
        </w:tabs>
        <w:rPr>
          <w:b/>
          <w:szCs w:val="22"/>
        </w:rPr>
      </w:pPr>
      <w:r w:rsidRPr="000620CD">
        <w:rPr>
          <w:b/>
          <w:szCs w:val="22"/>
        </w:rPr>
        <w:t>Q2</w:t>
      </w:r>
      <w:r w:rsidR="000C7EF6">
        <w:rPr>
          <w:b/>
          <w:szCs w:val="22"/>
        </w:rPr>
        <w:t>3</w:t>
      </w:r>
      <w:r w:rsidRPr="000620CD">
        <w:rPr>
          <w:b/>
          <w:szCs w:val="22"/>
        </w:rPr>
        <w:t>: Why does the Madrid Union receive a larger share of the rental income than the other unions and why is the remaining “other income” allocated equally across all unions?</w:t>
      </w:r>
    </w:p>
    <w:p w:rsidR="00AD2C21" w:rsidRPr="000620CD" w:rsidRDefault="00AD2C21" w:rsidP="00203CC7">
      <w:pPr>
        <w:tabs>
          <w:tab w:val="left" w:pos="800"/>
        </w:tabs>
        <w:ind w:left="800" w:hanging="360"/>
        <w:rPr>
          <w:rFonts w:eastAsia="Times New Roman"/>
          <w:szCs w:val="22"/>
        </w:rPr>
      </w:pPr>
    </w:p>
    <w:p w:rsidR="00AD2C21" w:rsidRPr="000620CD" w:rsidRDefault="00AD2C21" w:rsidP="00203CC7">
      <w:pPr>
        <w:tabs>
          <w:tab w:val="left" w:pos="567"/>
        </w:tabs>
        <w:rPr>
          <w:szCs w:val="22"/>
        </w:rPr>
      </w:pPr>
      <w:r w:rsidRPr="000620CD">
        <w:rPr>
          <w:szCs w:val="22"/>
        </w:rPr>
        <w:t>A2</w:t>
      </w:r>
      <w:r w:rsidR="000C7EF6">
        <w:rPr>
          <w:szCs w:val="22"/>
        </w:rPr>
        <w:t>3</w:t>
      </w:r>
      <w:r w:rsidRPr="000620CD">
        <w:rPr>
          <w:szCs w:val="22"/>
        </w:rPr>
        <w:t xml:space="preserve">: The total rental income for 2016/17 is estimated at 1.09 million Swiss francs. This includes an estimate of 0.34 million Swiss francs from the Madrid residential building in </w:t>
      </w:r>
      <w:proofErr w:type="spellStart"/>
      <w:r w:rsidRPr="000620CD">
        <w:rPr>
          <w:szCs w:val="22"/>
        </w:rPr>
        <w:t>Meyrin</w:t>
      </w:r>
      <w:proofErr w:type="spellEnd"/>
      <w:r w:rsidRPr="000620CD">
        <w:rPr>
          <w:szCs w:val="22"/>
        </w:rPr>
        <w:t xml:space="preserve">.  This income is fully attributed to the Madrid Union.  The remaining rental income amounting </w:t>
      </w:r>
      <w:r w:rsidR="00DC0893" w:rsidRPr="000620CD">
        <w:rPr>
          <w:szCs w:val="22"/>
        </w:rPr>
        <w:t xml:space="preserve">to </w:t>
      </w:r>
      <w:r w:rsidRPr="000620CD">
        <w:rPr>
          <w:szCs w:val="22"/>
        </w:rPr>
        <w:t xml:space="preserve">0.75 million Swiss francs comprises </w:t>
      </w:r>
      <w:r w:rsidR="00DC0893" w:rsidRPr="000620CD">
        <w:rPr>
          <w:szCs w:val="22"/>
        </w:rPr>
        <w:t>income</w:t>
      </w:r>
      <w:r w:rsidRPr="000620CD">
        <w:rPr>
          <w:szCs w:val="22"/>
        </w:rPr>
        <w:t xml:space="preserve"> </w:t>
      </w:r>
      <w:r w:rsidR="00DC0893" w:rsidRPr="000620CD">
        <w:rPr>
          <w:szCs w:val="22"/>
        </w:rPr>
        <w:t xml:space="preserve">from </w:t>
      </w:r>
      <w:r w:rsidRPr="000620CD">
        <w:rPr>
          <w:szCs w:val="22"/>
        </w:rPr>
        <w:t>the rental of</w:t>
      </w:r>
      <w:r w:rsidR="00DC0893" w:rsidRPr="000620CD">
        <w:rPr>
          <w:szCs w:val="22"/>
        </w:rPr>
        <w:t>:</w:t>
      </w:r>
      <w:r w:rsidRPr="000620CD">
        <w:rPr>
          <w:szCs w:val="22"/>
        </w:rPr>
        <w:t xml:space="preserve"> parking space</w:t>
      </w:r>
      <w:r w:rsidR="00DC0893" w:rsidRPr="000620CD">
        <w:rPr>
          <w:szCs w:val="22"/>
        </w:rPr>
        <w:t>s</w:t>
      </w:r>
      <w:r w:rsidRPr="000620CD">
        <w:rPr>
          <w:szCs w:val="22"/>
        </w:rPr>
        <w:t xml:space="preserve"> to WIPO employees</w:t>
      </w:r>
      <w:r w:rsidR="00DC0893" w:rsidRPr="000620CD">
        <w:rPr>
          <w:szCs w:val="22"/>
        </w:rPr>
        <w:t>;</w:t>
      </w:r>
      <w:r w:rsidRPr="000620CD">
        <w:rPr>
          <w:szCs w:val="22"/>
        </w:rPr>
        <w:t xml:space="preserve"> </w:t>
      </w:r>
      <w:r w:rsidR="00DC0893" w:rsidRPr="000620CD">
        <w:rPr>
          <w:szCs w:val="22"/>
        </w:rPr>
        <w:t xml:space="preserve">the </w:t>
      </w:r>
      <w:r w:rsidRPr="000620CD">
        <w:rPr>
          <w:szCs w:val="22"/>
        </w:rPr>
        <w:t xml:space="preserve">Data Center in the New </w:t>
      </w:r>
      <w:r w:rsidR="00DC0893" w:rsidRPr="000620CD">
        <w:rPr>
          <w:szCs w:val="22"/>
        </w:rPr>
        <w:t>B</w:t>
      </w:r>
      <w:r w:rsidRPr="000620CD">
        <w:rPr>
          <w:szCs w:val="22"/>
        </w:rPr>
        <w:t>uilding</w:t>
      </w:r>
      <w:r w:rsidR="00DC0893" w:rsidRPr="000620CD">
        <w:rPr>
          <w:szCs w:val="22"/>
        </w:rPr>
        <w:t xml:space="preserve"> to UNICC;</w:t>
      </w:r>
      <w:r w:rsidRPr="000620CD">
        <w:rPr>
          <w:szCs w:val="22"/>
        </w:rPr>
        <w:t xml:space="preserve"> </w:t>
      </w:r>
      <w:r w:rsidR="00DC0893" w:rsidRPr="000620CD">
        <w:rPr>
          <w:szCs w:val="22"/>
        </w:rPr>
        <w:t xml:space="preserve">rooftop antennas to </w:t>
      </w:r>
      <w:r w:rsidRPr="000620CD">
        <w:rPr>
          <w:szCs w:val="22"/>
        </w:rPr>
        <w:t>Swisscom &amp; Orange</w:t>
      </w:r>
      <w:r w:rsidR="00DC0893" w:rsidRPr="000620CD">
        <w:rPr>
          <w:szCs w:val="22"/>
        </w:rPr>
        <w:t>;</w:t>
      </w:r>
      <w:r w:rsidRPr="000620CD">
        <w:rPr>
          <w:szCs w:val="22"/>
        </w:rPr>
        <w:t xml:space="preserve"> UBS </w:t>
      </w:r>
      <w:proofErr w:type="spellStart"/>
      <w:r w:rsidRPr="000620CD">
        <w:rPr>
          <w:szCs w:val="22"/>
        </w:rPr>
        <w:t>Bancomat</w:t>
      </w:r>
      <w:proofErr w:type="spellEnd"/>
      <w:r w:rsidRPr="000620CD">
        <w:rPr>
          <w:szCs w:val="22"/>
        </w:rPr>
        <w:t xml:space="preserve"> in the AB lobby</w:t>
      </w:r>
      <w:r w:rsidR="00DC0893" w:rsidRPr="000620CD">
        <w:rPr>
          <w:szCs w:val="22"/>
        </w:rPr>
        <w:t>;</w:t>
      </w:r>
      <w:r w:rsidRPr="000620CD">
        <w:rPr>
          <w:szCs w:val="22"/>
        </w:rPr>
        <w:t xml:space="preserve"> </w:t>
      </w:r>
      <w:r w:rsidR="00DC0893" w:rsidRPr="000620CD">
        <w:rPr>
          <w:szCs w:val="22"/>
        </w:rPr>
        <w:t>and one</w:t>
      </w:r>
      <w:r w:rsidRPr="000620CD">
        <w:rPr>
          <w:szCs w:val="22"/>
        </w:rPr>
        <w:t xml:space="preserve"> parking lot and an office </w:t>
      </w:r>
      <w:r w:rsidR="00DC0893" w:rsidRPr="000620CD">
        <w:rPr>
          <w:szCs w:val="22"/>
        </w:rPr>
        <w:t xml:space="preserve">space </w:t>
      </w:r>
      <w:r w:rsidRPr="000620CD">
        <w:rPr>
          <w:szCs w:val="22"/>
        </w:rPr>
        <w:t xml:space="preserve">to AMFIE in </w:t>
      </w:r>
      <w:r w:rsidR="00DC0893" w:rsidRPr="000620CD">
        <w:rPr>
          <w:szCs w:val="22"/>
        </w:rPr>
        <w:t xml:space="preserve">the </w:t>
      </w:r>
      <w:r w:rsidRPr="000620CD">
        <w:rPr>
          <w:szCs w:val="22"/>
        </w:rPr>
        <w:t>CAM building</w:t>
      </w:r>
      <w:r w:rsidR="0042613F" w:rsidRPr="000620CD">
        <w:rPr>
          <w:szCs w:val="22"/>
        </w:rPr>
        <w:t>.</w:t>
      </w:r>
      <w:r w:rsidRPr="000620CD">
        <w:rPr>
          <w:szCs w:val="22"/>
        </w:rPr>
        <w:t xml:space="preserve"> </w:t>
      </w:r>
      <w:r w:rsidR="0042613F" w:rsidRPr="000620CD">
        <w:rPr>
          <w:szCs w:val="22"/>
        </w:rPr>
        <w:t>The remaining rental income as well as the other components of miscellaneous income (registration fees for conferences and training courses, support charges in respect of extra</w:t>
      </w:r>
      <w:r w:rsidR="0042613F" w:rsidRPr="000620CD">
        <w:rPr>
          <w:szCs w:val="22"/>
        </w:rPr>
        <w:noBreakHyphen/>
        <w:t xml:space="preserve">budgetary activities executed by WIPO and financed by UNDP and trust funds, accounting adjustments (credits) in respect of prior years and currency adjustments, UPOV’s payments to WIPO for administrative support services) </w:t>
      </w:r>
      <w:r w:rsidR="005330A6">
        <w:rPr>
          <w:szCs w:val="22"/>
        </w:rPr>
        <w:t>are</w:t>
      </w:r>
      <w:r w:rsidRPr="000620CD">
        <w:rPr>
          <w:szCs w:val="22"/>
        </w:rPr>
        <w:t xml:space="preserve"> divided equally among all Unions</w:t>
      </w:r>
      <w:r w:rsidR="00DC0893" w:rsidRPr="000620CD">
        <w:rPr>
          <w:szCs w:val="22"/>
        </w:rPr>
        <w:t>, in accordance with the methodology on the allocation of income and expenditure by Unions</w:t>
      </w:r>
      <w:r w:rsidRPr="000620CD">
        <w:rPr>
          <w:szCs w:val="22"/>
        </w:rPr>
        <w:t>.</w:t>
      </w:r>
    </w:p>
    <w:p w:rsidR="001D17A9" w:rsidRPr="000620CD" w:rsidRDefault="001D17A9" w:rsidP="00203CC7">
      <w:pPr>
        <w:rPr>
          <w:szCs w:val="22"/>
        </w:rPr>
      </w:pPr>
    </w:p>
    <w:p w:rsidR="000620CD" w:rsidRDefault="000620CD" w:rsidP="00203CC7">
      <w:pPr>
        <w:tabs>
          <w:tab w:val="left" w:pos="800"/>
        </w:tabs>
        <w:rPr>
          <w:b/>
          <w:szCs w:val="22"/>
        </w:rPr>
      </w:pPr>
    </w:p>
    <w:p w:rsidR="00142B34" w:rsidRPr="000620CD" w:rsidRDefault="00ED1D91" w:rsidP="00203CC7">
      <w:pPr>
        <w:tabs>
          <w:tab w:val="left" w:pos="800"/>
        </w:tabs>
        <w:rPr>
          <w:b/>
          <w:szCs w:val="22"/>
        </w:rPr>
      </w:pPr>
      <w:r w:rsidRPr="000620CD">
        <w:rPr>
          <w:b/>
          <w:szCs w:val="22"/>
        </w:rPr>
        <w:t>Q2</w:t>
      </w:r>
      <w:r w:rsidR="000C7EF6">
        <w:rPr>
          <w:b/>
          <w:szCs w:val="22"/>
        </w:rPr>
        <w:t>4</w:t>
      </w:r>
      <w:r w:rsidRPr="000620CD">
        <w:rPr>
          <w:b/>
          <w:szCs w:val="22"/>
        </w:rPr>
        <w:t xml:space="preserve">: </w:t>
      </w:r>
      <w:r w:rsidR="00142B34" w:rsidRPr="000620CD">
        <w:rPr>
          <w:b/>
          <w:szCs w:val="22"/>
        </w:rPr>
        <w:t xml:space="preserve">The Contribution-financed Unions, </w:t>
      </w:r>
      <w:proofErr w:type="gramStart"/>
      <w:r w:rsidR="00142B34" w:rsidRPr="000620CD">
        <w:rPr>
          <w:b/>
          <w:szCs w:val="22"/>
        </w:rPr>
        <w:t>the</w:t>
      </w:r>
      <w:proofErr w:type="gramEnd"/>
      <w:r w:rsidR="00142B34" w:rsidRPr="000620CD">
        <w:rPr>
          <w:b/>
          <w:szCs w:val="22"/>
        </w:rPr>
        <w:t xml:space="preserve"> Hague Union, and the Lisbon Union all project a deficit. Where will the money come from to cover the deficits?</w:t>
      </w:r>
    </w:p>
    <w:p w:rsidR="00142B34" w:rsidRPr="000620CD" w:rsidRDefault="00142B34" w:rsidP="00203CC7">
      <w:pPr>
        <w:rPr>
          <w:szCs w:val="22"/>
        </w:rPr>
      </w:pPr>
    </w:p>
    <w:p w:rsidR="00142B34" w:rsidRPr="000620CD" w:rsidRDefault="00D03ACF" w:rsidP="00203CC7">
      <w:pPr>
        <w:rPr>
          <w:szCs w:val="22"/>
        </w:rPr>
      </w:pPr>
      <w:r w:rsidRPr="000620CD">
        <w:rPr>
          <w:szCs w:val="22"/>
        </w:rPr>
        <w:t>A2</w:t>
      </w:r>
      <w:r w:rsidR="000C7EF6">
        <w:rPr>
          <w:szCs w:val="22"/>
        </w:rPr>
        <w:t>4</w:t>
      </w:r>
      <w:r w:rsidRPr="000620CD">
        <w:rPr>
          <w:szCs w:val="22"/>
        </w:rPr>
        <w:t>: Union d</w:t>
      </w:r>
      <w:r w:rsidR="00142B34" w:rsidRPr="000620CD">
        <w:rPr>
          <w:szCs w:val="22"/>
        </w:rPr>
        <w:t xml:space="preserve">eficits </w:t>
      </w:r>
      <w:r w:rsidRPr="000620CD">
        <w:rPr>
          <w:szCs w:val="22"/>
        </w:rPr>
        <w:t xml:space="preserve">are </w:t>
      </w:r>
      <w:r w:rsidR="00142B34" w:rsidRPr="000620CD">
        <w:rPr>
          <w:szCs w:val="22"/>
        </w:rPr>
        <w:t xml:space="preserve">not covered. From an organizational point of view, at the end of a financial period, some unions are in surplus and some in deficit resulting in a net </w:t>
      </w:r>
      <w:r w:rsidRPr="000620CD">
        <w:rPr>
          <w:szCs w:val="22"/>
        </w:rPr>
        <w:t xml:space="preserve">financial </w:t>
      </w:r>
      <w:r w:rsidR="00142B34" w:rsidRPr="000620CD">
        <w:rPr>
          <w:szCs w:val="22"/>
        </w:rPr>
        <w:t xml:space="preserve">position for the </w:t>
      </w:r>
      <w:r w:rsidRPr="000620CD">
        <w:rPr>
          <w:szCs w:val="22"/>
        </w:rPr>
        <w:t>O</w:t>
      </w:r>
      <w:r w:rsidR="00142B34" w:rsidRPr="000620CD">
        <w:rPr>
          <w:szCs w:val="22"/>
        </w:rPr>
        <w:t xml:space="preserve">rganization. </w:t>
      </w:r>
    </w:p>
    <w:p w:rsidR="00C8135C" w:rsidRPr="000620CD" w:rsidRDefault="00C8135C" w:rsidP="00203CC7">
      <w:pPr>
        <w:rPr>
          <w:szCs w:val="22"/>
        </w:rPr>
      </w:pPr>
    </w:p>
    <w:p w:rsidR="00E50680" w:rsidRPr="000620CD" w:rsidRDefault="00E50680" w:rsidP="00203CC7">
      <w:pPr>
        <w:tabs>
          <w:tab w:val="left" w:pos="800"/>
        </w:tabs>
        <w:rPr>
          <w:rFonts w:eastAsia="Times New Roman"/>
          <w:szCs w:val="22"/>
        </w:rPr>
      </w:pPr>
    </w:p>
    <w:p w:rsidR="00E50680" w:rsidRPr="000620CD" w:rsidRDefault="00E50680" w:rsidP="00203CC7">
      <w:pPr>
        <w:tabs>
          <w:tab w:val="left" w:pos="800"/>
        </w:tabs>
        <w:rPr>
          <w:b/>
          <w:szCs w:val="22"/>
        </w:rPr>
      </w:pPr>
      <w:r w:rsidRPr="000620CD">
        <w:rPr>
          <w:b/>
          <w:szCs w:val="22"/>
        </w:rPr>
        <w:t>Q2</w:t>
      </w:r>
      <w:r w:rsidR="000C7EF6">
        <w:rPr>
          <w:b/>
          <w:szCs w:val="22"/>
        </w:rPr>
        <w:t>5</w:t>
      </w:r>
      <w:r w:rsidRPr="000620CD">
        <w:rPr>
          <w:b/>
          <w:szCs w:val="22"/>
        </w:rPr>
        <w:t xml:space="preserve">: Could Annex IV, Evolution and Demand for Services under the PCT, Madrid, and Hague Systems in the Medium Term also include projections for the Lisbon System and could there be an annex, “Indicators of the Lisbon System Operations,” in the same manner as for the PCT, Madrid and </w:t>
      </w:r>
      <w:proofErr w:type="gramStart"/>
      <w:r w:rsidRPr="000620CD">
        <w:rPr>
          <w:b/>
          <w:szCs w:val="22"/>
        </w:rPr>
        <w:t>the</w:t>
      </w:r>
      <w:proofErr w:type="gramEnd"/>
      <w:r w:rsidRPr="000620CD">
        <w:rPr>
          <w:b/>
          <w:szCs w:val="22"/>
        </w:rPr>
        <w:t xml:space="preserve"> Hague?</w:t>
      </w:r>
    </w:p>
    <w:p w:rsidR="00E50680" w:rsidRPr="000620CD" w:rsidRDefault="00E50680" w:rsidP="00203CC7">
      <w:pPr>
        <w:rPr>
          <w:b/>
          <w:szCs w:val="22"/>
        </w:rPr>
      </w:pPr>
    </w:p>
    <w:p w:rsidR="00E50680" w:rsidRPr="000620CD" w:rsidRDefault="00E50680" w:rsidP="00203CC7">
      <w:pPr>
        <w:rPr>
          <w:szCs w:val="22"/>
        </w:rPr>
      </w:pPr>
      <w:r w:rsidRPr="000620CD">
        <w:rPr>
          <w:szCs w:val="22"/>
        </w:rPr>
        <w:t>A2</w:t>
      </w:r>
      <w:r w:rsidR="000C7EF6">
        <w:rPr>
          <w:szCs w:val="22"/>
        </w:rPr>
        <w:t>5</w:t>
      </w:r>
      <w:r w:rsidRPr="000620CD">
        <w:rPr>
          <w:szCs w:val="22"/>
        </w:rPr>
        <w:t>: Both could be provided.</w:t>
      </w:r>
    </w:p>
    <w:p w:rsidR="00E50680" w:rsidRPr="000620CD" w:rsidRDefault="00E50680" w:rsidP="00203CC7">
      <w:pPr>
        <w:rPr>
          <w:b/>
          <w:szCs w:val="22"/>
        </w:rPr>
      </w:pPr>
    </w:p>
    <w:p w:rsidR="00E50680" w:rsidRPr="000620CD" w:rsidRDefault="00E50680" w:rsidP="00203CC7">
      <w:pPr>
        <w:tabs>
          <w:tab w:val="left" w:pos="800"/>
        </w:tabs>
        <w:ind w:left="440"/>
        <w:rPr>
          <w:rFonts w:eastAsia="Times New Roman"/>
          <w:szCs w:val="22"/>
        </w:rPr>
      </w:pPr>
    </w:p>
    <w:p w:rsidR="00E50680" w:rsidRPr="000620CD" w:rsidRDefault="00E50680" w:rsidP="00203CC7">
      <w:pPr>
        <w:rPr>
          <w:b/>
          <w:szCs w:val="22"/>
        </w:rPr>
      </w:pPr>
      <w:r w:rsidRPr="000620CD">
        <w:rPr>
          <w:b/>
          <w:szCs w:val="22"/>
        </w:rPr>
        <w:t>Q2</w:t>
      </w:r>
      <w:r w:rsidR="000C7EF6">
        <w:rPr>
          <w:b/>
          <w:szCs w:val="22"/>
        </w:rPr>
        <w:t>6</w:t>
      </w:r>
      <w:r w:rsidRPr="000620CD">
        <w:rPr>
          <w:b/>
          <w:szCs w:val="22"/>
        </w:rPr>
        <w:t>: Can the Budget by Expected Results and Program (Annex X) and the Budget by Expected Result (Annex XI) be separated for the Madrid and Lisbon Systems?</w:t>
      </w:r>
    </w:p>
    <w:p w:rsidR="00E50680" w:rsidRPr="000620CD" w:rsidRDefault="00E50680" w:rsidP="00203CC7">
      <w:pPr>
        <w:tabs>
          <w:tab w:val="left" w:pos="800"/>
        </w:tabs>
        <w:ind w:left="440"/>
        <w:rPr>
          <w:rFonts w:eastAsia="Times New Roman"/>
          <w:szCs w:val="22"/>
        </w:rPr>
      </w:pPr>
    </w:p>
    <w:p w:rsidR="00E50680" w:rsidRPr="000620CD" w:rsidRDefault="00E50680" w:rsidP="00203CC7">
      <w:pPr>
        <w:rPr>
          <w:szCs w:val="22"/>
        </w:rPr>
      </w:pPr>
      <w:r w:rsidRPr="000620CD">
        <w:rPr>
          <w:szCs w:val="22"/>
        </w:rPr>
        <w:t>A2</w:t>
      </w:r>
      <w:r w:rsidR="000C7EF6">
        <w:rPr>
          <w:szCs w:val="22"/>
        </w:rPr>
        <w:t>6</w:t>
      </w:r>
      <w:r w:rsidRPr="000620CD">
        <w:rPr>
          <w:szCs w:val="22"/>
        </w:rPr>
        <w:t xml:space="preserve">: Should the Member States decide to split the Madrid and Lisbon Systems into two separate Programs with separate Expected Results, </w:t>
      </w:r>
      <w:r w:rsidR="00BE235E" w:rsidRPr="000620CD">
        <w:rPr>
          <w:szCs w:val="22"/>
        </w:rPr>
        <w:t xml:space="preserve">the </w:t>
      </w:r>
      <w:r w:rsidRPr="000620CD">
        <w:rPr>
          <w:szCs w:val="22"/>
        </w:rPr>
        <w:t xml:space="preserve">budget by Expected Results and Program in Tables X and XI </w:t>
      </w:r>
      <w:r w:rsidR="00BE235E" w:rsidRPr="000620CD">
        <w:rPr>
          <w:szCs w:val="22"/>
        </w:rPr>
        <w:t xml:space="preserve">for each of the Systems </w:t>
      </w:r>
      <w:r w:rsidRPr="000620CD">
        <w:rPr>
          <w:szCs w:val="22"/>
        </w:rPr>
        <w:t>would follow automatically.</w:t>
      </w:r>
    </w:p>
    <w:p w:rsidR="00E50680" w:rsidRPr="000620CD" w:rsidRDefault="00E50680" w:rsidP="00203CC7">
      <w:pPr>
        <w:rPr>
          <w:szCs w:val="22"/>
        </w:rPr>
      </w:pPr>
    </w:p>
    <w:p w:rsidR="00615E9C" w:rsidRPr="000620CD" w:rsidRDefault="00615E9C" w:rsidP="00203CC7">
      <w:pPr>
        <w:rPr>
          <w:szCs w:val="22"/>
        </w:rPr>
      </w:pPr>
    </w:p>
    <w:p w:rsidR="0027640E" w:rsidRPr="00BA4FC3" w:rsidRDefault="00BA4FC3" w:rsidP="00203CC7">
      <w:pPr>
        <w:contextualSpacing/>
        <w:rPr>
          <w:rFonts w:eastAsia="Times New Roman"/>
          <w:b/>
          <w:szCs w:val="22"/>
        </w:rPr>
      </w:pPr>
      <w:r w:rsidRPr="00BA4FC3">
        <w:rPr>
          <w:b/>
          <w:szCs w:val="22"/>
        </w:rPr>
        <w:t>Q2</w:t>
      </w:r>
      <w:r w:rsidR="000C7EF6">
        <w:rPr>
          <w:b/>
          <w:szCs w:val="22"/>
        </w:rPr>
        <w:t>7</w:t>
      </w:r>
      <w:r w:rsidRPr="00BA4FC3">
        <w:rPr>
          <w:b/>
          <w:szCs w:val="22"/>
        </w:rPr>
        <w:t xml:space="preserve">:  What are the </w:t>
      </w:r>
      <w:r w:rsidR="0027640E" w:rsidRPr="00BA4FC3">
        <w:rPr>
          <w:rFonts w:eastAsia="Times New Roman"/>
          <w:b/>
          <w:szCs w:val="22"/>
        </w:rPr>
        <w:t>sources</w:t>
      </w:r>
      <w:r w:rsidR="0027640E" w:rsidRPr="00BA4FC3">
        <w:rPr>
          <w:rFonts w:eastAsia="Times New Roman"/>
          <w:b/>
          <w:spacing w:val="-5"/>
          <w:szCs w:val="22"/>
        </w:rPr>
        <w:t xml:space="preserve"> </w:t>
      </w:r>
      <w:r w:rsidR="0027640E" w:rsidRPr="00BA4FC3">
        <w:rPr>
          <w:rFonts w:eastAsia="Times New Roman"/>
          <w:b/>
          <w:szCs w:val="22"/>
        </w:rPr>
        <w:t>of financing</w:t>
      </w:r>
      <w:r w:rsidR="0027640E" w:rsidRPr="00BA4FC3">
        <w:rPr>
          <w:rFonts w:eastAsia="Times New Roman"/>
          <w:b/>
          <w:spacing w:val="-6"/>
          <w:szCs w:val="22"/>
        </w:rPr>
        <w:t xml:space="preserve"> </w:t>
      </w:r>
      <w:r w:rsidRPr="00BA4FC3">
        <w:rPr>
          <w:rFonts w:eastAsia="Times New Roman"/>
          <w:b/>
          <w:szCs w:val="22"/>
        </w:rPr>
        <w:t>for</w:t>
      </w:r>
      <w:r w:rsidR="0027640E" w:rsidRPr="00BA4FC3">
        <w:rPr>
          <w:rFonts w:eastAsia="Times New Roman"/>
          <w:b/>
          <w:szCs w:val="22"/>
        </w:rPr>
        <w:t xml:space="preserve"> the</w:t>
      </w:r>
      <w:r w:rsidR="0027640E" w:rsidRPr="00BA4FC3">
        <w:rPr>
          <w:rFonts w:eastAsia="Times New Roman"/>
          <w:b/>
          <w:spacing w:val="-3"/>
          <w:szCs w:val="22"/>
        </w:rPr>
        <w:t xml:space="preserve"> </w:t>
      </w:r>
      <w:r w:rsidR="0027640E" w:rsidRPr="00BA4FC3">
        <w:rPr>
          <w:rFonts w:eastAsia="Times New Roman"/>
          <w:b/>
          <w:szCs w:val="22"/>
        </w:rPr>
        <w:t>buildings</w:t>
      </w:r>
      <w:r w:rsidR="0027640E" w:rsidRPr="00BA4FC3">
        <w:rPr>
          <w:rFonts w:eastAsia="Times New Roman"/>
          <w:b/>
          <w:spacing w:val="-6"/>
          <w:szCs w:val="22"/>
        </w:rPr>
        <w:t xml:space="preserve"> </w:t>
      </w:r>
      <w:r w:rsidR="0027640E" w:rsidRPr="00BA4FC3">
        <w:rPr>
          <w:rFonts w:eastAsia="Times New Roman"/>
          <w:b/>
          <w:szCs w:val="22"/>
        </w:rPr>
        <w:t>from</w:t>
      </w:r>
      <w:r w:rsidR="0027640E" w:rsidRPr="00BA4FC3">
        <w:rPr>
          <w:rFonts w:eastAsia="Times New Roman"/>
          <w:b/>
          <w:spacing w:val="-4"/>
          <w:szCs w:val="22"/>
        </w:rPr>
        <w:t xml:space="preserve"> </w:t>
      </w:r>
      <w:r w:rsidR="0027640E" w:rsidRPr="00BA4FC3">
        <w:rPr>
          <w:rFonts w:eastAsia="Times New Roman"/>
          <w:b/>
          <w:szCs w:val="22"/>
        </w:rPr>
        <w:t>which</w:t>
      </w:r>
      <w:r w:rsidR="0027640E" w:rsidRPr="00BA4FC3">
        <w:rPr>
          <w:rFonts w:eastAsia="Times New Roman"/>
          <w:b/>
          <w:spacing w:val="-3"/>
          <w:szCs w:val="22"/>
        </w:rPr>
        <w:t xml:space="preserve"> </w:t>
      </w:r>
      <w:r w:rsidR="0027640E" w:rsidRPr="00BA4FC3">
        <w:rPr>
          <w:rFonts w:eastAsia="Times New Roman"/>
          <w:b/>
          <w:szCs w:val="22"/>
        </w:rPr>
        <w:t>rental</w:t>
      </w:r>
      <w:r w:rsidR="0027640E" w:rsidRPr="00BA4FC3">
        <w:rPr>
          <w:rFonts w:eastAsia="Times New Roman"/>
          <w:b/>
          <w:spacing w:val="-5"/>
          <w:szCs w:val="22"/>
        </w:rPr>
        <w:t xml:space="preserve"> </w:t>
      </w:r>
      <w:r w:rsidR="0027640E" w:rsidRPr="00BA4FC3">
        <w:rPr>
          <w:rFonts w:eastAsia="Times New Roman"/>
          <w:b/>
          <w:szCs w:val="22"/>
        </w:rPr>
        <w:t>income</w:t>
      </w:r>
      <w:r w:rsidR="0027640E" w:rsidRPr="00BA4FC3">
        <w:rPr>
          <w:rFonts w:eastAsia="Times New Roman"/>
          <w:b/>
          <w:spacing w:val="-7"/>
          <w:szCs w:val="22"/>
        </w:rPr>
        <w:t xml:space="preserve"> </w:t>
      </w:r>
      <w:r w:rsidR="0027640E" w:rsidRPr="00BA4FC3">
        <w:rPr>
          <w:rFonts w:eastAsia="Times New Roman"/>
          <w:b/>
          <w:szCs w:val="22"/>
        </w:rPr>
        <w:t>is</w:t>
      </w:r>
      <w:r w:rsidR="0027640E" w:rsidRPr="00BA4FC3">
        <w:rPr>
          <w:rFonts w:eastAsia="Times New Roman"/>
          <w:b/>
          <w:spacing w:val="-1"/>
          <w:szCs w:val="22"/>
        </w:rPr>
        <w:t xml:space="preserve"> </w:t>
      </w:r>
      <w:r w:rsidR="00615E9C" w:rsidRPr="00BA4FC3">
        <w:rPr>
          <w:rFonts w:eastAsia="Times New Roman"/>
          <w:b/>
          <w:szCs w:val="22"/>
        </w:rPr>
        <w:t>derived</w:t>
      </w:r>
      <w:r w:rsidRPr="00BA4FC3">
        <w:rPr>
          <w:rFonts w:eastAsia="Times New Roman"/>
          <w:b/>
          <w:szCs w:val="22"/>
        </w:rPr>
        <w:t>?</w:t>
      </w:r>
      <w:r w:rsidR="00615E9C" w:rsidRPr="00BA4FC3">
        <w:rPr>
          <w:rFonts w:eastAsia="Times New Roman"/>
          <w:b/>
          <w:szCs w:val="22"/>
        </w:rPr>
        <w:t xml:space="preserve"> </w:t>
      </w:r>
    </w:p>
    <w:p w:rsidR="00BA4FC3" w:rsidRDefault="00BA4FC3" w:rsidP="00203CC7">
      <w:pPr>
        <w:contextualSpacing/>
        <w:rPr>
          <w:rFonts w:eastAsia="Times New Roman"/>
          <w:szCs w:val="22"/>
        </w:rPr>
      </w:pPr>
    </w:p>
    <w:p w:rsidR="00BA4FC3" w:rsidRDefault="00BA4FC3" w:rsidP="00203CC7">
      <w:pPr>
        <w:rPr>
          <w:szCs w:val="22"/>
        </w:rPr>
      </w:pPr>
      <w:r w:rsidRPr="00BA4FC3">
        <w:rPr>
          <w:szCs w:val="22"/>
        </w:rPr>
        <w:t>A2</w:t>
      </w:r>
      <w:r w:rsidR="000C7EF6">
        <w:rPr>
          <w:szCs w:val="22"/>
        </w:rPr>
        <w:t>7</w:t>
      </w:r>
      <w:r w:rsidRPr="00BA4FC3">
        <w:rPr>
          <w:szCs w:val="22"/>
        </w:rPr>
        <w:t xml:space="preserve">: </w:t>
      </w:r>
      <w:r w:rsidR="00F16EC7">
        <w:rPr>
          <w:szCs w:val="22"/>
        </w:rPr>
        <w:t xml:space="preserve">For a breakdown of the rental income please </w:t>
      </w:r>
      <w:r w:rsidR="00823F2E">
        <w:rPr>
          <w:szCs w:val="22"/>
        </w:rPr>
        <w:t>refer to Q&amp;A 2</w:t>
      </w:r>
      <w:r w:rsidR="000C7EF6">
        <w:rPr>
          <w:szCs w:val="22"/>
        </w:rPr>
        <w:t>3</w:t>
      </w:r>
      <w:r w:rsidR="00823F2E">
        <w:rPr>
          <w:szCs w:val="22"/>
        </w:rPr>
        <w:t xml:space="preserve">. </w:t>
      </w:r>
      <w:r w:rsidRPr="00BA4FC3">
        <w:rPr>
          <w:szCs w:val="22"/>
        </w:rPr>
        <w:t xml:space="preserve">The table in Annex II </w:t>
      </w:r>
      <w:r w:rsidR="00823F2E">
        <w:rPr>
          <w:szCs w:val="22"/>
        </w:rPr>
        <w:t xml:space="preserve">further </w:t>
      </w:r>
      <w:r w:rsidRPr="00BA4FC3">
        <w:rPr>
          <w:szCs w:val="22"/>
        </w:rPr>
        <w:t xml:space="preserve">contains an analysis of the rental income currently received in respect of the various buildings and the reserves position from 1977 for each of the Unions at the time the buildings were acquired. </w:t>
      </w:r>
    </w:p>
    <w:p w:rsidR="00413B43" w:rsidRDefault="00413B43" w:rsidP="00203CC7">
      <w:pPr>
        <w:rPr>
          <w:szCs w:val="22"/>
        </w:rPr>
      </w:pPr>
    </w:p>
    <w:p w:rsidR="00413B43" w:rsidRDefault="00413B43" w:rsidP="00203CC7">
      <w:pPr>
        <w:rPr>
          <w:szCs w:val="22"/>
        </w:rPr>
      </w:pPr>
    </w:p>
    <w:p w:rsidR="00413B43" w:rsidRPr="00413B43" w:rsidRDefault="00294DB3" w:rsidP="00413B43">
      <w:pPr>
        <w:rPr>
          <w:b/>
        </w:rPr>
      </w:pPr>
      <w:r>
        <w:rPr>
          <w:noProof/>
          <w:lang w:eastAsia="en-US"/>
        </w:rPr>
        <w:lastRenderedPageBreak/>
        <mc:AlternateContent>
          <mc:Choice Requires="wps">
            <w:drawing>
              <wp:anchor distT="0" distB="0" distL="114300" distR="114300" simplePos="0" relativeHeight="251662336" behindDoc="0" locked="0" layoutInCell="1" allowOverlap="1" wp14:anchorId="024A9E5A" wp14:editId="03A99DF8">
                <wp:simplePos x="0" y="0"/>
                <wp:positionH relativeFrom="column">
                  <wp:posOffset>-786130</wp:posOffset>
                </wp:positionH>
                <wp:positionV relativeFrom="paragraph">
                  <wp:posOffset>-99060</wp:posOffset>
                </wp:positionV>
                <wp:extent cx="871220" cy="35750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871220" cy="357505"/>
                        </a:xfrm>
                        <a:prstGeom prst="rect">
                          <a:avLst/>
                        </a:prstGeom>
                        <a:noFill/>
                        <a:ln>
                          <a:noFill/>
                        </a:ln>
                        <a:effectLst/>
                      </wps:spPr>
                      <wps:txbx>
                        <w:txbxContent>
                          <w:p w:rsidR="00294DB3" w:rsidRPr="004A6AF4" w:rsidRDefault="00294DB3" w:rsidP="00294DB3">
                            <w:pPr>
                              <w:jc w:val="cente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A7E5B">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1.9pt;margin-top:-7.8pt;width:68.6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" filled="f" stroked="f">
                <v:textbox>
                  <w:txbxContent>
                    <w:p w:rsidR="00294DB3" w:rsidRPr="004A6AF4" w:rsidRDefault="00294DB3" w:rsidP="00294DB3">
                      <w:pPr>
                        <w:jc w:val="cente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 w:name="_GoBack"/>
                      <w:r w:rsidRPr="005A7E5B">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NEW</w:t>
                      </w:r>
                      <w:bookmarkEnd w:id="1"/>
                    </w:p>
                  </w:txbxContent>
                </v:textbox>
              </v:shape>
            </w:pict>
          </mc:Fallback>
        </mc:AlternateContent>
      </w:r>
      <w:r w:rsidR="00413B43" w:rsidRPr="00413B43">
        <w:rPr>
          <w:b/>
        </w:rPr>
        <w:t>Q28: How would the introduction of a fee discount for university applicants affect PCT income in</w:t>
      </w:r>
      <w:r w:rsidR="00413B43">
        <w:rPr>
          <w:b/>
          <w:bCs/>
          <w:sz w:val="20"/>
        </w:rPr>
        <w:t xml:space="preserve"> </w:t>
      </w:r>
      <w:r w:rsidR="00413B43" w:rsidRPr="00413B43">
        <w:rPr>
          <w:b/>
        </w:rPr>
        <w:t>2016 and 2017?</w:t>
      </w:r>
    </w:p>
    <w:p w:rsidR="00413B43" w:rsidRDefault="00413B43" w:rsidP="00413B43">
      <w:r>
        <w:rPr>
          <w:sz w:val="20"/>
        </w:rPr>
        <w:t> </w:t>
      </w:r>
    </w:p>
    <w:p w:rsidR="00413B43" w:rsidRPr="00413B43" w:rsidRDefault="00413B43" w:rsidP="00413B43">
      <w:pPr>
        <w:rPr>
          <w:szCs w:val="22"/>
        </w:rPr>
      </w:pPr>
      <w:r>
        <w:rPr>
          <w:szCs w:val="22"/>
        </w:rPr>
        <w:t xml:space="preserve">A28: </w:t>
      </w:r>
      <w:r w:rsidRPr="00413B43">
        <w:rPr>
          <w:szCs w:val="22"/>
        </w:rPr>
        <w:t xml:space="preserve">The supplement to the study “Estimating a PCT Fee Elasticity” (PCT/WG/8/11) presented hypothetical simulations on how the introduction of a fee discount for university applicants would have affected PCT filing volumes and income during 2010-2014.  Unfortunately, one cannot straightforwardly extend these simulations to 2016 and 2017, as WIPO’s forecast model does not provide a forecast of future filings from university applicants, nor a forecast of the average fee paid by those applicants.  </w:t>
      </w:r>
      <w:proofErr w:type="gramStart"/>
      <w:r w:rsidRPr="00413B43">
        <w:rPr>
          <w:szCs w:val="22"/>
        </w:rPr>
        <w:t>However, applying the percentage income effects of 2014 – as shown in Tables 4 and 5 of PCT/WG/8/11 – to the overall PCT income forecast for 2016 and 2017 offers an order-of-magnitude estimate of the likely income effect.</w:t>
      </w:r>
      <w:proofErr w:type="gramEnd"/>
      <w:r w:rsidRPr="00413B43">
        <w:rPr>
          <w:szCs w:val="22"/>
        </w:rPr>
        <w:t xml:space="preserve">  In particular, a hypothetical fee discount of 50 percent for university applicants from developing and developed countries would imply forgone income of CHF 1.02 million and CHF 6.92 million, respectively, for 2016, and CHF 1.05 million and CHF 7.08 million, respectively, for 2017.</w:t>
      </w:r>
    </w:p>
    <w:p w:rsidR="00413B43" w:rsidRPr="00BA4FC3" w:rsidRDefault="00413B43" w:rsidP="00203CC7">
      <w:pPr>
        <w:rPr>
          <w:szCs w:val="22"/>
        </w:rPr>
      </w:pPr>
    </w:p>
    <w:p w:rsidR="000C7EF6" w:rsidRDefault="000C7EF6" w:rsidP="00203CC7">
      <w:pPr>
        <w:rPr>
          <w:sz w:val="24"/>
          <w:szCs w:val="24"/>
        </w:rPr>
      </w:pPr>
    </w:p>
    <w:p w:rsidR="00C25DAA" w:rsidRPr="00D93934" w:rsidRDefault="00CD11C1" w:rsidP="00203CC7">
      <w:pPr>
        <w:rPr>
          <w:b/>
        </w:rPr>
      </w:pPr>
      <w:r w:rsidRPr="00924A44">
        <w:rPr>
          <w:sz w:val="24"/>
          <w:szCs w:val="24"/>
        </w:rPr>
        <w:t>STRATEGIC GOAL III:  FACILITATING THE USE OF IP FOR DEVELOPMENT</w:t>
      </w:r>
    </w:p>
    <w:p w:rsidR="00C25DAA" w:rsidRPr="00924A44" w:rsidRDefault="00C25DAA" w:rsidP="00203CC7">
      <w:pPr>
        <w:keepNext/>
        <w:keepLines/>
        <w:spacing w:before="120"/>
        <w:rPr>
          <w:b/>
        </w:rPr>
      </w:pPr>
    </w:p>
    <w:p w:rsidR="00707288" w:rsidRPr="00924A44" w:rsidRDefault="00707288" w:rsidP="00203CC7">
      <w:pPr>
        <w:pStyle w:val="ONUME"/>
        <w:numPr>
          <w:ilvl w:val="0"/>
          <w:numId w:val="0"/>
        </w:numPr>
        <w:rPr>
          <w:b/>
        </w:rPr>
      </w:pPr>
      <w:r w:rsidRPr="00924A44">
        <w:rPr>
          <w:b/>
        </w:rPr>
        <w:t>Q</w:t>
      </w:r>
      <w:r w:rsidR="00C92C28" w:rsidRPr="00924A44">
        <w:rPr>
          <w:b/>
        </w:rPr>
        <w:t>1</w:t>
      </w:r>
      <w:r w:rsidRPr="00924A44">
        <w:rPr>
          <w:b/>
        </w:rPr>
        <w:t xml:space="preserve">:  In which Program is the work on SMEs and universities for transition countries reflected? </w:t>
      </w:r>
    </w:p>
    <w:p w:rsidR="00C25DAA" w:rsidRPr="00924A44" w:rsidRDefault="00C25DAA" w:rsidP="00203CC7">
      <w:r w:rsidRPr="00924A44">
        <w:t>A</w:t>
      </w:r>
      <w:r w:rsidR="00C92C28" w:rsidRPr="00924A44">
        <w:t>1</w:t>
      </w:r>
      <w:r w:rsidRPr="00924A44">
        <w:t xml:space="preserve">: </w:t>
      </w:r>
      <w:r w:rsidR="007D5422" w:rsidRPr="00924A44">
        <w:t xml:space="preserve"> </w:t>
      </w:r>
      <w:r w:rsidRPr="00924A44">
        <w:t xml:space="preserve">  </w:t>
      </w:r>
      <w:r w:rsidR="009917E4" w:rsidRPr="00924A44">
        <w:t xml:space="preserve">The work on SMEs and universities for transition countries is reflected under Program 30 SMEs and Entrepreneurship Support.  </w:t>
      </w:r>
    </w:p>
    <w:p w:rsidR="004808E5" w:rsidRDefault="004808E5" w:rsidP="00203CC7"/>
    <w:p w:rsidR="002C315F" w:rsidRPr="00924A44" w:rsidRDefault="002C315F" w:rsidP="00203CC7"/>
    <w:p w:rsidR="0078453E" w:rsidRPr="00924A44" w:rsidRDefault="0078453E" w:rsidP="00203CC7">
      <w:pPr>
        <w:rPr>
          <w:b/>
          <w:bCs/>
        </w:rPr>
      </w:pPr>
      <w:r w:rsidRPr="00924A44">
        <w:rPr>
          <w:b/>
          <w:bCs/>
        </w:rPr>
        <w:t>Q</w:t>
      </w:r>
      <w:r w:rsidR="00C92C28" w:rsidRPr="00924A44">
        <w:rPr>
          <w:b/>
          <w:bCs/>
        </w:rPr>
        <w:t>2</w:t>
      </w:r>
      <w:r w:rsidRPr="00924A44">
        <w:rPr>
          <w:b/>
          <w:bCs/>
        </w:rPr>
        <w:t xml:space="preserve">:  Where is </w:t>
      </w:r>
      <w:r w:rsidRPr="00924A44">
        <w:rPr>
          <w:b/>
        </w:rPr>
        <w:t>South-South cooperation reflected in the proposed Program and Budget for 2016/17?</w:t>
      </w:r>
    </w:p>
    <w:p w:rsidR="002C315F" w:rsidRDefault="002C315F" w:rsidP="00203CC7"/>
    <w:p w:rsidR="0078453E" w:rsidRPr="00924A44" w:rsidRDefault="0078453E" w:rsidP="00203CC7">
      <w:r w:rsidRPr="00924A44">
        <w:t>A</w:t>
      </w:r>
      <w:r w:rsidR="00C92C28" w:rsidRPr="00924A44">
        <w:t>2</w:t>
      </w:r>
      <w:r w:rsidRPr="00924A44">
        <w:t xml:space="preserve">:  </w:t>
      </w:r>
      <w:r w:rsidR="002C315F">
        <w:t>South-South cooperation is reflected in Program 9 (please refer to paragraph 9.11).</w:t>
      </w:r>
    </w:p>
    <w:p w:rsidR="00332128" w:rsidRPr="00924A44" w:rsidRDefault="00332128" w:rsidP="00203CC7"/>
    <w:p w:rsidR="002C315F" w:rsidRDefault="002C315F" w:rsidP="00203CC7">
      <w:pPr>
        <w:pStyle w:val="ONUME"/>
        <w:numPr>
          <w:ilvl w:val="0"/>
          <w:numId w:val="0"/>
        </w:numPr>
        <w:spacing w:after="0"/>
        <w:rPr>
          <w:b/>
        </w:rPr>
      </w:pPr>
    </w:p>
    <w:p w:rsidR="009A0CE7" w:rsidRPr="00924A44" w:rsidRDefault="009A0CE7" w:rsidP="00203CC7">
      <w:pPr>
        <w:pStyle w:val="ONUME"/>
        <w:numPr>
          <w:ilvl w:val="0"/>
          <w:numId w:val="0"/>
        </w:numPr>
        <w:rPr>
          <w:b/>
        </w:rPr>
      </w:pPr>
      <w:r w:rsidRPr="00924A44">
        <w:rPr>
          <w:b/>
        </w:rPr>
        <w:t xml:space="preserve">Q3:  In Program 2, the Resources by Result Table </w:t>
      </w:r>
      <w:r w:rsidR="005108DD">
        <w:rPr>
          <w:b/>
        </w:rPr>
        <w:t>references</w:t>
      </w:r>
      <w:r w:rsidRPr="00924A44">
        <w:rPr>
          <w:b/>
        </w:rPr>
        <w:t xml:space="preserve"> Expected Result III.4</w:t>
      </w:r>
      <w:r w:rsidR="005108DD">
        <w:rPr>
          <w:b/>
        </w:rPr>
        <w:t>:</w:t>
      </w:r>
      <w:r w:rsidRPr="00924A44">
        <w:rPr>
          <w:b/>
        </w:rPr>
        <w:t xml:space="preserve"> Strengthened </w:t>
      </w:r>
      <w:r w:rsidR="005108DD">
        <w:rPr>
          <w:b/>
        </w:rPr>
        <w:t>C</w:t>
      </w:r>
      <w:r w:rsidRPr="00924A44">
        <w:rPr>
          <w:b/>
        </w:rPr>
        <w:t xml:space="preserve">ooperation </w:t>
      </w:r>
      <w:r w:rsidR="005108DD">
        <w:rPr>
          <w:b/>
        </w:rPr>
        <w:t>M</w:t>
      </w:r>
      <w:r w:rsidRPr="00924A44">
        <w:rPr>
          <w:b/>
        </w:rPr>
        <w:t xml:space="preserve">echanisms and </w:t>
      </w:r>
      <w:r w:rsidR="005108DD">
        <w:rPr>
          <w:b/>
        </w:rPr>
        <w:t>P</w:t>
      </w:r>
      <w:r w:rsidRPr="00924A44">
        <w:rPr>
          <w:b/>
        </w:rPr>
        <w:t xml:space="preserve">rograms </w:t>
      </w:r>
      <w:r w:rsidR="005108DD">
        <w:rPr>
          <w:b/>
        </w:rPr>
        <w:t>T</w:t>
      </w:r>
      <w:r w:rsidRPr="00924A44">
        <w:rPr>
          <w:b/>
        </w:rPr>
        <w:t xml:space="preserve">ailored to the </w:t>
      </w:r>
      <w:r w:rsidR="005108DD">
        <w:rPr>
          <w:b/>
        </w:rPr>
        <w:t>N</w:t>
      </w:r>
      <w:r w:rsidRPr="00924A44">
        <w:rPr>
          <w:b/>
        </w:rPr>
        <w:t xml:space="preserve">eeds of </w:t>
      </w:r>
      <w:r w:rsidR="005108DD">
        <w:rPr>
          <w:b/>
        </w:rPr>
        <w:t>D</w:t>
      </w:r>
      <w:r w:rsidRPr="00924A44">
        <w:rPr>
          <w:b/>
        </w:rPr>
        <w:t xml:space="preserve">eveloping </w:t>
      </w:r>
      <w:r w:rsidR="005108DD">
        <w:rPr>
          <w:b/>
        </w:rPr>
        <w:t>C</w:t>
      </w:r>
      <w:r w:rsidRPr="00924A44">
        <w:rPr>
          <w:b/>
        </w:rPr>
        <w:t>ountries and LDCs.  Why is this result not reflected in the Results Framework?</w:t>
      </w:r>
    </w:p>
    <w:p w:rsidR="009A0CE7" w:rsidRPr="00924A44" w:rsidRDefault="009A0CE7" w:rsidP="00203CC7">
      <w:r w:rsidRPr="00924A44">
        <w:t xml:space="preserve">A3:  The resources allocated to Expected Result III.4 </w:t>
      </w:r>
      <w:r w:rsidR="00BB0F4A" w:rsidRPr="00924A44">
        <w:t xml:space="preserve">in the Program 2 Resources by Result Table </w:t>
      </w:r>
      <w:r w:rsidRPr="00924A44">
        <w:t xml:space="preserve">are related to the DA Project IP &amp; Design Creation for Business Development in Developing Countries and LDCs (D0040).  </w:t>
      </w:r>
      <w:r w:rsidR="00BB0F4A" w:rsidRPr="00924A44">
        <w:t xml:space="preserve">The Results Framework for each </w:t>
      </w:r>
      <w:r w:rsidR="005108DD">
        <w:t>P</w:t>
      </w:r>
      <w:r w:rsidR="00BB0F4A" w:rsidRPr="00924A44">
        <w:t xml:space="preserve">rogram reflects the Performance Indicators for the regular work of the Program only and does not include DA Projects and Special Reserve Projects.    </w:t>
      </w:r>
    </w:p>
    <w:p w:rsidR="009A0CE7" w:rsidRPr="00924A44" w:rsidRDefault="009A0CE7" w:rsidP="00203CC7">
      <w:pPr>
        <w:rPr>
          <w:sz w:val="24"/>
          <w:szCs w:val="24"/>
        </w:rPr>
      </w:pPr>
    </w:p>
    <w:p w:rsidR="002C315F" w:rsidRDefault="002C315F" w:rsidP="00203CC7">
      <w:pPr>
        <w:rPr>
          <w:b/>
        </w:rPr>
      </w:pPr>
    </w:p>
    <w:p w:rsidR="009A0CE7" w:rsidRPr="00924A44" w:rsidRDefault="009C1F6E" w:rsidP="00203CC7">
      <w:pPr>
        <w:rPr>
          <w:b/>
        </w:rPr>
      </w:pPr>
      <w:r w:rsidRPr="00924A44">
        <w:rPr>
          <w:b/>
        </w:rPr>
        <w:t>Q4: In Program 30</w:t>
      </w:r>
      <w:r w:rsidR="00665352">
        <w:rPr>
          <w:b/>
        </w:rPr>
        <w:t>,</w:t>
      </w:r>
      <w:r w:rsidRPr="00924A44">
        <w:rPr>
          <w:b/>
        </w:rPr>
        <w:t xml:space="preserve"> under Expected Result III.1</w:t>
      </w:r>
      <w:r w:rsidR="00665352">
        <w:rPr>
          <w:b/>
        </w:rPr>
        <w:t>:</w:t>
      </w:r>
      <w:r w:rsidRPr="00924A44">
        <w:rPr>
          <w:b/>
        </w:rPr>
        <w:t xml:space="preserve"> National </w:t>
      </w:r>
      <w:r w:rsidR="00665352">
        <w:rPr>
          <w:b/>
        </w:rPr>
        <w:t>I</w:t>
      </w:r>
      <w:r w:rsidRPr="00924A44">
        <w:rPr>
          <w:b/>
        </w:rPr>
        <w:t xml:space="preserve">nnovation and IP </w:t>
      </w:r>
      <w:r w:rsidR="00665352">
        <w:rPr>
          <w:b/>
        </w:rPr>
        <w:t>S</w:t>
      </w:r>
      <w:r w:rsidRPr="00924A44">
        <w:rPr>
          <w:b/>
        </w:rPr>
        <w:t xml:space="preserve">trategies and </w:t>
      </w:r>
      <w:r w:rsidR="00665352">
        <w:rPr>
          <w:b/>
        </w:rPr>
        <w:t>P</w:t>
      </w:r>
      <w:r w:rsidRPr="00924A44">
        <w:rPr>
          <w:b/>
        </w:rPr>
        <w:t xml:space="preserve">lans consistent with </w:t>
      </w:r>
      <w:r w:rsidR="00665352">
        <w:rPr>
          <w:b/>
        </w:rPr>
        <w:t>N</w:t>
      </w:r>
      <w:r w:rsidRPr="00924A44">
        <w:rPr>
          <w:b/>
        </w:rPr>
        <w:t xml:space="preserve">ational </w:t>
      </w:r>
      <w:r w:rsidR="00665352">
        <w:rPr>
          <w:b/>
        </w:rPr>
        <w:t>D</w:t>
      </w:r>
      <w:r w:rsidRPr="00924A44">
        <w:rPr>
          <w:b/>
        </w:rPr>
        <w:t xml:space="preserve">evelopment </w:t>
      </w:r>
      <w:r w:rsidR="00665352">
        <w:rPr>
          <w:b/>
        </w:rPr>
        <w:t>O</w:t>
      </w:r>
      <w:r w:rsidRPr="00924A44">
        <w:rPr>
          <w:b/>
        </w:rPr>
        <w:t xml:space="preserve">bjectives, what is the cumulative number of national innovation strategies initiated, in progress or adopted with the assistance of WIPO?  </w:t>
      </w:r>
    </w:p>
    <w:p w:rsidR="009C1F6E" w:rsidRPr="00924A44" w:rsidRDefault="009C1F6E" w:rsidP="00203CC7">
      <w:pPr>
        <w:rPr>
          <w:b/>
        </w:rPr>
      </w:pPr>
    </w:p>
    <w:p w:rsidR="009C1F6E" w:rsidRPr="00924A44" w:rsidRDefault="009C1F6E" w:rsidP="00203CC7">
      <w:r w:rsidRPr="00924A44">
        <w:t>A4:  At the end of 2014, as reported in the PPR 2014, four countries had initiated the process of developing national innovation policies with the assistance of WIPO.  This is reflected in the baseline for 2016/17</w:t>
      </w:r>
      <w:r w:rsidR="009E4BAD">
        <w:t xml:space="preserve"> in the Results Framework for Program 30.</w:t>
      </w:r>
    </w:p>
    <w:p w:rsidR="00F364D6" w:rsidRDefault="00F364D6" w:rsidP="00203CC7">
      <w:pPr>
        <w:rPr>
          <w:b/>
        </w:rPr>
      </w:pPr>
    </w:p>
    <w:p w:rsidR="00F364D6" w:rsidRDefault="00F364D6" w:rsidP="00203CC7">
      <w:pPr>
        <w:rPr>
          <w:b/>
        </w:rPr>
      </w:pPr>
    </w:p>
    <w:p w:rsidR="009C1F6E" w:rsidRPr="00924A44" w:rsidRDefault="009C1F6E" w:rsidP="00203CC7">
      <w:r w:rsidRPr="00924A44">
        <w:rPr>
          <w:b/>
        </w:rPr>
        <w:t>Q5:  In Program 30</w:t>
      </w:r>
      <w:r w:rsidR="00944ADD">
        <w:rPr>
          <w:b/>
        </w:rPr>
        <w:t>,</w:t>
      </w:r>
      <w:r w:rsidRPr="00924A44">
        <w:rPr>
          <w:b/>
        </w:rPr>
        <w:t xml:space="preserve"> for the Performance Indicator “No. of countries having established or improved IP training programs for SMEs”, </w:t>
      </w:r>
      <w:r w:rsidR="00F426ED" w:rsidRPr="00924A44">
        <w:rPr>
          <w:b/>
        </w:rPr>
        <w:t xml:space="preserve">does </w:t>
      </w:r>
      <w:r w:rsidRPr="00924A44">
        <w:rPr>
          <w:b/>
        </w:rPr>
        <w:t>the baseline of 13</w:t>
      </w:r>
      <w:r w:rsidR="00F426ED" w:rsidRPr="00924A44">
        <w:rPr>
          <w:b/>
        </w:rPr>
        <w:t xml:space="preserve"> reflect the cumulative number of countries?</w:t>
      </w:r>
      <w:r w:rsidRPr="00924A44">
        <w:rPr>
          <w:b/>
        </w:rPr>
        <w:t xml:space="preserve"> </w:t>
      </w:r>
    </w:p>
    <w:p w:rsidR="009C1F6E" w:rsidRPr="00924A44" w:rsidRDefault="009C1F6E" w:rsidP="00203CC7"/>
    <w:p w:rsidR="009C1F6E" w:rsidRPr="00924A44" w:rsidRDefault="009C1F6E" w:rsidP="00203CC7">
      <w:r w:rsidRPr="00924A44">
        <w:lastRenderedPageBreak/>
        <w:t>A5:</w:t>
      </w:r>
      <w:r w:rsidR="00F426ED" w:rsidRPr="00924A44">
        <w:t xml:space="preserve"> The baseline of 13 refers to the number </w:t>
      </w:r>
      <w:r w:rsidR="00944ADD">
        <w:t xml:space="preserve">of </w:t>
      </w:r>
      <w:r w:rsidR="00F426ED" w:rsidRPr="00924A44">
        <w:t xml:space="preserve">countries having established training programs in 2014 as reflected in the PPR 2014.  No cumulative figure is available, as 2014/15 was the first biennium that this performance indicator was used. </w:t>
      </w:r>
    </w:p>
    <w:p w:rsidR="009C1F6E" w:rsidRDefault="009C1F6E" w:rsidP="00203CC7">
      <w:pPr>
        <w:rPr>
          <w:sz w:val="24"/>
          <w:szCs w:val="24"/>
        </w:rPr>
      </w:pPr>
    </w:p>
    <w:p w:rsidR="00927F87" w:rsidRPr="00924A44" w:rsidRDefault="00927F87" w:rsidP="00203CC7">
      <w:pPr>
        <w:rPr>
          <w:sz w:val="24"/>
          <w:szCs w:val="24"/>
        </w:rPr>
      </w:pPr>
    </w:p>
    <w:p w:rsidR="00BD733E" w:rsidRPr="0046600E" w:rsidRDefault="00BD733E" w:rsidP="00203CC7">
      <w:pPr>
        <w:rPr>
          <w:b/>
          <w:sz w:val="24"/>
          <w:szCs w:val="24"/>
        </w:rPr>
      </w:pPr>
      <w:r w:rsidRPr="0046600E">
        <w:rPr>
          <w:b/>
        </w:rPr>
        <w:t xml:space="preserve">Q6: In reference to </w:t>
      </w:r>
      <w:r w:rsidR="00067090" w:rsidRPr="0046600E">
        <w:rPr>
          <w:b/>
        </w:rPr>
        <w:t xml:space="preserve">the table summarizing Expected Results and Performance Indicators for </w:t>
      </w:r>
      <w:r w:rsidRPr="0046600E">
        <w:rPr>
          <w:b/>
        </w:rPr>
        <w:t xml:space="preserve">Strategic </w:t>
      </w:r>
      <w:r w:rsidR="00067090" w:rsidRPr="0046600E">
        <w:rPr>
          <w:b/>
        </w:rPr>
        <w:t>G</w:t>
      </w:r>
      <w:r w:rsidRPr="0046600E">
        <w:rPr>
          <w:b/>
        </w:rPr>
        <w:t>oal III</w:t>
      </w:r>
      <w:r w:rsidR="00067090" w:rsidRPr="0046600E">
        <w:rPr>
          <w:b/>
        </w:rPr>
        <w:t xml:space="preserve"> (T</w:t>
      </w:r>
      <w:r w:rsidRPr="0046600E">
        <w:rPr>
          <w:b/>
        </w:rPr>
        <w:t xml:space="preserve">able on pages 64 </w:t>
      </w:r>
      <w:r w:rsidR="00067090" w:rsidRPr="0046600E">
        <w:rPr>
          <w:b/>
        </w:rPr>
        <w:t>–</w:t>
      </w:r>
      <w:r w:rsidRPr="0046600E">
        <w:rPr>
          <w:b/>
        </w:rPr>
        <w:t xml:space="preserve"> 66</w:t>
      </w:r>
      <w:r w:rsidR="00067090" w:rsidRPr="0046600E">
        <w:rPr>
          <w:b/>
        </w:rPr>
        <w:t xml:space="preserve"> in the English version of the document)</w:t>
      </w:r>
      <w:r w:rsidRPr="0046600E">
        <w:rPr>
          <w:b/>
        </w:rPr>
        <w:t>, should Programs 14 and 16 also be listed?</w:t>
      </w:r>
    </w:p>
    <w:p w:rsidR="00BD733E" w:rsidRPr="00A45861" w:rsidRDefault="00BD733E" w:rsidP="00203CC7">
      <w:pPr>
        <w:rPr>
          <w:sz w:val="24"/>
          <w:szCs w:val="24"/>
        </w:rPr>
      </w:pPr>
    </w:p>
    <w:p w:rsidR="00BD733E" w:rsidRPr="00A45861" w:rsidRDefault="00BD733E" w:rsidP="00203CC7">
      <w:r w:rsidRPr="00A45861">
        <w:rPr>
          <w:szCs w:val="22"/>
        </w:rPr>
        <w:t>A6:</w:t>
      </w:r>
      <w:r w:rsidRPr="00A45861">
        <w:rPr>
          <w:sz w:val="24"/>
          <w:szCs w:val="24"/>
        </w:rPr>
        <w:t xml:space="preserve"> </w:t>
      </w:r>
      <w:r w:rsidRPr="00A45861">
        <w:t xml:space="preserve">Program 14 </w:t>
      </w:r>
      <w:r w:rsidR="00067090" w:rsidRPr="00A45861">
        <w:t>contributes</w:t>
      </w:r>
      <w:r w:rsidRPr="00A45861">
        <w:t xml:space="preserve"> </w:t>
      </w:r>
      <w:r w:rsidR="00067090" w:rsidRPr="00A45861">
        <w:t>to</w:t>
      </w:r>
      <w:r w:rsidRPr="00A45861">
        <w:t xml:space="preserve"> Expected Result IV.2 and Program 16 </w:t>
      </w:r>
      <w:r w:rsidR="00067090" w:rsidRPr="00A45861">
        <w:t xml:space="preserve">contributes to </w:t>
      </w:r>
      <w:r w:rsidRPr="00A45861">
        <w:t xml:space="preserve">Expected Results V.1 and V.2. </w:t>
      </w:r>
      <w:r w:rsidR="00067090" w:rsidRPr="00A45861">
        <w:t xml:space="preserve">These Programs are therefore not listed under Strategic Goal III although they contribute to development. </w:t>
      </w:r>
      <w:r w:rsidR="00A45861" w:rsidRPr="00A45861">
        <w:t>Their contribution</w:t>
      </w:r>
      <w:r w:rsidR="00067090" w:rsidRPr="00A45861">
        <w:t xml:space="preserve"> is illustrated by the development share of these two Programs.</w:t>
      </w:r>
    </w:p>
    <w:p w:rsidR="00BD733E" w:rsidRDefault="00BD733E" w:rsidP="00203CC7">
      <w:pPr>
        <w:rPr>
          <w:sz w:val="24"/>
          <w:szCs w:val="24"/>
        </w:rPr>
      </w:pPr>
    </w:p>
    <w:p w:rsidR="00A45861" w:rsidRDefault="00A45861" w:rsidP="00203CC7">
      <w:pPr>
        <w:rPr>
          <w:sz w:val="24"/>
          <w:szCs w:val="24"/>
        </w:rPr>
      </w:pPr>
    </w:p>
    <w:p w:rsidR="002C315F" w:rsidRPr="00924A44" w:rsidRDefault="002C315F" w:rsidP="00203CC7">
      <w:pPr>
        <w:rPr>
          <w:b/>
        </w:rPr>
      </w:pPr>
      <w:r w:rsidRPr="00924A44">
        <w:rPr>
          <w:b/>
        </w:rPr>
        <w:t>Q</w:t>
      </w:r>
      <w:r w:rsidR="00067090">
        <w:rPr>
          <w:b/>
        </w:rPr>
        <w:t>7</w:t>
      </w:r>
      <w:r w:rsidRPr="00924A44">
        <w:rPr>
          <w:b/>
        </w:rPr>
        <w:t xml:space="preserve">: Why are Expected Results II.1, II.4, and II.6 related to the wider and more effective use of the PCT, Hague, Madrid and Lisbon Systems respectively reflected in the Results Framework for Program 10?  </w:t>
      </w:r>
    </w:p>
    <w:p w:rsidR="002C315F" w:rsidRPr="00924A44" w:rsidRDefault="002C315F" w:rsidP="00203CC7">
      <w:pPr>
        <w:rPr>
          <w:b/>
        </w:rPr>
      </w:pPr>
    </w:p>
    <w:p w:rsidR="002C315F" w:rsidRPr="00924A44" w:rsidRDefault="002C315F" w:rsidP="00203CC7">
      <w:r w:rsidRPr="00924A44">
        <w:t>A</w:t>
      </w:r>
      <w:r w:rsidR="00067090">
        <w:t>7</w:t>
      </w:r>
      <w:r w:rsidRPr="00924A44">
        <w:t>:  In line with the 2014/15 results framework for Program 10, the promotion of WIPO products and services will continue to be a priority in transition and developed countries in the 2016/17 biennium.</w:t>
      </w:r>
    </w:p>
    <w:p w:rsidR="002C315F" w:rsidRPr="00924A44" w:rsidRDefault="002C315F" w:rsidP="00203CC7"/>
    <w:p w:rsidR="002C315F" w:rsidRDefault="002C315F" w:rsidP="00203CC7">
      <w:pPr>
        <w:rPr>
          <w:b/>
        </w:rPr>
      </w:pPr>
    </w:p>
    <w:p w:rsidR="002C315F" w:rsidRPr="00924A44" w:rsidRDefault="002C315F" w:rsidP="00203CC7">
      <w:pPr>
        <w:rPr>
          <w:b/>
        </w:rPr>
      </w:pPr>
      <w:r w:rsidRPr="00924A44">
        <w:rPr>
          <w:b/>
        </w:rPr>
        <w:t>Q</w:t>
      </w:r>
      <w:r w:rsidR="00A45861">
        <w:rPr>
          <w:b/>
        </w:rPr>
        <w:t>8</w:t>
      </w:r>
      <w:r w:rsidRPr="00924A44">
        <w:rPr>
          <w:b/>
        </w:rPr>
        <w:t xml:space="preserve">: In the Results Framework for Program 10 under Expected Result II.8, what is the cumulative number of disputes and </w:t>
      </w:r>
      <w:proofErr w:type="spellStart"/>
      <w:r w:rsidRPr="00924A44">
        <w:rPr>
          <w:b/>
        </w:rPr>
        <w:t>bons</w:t>
      </w:r>
      <w:proofErr w:type="spellEnd"/>
      <w:r w:rsidRPr="00924A44">
        <w:rPr>
          <w:b/>
        </w:rPr>
        <w:t xml:space="preserve"> offices from transition and developed countries?</w:t>
      </w:r>
    </w:p>
    <w:p w:rsidR="002C315F" w:rsidRPr="00924A44" w:rsidRDefault="002C315F" w:rsidP="00203CC7">
      <w:pPr>
        <w:rPr>
          <w:b/>
        </w:rPr>
      </w:pPr>
    </w:p>
    <w:p w:rsidR="002C315F" w:rsidRPr="00924A44" w:rsidRDefault="002C315F" w:rsidP="00203CC7">
      <w:r w:rsidRPr="00924A44">
        <w:t>A</w:t>
      </w:r>
      <w:r w:rsidR="00A45861">
        <w:t>8</w:t>
      </w:r>
      <w:r w:rsidRPr="00924A44">
        <w:t xml:space="preserve">:  At the end of 2014, there were 377 disputes and 76 </w:t>
      </w:r>
      <w:proofErr w:type="spellStart"/>
      <w:r w:rsidRPr="00924A44">
        <w:rPr>
          <w:i/>
        </w:rPr>
        <w:t>bons</w:t>
      </w:r>
      <w:proofErr w:type="spellEnd"/>
      <w:r w:rsidRPr="00924A44">
        <w:rPr>
          <w:i/>
        </w:rPr>
        <w:t xml:space="preserve"> offices</w:t>
      </w:r>
      <w:r w:rsidRPr="00924A44">
        <w:t xml:space="preserve"> involving parties from tra</w:t>
      </w:r>
      <w:r w:rsidR="00A45861">
        <w:t>nsition and developed countries</w:t>
      </w:r>
      <w:r w:rsidRPr="00924A44">
        <w:t xml:space="preserve"> (cumulative)</w:t>
      </w:r>
      <w:r w:rsidR="00A45861">
        <w:t>.</w:t>
      </w:r>
      <w:r w:rsidRPr="00924A44">
        <w:t xml:space="preserve"> </w:t>
      </w:r>
      <w:proofErr w:type="gramStart"/>
      <w:r w:rsidRPr="00924A44">
        <w:t>(Based on the data from the PPR 2014)</w:t>
      </w:r>
      <w:r w:rsidR="00A45861">
        <w:t>.</w:t>
      </w:r>
      <w:proofErr w:type="gramEnd"/>
    </w:p>
    <w:p w:rsidR="002C315F" w:rsidRPr="00924A44" w:rsidRDefault="002C315F" w:rsidP="00203CC7">
      <w:pPr>
        <w:rPr>
          <w:sz w:val="24"/>
          <w:szCs w:val="24"/>
        </w:rPr>
      </w:pPr>
    </w:p>
    <w:p w:rsidR="009D1EEA" w:rsidRDefault="009D1EEA" w:rsidP="00203CC7">
      <w:pPr>
        <w:rPr>
          <w:sz w:val="24"/>
          <w:szCs w:val="24"/>
        </w:rPr>
      </w:pPr>
    </w:p>
    <w:p w:rsidR="00BD733E" w:rsidRDefault="001E6BA7" w:rsidP="00203CC7">
      <w:pPr>
        <w:rPr>
          <w:sz w:val="24"/>
          <w:szCs w:val="24"/>
        </w:rPr>
      </w:pPr>
      <w:r>
        <w:rPr>
          <w:sz w:val="24"/>
          <w:szCs w:val="24"/>
        </w:rPr>
        <w:t>STRATEGIC GOAL IV: COORDINATION AND DEVELOPMENT OF GLOBAL IP INFRASTRUCTURE</w:t>
      </w:r>
    </w:p>
    <w:p w:rsidR="001E6BA7" w:rsidRDefault="001E6BA7" w:rsidP="00203CC7">
      <w:pPr>
        <w:rPr>
          <w:sz w:val="24"/>
          <w:szCs w:val="24"/>
        </w:rPr>
      </w:pPr>
    </w:p>
    <w:p w:rsidR="001E6BA7" w:rsidRPr="00671B9C" w:rsidRDefault="001E6BA7" w:rsidP="00203CC7">
      <w:pPr>
        <w:widowControl w:val="0"/>
        <w:tabs>
          <w:tab w:val="num" w:pos="720"/>
        </w:tabs>
      </w:pPr>
      <w:r w:rsidRPr="00671B9C">
        <w:rPr>
          <w:b/>
        </w:rPr>
        <w:t>Q</w:t>
      </w:r>
      <w:r>
        <w:rPr>
          <w:b/>
        </w:rPr>
        <w:t>1</w:t>
      </w:r>
      <w:r w:rsidRPr="00671B9C">
        <w:rPr>
          <w:b/>
        </w:rPr>
        <w:t xml:space="preserve">:  What is the breakdown of the proposed budget for </w:t>
      </w:r>
      <w:r>
        <w:rPr>
          <w:b/>
        </w:rPr>
        <w:t>Program 15 Business Solutions for IP Offices</w:t>
      </w:r>
      <w:r w:rsidRPr="00671B9C">
        <w:rPr>
          <w:b/>
        </w:rPr>
        <w:t>?</w:t>
      </w:r>
    </w:p>
    <w:p w:rsidR="001E6BA7" w:rsidRPr="00671B9C" w:rsidRDefault="001E6BA7" w:rsidP="00203CC7">
      <w:pPr>
        <w:rPr>
          <w:sz w:val="24"/>
          <w:szCs w:val="24"/>
        </w:rPr>
      </w:pPr>
    </w:p>
    <w:p w:rsidR="001E6BA7" w:rsidRDefault="001E6BA7" w:rsidP="00203CC7">
      <w:pPr>
        <w:widowControl w:val="0"/>
        <w:tabs>
          <w:tab w:val="num" w:pos="720"/>
        </w:tabs>
      </w:pPr>
      <w:r w:rsidRPr="001E6BA7">
        <w:t>A1:  Please find below the breakdown of the proposed budget for Program 15 Business Solutions for IP Offices?</w:t>
      </w:r>
    </w:p>
    <w:p w:rsidR="001E6BA7" w:rsidRPr="00671B9C" w:rsidRDefault="001E6BA7" w:rsidP="00203CC7">
      <w:pPr>
        <w:widowControl w:val="0"/>
        <w:tabs>
          <w:tab w:val="num" w:pos="720"/>
        </w:tabs>
      </w:pPr>
    </w:p>
    <w:tbl>
      <w:tblPr>
        <w:tblW w:w="7100" w:type="dxa"/>
        <w:tblInd w:w="985" w:type="dxa"/>
        <w:tblCellMar>
          <w:left w:w="0" w:type="dxa"/>
          <w:right w:w="0" w:type="dxa"/>
        </w:tblCellMar>
        <w:tblLook w:val="04A0" w:firstRow="1" w:lastRow="0" w:firstColumn="1" w:lastColumn="0" w:noHBand="0" w:noVBand="1"/>
      </w:tblPr>
      <w:tblGrid>
        <w:gridCol w:w="2620"/>
        <w:gridCol w:w="1300"/>
        <w:gridCol w:w="1640"/>
        <w:gridCol w:w="1540"/>
      </w:tblGrid>
      <w:tr w:rsidR="005A63CC" w:rsidRPr="00946A44" w:rsidTr="005A63CC">
        <w:trPr>
          <w:trHeight w:val="540"/>
        </w:trPr>
        <w:tc>
          <w:tcPr>
            <w:tcW w:w="2620" w:type="dxa"/>
            <w:tcBorders>
              <w:top w:val="single" w:sz="8" w:space="0" w:color="auto"/>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5A63CC" w:rsidRPr="00946A44" w:rsidRDefault="0087324D" w:rsidP="00203CC7">
            <w:pPr>
              <w:rPr>
                <w:rFonts w:eastAsiaTheme="minorHAnsi"/>
                <w:b/>
                <w:color w:val="000000"/>
                <w:sz w:val="18"/>
                <w:szCs w:val="18"/>
              </w:rPr>
            </w:pPr>
            <w:r>
              <w:rPr>
                <w:b/>
                <w:color w:val="000000"/>
                <w:sz w:val="18"/>
                <w:szCs w:val="18"/>
              </w:rPr>
              <w:t>Business Area</w:t>
            </w:r>
          </w:p>
        </w:tc>
        <w:tc>
          <w:tcPr>
            <w:tcW w:w="130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5A63CC" w:rsidRPr="00946A44" w:rsidRDefault="005A63CC" w:rsidP="00203CC7">
            <w:pPr>
              <w:rPr>
                <w:rFonts w:eastAsiaTheme="minorHAnsi"/>
                <w:b/>
                <w:color w:val="000000"/>
                <w:sz w:val="18"/>
                <w:szCs w:val="18"/>
              </w:rPr>
            </w:pPr>
            <w:r w:rsidRPr="00946A44">
              <w:rPr>
                <w:b/>
                <w:color w:val="000000"/>
                <w:sz w:val="18"/>
                <w:szCs w:val="18"/>
              </w:rPr>
              <w:t>Personnel 2016/17</w:t>
            </w:r>
          </w:p>
        </w:tc>
        <w:tc>
          <w:tcPr>
            <w:tcW w:w="164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5A63CC" w:rsidRPr="00946A44" w:rsidRDefault="005A63CC" w:rsidP="00203CC7">
            <w:pPr>
              <w:rPr>
                <w:rFonts w:eastAsiaTheme="minorHAnsi"/>
                <w:b/>
                <w:color w:val="000000"/>
                <w:sz w:val="18"/>
                <w:szCs w:val="18"/>
              </w:rPr>
            </w:pPr>
            <w:r w:rsidRPr="00946A44">
              <w:rPr>
                <w:b/>
                <w:color w:val="000000"/>
                <w:sz w:val="18"/>
                <w:szCs w:val="18"/>
              </w:rPr>
              <w:t>Non-Personnel 2016/17</w:t>
            </w:r>
          </w:p>
        </w:tc>
        <w:tc>
          <w:tcPr>
            <w:tcW w:w="154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5A63CC" w:rsidRPr="00946A44" w:rsidRDefault="005A63CC" w:rsidP="00203CC7">
            <w:pPr>
              <w:rPr>
                <w:rFonts w:eastAsiaTheme="minorHAnsi"/>
                <w:b/>
                <w:color w:val="000000"/>
                <w:sz w:val="18"/>
                <w:szCs w:val="18"/>
              </w:rPr>
            </w:pPr>
            <w:r w:rsidRPr="00946A44">
              <w:rPr>
                <w:b/>
                <w:color w:val="000000"/>
                <w:sz w:val="18"/>
                <w:szCs w:val="18"/>
              </w:rPr>
              <w:t>Total</w:t>
            </w:r>
            <w:r w:rsidR="0087324D">
              <w:rPr>
                <w:b/>
                <w:color w:val="000000"/>
                <w:sz w:val="18"/>
                <w:szCs w:val="18"/>
              </w:rPr>
              <w:t>*</w:t>
            </w:r>
          </w:p>
        </w:tc>
      </w:tr>
      <w:tr w:rsidR="005A63CC" w:rsidRPr="00946A44" w:rsidTr="005A63CC">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WIPO CASE and DAS</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1,999</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1,260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3,259</w:t>
            </w:r>
          </w:p>
        </w:tc>
      </w:tr>
      <w:tr w:rsidR="005A63CC" w:rsidRPr="00946A44" w:rsidTr="005A63CC">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WIPO Connect Project and WIPOCOS Support</w:t>
            </w:r>
          </w:p>
        </w:tc>
        <w:tc>
          <w:tcPr>
            <w:tcW w:w="1300" w:type="dxa"/>
            <w:tcBorders>
              <w:top w:val="nil"/>
              <w:left w:val="nil"/>
              <w:bottom w:val="nil"/>
              <w:right w:val="single" w:sz="8" w:space="0" w:color="auto"/>
            </w:tcBorders>
            <w:noWrap/>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1,100</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1,344</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63CC" w:rsidRPr="00946A44" w:rsidRDefault="007D5707" w:rsidP="00203CC7">
            <w:pPr>
              <w:rPr>
                <w:rFonts w:eastAsiaTheme="minorHAnsi"/>
                <w:color w:val="000000"/>
                <w:sz w:val="18"/>
                <w:szCs w:val="18"/>
              </w:rPr>
            </w:pPr>
            <w:r>
              <w:rPr>
                <w:color w:val="000000"/>
                <w:sz w:val="18"/>
                <w:szCs w:val="18"/>
              </w:rPr>
              <w:t>2,444</w:t>
            </w:r>
          </w:p>
        </w:tc>
      </w:tr>
      <w:tr w:rsidR="005A63CC" w:rsidRPr="00946A44" w:rsidTr="005A63CC">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IP Office Business Systems</w:t>
            </w:r>
            <w:r w:rsidR="00E134E9">
              <w:rPr>
                <w:color w:val="000000"/>
                <w:sz w:val="18"/>
                <w:szCs w:val="18"/>
              </w:rPr>
              <w:t>**</w:t>
            </w:r>
          </w:p>
        </w:tc>
        <w:tc>
          <w:tcPr>
            <w:tcW w:w="13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4,657</w:t>
            </w:r>
          </w:p>
        </w:tc>
        <w:tc>
          <w:tcPr>
            <w:tcW w:w="16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A63CC" w:rsidRPr="00946A44" w:rsidRDefault="005A63CC" w:rsidP="00203CC7">
            <w:pPr>
              <w:rPr>
                <w:rFonts w:eastAsiaTheme="minorHAnsi"/>
                <w:color w:val="000000"/>
                <w:sz w:val="18"/>
                <w:szCs w:val="18"/>
              </w:rPr>
            </w:pPr>
            <w:r w:rsidRPr="00946A44">
              <w:rPr>
                <w:color w:val="000000"/>
                <w:sz w:val="18"/>
                <w:szCs w:val="18"/>
              </w:rPr>
              <w:t>3,44</w:t>
            </w:r>
            <w:r w:rsidR="007D5707">
              <w:rPr>
                <w:color w:val="000000"/>
                <w:sz w:val="18"/>
                <w:szCs w:val="18"/>
              </w:rPr>
              <w:t>5</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63CC" w:rsidRPr="00946A44" w:rsidRDefault="007D5707" w:rsidP="00203CC7">
            <w:pPr>
              <w:rPr>
                <w:rFonts w:eastAsiaTheme="minorHAnsi"/>
                <w:color w:val="000000"/>
                <w:sz w:val="18"/>
                <w:szCs w:val="18"/>
              </w:rPr>
            </w:pPr>
            <w:r>
              <w:rPr>
                <w:color w:val="000000"/>
                <w:sz w:val="18"/>
                <w:szCs w:val="18"/>
              </w:rPr>
              <w:t>8,103</w:t>
            </w:r>
          </w:p>
        </w:tc>
      </w:tr>
      <w:tr w:rsidR="005A63CC" w:rsidRPr="00946A44" w:rsidTr="005A63CC">
        <w:trPr>
          <w:trHeight w:val="270"/>
        </w:trPr>
        <w:tc>
          <w:tcPr>
            <w:tcW w:w="2620"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5A63CC" w:rsidRPr="00946A44" w:rsidRDefault="005A63CC" w:rsidP="00203CC7">
            <w:pPr>
              <w:rPr>
                <w:rFonts w:eastAsiaTheme="minorHAnsi"/>
                <w:b/>
                <w:color w:val="000000"/>
                <w:sz w:val="18"/>
                <w:szCs w:val="18"/>
              </w:rPr>
            </w:pPr>
            <w:r w:rsidRPr="00946A44">
              <w:rPr>
                <w:b/>
                <w:color w:val="000000"/>
                <w:sz w:val="18"/>
                <w:szCs w:val="18"/>
              </w:rPr>
              <w:t>Total</w:t>
            </w:r>
          </w:p>
        </w:tc>
        <w:tc>
          <w:tcPr>
            <w:tcW w:w="130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5A63CC" w:rsidRPr="00946A44" w:rsidRDefault="005A63CC" w:rsidP="00203CC7">
            <w:pPr>
              <w:rPr>
                <w:rFonts w:eastAsiaTheme="minorHAnsi"/>
                <w:b/>
                <w:color w:val="000000"/>
                <w:sz w:val="18"/>
                <w:szCs w:val="18"/>
              </w:rPr>
            </w:pPr>
            <w:r w:rsidRPr="00946A44">
              <w:rPr>
                <w:b/>
                <w:color w:val="000000"/>
                <w:sz w:val="18"/>
                <w:szCs w:val="18"/>
              </w:rPr>
              <w:t>7,756</w:t>
            </w:r>
          </w:p>
        </w:tc>
        <w:tc>
          <w:tcPr>
            <w:tcW w:w="164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5A63CC" w:rsidRPr="00946A44" w:rsidRDefault="007D5707" w:rsidP="00203CC7">
            <w:pPr>
              <w:rPr>
                <w:rFonts w:eastAsiaTheme="minorHAnsi"/>
                <w:b/>
                <w:color w:val="000000"/>
                <w:sz w:val="18"/>
                <w:szCs w:val="18"/>
              </w:rPr>
            </w:pPr>
            <w:r>
              <w:rPr>
                <w:b/>
                <w:color w:val="000000"/>
                <w:sz w:val="18"/>
                <w:szCs w:val="18"/>
              </w:rPr>
              <w:t>6,049</w:t>
            </w:r>
          </w:p>
        </w:tc>
        <w:tc>
          <w:tcPr>
            <w:tcW w:w="154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5A63CC" w:rsidRPr="00946A44" w:rsidRDefault="007D5707" w:rsidP="00203CC7">
            <w:pPr>
              <w:rPr>
                <w:rFonts w:eastAsiaTheme="minorHAnsi"/>
                <w:b/>
                <w:color w:val="000000"/>
                <w:sz w:val="18"/>
                <w:szCs w:val="18"/>
              </w:rPr>
            </w:pPr>
            <w:r>
              <w:rPr>
                <w:b/>
                <w:color w:val="000000"/>
                <w:sz w:val="18"/>
                <w:szCs w:val="18"/>
              </w:rPr>
              <w:t>13,806</w:t>
            </w:r>
          </w:p>
        </w:tc>
      </w:tr>
    </w:tbl>
    <w:p w:rsidR="00E134E9" w:rsidRDefault="0087324D" w:rsidP="00203CC7">
      <w:pPr>
        <w:spacing w:after="120"/>
        <w:ind w:left="720"/>
        <w:rPr>
          <w:sz w:val="16"/>
          <w:szCs w:val="16"/>
        </w:rPr>
      </w:pPr>
      <w:r w:rsidRPr="00203CC7">
        <w:rPr>
          <w:rFonts w:eastAsia="Cambria"/>
          <w:color w:val="000000"/>
          <w:sz w:val="16"/>
          <w:szCs w:val="16"/>
          <w:u w:color="000000"/>
          <w:bdr w:val="nil"/>
          <w:lang w:eastAsia="es-MX"/>
        </w:rPr>
        <w:t>*</w:t>
      </w:r>
      <w:r w:rsidRPr="0087324D">
        <w:rPr>
          <w:sz w:val="16"/>
          <w:szCs w:val="16"/>
        </w:rPr>
        <w:t xml:space="preserve"> The budgeted amounts are in thousands of Swiss francs and are estimations at the time of preparing the Program and Budget.  The budget </w:t>
      </w:r>
      <w:r>
        <w:rPr>
          <w:sz w:val="16"/>
          <w:szCs w:val="16"/>
        </w:rPr>
        <w:t xml:space="preserve">for each business area </w:t>
      </w:r>
      <w:r w:rsidRPr="0087324D">
        <w:rPr>
          <w:sz w:val="16"/>
          <w:szCs w:val="16"/>
        </w:rPr>
        <w:t xml:space="preserve">will be further refined by the Program Manager during the annual </w:t>
      </w:r>
      <w:proofErr w:type="spellStart"/>
      <w:r w:rsidRPr="0087324D">
        <w:rPr>
          <w:sz w:val="16"/>
          <w:szCs w:val="16"/>
        </w:rPr>
        <w:t>workplanning</w:t>
      </w:r>
      <w:proofErr w:type="spellEnd"/>
      <w:r w:rsidRPr="0087324D">
        <w:rPr>
          <w:sz w:val="16"/>
          <w:szCs w:val="16"/>
        </w:rPr>
        <w:t xml:space="preserve"> exercises</w:t>
      </w:r>
      <w:r w:rsidRPr="00055E68">
        <w:rPr>
          <w:sz w:val="16"/>
          <w:szCs w:val="16"/>
        </w:rPr>
        <w:t xml:space="preserve">.  </w:t>
      </w:r>
    </w:p>
    <w:p w:rsidR="00055E68" w:rsidRDefault="00E134E9" w:rsidP="00203CC7">
      <w:pPr>
        <w:ind w:left="720"/>
        <w:rPr>
          <w:sz w:val="20"/>
          <w:lang w:val="en-GB"/>
        </w:rPr>
      </w:pPr>
      <w:r>
        <w:rPr>
          <w:sz w:val="16"/>
          <w:szCs w:val="16"/>
        </w:rPr>
        <w:t>**</w:t>
      </w:r>
      <w:r w:rsidR="0087324D" w:rsidRPr="00055E68">
        <w:rPr>
          <w:sz w:val="16"/>
          <w:szCs w:val="16"/>
        </w:rPr>
        <w:t xml:space="preserve"> </w:t>
      </w:r>
      <w:r w:rsidR="00055E68" w:rsidRPr="00055E68">
        <w:rPr>
          <w:sz w:val="16"/>
          <w:szCs w:val="16"/>
          <w:lang w:val="en-GB"/>
        </w:rPr>
        <w:t xml:space="preserve">IP Office Business Systems include the following systems that are available to IP offices: IPAS (IP Administration System), AIPMS (Arabic language IP Administration System), WIPO Scan (digitization), EDMS (document management), WIPO File (online filing), </w:t>
      </w:r>
      <w:proofErr w:type="gramStart"/>
      <w:r w:rsidR="00055E68" w:rsidRPr="00055E68">
        <w:rPr>
          <w:sz w:val="16"/>
          <w:szCs w:val="16"/>
          <w:lang w:val="en-GB"/>
        </w:rPr>
        <w:t>WIPO</w:t>
      </w:r>
      <w:proofErr w:type="gramEnd"/>
      <w:r w:rsidR="00055E68" w:rsidRPr="00055E68">
        <w:rPr>
          <w:sz w:val="16"/>
          <w:szCs w:val="16"/>
          <w:lang w:val="en-GB"/>
        </w:rPr>
        <w:t xml:space="preserve"> Publish (online search database).</w:t>
      </w:r>
    </w:p>
    <w:p w:rsidR="001E6BA7" w:rsidRPr="0087324D" w:rsidRDefault="001E6BA7" w:rsidP="00203CC7">
      <w:pPr>
        <w:ind w:left="900"/>
        <w:rPr>
          <w:sz w:val="16"/>
          <w:szCs w:val="16"/>
        </w:rPr>
      </w:pPr>
    </w:p>
    <w:p w:rsidR="001E6BA7" w:rsidRPr="00924A44" w:rsidRDefault="001E6BA7" w:rsidP="00203CC7">
      <w:pPr>
        <w:rPr>
          <w:sz w:val="24"/>
          <w:szCs w:val="24"/>
        </w:rPr>
      </w:pPr>
    </w:p>
    <w:p w:rsidR="000B09C2" w:rsidRDefault="000B09C2" w:rsidP="00203CC7">
      <w:pPr>
        <w:rPr>
          <w:sz w:val="24"/>
          <w:szCs w:val="24"/>
        </w:rPr>
      </w:pPr>
    </w:p>
    <w:p w:rsidR="0077360E" w:rsidRPr="00924A44" w:rsidRDefault="00091989" w:rsidP="00203CC7">
      <w:pPr>
        <w:rPr>
          <w:sz w:val="24"/>
          <w:szCs w:val="24"/>
        </w:rPr>
      </w:pPr>
      <w:r w:rsidRPr="00924A44">
        <w:rPr>
          <w:sz w:val="24"/>
          <w:szCs w:val="24"/>
        </w:rPr>
        <w:t>STRATEGIC GOAL V: WORLD REFER</w:t>
      </w:r>
      <w:r w:rsidR="00942BD7">
        <w:rPr>
          <w:sz w:val="24"/>
          <w:szCs w:val="24"/>
        </w:rPr>
        <w:t>E</w:t>
      </w:r>
      <w:r w:rsidRPr="00924A44">
        <w:rPr>
          <w:sz w:val="24"/>
          <w:szCs w:val="24"/>
        </w:rPr>
        <w:t>NCE SOURCE FOR IP INFORMATION AND ANALYSIS</w:t>
      </w:r>
    </w:p>
    <w:p w:rsidR="00091989" w:rsidRPr="00924A44" w:rsidRDefault="00091989" w:rsidP="00203CC7">
      <w:pPr>
        <w:rPr>
          <w:sz w:val="24"/>
          <w:szCs w:val="24"/>
        </w:rPr>
      </w:pPr>
    </w:p>
    <w:p w:rsidR="00091989" w:rsidRPr="00924A44" w:rsidRDefault="00091989" w:rsidP="00203CC7">
      <w:pPr>
        <w:rPr>
          <w:b/>
        </w:rPr>
      </w:pPr>
      <w:r w:rsidRPr="00924A44">
        <w:rPr>
          <w:b/>
        </w:rPr>
        <w:t xml:space="preserve">Q1: Why is there an increase in resources Program 16?  </w:t>
      </w:r>
      <w:r w:rsidR="009F367B" w:rsidRPr="00924A44">
        <w:rPr>
          <w:b/>
        </w:rPr>
        <w:t>Are the resources for the DA Project in addition to the proposed budget of 6 million Swiss francs?</w:t>
      </w:r>
    </w:p>
    <w:p w:rsidR="00091989" w:rsidRPr="00924A44" w:rsidRDefault="00091989" w:rsidP="00203CC7">
      <w:pPr>
        <w:rPr>
          <w:szCs w:val="22"/>
        </w:rPr>
      </w:pPr>
    </w:p>
    <w:p w:rsidR="00A0783F" w:rsidRDefault="00091989" w:rsidP="00203CC7">
      <w:pPr>
        <w:rPr>
          <w:szCs w:val="22"/>
        </w:rPr>
      </w:pPr>
      <w:r w:rsidRPr="00924A44">
        <w:rPr>
          <w:szCs w:val="22"/>
        </w:rPr>
        <w:t>A1:</w:t>
      </w:r>
      <w:r w:rsidR="00383257" w:rsidRPr="00924A44">
        <w:rPr>
          <w:szCs w:val="22"/>
        </w:rPr>
        <w:t xml:space="preserve"> The increase in </w:t>
      </w:r>
      <w:r w:rsidR="008B65A6">
        <w:rPr>
          <w:szCs w:val="22"/>
        </w:rPr>
        <w:t xml:space="preserve">the estimated </w:t>
      </w:r>
      <w:r w:rsidR="00383257" w:rsidRPr="00924A44">
        <w:rPr>
          <w:szCs w:val="22"/>
        </w:rPr>
        <w:t xml:space="preserve">resources for Program 16 </w:t>
      </w:r>
      <w:r w:rsidR="007F2DD9">
        <w:rPr>
          <w:szCs w:val="22"/>
        </w:rPr>
        <w:t>compared to</w:t>
      </w:r>
      <w:r w:rsidR="00383257" w:rsidRPr="00924A44">
        <w:rPr>
          <w:szCs w:val="22"/>
        </w:rPr>
        <w:t xml:space="preserve"> the 2014/15 Approved Budget </w:t>
      </w:r>
      <w:r w:rsidR="007F2DD9">
        <w:rPr>
          <w:szCs w:val="22"/>
        </w:rPr>
        <w:t xml:space="preserve">amounts to </w:t>
      </w:r>
      <w:r w:rsidR="00383257" w:rsidRPr="00924A44">
        <w:rPr>
          <w:szCs w:val="22"/>
        </w:rPr>
        <w:t>0.7 million Swiss francs and is primarily due</w:t>
      </w:r>
      <w:r w:rsidR="00B744C6" w:rsidRPr="00924A44">
        <w:rPr>
          <w:szCs w:val="22"/>
        </w:rPr>
        <w:t xml:space="preserve"> to</w:t>
      </w:r>
      <w:r w:rsidR="00A0783F" w:rsidRPr="00924A44">
        <w:rPr>
          <w:szCs w:val="22"/>
        </w:rPr>
        <w:t xml:space="preserve">: </w:t>
      </w:r>
    </w:p>
    <w:p w:rsidR="007F2DD9" w:rsidRPr="00924A44" w:rsidRDefault="007F2DD9" w:rsidP="00203CC7">
      <w:pPr>
        <w:rPr>
          <w:szCs w:val="22"/>
        </w:rPr>
      </w:pPr>
    </w:p>
    <w:p w:rsidR="00B744C6" w:rsidRDefault="00B744C6" w:rsidP="00203CC7">
      <w:pPr>
        <w:pStyle w:val="ListParagraph"/>
        <w:numPr>
          <w:ilvl w:val="0"/>
          <w:numId w:val="13"/>
        </w:numPr>
        <w:ind w:left="1282"/>
        <w:rPr>
          <w:rFonts w:ascii="Arial" w:hAnsi="Arial" w:cs="Arial"/>
          <w:sz w:val="22"/>
          <w:szCs w:val="22"/>
          <w:lang w:val="en-US"/>
        </w:rPr>
      </w:pPr>
      <w:r w:rsidRPr="00924A44">
        <w:rPr>
          <w:rFonts w:ascii="Arial" w:hAnsi="Arial" w:cs="Arial"/>
          <w:sz w:val="22"/>
          <w:szCs w:val="22"/>
          <w:lang w:val="en-US"/>
        </w:rPr>
        <w:t>increased efforts to improve the</w:t>
      </w:r>
      <w:r w:rsidR="00A0783F" w:rsidRPr="00924A44">
        <w:rPr>
          <w:rFonts w:ascii="Arial" w:hAnsi="Arial" w:cs="Arial"/>
          <w:sz w:val="22"/>
          <w:szCs w:val="22"/>
          <w:lang w:val="en-US"/>
        </w:rPr>
        <w:t xml:space="preserve"> collection and provision of statistical information on the performance of the IP system worldwide</w:t>
      </w:r>
      <w:r w:rsidRPr="00924A44">
        <w:rPr>
          <w:rFonts w:ascii="Arial" w:hAnsi="Arial" w:cs="Arial"/>
          <w:sz w:val="22"/>
          <w:szCs w:val="22"/>
          <w:lang w:val="en-US"/>
        </w:rPr>
        <w:t xml:space="preserve"> notably</w:t>
      </w:r>
      <w:r w:rsidR="00A0783F" w:rsidRPr="00924A44">
        <w:rPr>
          <w:rFonts w:ascii="Arial" w:hAnsi="Arial" w:cs="Arial"/>
          <w:sz w:val="22"/>
          <w:szCs w:val="22"/>
          <w:lang w:val="en-US"/>
        </w:rPr>
        <w:t xml:space="preserve"> </w:t>
      </w:r>
      <w:r w:rsidRPr="00924A44">
        <w:rPr>
          <w:rFonts w:ascii="Arial" w:hAnsi="Arial" w:cs="Arial"/>
          <w:sz w:val="22"/>
          <w:szCs w:val="22"/>
          <w:lang w:val="en-US"/>
        </w:rPr>
        <w:t xml:space="preserve">the collection and report on statistical information in relation to GIs and copyright and the </w:t>
      </w:r>
      <w:r w:rsidR="00A0783F" w:rsidRPr="00924A44">
        <w:rPr>
          <w:rFonts w:ascii="Arial" w:hAnsi="Arial" w:cs="Arial"/>
          <w:sz w:val="22"/>
          <w:szCs w:val="22"/>
          <w:lang w:val="en-US"/>
        </w:rPr>
        <w:t>enhanced professionalization of key WIPO reports</w:t>
      </w:r>
      <w:r w:rsidRPr="00924A44">
        <w:rPr>
          <w:rFonts w:ascii="Arial" w:hAnsi="Arial" w:cs="Arial"/>
          <w:sz w:val="22"/>
          <w:szCs w:val="22"/>
          <w:lang w:val="en-US"/>
        </w:rPr>
        <w:t>;</w:t>
      </w:r>
      <w:r w:rsidR="00383257" w:rsidRPr="00924A44">
        <w:rPr>
          <w:rFonts w:ascii="Arial" w:hAnsi="Arial" w:cs="Arial"/>
          <w:sz w:val="22"/>
          <w:szCs w:val="22"/>
          <w:lang w:val="en-US"/>
        </w:rPr>
        <w:t xml:space="preserve"> </w:t>
      </w:r>
    </w:p>
    <w:p w:rsidR="007F2DD9" w:rsidRDefault="007F2DD9" w:rsidP="00203CC7">
      <w:pPr>
        <w:pStyle w:val="ListParagraph"/>
        <w:ind w:left="1287"/>
        <w:rPr>
          <w:rFonts w:ascii="Arial" w:hAnsi="Arial" w:cs="Arial"/>
          <w:sz w:val="22"/>
          <w:szCs w:val="22"/>
          <w:lang w:val="en-US"/>
        </w:rPr>
      </w:pPr>
    </w:p>
    <w:p w:rsidR="00A0783F" w:rsidRDefault="00383257" w:rsidP="00203CC7">
      <w:pPr>
        <w:pStyle w:val="ListParagraph"/>
        <w:numPr>
          <w:ilvl w:val="0"/>
          <w:numId w:val="13"/>
        </w:numPr>
        <w:rPr>
          <w:rFonts w:ascii="Arial" w:hAnsi="Arial" w:cs="Arial"/>
          <w:sz w:val="22"/>
          <w:szCs w:val="22"/>
          <w:lang w:val="en-US"/>
        </w:rPr>
      </w:pPr>
      <w:proofErr w:type="gramStart"/>
      <w:r w:rsidRPr="00924A44">
        <w:rPr>
          <w:rFonts w:ascii="Arial" w:hAnsi="Arial" w:cs="Arial"/>
          <w:sz w:val="22"/>
          <w:szCs w:val="22"/>
          <w:lang w:val="en-US"/>
        </w:rPr>
        <w:t>increased</w:t>
      </w:r>
      <w:proofErr w:type="gramEnd"/>
      <w:r w:rsidRPr="00924A44">
        <w:rPr>
          <w:rFonts w:ascii="Arial" w:hAnsi="Arial" w:cs="Arial"/>
          <w:sz w:val="22"/>
          <w:szCs w:val="22"/>
          <w:lang w:val="en-US"/>
        </w:rPr>
        <w:t xml:space="preserve"> economic research commitments on policy and performance in the creative industries. </w:t>
      </w:r>
    </w:p>
    <w:p w:rsidR="008B65A6" w:rsidRPr="008B65A6" w:rsidRDefault="008B65A6" w:rsidP="00203CC7">
      <w:pPr>
        <w:pStyle w:val="ListParagraph"/>
        <w:rPr>
          <w:rFonts w:ascii="Arial" w:hAnsi="Arial" w:cs="Arial"/>
          <w:sz w:val="22"/>
          <w:szCs w:val="22"/>
          <w:lang w:val="en-US"/>
        </w:rPr>
      </w:pPr>
    </w:p>
    <w:p w:rsidR="00091989" w:rsidRPr="00924A44" w:rsidRDefault="00383257" w:rsidP="00203CC7">
      <w:pPr>
        <w:rPr>
          <w:szCs w:val="22"/>
        </w:rPr>
      </w:pPr>
      <w:r w:rsidRPr="00924A44">
        <w:rPr>
          <w:szCs w:val="22"/>
        </w:rPr>
        <w:t xml:space="preserve">The total </w:t>
      </w:r>
      <w:r w:rsidR="00B744C6" w:rsidRPr="00924A44">
        <w:rPr>
          <w:szCs w:val="22"/>
        </w:rPr>
        <w:t xml:space="preserve">2016/17 </w:t>
      </w:r>
      <w:r w:rsidRPr="00924A44">
        <w:rPr>
          <w:szCs w:val="22"/>
        </w:rPr>
        <w:t xml:space="preserve">proposed resources amount to 6.1 million and are inclusive of 0.6 million Swiss francs for the DA project ‘Intellectual Property and Socio-Economic Development (Phase II)’. </w:t>
      </w:r>
    </w:p>
    <w:p w:rsidR="00091989" w:rsidRPr="00924A44" w:rsidRDefault="00091989" w:rsidP="00203CC7">
      <w:pPr>
        <w:rPr>
          <w:sz w:val="24"/>
          <w:szCs w:val="24"/>
        </w:rPr>
      </w:pPr>
    </w:p>
    <w:p w:rsidR="009F367B" w:rsidRPr="00924A44" w:rsidRDefault="009F367B" w:rsidP="00203CC7">
      <w:pPr>
        <w:rPr>
          <w:sz w:val="24"/>
          <w:szCs w:val="24"/>
        </w:rPr>
      </w:pPr>
    </w:p>
    <w:p w:rsidR="00C25DAA" w:rsidRPr="00924A44" w:rsidRDefault="00CD11C1" w:rsidP="00203CC7">
      <w:pPr>
        <w:rPr>
          <w:sz w:val="24"/>
          <w:szCs w:val="24"/>
        </w:rPr>
      </w:pPr>
      <w:r w:rsidRPr="00924A44">
        <w:rPr>
          <w:sz w:val="24"/>
          <w:szCs w:val="24"/>
        </w:rPr>
        <w:t>STRATEGIC GOAL V</w:t>
      </w:r>
      <w:r w:rsidR="00DA1535" w:rsidRPr="00924A44">
        <w:rPr>
          <w:sz w:val="24"/>
          <w:szCs w:val="24"/>
        </w:rPr>
        <w:t>II</w:t>
      </w:r>
      <w:r w:rsidRPr="00924A44">
        <w:rPr>
          <w:sz w:val="24"/>
          <w:szCs w:val="24"/>
        </w:rPr>
        <w:t xml:space="preserve">:  </w:t>
      </w:r>
      <w:r w:rsidR="00DA1535" w:rsidRPr="00924A44">
        <w:rPr>
          <w:iCs/>
          <w:caps/>
          <w:sz w:val="24"/>
        </w:rPr>
        <w:t xml:space="preserve">ADDRESSING IP IN RELATION TO GLOBAL </w:t>
      </w:r>
      <w:r w:rsidR="008B65A6">
        <w:rPr>
          <w:iCs/>
          <w:caps/>
          <w:sz w:val="24"/>
        </w:rPr>
        <w:t>P</w:t>
      </w:r>
      <w:r w:rsidR="00DA1535" w:rsidRPr="00924A44">
        <w:rPr>
          <w:iCs/>
          <w:caps/>
          <w:sz w:val="24"/>
        </w:rPr>
        <w:t>OLICY ISSUES</w:t>
      </w:r>
    </w:p>
    <w:p w:rsidR="00C25DAA" w:rsidRPr="00924A44" w:rsidRDefault="00C25DAA" w:rsidP="00203CC7">
      <w:pPr>
        <w:spacing w:before="120"/>
      </w:pPr>
    </w:p>
    <w:p w:rsidR="00C25DAA" w:rsidRPr="00924A44" w:rsidRDefault="007D5422" w:rsidP="00203CC7">
      <w:pPr>
        <w:pStyle w:val="ONUME"/>
        <w:numPr>
          <w:ilvl w:val="0"/>
          <w:numId w:val="0"/>
        </w:numPr>
        <w:rPr>
          <w:b/>
        </w:rPr>
      </w:pPr>
      <w:r w:rsidRPr="00924A44">
        <w:rPr>
          <w:b/>
        </w:rPr>
        <w:t>Q</w:t>
      </w:r>
      <w:r w:rsidR="000B248A" w:rsidRPr="00924A44">
        <w:rPr>
          <w:b/>
        </w:rPr>
        <w:t>1</w:t>
      </w:r>
      <w:r w:rsidRPr="00924A44">
        <w:rPr>
          <w:b/>
        </w:rPr>
        <w:t xml:space="preserve">:  </w:t>
      </w:r>
      <w:r w:rsidR="00C92C28" w:rsidRPr="00924A44">
        <w:rPr>
          <w:b/>
        </w:rPr>
        <w:t>Can you provide a more detailed overview of the work proposed in relation to IP and Global Cha</w:t>
      </w:r>
      <w:r w:rsidR="00E053F8" w:rsidRPr="00924A44">
        <w:rPr>
          <w:b/>
        </w:rPr>
        <w:t>llenges</w:t>
      </w:r>
      <w:r w:rsidR="00C92C28" w:rsidRPr="00924A44">
        <w:rPr>
          <w:b/>
        </w:rPr>
        <w:t>?</w:t>
      </w:r>
    </w:p>
    <w:p w:rsidR="00DA1535" w:rsidRPr="00924A44" w:rsidRDefault="00C25DAA" w:rsidP="00203CC7">
      <w:r w:rsidRPr="00924A44">
        <w:t>A</w:t>
      </w:r>
      <w:r w:rsidR="000B248A" w:rsidRPr="00924A44">
        <w:t>1</w:t>
      </w:r>
      <w:r w:rsidRPr="00924A44">
        <w:t xml:space="preserve">: </w:t>
      </w:r>
      <w:r w:rsidR="007D5422" w:rsidRPr="00924A44">
        <w:t xml:space="preserve"> </w:t>
      </w:r>
      <w:r w:rsidR="009917E4" w:rsidRPr="00924A44">
        <w:t>A more detailed overview of the work proposed in relation to IP and Global Challenges will be provided by the Program during the PBC.</w:t>
      </w:r>
    </w:p>
    <w:p w:rsidR="00F426ED" w:rsidRDefault="00F426ED" w:rsidP="00203CC7"/>
    <w:p w:rsidR="001A249D" w:rsidRPr="00924A44" w:rsidRDefault="001A249D" w:rsidP="00203CC7"/>
    <w:p w:rsidR="00F426ED" w:rsidRPr="00924A44" w:rsidRDefault="00F426ED" w:rsidP="00203CC7">
      <w:pPr>
        <w:rPr>
          <w:b/>
        </w:rPr>
      </w:pPr>
      <w:r w:rsidRPr="00924A44">
        <w:rPr>
          <w:b/>
        </w:rPr>
        <w:t>Q2:  Under IP and Competition Policy, should UPOV be listed as an intergovernmental organization with which WIPO regularly cooperates in relation to IP&amp;CP?</w:t>
      </w:r>
    </w:p>
    <w:p w:rsidR="00F426ED" w:rsidRPr="00924A44" w:rsidRDefault="00F426ED" w:rsidP="00203CC7">
      <w:pPr>
        <w:rPr>
          <w:b/>
        </w:rPr>
      </w:pPr>
    </w:p>
    <w:p w:rsidR="00F426ED" w:rsidRPr="00924A44" w:rsidRDefault="00F426ED" w:rsidP="00203CC7">
      <w:r w:rsidRPr="00924A44">
        <w:t>A2:  UPOV does not deal with IP and competition policy-related issues.</w:t>
      </w:r>
    </w:p>
    <w:p w:rsidR="004808E5" w:rsidRPr="00924A44" w:rsidRDefault="004808E5" w:rsidP="00203CC7"/>
    <w:p w:rsidR="00DA1535" w:rsidRPr="00924A44" w:rsidRDefault="00DA1535" w:rsidP="00203CC7"/>
    <w:p w:rsidR="001A249D" w:rsidRDefault="001A249D" w:rsidP="00203CC7">
      <w:pPr>
        <w:rPr>
          <w:sz w:val="24"/>
          <w:szCs w:val="24"/>
        </w:rPr>
      </w:pPr>
    </w:p>
    <w:p w:rsidR="00C25DAA" w:rsidRPr="00924A44" w:rsidRDefault="004808E5" w:rsidP="00203CC7">
      <w:pPr>
        <w:rPr>
          <w:sz w:val="24"/>
          <w:szCs w:val="24"/>
        </w:rPr>
      </w:pPr>
      <w:r w:rsidRPr="00924A44">
        <w:rPr>
          <w:sz w:val="24"/>
          <w:szCs w:val="24"/>
        </w:rPr>
        <w:t>STRATEGIC GOAL VIII:  A RESPONSIVE COMMUNICATIONS INTERFACE BETWEEN WIPO, ITS MEMBERS AND ALL STAKEHOLDERS</w:t>
      </w:r>
    </w:p>
    <w:p w:rsidR="00C25DAA" w:rsidRPr="00924A44" w:rsidRDefault="00C25DAA" w:rsidP="00203CC7">
      <w:pPr>
        <w:spacing w:before="120"/>
      </w:pPr>
    </w:p>
    <w:p w:rsidR="008C6656" w:rsidRPr="00924A44" w:rsidRDefault="008C6656" w:rsidP="00203CC7">
      <w:pPr>
        <w:pStyle w:val="ONUME"/>
        <w:numPr>
          <w:ilvl w:val="0"/>
          <w:numId w:val="0"/>
        </w:numPr>
        <w:rPr>
          <w:b/>
        </w:rPr>
      </w:pPr>
      <w:r w:rsidRPr="00924A44">
        <w:rPr>
          <w:b/>
        </w:rPr>
        <w:t xml:space="preserve">Q1:  Is there any budgetary provision for new External Offices? </w:t>
      </w:r>
    </w:p>
    <w:p w:rsidR="00C25DAA" w:rsidRPr="00924A44" w:rsidRDefault="00C25DAA" w:rsidP="00203CC7">
      <w:r w:rsidRPr="00924A44">
        <w:rPr>
          <w:lang w:eastAsia="ja-JP"/>
        </w:rPr>
        <w:t>A</w:t>
      </w:r>
      <w:r w:rsidR="000B248A" w:rsidRPr="00924A44">
        <w:rPr>
          <w:lang w:eastAsia="ja-JP"/>
        </w:rPr>
        <w:t>1</w:t>
      </w:r>
      <w:r w:rsidRPr="00924A44">
        <w:rPr>
          <w:lang w:eastAsia="ja-JP"/>
        </w:rPr>
        <w:t xml:space="preserve">: </w:t>
      </w:r>
      <w:r w:rsidR="007D5422" w:rsidRPr="00924A44">
        <w:rPr>
          <w:lang w:eastAsia="ja-JP"/>
        </w:rPr>
        <w:t xml:space="preserve"> </w:t>
      </w:r>
      <w:r w:rsidR="00C739E9" w:rsidRPr="00924A44">
        <w:rPr>
          <w:lang w:eastAsia="ja-JP"/>
        </w:rPr>
        <w:t xml:space="preserve">Should </w:t>
      </w:r>
      <w:r w:rsidR="00A6316D">
        <w:rPr>
          <w:lang w:eastAsia="ja-JP"/>
        </w:rPr>
        <w:t xml:space="preserve">the </w:t>
      </w:r>
      <w:r w:rsidR="00C739E9" w:rsidRPr="00924A44">
        <w:rPr>
          <w:lang w:eastAsia="ja-JP"/>
        </w:rPr>
        <w:t>M</w:t>
      </w:r>
      <w:r w:rsidR="00A6316D">
        <w:rPr>
          <w:lang w:eastAsia="ja-JP"/>
        </w:rPr>
        <w:t xml:space="preserve">ember </w:t>
      </w:r>
      <w:r w:rsidR="00C739E9" w:rsidRPr="00924A44">
        <w:rPr>
          <w:lang w:eastAsia="ja-JP"/>
        </w:rPr>
        <w:t>S</w:t>
      </w:r>
      <w:r w:rsidR="00A6316D">
        <w:rPr>
          <w:lang w:eastAsia="ja-JP"/>
        </w:rPr>
        <w:t>tates</w:t>
      </w:r>
      <w:r w:rsidR="00C739E9" w:rsidRPr="00924A44">
        <w:rPr>
          <w:lang w:eastAsia="ja-JP"/>
        </w:rPr>
        <w:t xml:space="preserve"> agree on the opening of new External Offices in 2016/17, these could be fun</w:t>
      </w:r>
      <w:r w:rsidR="00CA68B8" w:rsidRPr="00924A44">
        <w:rPr>
          <w:lang w:eastAsia="ja-JP"/>
        </w:rPr>
        <w:t>ded from the provision of 1 million Swiss francs</w:t>
      </w:r>
      <w:r w:rsidR="00C739E9" w:rsidRPr="00924A44">
        <w:rPr>
          <w:lang w:eastAsia="ja-JP"/>
        </w:rPr>
        <w:t xml:space="preserve"> under non-personnel resources in “Unallocated”.</w:t>
      </w:r>
    </w:p>
    <w:p w:rsidR="00C25DAA" w:rsidRPr="00924A44" w:rsidRDefault="00C25DAA" w:rsidP="00203CC7">
      <w:pPr>
        <w:rPr>
          <w:highlight w:val="yellow"/>
        </w:rPr>
      </w:pPr>
    </w:p>
    <w:p w:rsidR="005B362A" w:rsidRPr="00924A44" w:rsidRDefault="005B362A" w:rsidP="00203CC7"/>
    <w:p w:rsidR="00C25DAA" w:rsidRPr="00924A44" w:rsidRDefault="007D5422" w:rsidP="00203CC7">
      <w:pPr>
        <w:pStyle w:val="ONUME"/>
        <w:keepNext/>
        <w:keepLines/>
        <w:numPr>
          <w:ilvl w:val="0"/>
          <w:numId w:val="0"/>
        </w:numPr>
        <w:rPr>
          <w:b/>
          <w:bCs/>
        </w:rPr>
      </w:pPr>
      <w:r w:rsidRPr="00924A44">
        <w:rPr>
          <w:b/>
          <w:bCs/>
        </w:rPr>
        <w:lastRenderedPageBreak/>
        <w:t>Q</w:t>
      </w:r>
      <w:r w:rsidR="00C92C28" w:rsidRPr="00924A44">
        <w:rPr>
          <w:b/>
          <w:bCs/>
        </w:rPr>
        <w:t>2</w:t>
      </w:r>
      <w:r w:rsidRPr="00924A44">
        <w:rPr>
          <w:b/>
          <w:bCs/>
        </w:rPr>
        <w:t xml:space="preserve">:  </w:t>
      </w:r>
      <w:r w:rsidR="005B362A" w:rsidRPr="00924A44">
        <w:rPr>
          <w:b/>
        </w:rPr>
        <w:t xml:space="preserve">What would happen to the </w:t>
      </w:r>
      <w:r w:rsidR="00C92C28" w:rsidRPr="00924A44">
        <w:rPr>
          <w:b/>
        </w:rPr>
        <w:t xml:space="preserve">provision of </w:t>
      </w:r>
      <w:r w:rsidR="005B362A" w:rsidRPr="00924A44">
        <w:rPr>
          <w:b/>
        </w:rPr>
        <w:t xml:space="preserve">1 million </w:t>
      </w:r>
      <w:r w:rsidR="000A59AA" w:rsidRPr="00924A44">
        <w:rPr>
          <w:b/>
        </w:rPr>
        <w:t>Swiss francs</w:t>
      </w:r>
      <w:r w:rsidR="005B362A" w:rsidRPr="00924A44">
        <w:rPr>
          <w:b/>
        </w:rPr>
        <w:t xml:space="preserve"> in </w:t>
      </w:r>
      <w:r w:rsidR="00C92C28" w:rsidRPr="00924A44">
        <w:rPr>
          <w:b/>
        </w:rPr>
        <w:t>U</w:t>
      </w:r>
      <w:r w:rsidR="005B362A" w:rsidRPr="00924A44">
        <w:rPr>
          <w:b/>
        </w:rPr>
        <w:t>nallocated if no decision w</w:t>
      </w:r>
      <w:r w:rsidR="00C92C28" w:rsidRPr="00924A44">
        <w:rPr>
          <w:b/>
        </w:rPr>
        <w:t>ere to be taken concerning the opening of new External Offices?</w:t>
      </w:r>
    </w:p>
    <w:p w:rsidR="00C739E9" w:rsidRPr="00924A44" w:rsidRDefault="00C25DAA" w:rsidP="00203CC7">
      <w:pPr>
        <w:keepNext/>
        <w:keepLines/>
        <w:rPr>
          <w:bCs/>
        </w:rPr>
      </w:pPr>
      <w:r w:rsidRPr="00924A44">
        <w:rPr>
          <w:bCs/>
        </w:rPr>
        <w:t>A</w:t>
      </w:r>
      <w:r w:rsidR="00C92C28" w:rsidRPr="00924A44">
        <w:rPr>
          <w:bCs/>
        </w:rPr>
        <w:t>2</w:t>
      </w:r>
      <w:r w:rsidRPr="00924A44">
        <w:rPr>
          <w:bCs/>
        </w:rPr>
        <w:t xml:space="preserve">:  </w:t>
      </w:r>
      <w:r w:rsidR="001A249D">
        <w:rPr>
          <w:bCs/>
        </w:rPr>
        <w:t xml:space="preserve">Should this provision remain unspent in the biennium 2016/17, it would increase the projected Operating Result of 20.8 million Swiss francs at the end of the biennium. </w:t>
      </w:r>
    </w:p>
    <w:p w:rsidR="00771713" w:rsidRPr="00924A44" w:rsidRDefault="00771713" w:rsidP="00203CC7">
      <w:pPr>
        <w:keepNext/>
        <w:keepLines/>
        <w:rPr>
          <w:bCs/>
        </w:rPr>
      </w:pPr>
    </w:p>
    <w:p w:rsidR="005B362A" w:rsidRPr="00924A44" w:rsidRDefault="005B362A" w:rsidP="00203CC7">
      <w:pPr>
        <w:keepNext/>
        <w:keepLines/>
      </w:pPr>
    </w:p>
    <w:p w:rsidR="00BF7473" w:rsidRPr="00924A44" w:rsidRDefault="00BF7473" w:rsidP="00203CC7">
      <w:pPr>
        <w:rPr>
          <w:b/>
        </w:rPr>
      </w:pPr>
      <w:r w:rsidRPr="00924A44">
        <w:rPr>
          <w:b/>
          <w:bCs/>
        </w:rPr>
        <w:t>Q</w:t>
      </w:r>
      <w:r w:rsidR="00C92C28" w:rsidRPr="00924A44">
        <w:rPr>
          <w:b/>
          <w:bCs/>
        </w:rPr>
        <w:t>3</w:t>
      </w:r>
      <w:r w:rsidRPr="00924A44">
        <w:rPr>
          <w:b/>
          <w:bCs/>
        </w:rPr>
        <w:t xml:space="preserve">: </w:t>
      </w:r>
      <w:r w:rsidR="00C92C28" w:rsidRPr="00924A44">
        <w:rPr>
          <w:b/>
          <w:bCs/>
        </w:rPr>
        <w:t xml:space="preserve"> What is the </w:t>
      </w:r>
      <w:r w:rsidR="005B362A" w:rsidRPr="00924A44">
        <w:rPr>
          <w:b/>
        </w:rPr>
        <w:t>justification for the p</w:t>
      </w:r>
      <w:r w:rsidR="007F5CA2">
        <w:rPr>
          <w:b/>
        </w:rPr>
        <w:t>roposed</w:t>
      </w:r>
      <w:r w:rsidR="005B362A" w:rsidRPr="00924A44">
        <w:rPr>
          <w:b/>
        </w:rPr>
        <w:t xml:space="preserve"> closure of the New York office? </w:t>
      </w:r>
    </w:p>
    <w:p w:rsidR="001B73A1" w:rsidRPr="00924A44" w:rsidRDefault="001B73A1" w:rsidP="00203CC7">
      <w:pPr>
        <w:rPr>
          <w:u w:val="single"/>
        </w:rPr>
      </w:pPr>
    </w:p>
    <w:p w:rsidR="00825EF9" w:rsidRDefault="00BF7473" w:rsidP="00203CC7">
      <w:pPr>
        <w:rPr>
          <w:szCs w:val="22"/>
        </w:rPr>
      </w:pPr>
      <w:r w:rsidRPr="00924A44">
        <w:rPr>
          <w:bCs/>
        </w:rPr>
        <w:t>A</w:t>
      </w:r>
      <w:r w:rsidR="001B73A1" w:rsidRPr="00924A44">
        <w:rPr>
          <w:bCs/>
        </w:rPr>
        <w:t>3</w:t>
      </w:r>
      <w:r w:rsidR="00825EF9" w:rsidRPr="00825EF9">
        <w:rPr>
          <w:szCs w:val="22"/>
        </w:rPr>
        <w:t xml:space="preserve"> </w:t>
      </w:r>
      <w:r w:rsidR="00825EF9">
        <w:rPr>
          <w:szCs w:val="22"/>
        </w:rPr>
        <w:t>Main reasons for the proposed closure of the WIPO Coordination Office to the UN in New York and to establish an alternate and more cost effective operating model include the following:</w:t>
      </w:r>
    </w:p>
    <w:p w:rsidR="00825EF9" w:rsidRDefault="00825EF9" w:rsidP="00203CC7">
      <w:pPr>
        <w:rPr>
          <w:szCs w:val="22"/>
        </w:rPr>
      </w:pPr>
    </w:p>
    <w:p w:rsidR="00825EF9" w:rsidRPr="00825EF9" w:rsidRDefault="00825EF9" w:rsidP="00203C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The main focus of WIPO’s external relations activities is with those parts of the UN system and other IGOs where IP is of greatest relevance. Primarily, this is with the Geneva based IGOs such as the WTO, WHO, ITU, as well as other organizations not based in New York such as UNESCO (Paris), UNEP (Nairobi, Paris) and the UNFCCC (Bonn).</w:t>
      </w:r>
    </w:p>
    <w:p w:rsidR="00825EF9" w:rsidRPr="00825EF9" w:rsidRDefault="00825EF9" w:rsidP="00203CC7">
      <w:pPr>
        <w:pStyle w:val="ListParagraph"/>
        <w:rPr>
          <w:rFonts w:ascii="Arial" w:eastAsia="SimSun" w:hAnsi="Arial" w:cs="Arial"/>
          <w:color w:val="auto"/>
          <w:sz w:val="22"/>
          <w:szCs w:val="22"/>
          <w:bdr w:val="none" w:sz="0" w:space="0" w:color="auto"/>
          <w:lang w:val="en-US" w:eastAsia="zh-CN"/>
        </w:rPr>
      </w:pPr>
    </w:p>
    <w:p w:rsidR="00825EF9" w:rsidRPr="00825EF9" w:rsidRDefault="00825EF9" w:rsidP="00203C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 xml:space="preserve">WIPO’s relationship with UN in New York work is mainly coordinated through the UN Chief Executive’s Board (CEB) and its related Committees, the High Level Committee on </w:t>
      </w:r>
      <w:proofErr w:type="spellStart"/>
      <w:r w:rsidRPr="00825EF9">
        <w:rPr>
          <w:rFonts w:ascii="Arial" w:eastAsia="SimSun" w:hAnsi="Arial" w:cs="Arial"/>
          <w:color w:val="auto"/>
          <w:sz w:val="22"/>
          <w:szCs w:val="22"/>
          <w:bdr w:val="none" w:sz="0" w:space="0" w:color="auto"/>
          <w:lang w:val="en-US" w:eastAsia="zh-CN"/>
        </w:rPr>
        <w:t>Programmes</w:t>
      </w:r>
      <w:proofErr w:type="spellEnd"/>
      <w:r w:rsidRPr="00825EF9">
        <w:rPr>
          <w:rFonts w:ascii="Arial" w:eastAsia="SimSun" w:hAnsi="Arial" w:cs="Arial"/>
          <w:color w:val="auto"/>
          <w:sz w:val="22"/>
          <w:szCs w:val="22"/>
          <w:bdr w:val="none" w:sz="0" w:space="0" w:color="auto"/>
          <w:lang w:val="en-US" w:eastAsia="zh-CN"/>
        </w:rPr>
        <w:t xml:space="preserve"> (HLCP) and the High Level Committee on Management (HLCM).  Given the high level nature of these bodies, our engagement and participation on programmatic issues (CEB/HLCP) is undertaken by the Director General and ADG/Chief of Staff and for the HLCM, ADG Administration and Management. External Relations Division in Geneva provides support and briefing for the CEB and HLCP. </w:t>
      </w:r>
      <w:r w:rsidR="00734980">
        <w:rPr>
          <w:rFonts w:ascii="Arial" w:eastAsia="SimSun" w:hAnsi="Arial" w:cs="Arial"/>
          <w:color w:val="auto"/>
          <w:sz w:val="22"/>
          <w:szCs w:val="22"/>
          <w:bdr w:val="none" w:sz="0" w:space="0" w:color="auto"/>
          <w:lang w:val="en-US" w:eastAsia="zh-CN"/>
        </w:rPr>
        <w:t>WIPO also participate</w:t>
      </w:r>
      <w:r w:rsidR="00563E03">
        <w:rPr>
          <w:rFonts w:ascii="Arial" w:eastAsia="SimSun" w:hAnsi="Arial" w:cs="Arial"/>
          <w:color w:val="auto"/>
          <w:sz w:val="22"/>
          <w:szCs w:val="22"/>
          <w:bdr w:val="none" w:sz="0" w:space="0" w:color="auto"/>
          <w:lang w:val="en-US" w:eastAsia="zh-CN"/>
        </w:rPr>
        <w:t>s</w:t>
      </w:r>
      <w:r w:rsidR="00734980">
        <w:rPr>
          <w:rFonts w:ascii="Arial" w:eastAsia="SimSun" w:hAnsi="Arial" w:cs="Arial"/>
          <w:color w:val="auto"/>
          <w:sz w:val="22"/>
          <w:szCs w:val="22"/>
          <w:bdr w:val="none" w:sz="0" w:space="0" w:color="auto"/>
          <w:lang w:val="en-US" w:eastAsia="zh-CN"/>
        </w:rPr>
        <w:t xml:space="preserve"> in the various networks under, in particular the HLCM, such as the HR Network, the Finance and Budget Network, the IT Network, the Procurement Network, </w:t>
      </w:r>
      <w:proofErr w:type="spellStart"/>
      <w:r w:rsidR="00734980">
        <w:rPr>
          <w:rFonts w:ascii="Arial" w:eastAsia="SimSun" w:hAnsi="Arial" w:cs="Arial"/>
          <w:color w:val="auto"/>
          <w:sz w:val="22"/>
          <w:szCs w:val="22"/>
          <w:bdr w:val="none" w:sz="0" w:space="0" w:color="auto"/>
          <w:lang w:val="en-US" w:eastAsia="zh-CN"/>
        </w:rPr>
        <w:t>etc</w:t>
      </w:r>
      <w:proofErr w:type="spellEnd"/>
      <w:r w:rsidR="00734980">
        <w:rPr>
          <w:rFonts w:ascii="Arial" w:eastAsia="SimSun" w:hAnsi="Arial" w:cs="Arial"/>
          <w:color w:val="auto"/>
          <w:sz w:val="22"/>
          <w:szCs w:val="22"/>
          <w:bdr w:val="none" w:sz="0" w:space="0" w:color="auto"/>
          <w:lang w:val="en-US" w:eastAsia="zh-CN"/>
        </w:rPr>
        <w:t xml:space="preserve">, through </w:t>
      </w:r>
      <w:r w:rsidR="00563E03">
        <w:rPr>
          <w:rFonts w:ascii="Arial" w:eastAsia="SimSun" w:hAnsi="Arial" w:cs="Arial"/>
          <w:color w:val="auto"/>
          <w:sz w:val="22"/>
          <w:szCs w:val="22"/>
          <w:bdr w:val="none" w:sz="0" w:space="0" w:color="auto"/>
          <w:lang w:val="en-US" w:eastAsia="zh-CN"/>
        </w:rPr>
        <w:t xml:space="preserve">its </w:t>
      </w:r>
      <w:r w:rsidR="00734980">
        <w:rPr>
          <w:rFonts w:ascii="Arial" w:eastAsia="SimSun" w:hAnsi="Arial" w:cs="Arial"/>
          <w:color w:val="auto"/>
          <w:sz w:val="22"/>
          <w:szCs w:val="22"/>
          <w:bdr w:val="none" w:sz="0" w:space="0" w:color="auto"/>
          <w:lang w:val="en-US" w:eastAsia="zh-CN"/>
        </w:rPr>
        <w:t xml:space="preserve">line departments in Geneva.  </w:t>
      </w:r>
    </w:p>
    <w:p w:rsidR="00825EF9" w:rsidRPr="00825EF9" w:rsidRDefault="00825EF9" w:rsidP="00203CC7">
      <w:pPr>
        <w:pStyle w:val="ListParagraph"/>
        <w:rPr>
          <w:rFonts w:ascii="Arial" w:eastAsia="SimSun" w:hAnsi="Arial" w:cs="Arial"/>
          <w:color w:val="auto"/>
          <w:sz w:val="22"/>
          <w:szCs w:val="22"/>
          <w:bdr w:val="none" w:sz="0" w:space="0" w:color="auto"/>
          <w:lang w:val="en-US" w:eastAsia="zh-CN"/>
        </w:rPr>
      </w:pPr>
    </w:p>
    <w:p w:rsidR="00825EF9" w:rsidRPr="00825EF9" w:rsidRDefault="00825EF9" w:rsidP="00203C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 xml:space="preserve">In recent years, the dominant area </w:t>
      </w:r>
      <w:r w:rsidR="005330A6">
        <w:rPr>
          <w:rFonts w:ascii="Arial" w:eastAsia="SimSun" w:hAnsi="Arial" w:cs="Arial"/>
          <w:color w:val="auto"/>
          <w:sz w:val="22"/>
          <w:szCs w:val="22"/>
          <w:bdr w:val="none" w:sz="0" w:space="0" w:color="auto"/>
          <w:lang w:val="en-US" w:eastAsia="zh-CN"/>
        </w:rPr>
        <w:t xml:space="preserve">of work by the </w:t>
      </w:r>
      <w:r w:rsidRPr="00825EF9">
        <w:rPr>
          <w:rFonts w:ascii="Arial" w:eastAsia="SimSun" w:hAnsi="Arial" w:cs="Arial"/>
          <w:color w:val="auto"/>
          <w:sz w:val="22"/>
          <w:szCs w:val="22"/>
          <w:bdr w:val="none" w:sz="0" w:space="0" w:color="auto"/>
          <w:lang w:val="en-US" w:eastAsia="zh-CN"/>
        </w:rPr>
        <w:t xml:space="preserve">UN </w:t>
      </w:r>
      <w:r w:rsidR="005330A6">
        <w:rPr>
          <w:rFonts w:ascii="Arial" w:eastAsia="SimSun" w:hAnsi="Arial" w:cs="Arial"/>
          <w:color w:val="auto"/>
          <w:sz w:val="22"/>
          <w:szCs w:val="22"/>
          <w:bdr w:val="none" w:sz="0" w:space="0" w:color="auto"/>
          <w:lang w:val="en-US" w:eastAsia="zh-CN"/>
        </w:rPr>
        <w:t xml:space="preserve">in </w:t>
      </w:r>
      <w:r w:rsidRPr="00825EF9">
        <w:rPr>
          <w:rFonts w:ascii="Arial" w:eastAsia="SimSun" w:hAnsi="Arial" w:cs="Arial"/>
          <w:color w:val="auto"/>
          <w:sz w:val="22"/>
          <w:szCs w:val="22"/>
          <w:bdr w:val="none" w:sz="0" w:space="0" w:color="auto"/>
          <w:lang w:val="en-US" w:eastAsia="zh-CN"/>
        </w:rPr>
        <w:t xml:space="preserve">New York </w:t>
      </w:r>
      <w:r w:rsidR="005330A6">
        <w:rPr>
          <w:rFonts w:ascii="Arial" w:eastAsia="SimSun" w:hAnsi="Arial" w:cs="Arial"/>
          <w:color w:val="auto"/>
          <w:sz w:val="22"/>
          <w:szCs w:val="22"/>
          <w:bdr w:val="none" w:sz="0" w:space="0" w:color="auto"/>
          <w:lang w:val="en-US" w:eastAsia="zh-CN"/>
        </w:rPr>
        <w:t>is</w:t>
      </w:r>
      <w:r w:rsidRPr="00825EF9">
        <w:rPr>
          <w:rFonts w:ascii="Arial" w:eastAsia="SimSun" w:hAnsi="Arial" w:cs="Arial"/>
          <w:color w:val="auto"/>
          <w:sz w:val="22"/>
          <w:szCs w:val="22"/>
          <w:bdr w:val="none" w:sz="0" w:space="0" w:color="auto"/>
          <w:lang w:val="en-US" w:eastAsia="zh-CN"/>
        </w:rPr>
        <w:t xml:space="preserve"> the political processes related to the post 2015 Development Agenda, including the Sustainable Development Goals and Financing for Development. While important, IP is only a small element of these broader processes. WIPO is an observer in these intergovernmental processes and in practice does not make statements. Our contribution and participation is through various inter-agency processes, which are primarily directed and coordinated by the External Relations Division in Geneva. </w:t>
      </w:r>
    </w:p>
    <w:p w:rsidR="00825EF9" w:rsidRPr="00825EF9" w:rsidRDefault="00825EF9" w:rsidP="00203CC7">
      <w:pPr>
        <w:pStyle w:val="ListParagraph"/>
        <w:rPr>
          <w:rFonts w:ascii="Arial" w:eastAsia="SimSun" w:hAnsi="Arial" w:cs="Arial"/>
          <w:color w:val="auto"/>
          <w:sz w:val="22"/>
          <w:szCs w:val="22"/>
          <w:bdr w:val="none" w:sz="0" w:space="0" w:color="auto"/>
          <w:lang w:val="en-US" w:eastAsia="zh-CN"/>
        </w:rPr>
      </w:pPr>
    </w:p>
    <w:p w:rsidR="00825EF9" w:rsidRPr="00825EF9" w:rsidRDefault="00825EF9" w:rsidP="00203C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With the anticipated conclusion later this year of the political processes at UN New York on the post 2015 Development Agenda, the international focus will shift to implementation. That necessitates a shift of effort from New York to action at the national level. As indicated in Program 9, WIPO’s support for developing countries will be directed at contributing to their achievement of the post 2015 Development Agenda and the SDGs. While there will remain a reporting requirement in New York, through ECOSOC and the High Level Political Forum (HLPF) WIPO’s input for this is coordinated by the External Relations Division in Geneva and is derived from inputs from relevant substantive sectors at WIPO.</w:t>
      </w:r>
    </w:p>
    <w:p w:rsidR="00825EF9" w:rsidRPr="00825EF9" w:rsidRDefault="00825EF9" w:rsidP="00203CC7">
      <w:pPr>
        <w:pStyle w:val="ListParagraph"/>
        <w:rPr>
          <w:rFonts w:ascii="Arial" w:eastAsia="SimSun" w:hAnsi="Arial" w:cs="Arial"/>
          <w:color w:val="auto"/>
          <w:sz w:val="22"/>
          <w:szCs w:val="22"/>
          <w:bdr w:val="none" w:sz="0" w:space="0" w:color="auto"/>
          <w:lang w:val="en-US" w:eastAsia="zh-CN"/>
        </w:rPr>
      </w:pPr>
    </w:p>
    <w:p w:rsidR="00825EF9" w:rsidRPr="00825EF9" w:rsidRDefault="00825EF9" w:rsidP="00203C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 xml:space="preserve">The decision was therefore taken to propose the closure of the WIPO New York Office from the end of 2016 and to put in place a more cost effective operating model that better matches the changing nature of the work in New York and expected results of the Organization. </w:t>
      </w:r>
    </w:p>
    <w:p w:rsidR="00825EF9" w:rsidRPr="00825EF9" w:rsidRDefault="00825EF9" w:rsidP="00203CC7">
      <w:pPr>
        <w:pStyle w:val="ListParagraph"/>
        <w:rPr>
          <w:rFonts w:ascii="Arial" w:eastAsia="SimSun" w:hAnsi="Arial" w:cs="Arial"/>
          <w:color w:val="auto"/>
          <w:sz w:val="22"/>
          <w:szCs w:val="22"/>
          <w:bdr w:val="none" w:sz="0" w:space="0" w:color="auto"/>
          <w:lang w:val="en-US" w:eastAsia="zh-CN"/>
        </w:rPr>
      </w:pPr>
    </w:p>
    <w:p w:rsidR="00825EF9" w:rsidRPr="00825EF9" w:rsidRDefault="00825EF9" w:rsidP="00203C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 xml:space="preserve">These modalities include: </w:t>
      </w:r>
    </w:p>
    <w:p w:rsidR="00825EF9" w:rsidRPr="00825EF9" w:rsidRDefault="00825EF9" w:rsidP="00203CC7">
      <w:pPr>
        <w:pStyle w:val="ListParagraph"/>
        <w:rPr>
          <w:rFonts w:ascii="Arial" w:eastAsia="SimSun" w:hAnsi="Arial" w:cs="Arial"/>
          <w:color w:val="auto"/>
          <w:sz w:val="22"/>
          <w:szCs w:val="22"/>
          <w:bdr w:val="none" w:sz="0" w:space="0" w:color="auto"/>
          <w:lang w:val="en-US" w:eastAsia="zh-CN"/>
        </w:rPr>
      </w:pPr>
    </w:p>
    <w:p w:rsidR="00825EF9" w:rsidRPr="00825EF9" w:rsidRDefault="00825EF9" w:rsidP="00203CC7">
      <w:pPr>
        <w:pStyle w:val="ListParagraph"/>
        <w:ind w:left="360"/>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ab/>
        <w:t>(</w:t>
      </w:r>
      <w:proofErr w:type="spellStart"/>
      <w:r w:rsidRPr="00825EF9">
        <w:rPr>
          <w:rFonts w:ascii="Arial" w:eastAsia="SimSun" w:hAnsi="Arial" w:cs="Arial"/>
          <w:color w:val="auto"/>
          <w:sz w:val="22"/>
          <w:szCs w:val="22"/>
          <w:bdr w:val="none" w:sz="0" w:space="0" w:color="auto"/>
          <w:lang w:val="en-US" w:eastAsia="zh-CN"/>
        </w:rPr>
        <w:t>i</w:t>
      </w:r>
      <w:proofErr w:type="spellEnd"/>
      <w:r w:rsidRPr="00825EF9">
        <w:rPr>
          <w:rFonts w:ascii="Arial" w:eastAsia="SimSun" w:hAnsi="Arial" w:cs="Arial"/>
          <w:color w:val="auto"/>
          <w:sz w:val="22"/>
          <w:szCs w:val="22"/>
          <w:bdr w:val="none" w:sz="0" w:space="0" w:color="auto"/>
          <w:lang w:val="en-US" w:eastAsia="zh-CN"/>
        </w:rPr>
        <w:t>)</w:t>
      </w:r>
      <w:r w:rsidRPr="00825EF9">
        <w:rPr>
          <w:rFonts w:ascii="Arial" w:eastAsia="SimSun" w:hAnsi="Arial" w:cs="Arial"/>
          <w:color w:val="auto"/>
          <w:sz w:val="22"/>
          <w:szCs w:val="22"/>
          <w:bdr w:val="none" w:sz="0" w:space="0" w:color="auto"/>
          <w:lang w:val="en-US" w:eastAsia="zh-CN"/>
        </w:rPr>
        <w:tab/>
        <w:t>Where appropriate use of webcast to follow certain UN New York meetings;</w:t>
      </w:r>
    </w:p>
    <w:p w:rsidR="00825EF9" w:rsidRPr="00825EF9" w:rsidRDefault="00825EF9" w:rsidP="00203CC7">
      <w:pPr>
        <w:pStyle w:val="ListParagraph"/>
        <w:spacing w:before="120"/>
        <w:ind w:left="360"/>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ab/>
        <w:t>(ii)</w:t>
      </w:r>
      <w:r w:rsidRPr="00825EF9">
        <w:rPr>
          <w:rFonts w:ascii="Arial" w:eastAsia="SimSun" w:hAnsi="Arial" w:cs="Arial"/>
          <w:color w:val="auto"/>
          <w:sz w:val="22"/>
          <w:szCs w:val="22"/>
          <w:bdr w:val="none" w:sz="0" w:space="0" w:color="auto"/>
          <w:lang w:val="en-US" w:eastAsia="zh-CN"/>
        </w:rPr>
        <w:tab/>
        <w:t xml:space="preserve">Participate by video and audio conference in UN inter-agency meetings </w:t>
      </w:r>
      <w:r w:rsidRPr="00825EF9">
        <w:rPr>
          <w:rFonts w:ascii="Arial" w:eastAsia="SimSun" w:hAnsi="Arial" w:cs="Arial"/>
          <w:color w:val="auto"/>
          <w:sz w:val="22"/>
          <w:szCs w:val="22"/>
          <w:bdr w:val="none" w:sz="0" w:space="0" w:color="auto"/>
          <w:lang w:val="en-US" w:eastAsia="zh-CN"/>
        </w:rPr>
        <w:tab/>
      </w:r>
      <w:r w:rsidRPr="00825EF9">
        <w:rPr>
          <w:rFonts w:ascii="Arial" w:eastAsia="SimSun" w:hAnsi="Arial" w:cs="Arial"/>
          <w:color w:val="auto"/>
          <w:sz w:val="22"/>
          <w:szCs w:val="22"/>
          <w:bdr w:val="none" w:sz="0" w:space="0" w:color="auto"/>
          <w:lang w:val="en-US" w:eastAsia="zh-CN"/>
        </w:rPr>
        <w:tab/>
      </w:r>
      <w:r>
        <w:rPr>
          <w:rFonts w:ascii="Arial" w:eastAsia="SimSun" w:hAnsi="Arial" w:cs="Arial"/>
          <w:color w:val="auto"/>
          <w:sz w:val="22"/>
          <w:szCs w:val="22"/>
          <w:bdr w:val="none" w:sz="0" w:space="0" w:color="auto"/>
          <w:lang w:val="en-US" w:eastAsia="zh-CN"/>
        </w:rPr>
        <w:tab/>
      </w:r>
      <w:r>
        <w:rPr>
          <w:rFonts w:ascii="Arial" w:eastAsia="SimSun" w:hAnsi="Arial" w:cs="Arial"/>
          <w:color w:val="auto"/>
          <w:sz w:val="22"/>
          <w:szCs w:val="22"/>
          <w:bdr w:val="none" w:sz="0" w:space="0" w:color="auto"/>
          <w:lang w:val="en-US" w:eastAsia="zh-CN"/>
        </w:rPr>
        <w:tab/>
      </w:r>
      <w:r w:rsidRPr="00825EF9">
        <w:rPr>
          <w:rFonts w:ascii="Arial" w:eastAsia="SimSun" w:hAnsi="Arial" w:cs="Arial"/>
          <w:color w:val="auto"/>
          <w:sz w:val="22"/>
          <w:szCs w:val="22"/>
          <w:bdr w:val="none" w:sz="0" w:space="0" w:color="auto"/>
          <w:lang w:val="en-US" w:eastAsia="zh-CN"/>
        </w:rPr>
        <w:t>(already a practice employed by WIPO and other UN organizations);</w:t>
      </w:r>
    </w:p>
    <w:p w:rsidR="00825EF9" w:rsidRPr="00825EF9" w:rsidRDefault="00825EF9" w:rsidP="00203CC7">
      <w:pPr>
        <w:pStyle w:val="ListParagraph"/>
        <w:spacing w:before="120"/>
        <w:ind w:left="360"/>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ab/>
        <w:t>(iii)</w:t>
      </w:r>
      <w:r w:rsidRPr="00825EF9">
        <w:rPr>
          <w:rFonts w:ascii="Arial" w:eastAsia="SimSun" w:hAnsi="Arial" w:cs="Arial"/>
          <w:color w:val="auto"/>
          <w:sz w:val="22"/>
          <w:szCs w:val="22"/>
          <w:bdr w:val="none" w:sz="0" w:space="0" w:color="auto"/>
          <w:lang w:val="en-US" w:eastAsia="zh-CN"/>
        </w:rPr>
        <w:tab/>
        <w:t xml:space="preserve">Continued engagement in the work of the CEB and its Committees; </w:t>
      </w:r>
    </w:p>
    <w:p w:rsidR="00825EF9" w:rsidRPr="00825EF9" w:rsidRDefault="00825EF9" w:rsidP="00203CC7">
      <w:pPr>
        <w:pStyle w:val="ListParagraph"/>
        <w:spacing w:before="120"/>
        <w:ind w:left="1170" w:hanging="630"/>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lastRenderedPageBreak/>
        <w:t>(iv)</w:t>
      </w:r>
      <w:r w:rsidRPr="00825EF9">
        <w:rPr>
          <w:rFonts w:ascii="Arial" w:eastAsia="SimSun" w:hAnsi="Arial" w:cs="Arial"/>
          <w:color w:val="auto"/>
          <w:sz w:val="22"/>
          <w:szCs w:val="22"/>
          <w:bdr w:val="none" w:sz="0" w:space="0" w:color="auto"/>
          <w:lang w:val="en-US" w:eastAsia="zh-CN"/>
        </w:rPr>
        <w:tab/>
        <w:t xml:space="preserve">HQ staff to undertake missions to New York for key meetings </w:t>
      </w:r>
      <w:r>
        <w:rPr>
          <w:rFonts w:ascii="Arial" w:eastAsia="SimSun" w:hAnsi="Arial" w:cs="Arial"/>
          <w:color w:val="auto"/>
          <w:sz w:val="22"/>
          <w:szCs w:val="22"/>
          <w:bdr w:val="none" w:sz="0" w:space="0" w:color="auto"/>
          <w:lang w:val="en-US" w:eastAsia="zh-CN"/>
        </w:rPr>
        <w:t xml:space="preserve">and where </w:t>
      </w:r>
      <w:r w:rsidRPr="00825EF9">
        <w:rPr>
          <w:rFonts w:ascii="Arial" w:eastAsia="SimSun" w:hAnsi="Arial" w:cs="Arial"/>
          <w:color w:val="auto"/>
          <w:sz w:val="22"/>
          <w:szCs w:val="22"/>
          <w:bdr w:val="none" w:sz="0" w:space="0" w:color="auto"/>
          <w:lang w:val="en-US" w:eastAsia="zh-CN"/>
        </w:rPr>
        <w:t>the opportunities exist to promote WIPO activ</w:t>
      </w:r>
      <w:r>
        <w:rPr>
          <w:rFonts w:ascii="Arial" w:eastAsia="SimSun" w:hAnsi="Arial" w:cs="Arial"/>
          <w:color w:val="auto"/>
          <w:sz w:val="22"/>
          <w:szCs w:val="22"/>
          <w:bdr w:val="none" w:sz="0" w:space="0" w:color="auto"/>
          <w:lang w:val="en-US" w:eastAsia="zh-CN"/>
        </w:rPr>
        <w:t xml:space="preserve">ities such as WIPO GREEN, WIPO </w:t>
      </w:r>
      <w:proofErr w:type="spellStart"/>
      <w:r w:rsidRPr="00825EF9">
        <w:rPr>
          <w:rFonts w:ascii="Arial" w:eastAsia="SimSun" w:hAnsi="Arial" w:cs="Arial"/>
          <w:color w:val="auto"/>
          <w:sz w:val="22"/>
          <w:szCs w:val="22"/>
          <w:bdr w:val="none" w:sz="0" w:space="0" w:color="auto"/>
          <w:lang w:val="en-US" w:eastAsia="zh-CN"/>
        </w:rPr>
        <w:t>Re</w:t>
      </w:r>
      <w:proofErr w:type="gramStart"/>
      <w:r w:rsidRPr="00825EF9">
        <w:rPr>
          <w:rFonts w:ascii="Arial" w:eastAsia="SimSun" w:hAnsi="Arial" w:cs="Arial"/>
          <w:color w:val="auto"/>
          <w:sz w:val="22"/>
          <w:szCs w:val="22"/>
          <w:bdr w:val="none" w:sz="0" w:space="0" w:color="auto"/>
          <w:lang w:val="en-US" w:eastAsia="zh-CN"/>
        </w:rPr>
        <w:t>:Search</w:t>
      </w:r>
      <w:proofErr w:type="spellEnd"/>
      <w:proofErr w:type="gramEnd"/>
      <w:r w:rsidRPr="00825EF9">
        <w:rPr>
          <w:rFonts w:ascii="Arial" w:eastAsia="SimSun" w:hAnsi="Arial" w:cs="Arial"/>
          <w:color w:val="auto"/>
          <w:sz w:val="22"/>
          <w:szCs w:val="22"/>
          <w:bdr w:val="none" w:sz="0" w:space="0" w:color="auto"/>
          <w:lang w:val="en-US" w:eastAsia="zh-CN"/>
        </w:rPr>
        <w:t xml:space="preserve"> and the ABC Consortium, as well as t</w:t>
      </w:r>
      <w:r>
        <w:rPr>
          <w:rFonts w:ascii="Arial" w:eastAsia="SimSun" w:hAnsi="Arial" w:cs="Arial"/>
          <w:color w:val="auto"/>
          <w:sz w:val="22"/>
          <w:szCs w:val="22"/>
          <w:bdr w:val="none" w:sz="0" w:space="0" w:color="auto"/>
          <w:lang w:val="en-US" w:eastAsia="zh-CN"/>
        </w:rPr>
        <w:t xml:space="preserve">o maintain network of contacts </w:t>
      </w:r>
      <w:r w:rsidRPr="00825EF9">
        <w:rPr>
          <w:rFonts w:ascii="Arial" w:eastAsia="SimSun" w:hAnsi="Arial" w:cs="Arial"/>
          <w:color w:val="auto"/>
          <w:sz w:val="22"/>
          <w:szCs w:val="22"/>
          <w:bdr w:val="none" w:sz="0" w:space="0" w:color="auto"/>
          <w:lang w:val="en-US" w:eastAsia="zh-CN"/>
        </w:rPr>
        <w:t>at UN in New York (the average cost of a mission to New York</w:t>
      </w:r>
      <w:r>
        <w:rPr>
          <w:rFonts w:ascii="Arial" w:eastAsia="SimSun" w:hAnsi="Arial" w:cs="Arial"/>
          <w:color w:val="auto"/>
          <w:sz w:val="22"/>
          <w:szCs w:val="22"/>
          <w:bdr w:val="none" w:sz="0" w:space="0" w:color="auto"/>
          <w:lang w:val="en-US" w:eastAsia="zh-CN"/>
        </w:rPr>
        <w:t xml:space="preserve"> </w:t>
      </w:r>
      <w:r w:rsidRPr="00825EF9">
        <w:rPr>
          <w:rFonts w:ascii="Arial" w:eastAsia="SimSun" w:hAnsi="Arial" w:cs="Arial"/>
          <w:color w:val="auto"/>
          <w:sz w:val="22"/>
          <w:szCs w:val="22"/>
          <w:bdr w:val="none" w:sz="0" w:space="0" w:color="auto"/>
          <w:lang w:val="en-US" w:eastAsia="zh-CN"/>
        </w:rPr>
        <w:t xml:space="preserve">is 3,500 </w:t>
      </w:r>
      <w:r>
        <w:rPr>
          <w:rFonts w:ascii="Arial" w:eastAsia="SimSun" w:hAnsi="Arial" w:cs="Arial"/>
          <w:color w:val="auto"/>
          <w:sz w:val="22"/>
          <w:szCs w:val="22"/>
          <w:bdr w:val="none" w:sz="0" w:space="0" w:color="auto"/>
          <w:lang w:val="en-US" w:eastAsia="zh-CN"/>
        </w:rPr>
        <w:t xml:space="preserve">Swiss francs </w:t>
      </w:r>
      <w:r w:rsidRPr="00825EF9">
        <w:rPr>
          <w:rFonts w:ascii="Arial" w:eastAsia="SimSun" w:hAnsi="Arial" w:cs="Arial"/>
          <w:color w:val="auto"/>
          <w:sz w:val="22"/>
          <w:szCs w:val="22"/>
          <w:bdr w:val="none" w:sz="0" w:space="0" w:color="auto"/>
          <w:lang w:val="en-US" w:eastAsia="zh-CN"/>
        </w:rPr>
        <w:t xml:space="preserve">which is 0.6 per cent of the biennial costs of the New York Office rental </w:t>
      </w:r>
      <w:r>
        <w:rPr>
          <w:rFonts w:ascii="Arial" w:eastAsia="SimSun" w:hAnsi="Arial" w:cs="Arial"/>
          <w:color w:val="auto"/>
          <w:sz w:val="22"/>
          <w:szCs w:val="22"/>
          <w:bdr w:val="none" w:sz="0" w:space="0" w:color="auto"/>
          <w:lang w:val="en-US" w:eastAsia="zh-CN"/>
        </w:rPr>
        <w:t xml:space="preserve">alone </w:t>
      </w:r>
      <w:r w:rsidRPr="00825EF9">
        <w:rPr>
          <w:rFonts w:ascii="Arial" w:eastAsia="SimSun" w:hAnsi="Arial" w:cs="Arial"/>
          <w:color w:val="auto"/>
          <w:sz w:val="22"/>
          <w:szCs w:val="22"/>
          <w:bdr w:val="none" w:sz="0" w:space="0" w:color="auto"/>
          <w:lang w:val="en-US" w:eastAsia="zh-CN"/>
        </w:rPr>
        <w:t xml:space="preserve">(500,000 </w:t>
      </w:r>
      <w:r>
        <w:rPr>
          <w:rFonts w:ascii="Arial" w:eastAsia="SimSun" w:hAnsi="Arial" w:cs="Arial"/>
          <w:color w:val="auto"/>
          <w:sz w:val="22"/>
          <w:szCs w:val="22"/>
          <w:bdr w:val="none" w:sz="0" w:space="0" w:color="auto"/>
          <w:lang w:val="en-US" w:eastAsia="zh-CN"/>
        </w:rPr>
        <w:t xml:space="preserve">Swiss francs </w:t>
      </w:r>
      <w:r w:rsidRPr="00825EF9">
        <w:rPr>
          <w:rFonts w:ascii="Arial" w:eastAsia="SimSun" w:hAnsi="Arial" w:cs="Arial"/>
          <w:color w:val="auto"/>
          <w:sz w:val="22"/>
          <w:szCs w:val="22"/>
          <w:bdr w:val="none" w:sz="0" w:space="0" w:color="auto"/>
          <w:lang w:val="en-US" w:eastAsia="zh-CN"/>
        </w:rPr>
        <w:t>per biennium approx.)</w:t>
      </w:r>
      <w:r w:rsidR="005330A6">
        <w:rPr>
          <w:rFonts w:ascii="Arial" w:eastAsia="SimSun" w:hAnsi="Arial" w:cs="Arial"/>
          <w:color w:val="auto"/>
          <w:sz w:val="22"/>
          <w:szCs w:val="22"/>
          <w:bdr w:val="none" w:sz="0" w:space="0" w:color="auto"/>
          <w:lang w:val="en-US" w:eastAsia="zh-CN"/>
        </w:rPr>
        <w:t>)</w:t>
      </w:r>
      <w:r w:rsidRPr="00825EF9">
        <w:rPr>
          <w:rFonts w:ascii="Arial" w:eastAsia="SimSun" w:hAnsi="Arial" w:cs="Arial"/>
          <w:color w:val="auto"/>
          <w:sz w:val="22"/>
          <w:szCs w:val="22"/>
          <w:bdr w:val="none" w:sz="0" w:space="0" w:color="auto"/>
          <w:lang w:val="en-US" w:eastAsia="zh-CN"/>
        </w:rPr>
        <w:t>. Only a lim</w:t>
      </w:r>
      <w:r>
        <w:rPr>
          <w:rFonts w:ascii="Arial" w:eastAsia="SimSun" w:hAnsi="Arial" w:cs="Arial"/>
          <w:color w:val="auto"/>
          <w:sz w:val="22"/>
          <w:szCs w:val="22"/>
          <w:bdr w:val="none" w:sz="0" w:space="0" w:color="auto"/>
          <w:lang w:val="en-US" w:eastAsia="zh-CN"/>
        </w:rPr>
        <w:t xml:space="preserve">ited increase in the number of </w:t>
      </w:r>
      <w:r w:rsidRPr="00825EF9">
        <w:rPr>
          <w:rFonts w:ascii="Arial" w:eastAsia="SimSun" w:hAnsi="Arial" w:cs="Arial"/>
          <w:color w:val="auto"/>
          <w:sz w:val="22"/>
          <w:szCs w:val="22"/>
          <w:bdr w:val="none" w:sz="0" w:space="0" w:color="auto"/>
          <w:lang w:val="en-US" w:eastAsia="zh-CN"/>
        </w:rPr>
        <w:t>missions to New York, in addition to those missions already undertaken, is envisaged. The minimal increase in costs that this would represent is only a small fraction of the overall savings in office rental costs, not to mention savings in other non-personnel costs.</w:t>
      </w:r>
    </w:p>
    <w:p w:rsidR="00825EF9" w:rsidRPr="00825EF9" w:rsidRDefault="00825EF9" w:rsidP="00203CC7">
      <w:pPr>
        <w:pStyle w:val="ListParagraph"/>
        <w:spacing w:before="120"/>
        <w:ind w:left="1170" w:hanging="630"/>
        <w:rPr>
          <w:rFonts w:ascii="Arial" w:eastAsia="SimSun" w:hAnsi="Arial" w:cs="Arial"/>
          <w:color w:val="auto"/>
          <w:sz w:val="22"/>
          <w:szCs w:val="22"/>
          <w:bdr w:val="none" w:sz="0" w:space="0" w:color="auto"/>
          <w:lang w:val="en-US" w:eastAsia="zh-CN"/>
        </w:rPr>
      </w:pPr>
      <w:r w:rsidRPr="00825EF9">
        <w:rPr>
          <w:rFonts w:ascii="Arial" w:eastAsia="SimSun" w:hAnsi="Arial" w:cs="Arial"/>
          <w:color w:val="auto"/>
          <w:sz w:val="22"/>
          <w:szCs w:val="22"/>
          <w:bdr w:val="none" w:sz="0" w:space="0" w:color="auto"/>
          <w:lang w:val="en-US" w:eastAsia="zh-CN"/>
        </w:rPr>
        <w:t>(v)</w:t>
      </w:r>
      <w:r w:rsidRPr="00825EF9">
        <w:rPr>
          <w:rFonts w:ascii="Arial" w:eastAsia="SimSun" w:hAnsi="Arial" w:cs="Arial"/>
          <w:color w:val="auto"/>
          <w:sz w:val="22"/>
          <w:szCs w:val="22"/>
          <w:bdr w:val="none" w:sz="0" w:space="0" w:color="auto"/>
          <w:lang w:val="en-US" w:eastAsia="zh-CN"/>
        </w:rPr>
        <w:tab/>
        <w:t xml:space="preserve">Use of the External Relations Division extensive network of contacts at the </w:t>
      </w:r>
      <w:r w:rsidR="007F5CA2">
        <w:rPr>
          <w:rFonts w:ascii="Arial" w:eastAsia="SimSun" w:hAnsi="Arial" w:cs="Arial"/>
          <w:color w:val="auto"/>
          <w:sz w:val="22"/>
          <w:szCs w:val="22"/>
          <w:bdr w:val="none" w:sz="0" w:space="0" w:color="auto"/>
          <w:lang w:val="en-US" w:eastAsia="zh-CN"/>
        </w:rPr>
        <w:t xml:space="preserve">UN </w:t>
      </w:r>
      <w:r w:rsidRPr="00825EF9">
        <w:rPr>
          <w:rFonts w:ascii="Arial" w:eastAsia="SimSun" w:hAnsi="Arial" w:cs="Arial"/>
          <w:color w:val="auto"/>
          <w:sz w:val="22"/>
          <w:szCs w:val="22"/>
          <w:bdr w:val="none" w:sz="0" w:space="0" w:color="auto"/>
          <w:lang w:val="en-US" w:eastAsia="zh-CN"/>
        </w:rPr>
        <w:t xml:space="preserve">in New York to stay informed and engaged. </w:t>
      </w:r>
    </w:p>
    <w:p w:rsidR="001E5E88" w:rsidRPr="00203CC7" w:rsidRDefault="001E5E88" w:rsidP="00203CC7">
      <w:pPr>
        <w:spacing w:before="120"/>
        <w:rPr>
          <w:sz w:val="24"/>
          <w:szCs w:val="24"/>
        </w:rPr>
      </w:pPr>
    </w:p>
    <w:p w:rsidR="00A32C91" w:rsidRPr="00924A44" w:rsidRDefault="00A32C91" w:rsidP="00203CC7">
      <w:pPr>
        <w:rPr>
          <w:sz w:val="24"/>
          <w:szCs w:val="24"/>
        </w:rPr>
      </w:pPr>
    </w:p>
    <w:p w:rsidR="002F446C" w:rsidRPr="00924A44" w:rsidRDefault="002F446C" w:rsidP="00203CC7">
      <w:pPr>
        <w:widowControl w:val="0"/>
        <w:tabs>
          <w:tab w:val="num" w:pos="720"/>
        </w:tabs>
        <w:rPr>
          <w:b/>
        </w:rPr>
      </w:pPr>
      <w:r w:rsidRPr="00924A44">
        <w:rPr>
          <w:b/>
        </w:rPr>
        <w:t>Q</w:t>
      </w:r>
      <w:r w:rsidR="001B73A1" w:rsidRPr="00924A44">
        <w:rPr>
          <w:b/>
        </w:rPr>
        <w:t>4</w:t>
      </w:r>
      <w:r w:rsidRPr="00924A44">
        <w:rPr>
          <w:b/>
        </w:rPr>
        <w:t>:</w:t>
      </w:r>
      <w:r w:rsidR="001B73A1" w:rsidRPr="00924A44">
        <w:rPr>
          <w:b/>
        </w:rPr>
        <w:t xml:space="preserve"> </w:t>
      </w:r>
      <w:r w:rsidRPr="00924A44">
        <w:rPr>
          <w:b/>
        </w:rPr>
        <w:t xml:space="preserve"> </w:t>
      </w:r>
      <w:r w:rsidR="001B73A1" w:rsidRPr="00924A44">
        <w:rPr>
          <w:b/>
        </w:rPr>
        <w:t xml:space="preserve">Why is the planning framework for </w:t>
      </w:r>
      <w:r w:rsidR="00473AFA" w:rsidRPr="00924A44">
        <w:rPr>
          <w:b/>
        </w:rPr>
        <w:t>the</w:t>
      </w:r>
      <w:r w:rsidR="001B73A1" w:rsidRPr="00924A44">
        <w:rPr>
          <w:b/>
        </w:rPr>
        <w:t xml:space="preserve"> External Offices overly aggregated?</w:t>
      </w:r>
    </w:p>
    <w:p w:rsidR="002F446C" w:rsidRPr="00924A44" w:rsidRDefault="002F446C" w:rsidP="00203CC7">
      <w:pPr>
        <w:pStyle w:val="ListParagraph"/>
        <w:widowControl w:val="0"/>
        <w:rPr>
          <w:rFonts w:ascii="Arial"/>
          <w:lang w:val="en-US"/>
        </w:rPr>
      </w:pPr>
    </w:p>
    <w:p w:rsidR="002F446C" w:rsidRPr="00924A44" w:rsidRDefault="002F446C" w:rsidP="00203CC7">
      <w:pPr>
        <w:widowControl w:val="0"/>
      </w:pPr>
      <w:r w:rsidRPr="00924A44">
        <w:t>A</w:t>
      </w:r>
      <w:r w:rsidR="001B73A1" w:rsidRPr="00924A44">
        <w:t>4</w:t>
      </w:r>
      <w:r w:rsidRPr="00924A44">
        <w:t xml:space="preserve">: </w:t>
      </w:r>
      <w:r w:rsidR="00C739E9" w:rsidRPr="00924A44">
        <w:t xml:space="preserve">The Secretariat has </w:t>
      </w:r>
      <w:r w:rsidR="00A32C91">
        <w:t>engaged in</w:t>
      </w:r>
      <w:r w:rsidR="00C739E9" w:rsidRPr="00924A44">
        <w:t xml:space="preserve"> a significant exercise </w:t>
      </w:r>
      <w:r w:rsidR="00A32C91">
        <w:t>for the</w:t>
      </w:r>
      <w:r w:rsidR="00C739E9" w:rsidRPr="00924A44">
        <w:t xml:space="preserve"> preparation of the P</w:t>
      </w:r>
      <w:r w:rsidR="00A32C91">
        <w:t xml:space="preserve">rogram and Budget </w:t>
      </w:r>
      <w:r w:rsidR="00C739E9" w:rsidRPr="00924A44">
        <w:t xml:space="preserve">2016/17 with the participation of representatives of WIPO External </w:t>
      </w:r>
      <w:r w:rsidR="00A32C91">
        <w:t>O</w:t>
      </w:r>
      <w:r w:rsidR="00C739E9" w:rsidRPr="00924A44">
        <w:t xml:space="preserve">ffices to </w:t>
      </w:r>
      <w:r w:rsidR="00A32C91">
        <w:t xml:space="preserve">develop, </w:t>
      </w:r>
      <w:r w:rsidR="00C739E9" w:rsidRPr="00924A44">
        <w:t xml:space="preserve">coordinate and align the Results Framework </w:t>
      </w:r>
      <w:r w:rsidR="00A32C91">
        <w:t xml:space="preserve">for the </w:t>
      </w:r>
      <w:r w:rsidR="00C739E9" w:rsidRPr="00924A44">
        <w:t xml:space="preserve">Offices.  </w:t>
      </w:r>
      <w:r w:rsidR="00A32C91">
        <w:t xml:space="preserve">This has resulted in a very comprehensive </w:t>
      </w:r>
      <w:r w:rsidR="009E4BAD">
        <w:t xml:space="preserve">and detailed </w:t>
      </w:r>
      <w:r w:rsidR="00C739E9" w:rsidRPr="00924A44">
        <w:t>Results Framework</w:t>
      </w:r>
      <w:r w:rsidR="00A32C91">
        <w:t xml:space="preserve"> for Program 20 with clear and measurable indicators and separate </w:t>
      </w:r>
      <w:r w:rsidR="00C739E9" w:rsidRPr="00924A44">
        <w:t xml:space="preserve">baselines and targets </w:t>
      </w:r>
      <w:r w:rsidR="00A32C91">
        <w:t xml:space="preserve">for each of the Offices. </w:t>
      </w:r>
    </w:p>
    <w:p w:rsidR="00A32C91" w:rsidRDefault="00A32C91" w:rsidP="00203CC7">
      <w:pPr>
        <w:widowControl w:val="0"/>
        <w:tabs>
          <w:tab w:val="num" w:pos="720"/>
        </w:tabs>
        <w:rPr>
          <w:b/>
        </w:rPr>
      </w:pPr>
    </w:p>
    <w:p w:rsidR="00A32C91" w:rsidRDefault="00A32C91" w:rsidP="00203CC7">
      <w:pPr>
        <w:widowControl w:val="0"/>
        <w:tabs>
          <w:tab w:val="num" w:pos="720"/>
        </w:tabs>
        <w:rPr>
          <w:b/>
        </w:rPr>
      </w:pPr>
    </w:p>
    <w:p w:rsidR="00F71EBD" w:rsidRDefault="00F71EBD" w:rsidP="00203CC7">
      <w:pPr>
        <w:widowControl w:val="0"/>
        <w:tabs>
          <w:tab w:val="num" w:pos="720"/>
        </w:tabs>
        <w:rPr>
          <w:b/>
        </w:rPr>
      </w:pPr>
    </w:p>
    <w:p w:rsidR="002F446C" w:rsidRPr="00671B9C" w:rsidRDefault="002F446C" w:rsidP="00203CC7">
      <w:pPr>
        <w:widowControl w:val="0"/>
        <w:tabs>
          <w:tab w:val="num" w:pos="720"/>
        </w:tabs>
      </w:pPr>
      <w:r w:rsidRPr="00671B9C">
        <w:rPr>
          <w:b/>
        </w:rPr>
        <w:t>Q</w:t>
      </w:r>
      <w:r w:rsidR="001B73A1" w:rsidRPr="00671B9C">
        <w:rPr>
          <w:b/>
        </w:rPr>
        <w:t>5</w:t>
      </w:r>
      <w:r w:rsidRPr="00671B9C">
        <w:rPr>
          <w:b/>
        </w:rPr>
        <w:t xml:space="preserve">: </w:t>
      </w:r>
      <w:r w:rsidR="001B73A1" w:rsidRPr="00671B9C">
        <w:rPr>
          <w:b/>
        </w:rPr>
        <w:t xml:space="preserve"> What is the breakdown of the proposed budget for each of the External Offices?</w:t>
      </w:r>
    </w:p>
    <w:p w:rsidR="002F446C" w:rsidRPr="00671B9C" w:rsidRDefault="002F446C" w:rsidP="00203CC7">
      <w:pPr>
        <w:rPr>
          <w:sz w:val="24"/>
          <w:szCs w:val="24"/>
        </w:rPr>
      </w:pPr>
    </w:p>
    <w:p w:rsidR="00473AFA" w:rsidRDefault="002F446C" w:rsidP="00203CC7">
      <w:pPr>
        <w:rPr>
          <w:szCs w:val="22"/>
        </w:rPr>
      </w:pPr>
      <w:r w:rsidRPr="00671B9C">
        <w:rPr>
          <w:szCs w:val="22"/>
        </w:rPr>
        <w:t>A</w:t>
      </w:r>
      <w:r w:rsidR="001B73A1" w:rsidRPr="00671B9C">
        <w:rPr>
          <w:szCs w:val="22"/>
        </w:rPr>
        <w:t>5</w:t>
      </w:r>
      <w:r w:rsidRPr="00671B9C">
        <w:rPr>
          <w:szCs w:val="22"/>
        </w:rPr>
        <w:t>:</w:t>
      </w:r>
      <w:r w:rsidR="00C739E9" w:rsidRPr="00671B9C">
        <w:rPr>
          <w:szCs w:val="22"/>
        </w:rPr>
        <w:t xml:space="preserve">  </w:t>
      </w:r>
      <w:r w:rsidR="001F3B01" w:rsidRPr="00671B9C">
        <w:rPr>
          <w:szCs w:val="22"/>
        </w:rPr>
        <w:t>Please find below the breakdown of the proposed budget for each of the External Offices in the table below. The External Offices are part of Program 20.</w:t>
      </w:r>
      <w:r w:rsidR="0063488A">
        <w:rPr>
          <w:szCs w:val="22"/>
        </w:rPr>
        <w:t xml:space="preserve"> </w:t>
      </w:r>
      <w:r w:rsidR="0063488A" w:rsidRPr="0063488A">
        <w:rPr>
          <w:szCs w:val="22"/>
        </w:rPr>
        <w:t>It should be noted that the total budget for Program 20 is higher than the total budget for the External Offices as Program 20 also includes External Relations and Partnerships as described in paragraphs 20.1-20.5.</w:t>
      </w:r>
    </w:p>
    <w:p w:rsidR="00726653" w:rsidRPr="00671B9C" w:rsidRDefault="00726653" w:rsidP="00203CC7">
      <w:pPr>
        <w:rPr>
          <w:szCs w:val="22"/>
        </w:rPr>
      </w:pPr>
    </w:p>
    <w:p w:rsidR="003274D7" w:rsidRDefault="003274D7" w:rsidP="00203CC7">
      <w:pPr>
        <w:rPr>
          <w:szCs w:val="22"/>
        </w:rPr>
      </w:pPr>
      <w:r w:rsidRPr="00671B9C">
        <w:rPr>
          <w:noProof/>
          <w:lang w:eastAsia="en-US"/>
        </w:rPr>
        <w:drawing>
          <wp:anchor distT="0" distB="0" distL="114300" distR="114300" simplePos="0" relativeHeight="251658240" behindDoc="1" locked="0" layoutInCell="1" allowOverlap="1" wp14:anchorId="40ED07A6" wp14:editId="604B3748">
            <wp:simplePos x="0" y="0"/>
            <wp:positionH relativeFrom="column">
              <wp:posOffset>633730</wp:posOffset>
            </wp:positionH>
            <wp:positionV relativeFrom="paragraph">
              <wp:posOffset>104140</wp:posOffset>
            </wp:positionV>
            <wp:extent cx="4349115" cy="1790065"/>
            <wp:effectExtent l="0" t="0" r="0" b="0"/>
            <wp:wrapThrough wrapText="bothSides">
              <wp:wrapPolygon edited="0">
                <wp:start x="6907" y="0"/>
                <wp:lineTo x="3311" y="1609"/>
                <wp:lineTo x="3311" y="2988"/>
                <wp:lineTo x="7380" y="3908"/>
                <wp:lineTo x="0" y="5747"/>
                <wp:lineTo x="0" y="18389"/>
                <wp:lineTo x="3122" y="19309"/>
                <wp:lineTo x="3028" y="20458"/>
                <wp:lineTo x="4352" y="20918"/>
                <wp:lineTo x="20625" y="20918"/>
                <wp:lineTo x="21477" y="20458"/>
                <wp:lineTo x="21477" y="5747"/>
                <wp:lineTo x="21099" y="5747"/>
                <wp:lineTo x="14097" y="3908"/>
                <wp:lineTo x="18166" y="2529"/>
                <wp:lineTo x="18166" y="919"/>
                <wp:lineTo x="13719" y="0"/>
                <wp:lineTo x="690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9115" cy="179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3274D7" w:rsidRDefault="003274D7" w:rsidP="00203CC7">
      <w:pPr>
        <w:rPr>
          <w:szCs w:val="22"/>
        </w:rPr>
      </w:pPr>
    </w:p>
    <w:p w:rsidR="001F3B01" w:rsidRDefault="001F3B01" w:rsidP="00203CC7">
      <w:pPr>
        <w:rPr>
          <w:szCs w:val="22"/>
        </w:rPr>
      </w:pPr>
    </w:p>
    <w:p w:rsidR="00C43C47" w:rsidRDefault="00C43C47" w:rsidP="00203CC7">
      <w:pPr>
        <w:rPr>
          <w:b/>
        </w:rPr>
      </w:pPr>
    </w:p>
    <w:p w:rsidR="0063488A" w:rsidRDefault="0063488A" w:rsidP="00203CC7">
      <w:pPr>
        <w:rPr>
          <w:b/>
        </w:rPr>
      </w:pPr>
    </w:p>
    <w:p w:rsidR="00A6316D" w:rsidRDefault="00C826CB" w:rsidP="00203CC7">
      <w:pPr>
        <w:rPr>
          <w:b/>
        </w:rPr>
      </w:pPr>
      <w:r w:rsidRPr="00924A44">
        <w:rPr>
          <w:b/>
        </w:rPr>
        <w:t xml:space="preserve">Q6: In </w:t>
      </w:r>
      <w:r w:rsidR="00C30BD7" w:rsidRPr="00924A44">
        <w:rPr>
          <w:b/>
        </w:rPr>
        <w:t xml:space="preserve">the Results Framework </w:t>
      </w:r>
      <w:r w:rsidR="00614807">
        <w:rPr>
          <w:b/>
        </w:rPr>
        <w:t>for</w:t>
      </w:r>
      <w:r w:rsidR="00C30BD7" w:rsidRPr="00924A44">
        <w:rPr>
          <w:b/>
        </w:rPr>
        <w:t xml:space="preserve"> </w:t>
      </w:r>
      <w:r w:rsidRPr="00924A44">
        <w:rPr>
          <w:b/>
        </w:rPr>
        <w:t xml:space="preserve">Program 19 (Communications), the baseline </w:t>
      </w:r>
      <w:r w:rsidR="00614807">
        <w:rPr>
          <w:b/>
        </w:rPr>
        <w:t xml:space="preserve">referring to </w:t>
      </w:r>
      <w:r w:rsidRPr="00924A44">
        <w:rPr>
          <w:b/>
        </w:rPr>
        <w:t>86% of Madrid and Hague customers satisfied or highly satisfied is not clear</w:t>
      </w:r>
      <w:r w:rsidR="00614807">
        <w:rPr>
          <w:b/>
        </w:rPr>
        <w:t xml:space="preserve">. Can you please clarify? </w:t>
      </w:r>
    </w:p>
    <w:p w:rsidR="00614807" w:rsidRPr="00924A44" w:rsidRDefault="00614807" w:rsidP="00203CC7">
      <w:pPr>
        <w:rPr>
          <w:szCs w:val="22"/>
        </w:rPr>
      </w:pPr>
    </w:p>
    <w:p w:rsidR="00C30BD7" w:rsidRPr="00924A44" w:rsidRDefault="00C30BD7" w:rsidP="00203CC7">
      <w:pPr>
        <w:rPr>
          <w:b/>
        </w:rPr>
      </w:pPr>
      <w:r w:rsidRPr="00924A44">
        <w:rPr>
          <w:szCs w:val="22"/>
        </w:rPr>
        <w:t>A</w:t>
      </w:r>
      <w:r w:rsidR="009E4BAD">
        <w:rPr>
          <w:szCs w:val="22"/>
        </w:rPr>
        <w:t>6</w:t>
      </w:r>
      <w:r w:rsidRPr="00924A44">
        <w:rPr>
          <w:szCs w:val="22"/>
        </w:rPr>
        <w:t xml:space="preserve">: </w:t>
      </w:r>
      <w:r w:rsidRPr="00924A44">
        <w:t xml:space="preserve">The baseline language refers to 86% of Madrid and Hague customers </w:t>
      </w:r>
      <w:r w:rsidR="00A6316D">
        <w:t xml:space="preserve">being </w:t>
      </w:r>
      <w:r w:rsidRPr="00924A44">
        <w:t xml:space="preserve">satisfied or highly satisfied </w:t>
      </w:r>
      <w:r w:rsidRPr="00924A44">
        <w:rPr>
          <w:i/>
          <w:iCs/>
        </w:rPr>
        <w:t>with the overall level of customer service orientation</w:t>
      </w:r>
      <w:r w:rsidRPr="00924A44">
        <w:t xml:space="preserve">, as per surveys carried out by Program 19 in 2013. Improving customer service orientation is one of the </w:t>
      </w:r>
      <w:r w:rsidR="00E2313D">
        <w:t>E</w:t>
      </w:r>
      <w:r w:rsidRPr="00924A44">
        <w:t xml:space="preserve">xpected </w:t>
      </w:r>
      <w:r w:rsidR="00E2313D">
        <w:t>R</w:t>
      </w:r>
      <w:r w:rsidRPr="00924A44">
        <w:t xml:space="preserve">esults </w:t>
      </w:r>
      <w:r w:rsidR="00E2313D">
        <w:t>to which Program 19 contributes</w:t>
      </w:r>
      <w:r w:rsidRPr="00924A44">
        <w:t>; a survey of PCT users is underway in 2015 and the results of that survey will be factored into future baseline figures.</w:t>
      </w:r>
    </w:p>
    <w:p w:rsidR="00C30BD7" w:rsidRPr="00924A44" w:rsidRDefault="00C30BD7" w:rsidP="00203CC7">
      <w:pPr>
        <w:rPr>
          <w:szCs w:val="22"/>
        </w:rPr>
      </w:pPr>
    </w:p>
    <w:p w:rsidR="00614807" w:rsidRDefault="00614807" w:rsidP="00203CC7">
      <w:pPr>
        <w:rPr>
          <w:sz w:val="24"/>
          <w:szCs w:val="24"/>
        </w:rPr>
      </w:pPr>
    </w:p>
    <w:p w:rsidR="00CB0F2F" w:rsidRPr="00924A44" w:rsidRDefault="004A4EB1" w:rsidP="00D62C81">
      <w:pPr>
        <w:keepNext/>
        <w:keepLines/>
        <w:rPr>
          <w:sz w:val="24"/>
          <w:szCs w:val="24"/>
        </w:rPr>
      </w:pPr>
      <w:r w:rsidRPr="00924A44">
        <w:rPr>
          <w:sz w:val="24"/>
          <w:szCs w:val="24"/>
        </w:rPr>
        <w:lastRenderedPageBreak/>
        <w:t>CROSS-CUTTING</w:t>
      </w:r>
      <w:r w:rsidR="002F446C" w:rsidRPr="00924A44">
        <w:rPr>
          <w:sz w:val="24"/>
          <w:szCs w:val="24"/>
        </w:rPr>
        <w:t xml:space="preserve"> </w:t>
      </w:r>
      <w:r w:rsidRPr="00924A44">
        <w:rPr>
          <w:sz w:val="24"/>
          <w:szCs w:val="24"/>
        </w:rPr>
        <w:t>QUESTIONS</w:t>
      </w:r>
      <w:r w:rsidR="002F446C" w:rsidRPr="00924A44">
        <w:rPr>
          <w:sz w:val="24"/>
          <w:szCs w:val="24"/>
        </w:rPr>
        <w:t xml:space="preserve"> </w:t>
      </w:r>
    </w:p>
    <w:p w:rsidR="00BA3CEE" w:rsidRPr="00924A44" w:rsidRDefault="00BA3CEE" w:rsidP="00D62C81">
      <w:pPr>
        <w:keepNext/>
        <w:keepLines/>
        <w:rPr>
          <w:b/>
          <w:sz w:val="24"/>
          <w:szCs w:val="24"/>
        </w:rPr>
      </w:pPr>
    </w:p>
    <w:p w:rsidR="002F446C" w:rsidRPr="00924A44" w:rsidRDefault="00FB354D" w:rsidP="00D62C81">
      <w:pPr>
        <w:keepNext/>
        <w:keepLines/>
        <w:widowControl w:val="0"/>
        <w:rPr>
          <w:b/>
        </w:rPr>
      </w:pPr>
      <w:r w:rsidRPr="00924A44">
        <w:rPr>
          <w:b/>
        </w:rPr>
        <w:t xml:space="preserve">Q1.  </w:t>
      </w:r>
      <w:r w:rsidR="002F446C" w:rsidRPr="00924A44">
        <w:rPr>
          <w:b/>
        </w:rPr>
        <w:t>A number of baselines and targets are “</w:t>
      </w:r>
      <w:proofErr w:type="spellStart"/>
      <w:r w:rsidR="002F446C" w:rsidRPr="00924A44">
        <w:rPr>
          <w:b/>
        </w:rPr>
        <w:t>tbd</w:t>
      </w:r>
      <w:proofErr w:type="spellEnd"/>
      <w:r w:rsidR="002F446C" w:rsidRPr="00924A44">
        <w:rPr>
          <w:b/>
        </w:rPr>
        <w:t>”</w:t>
      </w:r>
      <w:r w:rsidR="00473AFA" w:rsidRPr="00924A44">
        <w:rPr>
          <w:b/>
        </w:rPr>
        <w:t>,</w:t>
      </w:r>
      <w:r w:rsidR="002F446C" w:rsidRPr="00924A44">
        <w:rPr>
          <w:b/>
        </w:rPr>
        <w:t xml:space="preserve"> although to a lesser extent than in the 2014/15 </w:t>
      </w:r>
      <w:r w:rsidRPr="00924A44">
        <w:rPr>
          <w:b/>
        </w:rPr>
        <w:t>P</w:t>
      </w:r>
      <w:r w:rsidR="002F446C" w:rsidRPr="00924A44">
        <w:rPr>
          <w:b/>
        </w:rPr>
        <w:t xml:space="preserve">rogram and </w:t>
      </w:r>
      <w:r w:rsidRPr="00924A44">
        <w:rPr>
          <w:b/>
        </w:rPr>
        <w:t>B</w:t>
      </w:r>
      <w:r w:rsidR="002F446C" w:rsidRPr="00924A44">
        <w:rPr>
          <w:b/>
        </w:rPr>
        <w:t>udget.</w:t>
      </w:r>
      <w:r w:rsidRPr="00924A44">
        <w:rPr>
          <w:b/>
        </w:rPr>
        <w:t xml:space="preserve"> </w:t>
      </w:r>
      <w:r w:rsidR="002F446C" w:rsidRPr="00924A44">
        <w:rPr>
          <w:b/>
        </w:rPr>
        <w:t xml:space="preserve"> </w:t>
      </w:r>
      <w:r w:rsidRPr="00924A44">
        <w:rPr>
          <w:b/>
        </w:rPr>
        <w:t xml:space="preserve">Since </w:t>
      </w:r>
      <w:r w:rsidR="002F446C" w:rsidRPr="00924A44">
        <w:rPr>
          <w:b/>
        </w:rPr>
        <w:t>the use of “</w:t>
      </w:r>
      <w:proofErr w:type="spellStart"/>
      <w:r w:rsidR="002F446C" w:rsidRPr="00924A44">
        <w:rPr>
          <w:b/>
        </w:rPr>
        <w:t>tbd</w:t>
      </w:r>
      <w:proofErr w:type="spellEnd"/>
      <w:r w:rsidR="002F446C" w:rsidRPr="00924A44">
        <w:rPr>
          <w:b/>
        </w:rPr>
        <w:t xml:space="preserve">” is not conducive to sound reporting, </w:t>
      </w:r>
      <w:r w:rsidRPr="00924A44">
        <w:rPr>
          <w:b/>
        </w:rPr>
        <w:t xml:space="preserve">why are there still </w:t>
      </w:r>
      <w:bookmarkStart w:id="0" w:name="_GoBack"/>
      <w:bookmarkEnd w:id="0"/>
      <w:r w:rsidRPr="00924A44">
        <w:rPr>
          <w:b/>
        </w:rPr>
        <w:t>some baselines and targets which are unde</w:t>
      </w:r>
      <w:r w:rsidR="00473AFA" w:rsidRPr="00924A44">
        <w:rPr>
          <w:b/>
        </w:rPr>
        <w:t>te</w:t>
      </w:r>
      <w:r w:rsidRPr="00924A44">
        <w:rPr>
          <w:b/>
        </w:rPr>
        <w:t>rmined?</w:t>
      </w:r>
    </w:p>
    <w:p w:rsidR="00FB354D" w:rsidRPr="00924A44" w:rsidRDefault="00FB354D" w:rsidP="00203CC7">
      <w:pPr>
        <w:widowControl w:val="0"/>
      </w:pPr>
    </w:p>
    <w:p w:rsidR="00A735A1" w:rsidRPr="00924A44" w:rsidRDefault="00473AFA" w:rsidP="00203CC7">
      <w:pPr>
        <w:widowControl w:val="0"/>
        <w:rPr>
          <w:rFonts w:eastAsia="Times New Roman"/>
          <w:lang w:eastAsia="en-US"/>
        </w:rPr>
      </w:pPr>
      <w:r w:rsidRPr="00924A44">
        <w:t>A1:</w:t>
      </w:r>
      <w:r w:rsidR="00A735A1" w:rsidRPr="00924A44">
        <w:t xml:space="preserve"> </w:t>
      </w:r>
      <w:r w:rsidR="00F03404">
        <w:t>As part of it</w:t>
      </w:r>
      <w:r w:rsidR="007A713D">
        <w:t>s</w:t>
      </w:r>
      <w:r w:rsidR="00F03404">
        <w:t xml:space="preserve"> continu</w:t>
      </w:r>
      <w:r w:rsidR="007A713D">
        <w:t>ous</w:t>
      </w:r>
      <w:r w:rsidR="00F03404">
        <w:t xml:space="preserve"> improvement process</w:t>
      </w:r>
      <w:r w:rsidR="007A713D">
        <w:t>es</w:t>
      </w:r>
      <w:r w:rsidR="00F03404">
        <w:t xml:space="preserve"> </w:t>
      </w:r>
      <w:r w:rsidR="007A713D">
        <w:t>related to</w:t>
      </w:r>
      <w:r w:rsidR="00F03404">
        <w:t xml:space="preserve"> the implementation of results-based management at WIPO, the Secretariat </w:t>
      </w:r>
      <w:r w:rsidR="007A713D">
        <w:t xml:space="preserve">has done a considerable effort in improving the measurement framework for the 2016/17 biennium for all Programs. As a result, </w:t>
      </w:r>
      <w:r w:rsidR="007A713D">
        <w:rPr>
          <w:rFonts w:eastAsia="Times New Roman"/>
          <w:lang w:eastAsia="en-US"/>
        </w:rPr>
        <w:t>t</w:t>
      </w:r>
      <w:r w:rsidR="00A735A1" w:rsidRPr="00924A44">
        <w:rPr>
          <w:rFonts w:eastAsia="Times New Roman"/>
          <w:lang w:eastAsia="en-US"/>
        </w:rPr>
        <w:t xml:space="preserve">he number of </w:t>
      </w:r>
      <w:r w:rsidR="00F03404" w:rsidRPr="00924A44">
        <w:rPr>
          <w:rFonts w:eastAsia="Times New Roman"/>
          <w:lang w:eastAsia="en-US"/>
        </w:rPr>
        <w:t>“</w:t>
      </w:r>
      <w:proofErr w:type="spellStart"/>
      <w:r w:rsidR="00F03404" w:rsidRPr="00924A44">
        <w:rPr>
          <w:rFonts w:eastAsia="Times New Roman"/>
          <w:lang w:eastAsia="en-US"/>
        </w:rPr>
        <w:t>tbd</w:t>
      </w:r>
      <w:proofErr w:type="spellEnd"/>
      <w:r w:rsidR="00F03404" w:rsidRPr="00924A44">
        <w:rPr>
          <w:rFonts w:eastAsia="Times New Roman"/>
          <w:lang w:eastAsia="en-US"/>
        </w:rPr>
        <w:t>”</w:t>
      </w:r>
      <w:r w:rsidR="00F03404">
        <w:rPr>
          <w:rFonts w:eastAsia="Times New Roman"/>
          <w:lang w:eastAsia="en-US"/>
        </w:rPr>
        <w:t xml:space="preserve"> </w:t>
      </w:r>
      <w:r w:rsidR="00A735A1" w:rsidRPr="00924A44">
        <w:rPr>
          <w:rFonts w:eastAsia="Times New Roman"/>
          <w:lang w:eastAsia="en-US"/>
        </w:rPr>
        <w:t>baselines has been</w:t>
      </w:r>
      <w:r w:rsidR="00EA1FC4" w:rsidRPr="00924A44">
        <w:rPr>
          <w:rFonts w:eastAsia="Times New Roman"/>
          <w:lang w:eastAsia="en-US"/>
        </w:rPr>
        <w:t xml:space="preserve"> </w:t>
      </w:r>
      <w:r w:rsidR="00A735A1" w:rsidRPr="00924A44">
        <w:rPr>
          <w:rFonts w:eastAsia="Times New Roman"/>
          <w:lang w:eastAsia="en-US"/>
        </w:rPr>
        <w:t xml:space="preserve">reduced </w:t>
      </w:r>
      <w:r w:rsidR="00F03404">
        <w:rPr>
          <w:rFonts w:eastAsia="Times New Roman"/>
          <w:lang w:eastAsia="en-US"/>
        </w:rPr>
        <w:t xml:space="preserve">by 82.5% </w:t>
      </w:r>
      <w:r w:rsidR="00A735A1" w:rsidRPr="00924A44">
        <w:rPr>
          <w:rFonts w:eastAsia="Times New Roman"/>
          <w:lang w:eastAsia="en-US"/>
        </w:rPr>
        <w:t>in the P</w:t>
      </w:r>
      <w:r w:rsidR="00F03404">
        <w:rPr>
          <w:rFonts w:eastAsia="Times New Roman"/>
          <w:lang w:eastAsia="en-US"/>
        </w:rPr>
        <w:t>rogram and Budget 20</w:t>
      </w:r>
      <w:r w:rsidR="00A735A1" w:rsidRPr="00924A44">
        <w:rPr>
          <w:rFonts w:eastAsia="Times New Roman"/>
          <w:lang w:eastAsia="en-US"/>
        </w:rPr>
        <w:t xml:space="preserve">16/17 </w:t>
      </w:r>
      <w:r w:rsidR="00F03404">
        <w:rPr>
          <w:rFonts w:eastAsia="Times New Roman"/>
          <w:lang w:eastAsia="en-US"/>
        </w:rPr>
        <w:t>compared to the Program and Budget 2014/15</w:t>
      </w:r>
      <w:r w:rsidR="00A735A1" w:rsidRPr="00924A44">
        <w:rPr>
          <w:rFonts w:eastAsia="Times New Roman"/>
          <w:lang w:eastAsia="en-US"/>
        </w:rPr>
        <w:t>. There are now only 7 baselines “</w:t>
      </w:r>
      <w:proofErr w:type="spellStart"/>
      <w:r w:rsidR="00A735A1" w:rsidRPr="00924A44">
        <w:rPr>
          <w:rFonts w:eastAsia="Times New Roman"/>
          <w:lang w:eastAsia="en-US"/>
        </w:rPr>
        <w:t>tbd</w:t>
      </w:r>
      <w:proofErr w:type="spellEnd"/>
      <w:r w:rsidR="00A735A1" w:rsidRPr="00924A44">
        <w:rPr>
          <w:rFonts w:eastAsia="Times New Roman"/>
          <w:lang w:eastAsia="en-US"/>
        </w:rPr>
        <w:t>” in comparison to 40 in the P</w:t>
      </w:r>
      <w:r w:rsidR="00F03404">
        <w:rPr>
          <w:rFonts w:eastAsia="Times New Roman"/>
          <w:lang w:eastAsia="en-US"/>
        </w:rPr>
        <w:t>rogram and Budget 20</w:t>
      </w:r>
      <w:r w:rsidR="00A735A1" w:rsidRPr="00924A44">
        <w:rPr>
          <w:rFonts w:eastAsia="Times New Roman"/>
          <w:lang w:eastAsia="en-US"/>
        </w:rPr>
        <w:t>14/15. Regarding the targets, the same trend can be observed with</w:t>
      </w:r>
      <w:r w:rsidR="005C2DD4" w:rsidRPr="00924A44">
        <w:rPr>
          <w:rFonts w:eastAsia="Times New Roman"/>
          <w:lang w:eastAsia="en-US"/>
        </w:rPr>
        <w:t xml:space="preserve"> only</w:t>
      </w:r>
      <w:r w:rsidR="00A735A1" w:rsidRPr="00924A44">
        <w:rPr>
          <w:rFonts w:eastAsia="Times New Roman"/>
          <w:lang w:eastAsia="en-US"/>
        </w:rPr>
        <w:t xml:space="preserve"> </w:t>
      </w:r>
      <w:r w:rsidR="005C2DD4" w:rsidRPr="00924A44">
        <w:rPr>
          <w:rFonts w:eastAsia="Times New Roman"/>
          <w:lang w:eastAsia="en-US"/>
        </w:rPr>
        <w:t>6</w:t>
      </w:r>
      <w:r w:rsidR="00A735A1" w:rsidRPr="00924A44">
        <w:rPr>
          <w:rFonts w:eastAsia="Times New Roman"/>
          <w:lang w:eastAsia="en-US"/>
        </w:rPr>
        <w:t xml:space="preserve"> </w:t>
      </w:r>
      <w:r w:rsidR="009E4BAD">
        <w:rPr>
          <w:rFonts w:eastAsia="Times New Roman"/>
          <w:lang w:eastAsia="en-US"/>
        </w:rPr>
        <w:t>targets</w:t>
      </w:r>
      <w:r w:rsidR="00A735A1" w:rsidRPr="00924A44">
        <w:rPr>
          <w:rFonts w:eastAsia="Times New Roman"/>
          <w:lang w:eastAsia="en-US"/>
        </w:rPr>
        <w:t xml:space="preserve"> “</w:t>
      </w:r>
      <w:proofErr w:type="spellStart"/>
      <w:r w:rsidR="00A735A1" w:rsidRPr="00924A44">
        <w:rPr>
          <w:rFonts w:eastAsia="Times New Roman"/>
          <w:lang w:eastAsia="en-US"/>
        </w:rPr>
        <w:t>tbd</w:t>
      </w:r>
      <w:proofErr w:type="spellEnd"/>
      <w:r w:rsidR="00A735A1" w:rsidRPr="00924A44">
        <w:rPr>
          <w:rFonts w:eastAsia="Times New Roman"/>
          <w:lang w:eastAsia="en-US"/>
        </w:rPr>
        <w:t>” in the P</w:t>
      </w:r>
      <w:r w:rsidR="00F03404">
        <w:rPr>
          <w:rFonts w:eastAsia="Times New Roman"/>
          <w:lang w:eastAsia="en-US"/>
        </w:rPr>
        <w:t>rogram and Budget 20</w:t>
      </w:r>
      <w:r w:rsidR="00A735A1" w:rsidRPr="00924A44">
        <w:rPr>
          <w:rFonts w:eastAsia="Times New Roman"/>
          <w:lang w:eastAsia="en-US"/>
        </w:rPr>
        <w:t>16/17</w:t>
      </w:r>
      <w:r w:rsidR="00E43467" w:rsidRPr="00924A44">
        <w:rPr>
          <w:rFonts w:eastAsia="Times New Roman"/>
          <w:lang w:eastAsia="en-US"/>
        </w:rPr>
        <w:t>,</w:t>
      </w:r>
      <w:r w:rsidR="00A735A1" w:rsidRPr="00924A44">
        <w:rPr>
          <w:rFonts w:eastAsia="Times New Roman"/>
          <w:lang w:eastAsia="en-US"/>
        </w:rPr>
        <w:t xml:space="preserve"> which represents a decrease of 62.5%. </w:t>
      </w:r>
    </w:p>
    <w:p w:rsidR="00473AFA" w:rsidRPr="00924A44" w:rsidRDefault="00473AFA" w:rsidP="00203CC7">
      <w:pPr>
        <w:widowControl w:val="0"/>
      </w:pPr>
    </w:p>
    <w:p w:rsidR="00473AFA" w:rsidRPr="00924A44" w:rsidRDefault="00473AFA" w:rsidP="00203CC7">
      <w:pPr>
        <w:widowControl w:val="0"/>
      </w:pPr>
    </w:p>
    <w:p w:rsidR="002F446C" w:rsidRPr="00924A44" w:rsidRDefault="00FB354D" w:rsidP="00203CC7">
      <w:pPr>
        <w:widowControl w:val="0"/>
        <w:rPr>
          <w:b/>
        </w:rPr>
      </w:pPr>
      <w:r w:rsidRPr="00924A44">
        <w:rPr>
          <w:b/>
        </w:rPr>
        <w:t xml:space="preserve">Q2.  </w:t>
      </w:r>
      <w:r w:rsidR="00B96FF0" w:rsidRPr="00924A44">
        <w:rPr>
          <w:b/>
        </w:rPr>
        <w:t xml:space="preserve">Why are both the baseline and </w:t>
      </w:r>
      <w:r w:rsidR="002F446C" w:rsidRPr="00924A44">
        <w:rPr>
          <w:b/>
        </w:rPr>
        <w:t xml:space="preserve">the target for the Performance Indicator </w:t>
      </w:r>
      <w:r w:rsidR="009E4BAD">
        <w:rPr>
          <w:b/>
        </w:rPr>
        <w:t xml:space="preserve">in Program 6 </w:t>
      </w:r>
      <w:r w:rsidR="002F446C" w:rsidRPr="00924A44">
        <w:rPr>
          <w:b/>
        </w:rPr>
        <w:t xml:space="preserve">regarding “Quality” under Expected Result II.7 (Improved productivity and service quality of Madrid &amp; Lisbon operations) </w:t>
      </w:r>
      <w:r w:rsidR="00473AFA" w:rsidRPr="00924A44">
        <w:rPr>
          <w:b/>
        </w:rPr>
        <w:t xml:space="preserve">indicated as </w:t>
      </w:r>
      <w:r w:rsidR="002F446C" w:rsidRPr="00924A44">
        <w:rPr>
          <w:b/>
        </w:rPr>
        <w:t>“</w:t>
      </w:r>
      <w:proofErr w:type="spellStart"/>
      <w:r w:rsidR="002F446C" w:rsidRPr="00924A44">
        <w:rPr>
          <w:b/>
        </w:rPr>
        <w:t>tbd</w:t>
      </w:r>
      <w:proofErr w:type="spellEnd"/>
      <w:r w:rsidR="002F446C" w:rsidRPr="00924A44">
        <w:rPr>
          <w:b/>
        </w:rPr>
        <w:t>”</w:t>
      </w:r>
      <w:r w:rsidR="00B96FF0" w:rsidRPr="00924A44">
        <w:rPr>
          <w:b/>
        </w:rPr>
        <w:t>?</w:t>
      </w:r>
    </w:p>
    <w:p w:rsidR="00B96FF0" w:rsidRPr="00924A44" w:rsidRDefault="00B96FF0" w:rsidP="00203CC7">
      <w:pPr>
        <w:widowControl w:val="0"/>
      </w:pPr>
    </w:p>
    <w:p w:rsidR="00473AFA" w:rsidRPr="00924A44" w:rsidRDefault="00473AFA" w:rsidP="00203CC7">
      <w:pPr>
        <w:widowControl w:val="0"/>
      </w:pPr>
      <w:r w:rsidRPr="00924A44">
        <w:t>A2:</w:t>
      </w:r>
      <w:r w:rsidR="009917E4" w:rsidRPr="00924A44">
        <w:t xml:space="preserve">  The Performance Indicator regarding “Quality” under Expected Result II.7 is a composite indicator.  The underlying elements used to determine the composite data are expected to be refined during the remainder of 2015.  The baseline and target will </w:t>
      </w:r>
      <w:r w:rsidR="007F6253">
        <w:t xml:space="preserve">subsequently </w:t>
      </w:r>
      <w:r w:rsidR="009917E4" w:rsidRPr="00924A44">
        <w:t>be defined during the baseline update exercise.</w:t>
      </w:r>
    </w:p>
    <w:p w:rsidR="00B96FF0" w:rsidRDefault="00B96FF0" w:rsidP="00203CC7">
      <w:pPr>
        <w:widowControl w:val="0"/>
      </w:pPr>
    </w:p>
    <w:p w:rsidR="007F6253" w:rsidRPr="00924A44" w:rsidRDefault="007F6253" w:rsidP="00203CC7">
      <w:pPr>
        <w:widowControl w:val="0"/>
      </w:pPr>
    </w:p>
    <w:p w:rsidR="004A4EB1" w:rsidRPr="00924A44" w:rsidRDefault="004A4EB1" w:rsidP="00203CC7">
      <w:pPr>
        <w:rPr>
          <w:b/>
        </w:rPr>
      </w:pPr>
      <w:r w:rsidRPr="00924A44">
        <w:rPr>
          <w:b/>
        </w:rPr>
        <w:t xml:space="preserve">Q3: </w:t>
      </w:r>
      <w:r w:rsidR="00193020" w:rsidRPr="00924A44">
        <w:rPr>
          <w:b/>
        </w:rPr>
        <w:t xml:space="preserve">The total budgeted expenditure under Premises &amp; Maintenance amounts to 34.3 million Swiss francs. What type of expenditure is included under this object of expenditure? Can you provide a breakdown of this expenditure by Program? </w:t>
      </w:r>
      <w:r w:rsidRPr="00924A44">
        <w:rPr>
          <w:b/>
        </w:rPr>
        <w:t xml:space="preserve">Does it include premises and maintenance </w:t>
      </w:r>
      <w:r w:rsidR="007F6253">
        <w:rPr>
          <w:b/>
        </w:rPr>
        <w:t>related to</w:t>
      </w:r>
      <w:r w:rsidRPr="00924A44">
        <w:rPr>
          <w:b/>
        </w:rPr>
        <w:t xml:space="preserve"> External Offices?</w:t>
      </w:r>
      <w:r w:rsidR="00193020" w:rsidRPr="00924A44">
        <w:rPr>
          <w:b/>
        </w:rPr>
        <w:t xml:space="preserve"> </w:t>
      </w:r>
    </w:p>
    <w:p w:rsidR="004A4EB1" w:rsidRPr="00924A44" w:rsidRDefault="004A4EB1" w:rsidP="00203CC7">
      <w:pPr>
        <w:widowControl w:val="0"/>
      </w:pPr>
    </w:p>
    <w:p w:rsidR="00ED4681" w:rsidRPr="00924A44" w:rsidRDefault="00FD64B8" w:rsidP="00203CC7">
      <w:pPr>
        <w:widowControl w:val="0"/>
      </w:pPr>
      <w:r w:rsidRPr="00924A44">
        <w:t>A3:</w:t>
      </w:r>
      <w:r w:rsidR="00ED4681" w:rsidRPr="00924A44">
        <w:t xml:space="preserve"> The Premises and Maintenance category includes expenditure pertaining to the acquisition, rental, improvement and maintenance of office space as well as the rental and maintenance of equipment and furniture. For a complete definition of this object of expenditure please refer to Appendix B </w:t>
      </w:r>
      <w:r w:rsidR="007F6253">
        <w:t>“</w:t>
      </w:r>
      <w:r w:rsidR="00ED4681" w:rsidRPr="00924A44">
        <w:t>Definition of Cost Categories</w:t>
      </w:r>
      <w:r w:rsidR="007F6253">
        <w:t>”</w:t>
      </w:r>
      <w:r w:rsidR="00ED4681" w:rsidRPr="00924A44">
        <w:t>.</w:t>
      </w:r>
    </w:p>
    <w:p w:rsidR="00ED4681" w:rsidRPr="00924A44" w:rsidRDefault="00ED4681" w:rsidP="00203CC7">
      <w:pPr>
        <w:widowControl w:val="0"/>
      </w:pPr>
    </w:p>
    <w:p w:rsidR="007F6253" w:rsidRDefault="00ED4681" w:rsidP="00203CC7">
      <w:pPr>
        <w:widowControl w:val="0"/>
      </w:pPr>
      <w:r w:rsidRPr="00924A44">
        <w:t xml:space="preserve">The </w:t>
      </w:r>
      <w:r w:rsidR="0064442A" w:rsidRPr="00924A44">
        <w:t xml:space="preserve">total resources budgeted under Premises and Maintenance amount to 34.3 million Swiss francs and is notably allocated under Programs 24 </w:t>
      </w:r>
      <w:r w:rsidR="007C34CC">
        <w:t xml:space="preserve">– General Support Services </w:t>
      </w:r>
      <w:r w:rsidR="0064442A" w:rsidRPr="00924A44">
        <w:t xml:space="preserve">(20.2 million Swiss francs), Program 28 </w:t>
      </w:r>
      <w:r w:rsidR="007C34CC">
        <w:t xml:space="preserve">– Information Assurance, Safety and Security </w:t>
      </w:r>
      <w:r w:rsidR="0064442A" w:rsidRPr="00924A44">
        <w:t xml:space="preserve">(8.0 million, Program 25 (3.6 million Swiss francs), Program 27 </w:t>
      </w:r>
      <w:r w:rsidR="007C34CC">
        <w:t xml:space="preserve">– Conference and Language Services </w:t>
      </w:r>
      <w:r w:rsidR="0064442A" w:rsidRPr="00924A44">
        <w:t xml:space="preserve">(1.0 million Swiss francs) and under Program 20 </w:t>
      </w:r>
      <w:r w:rsidR="007F6219">
        <w:t xml:space="preserve">- </w:t>
      </w:r>
      <w:r w:rsidR="007C34CC">
        <w:t xml:space="preserve">External Relations, Partnerships and External Offices </w:t>
      </w:r>
      <w:r w:rsidR="0064442A" w:rsidRPr="00924A44">
        <w:t>(0.7 million Swiss francs). The remaining 0.8 million Swiss francs are budgeted under Programs 5, 3, 11, 22, 7 and 4 and pertain mostly to the rental and maintenance of furniture and equipment.</w:t>
      </w:r>
    </w:p>
    <w:p w:rsidR="00FD64B8" w:rsidRPr="00924A44" w:rsidRDefault="0064442A" w:rsidP="00203CC7">
      <w:pPr>
        <w:widowControl w:val="0"/>
      </w:pPr>
      <w:r w:rsidRPr="00924A44">
        <w:t xml:space="preserve"> </w:t>
      </w:r>
    </w:p>
    <w:p w:rsidR="0064442A" w:rsidRPr="00924A44" w:rsidRDefault="0064442A" w:rsidP="00203CC7">
      <w:pPr>
        <w:widowControl w:val="0"/>
      </w:pPr>
      <w:r w:rsidRPr="00924A44">
        <w:t xml:space="preserve">The Premises and Maintenance expenditure </w:t>
      </w:r>
      <w:r w:rsidR="00184D9E">
        <w:t xml:space="preserve">for </w:t>
      </w:r>
      <w:r w:rsidRPr="00924A44">
        <w:t>External Offices are included under Program 20 and amount to 0.7 million Swiss francs</w:t>
      </w:r>
      <w:r w:rsidR="00184D9E">
        <w:t xml:space="preserve"> and pertains to the rental of office space. </w:t>
      </w:r>
    </w:p>
    <w:p w:rsidR="00473AFA" w:rsidRDefault="00473AFA" w:rsidP="00203CC7">
      <w:pPr>
        <w:rPr>
          <w:sz w:val="24"/>
          <w:szCs w:val="24"/>
        </w:rPr>
      </w:pPr>
    </w:p>
    <w:p w:rsidR="006B6DC0" w:rsidRPr="00924A44" w:rsidRDefault="006B6DC0" w:rsidP="00203CC7">
      <w:pPr>
        <w:rPr>
          <w:sz w:val="24"/>
          <w:szCs w:val="24"/>
        </w:rPr>
      </w:pPr>
    </w:p>
    <w:p w:rsidR="00193020" w:rsidRPr="00924A44" w:rsidRDefault="00193020" w:rsidP="00203CC7">
      <w:pPr>
        <w:rPr>
          <w:b/>
          <w:bCs/>
        </w:rPr>
      </w:pPr>
      <w:r w:rsidRPr="00924A44">
        <w:rPr>
          <w:b/>
          <w:bCs/>
        </w:rPr>
        <w:t xml:space="preserve">Q4:  Will the Annual HR report be presented to the PBC? </w:t>
      </w:r>
    </w:p>
    <w:p w:rsidR="00193020" w:rsidRPr="00924A44" w:rsidRDefault="00193020" w:rsidP="00203CC7">
      <w:pPr>
        <w:rPr>
          <w:b/>
        </w:rPr>
      </w:pPr>
    </w:p>
    <w:p w:rsidR="00193020" w:rsidRPr="00924A44" w:rsidRDefault="00193020" w:rsidP="00203CC7">
      <w:pPr>
        <w:rPr>
          <w:bCs/>
        </w:rPr>
      </w:pPr>
      <w:r w:rsidRPr="00924A44">
        <w:t>A4:</w:t>
      </w:r>
      <w:r w:rsidR="001A249D">
        <w:t xml:space="preserve"> The </w:t>
      </w:r>
      <w:r w:rsidR="00184D9E">
        <w:t>Annual HR Report will be presented to the 24</w:t>
      </w:r>
      <w:r w:rsidR="00184D9E" w:rsidRPr="00184D9E">
        <w:rPr>
          <w:vertAlign w:val="superscript"/>
        </w:rPr>
        <w:t>th</w:t>
      </w:r>
      <w:r w:rsidR="00184D9E">
        <w:t xml:space="preserve"> Session of the PBC in September 2015.</w:t>
      </w:r>
    </w:p>
    <w:p w:rsidR="00193020" w:rsidRDefault="00193020" w:rsidP="00203CC7">
      <w:pPr>
        <w:rPr>
          <w:sz w:val="24"/>
          <w:szCs w:val="24"/>
        </w:rPr>
      </w:pPr>
    </w:p>
    <w:p w:rsidR="002C207D" w:rsidRPr="004A6AF4" w:rsidRDefault="002C207D" w:rsidP="004A6AF4">
      <w:pPr>
        <w:rPr>
          <w:b/>
          <w:bCs/>
        </w:rPr>
      </w:pPr>
      <w:r w:rsidRPr="004A6AF4">
        <w:rPr>
          <w:b/>
          <w:bCs/>
        </w:rPr>
        <w:t>Q5: What would be the implications of the non-approval of the Program and Budget for the 2016/17 Biennium</w:t>
      </w:r>
      <w:r w:rsidR="00375806" w:rsidRPr="004A6AF4">
        <w:rPr>
          <w:b/>
          <w:bCs/>
        </w:rPr>
        <w:t>?</w:t>
      </w:r>
    </w:p>
    <w:p w:rsidR="002C207D" w:rsidRDefault="002C207D" w:rsidP="002C207D">
      <w:pPr>
        <w:jc w:val="both"/>
        <w:rPr>
          <w:b/>
        </w:rPr>
      </w:pPr>
    </w:p>
    <w:p w:rsidR="00375806" w:rsidRPr="004A6AF4" w:rsidRDefault="002C207D" w:rsidP="00375806">
      <w:pPr>
        <w:jc w:val="both"/>
      </w:pPr>
      <w:r w:rsidRPr="004A6AF4">
        <w:t xml:space="preserve">A5: The applicable regulatory framework </w:t>
      </w:r>
      <w:r w:rsidR="00375806" w:rsidRPr="004A6AF4">
        <w:t>is enshrined in the WIPO Convention, Article 11.4(e) and Regulation 2.8 in the Financial Rules and Regulations (FFR)</w:t>
      </w:r>
      <w:r w:rsidR="00375806">
        <w:t>:</w:t>
      </w:r>
      <w:r w:rsidR="00375806" w:rsidRPr="004A6AF4">
        <w:t xml:space="preserve"> </w:t>
      </w:r>
    </w:p>
    <w:p w:rsidR="002C207D" w:rsidRDefault="002C207D" w:rsidP="002C207D">
      <w:pPr>
        <w:jc w:val="both"/>
        <w:rPr>
          <w:b/>
        </w:rPr>
      </w:pPr>
    </w:p>
    <w:p w:rsidR="002C207D" w:rsidRPr="004A6AF4" w:rsidRDefault="002C207D" w:rsidP="002C207D">
      <w:pPr>
        <w:jc w:val="both"/>
        <w:rPr>
          <w:u w:val="single"/>
        </w:rPr>
      </w:pPr>
      <w:r w:rsidRPr="004A6AF4">
        <w:rPr>
          <w:u w:val="single"/>
        </w:rPr>
        <w:lastRenderedPageBreak/>
        <w:t>WIPO Convention Article 11.4(e)</w:t>
      </w:r>
    </w:p>
    <w:p w:rsidR="002C207D" w:rsidRPr="004A6AF4" w:rsidRDefault="002C207D" w:rsidP="002C207D">
      <w:pPr>
        <w:jc w:val="both"/>
      </w:pPr>
      <w:r w:rsidRPr="004A6AF4">
        <w:rPr>
          <w:lang w:val="en"/>
        </w:rPr>
        <w:t>“If the budget is not adopted before the beginning of a new financial period, the budget shall be at the same level as the budget of the previous year, in accordance with the financial regulations.”</w:t>
      </w:r>
    </w:p>
    <w:p w:rsidR="002C207D" w:rsidRPr="004A6AF4" w:rsidRDefault="002C207D" w:rsidP="002C207D">
      <w:pPr>
        <w:jc w:val="both"/>
        <w:rPr>
          <w:b/>
        </w:rPr>
      </w:pPr>
    </w:p>
    <w:p w:rsidR="002C207D" w:rsidRPr="004A6AF4" w:rsidRDefault="002C207D" w:rsidP="002C207D">
      <w:pPr>
        <w:jc w:val="both"/>
        <w:rPr>
          <w:u w:val="single"/>
        </w:rPr>
      </w:pPr>
      <w:r w:rsidRPr="004A6AF4">
        <w:rPr>
          <w:u w:val="single"/>
        </w:rPr>
        <w:t xml:space="preserve">Financial Rules and Regulations (FFR) Regulation 2.8 </w:t>
      </w:r>
    </w:p>
    <w:p w:rsidR="002C207D" w:rsidRPr="004A6AF4" w:rsidRDefault="002C207D" w:rsidP="002C207D">
      <w:pPr>
        <w:jc w:val="both"/>
      </w:pPr>
      <w:r w:rsidRPr="004A6AF4">
        <w:t>“The Assemblies of the Member States and of the Unions, each as far as it is concerned, shall adopt the program and budget for the following financial period after consideration of the proposed program and budget and the recommendations of the Program and Budget Committee thereon. If the program and budget is not adopted before the beginning of the following financial period, the authorization to the Director General to incur obligations and make payments would remain at the level of appropriations of the previous financial period”</w:t>
      </w:r>
    </w:p>
    <w:p w:rsidR="002C207D" w:rsidRPr="004A6AF4" w:rsidRDefault="002C207D" w:rsidP="002C207D">
      <w:pPr>
        <w:jc w:val="both"/>
        <w:rPr>
          <w:b/>
        </w:rPr>
      </w:pPr>
    </w:p>
    <w:p w:rsidR="002C207D" w:rsidRPr="004A6AF4" w:rsidRDefault="002C207D" w:rsidP="002C207D">
      <w:pPr>
        <w:jc w:val="both"/>
        <w:rPr>
          <w:u w:val="single"/>
        </w:rPr>
      </w:pPr>
      <w:r w:rsidRPr="004A6AF4">
        <w:rPr>
          <w:u w:val="single"/>
        </w:rPr>
        <w:t>Overall organizational impact</w:t>
      </w:r>
    </w:p>
    <w:p w:rsidR="00375806" w:rsidRPr="004A6AF4" w:rsidRDefault="00375806" w:rsidP="002C207D">
      <w:pPr>
        <w:jc w:val="both"/>
        <w:rPr>
          <w:u w:val="single"/>
        </w:rPr>
      </w:pPr>
    </w:p>
    <w:p w:rsidR="002C207D" w:rsidRPr="004A6AF4" w:rsidRDefault="002C207D" w:rsidP="002C207D">
      <w:pPr>
        <w:jc w:val="both"/>
      </w:pPr>
      <w:r w:rsidRPr="004A6AF4">
        <w:t>The overall budgetary envelope would remain at the level of the 2014/15 Approved Program and Budget, i.e. 673,993 million Swiss francs.</w:t>
      </w:r>
    </w:p>
    <w:p w:rsidR="00375806" w:rsidRPr="004A6AF4" w:rsidRDefault="00375806" w:rsidP="002C207D">
      <w:pPr>
        <w:jc w:val="both"/>
      </w:pPr>
    </w:p>
    <w:p w:rsidR="002C207D" w:rsidRPr="004A6AF4" w:rsidRDefault="002C207D" w:rsidP="002C207D">
      <w:pPr>
        <w:jc w:val="both"/>
      </w:pPr>
      <w:r w:rsidRPr="004A6AF4">
        <w:t>Statutory and mandatory increases in personnel costs (same headcount as in 2014/15), i.e. 9.6 million Swiss francs or 2.1% compared to the 2014/15 Program and Budget, would have to be absorbed from the overall non-personnel resources envelope of 226,993 million Swiss francs. This would mean a reduction in non-personnel resources of 4% for the Organization overall in 2016/17 which would have to be distributed acros</w:t>
      </w:r>
      <w:r w:rsidR="00BD48B1" w:rsidRPr="004A6AF4">
        <w:t>s the board to all Programs (exc</w:t>
      </w:r>
      <w:r w:rsidRPr="004A6AF4">
        <w:t>e</w:t>
      </w:r>
      <w:r w:rsidR="00BD48B1" w:rsidRPr="004A6AF4">
        <w:t>p</w:t>
      </w:r>
      <w:r w:rsidRPr="004A6AF4">
        <w:t xml:space="preserve">t the international registration systems). </w:t>
      </w:r>
    </w:p>
    <w:p w:rsidR="00375806" w:rsidRPr="004A6AF4" w:rsidRDefault="00375806" w:rsidP="002C207D">
      <w:pPr>
        <w:jc w:val="both"/>
      </w:pPr>
    </w:p>
    <w:p w:rsidR="00D61BC8" w:rsidRPr="004A6AF4" w:rsidRDefault="002C207D">
      <w:pPr>
        <w:jc w:val="both"/>
      </w:pPr>
      <w:r w:rsidRPr="004A6AF4">
        <w:t xml:space="preserve">In terms of substance, the Organization would not have an approved results framework for 2016/17. Due to the squeeze in non-personnel resources, </w:t>
      </w:r>
      <w:r w:rsidR="00BD48B1" w:rsidRPr="004A6AF4">
        <w:t xml:space="preserve">the delivery of organizational results would be adversely impacted as </w:t>
      </w:r>
      <w:r w:rsidRPr="004A6AF4">
        <w:t xml:space="preserve">the level of activities </w:t>
      </w:r>
      <w:r w:rsidR="00BD48B1" w:rsidRPr="004A6AF4">
        <w:t>in</w:t>
      </w:r>
      <w:r w:rsidRPr="004A6AF4">
        <w:t xml:space="preserve"> many Programs would be less than in 2014/15</w:t>
      </w:r>
      <w:r w:rsidR="00BD48B1" w:rsidRPr="004A6AF4">
        <w:t>. This</w:t>
      </w:r>
      <w:r w:rsidR="002F7CDC" w:rsidRPr="004A6AF4">
        <w:t xml:space="preserve"> </w:t>
      </w:r>
      <w:r w:rsidR="00BD48B1" w:rsidRPr="004A6AF4">
        <w:t xml:space="preserve">would </w:t>
      </w:r>
      <w:r w:rsidR="002F7CDC" w:rsidRPr="004A6AF4">
        <w:t>includ</w:t>
      </w:r>
      <w:r w:rsidR="00BD48B1" w:rsidRPr="004A6AF4">
        <w:t>e</w:t>
      </w:r>
      <w:r w:rsidR="002F7CDC" w:rsidRPr="004A6AF4">
        <w:t xml:space="preserve"> development</w:t>
      </w:r>
      <w:r w:rsidR="00BD48B1" w:rsidRPr="004A6AF4">
        <w:t>-</w:t>
      </w:r>
      <w:r w:rsidR="002F7CDC" w:rsidRPr="004A6AF4">
        <w:t xml:space="preserve">oriented Programs such as Programs 9 (Regional Bureaus and LDCs), 10 (Transition and Developed Countries), 11 (The WIPO Academy), </w:t>
      </w:r>
      <w:r w:rsidR="00D61BC8" w:rsidRPr="004A6AF4">
        <w:t xml:space="preserve">30 (SMEs and Entrepreneurial Support), </w:t>
      </w:r>
      <w:r w:rsidR="002F7CDC" w:rsidRPr="004A6AF4">
        <w:t>14 (Services for Access to Information and Knowledge) and 15 (Business Solutions for IP Offices)</w:t>
      </w:r>
      <w:r w:rsidRPr="004A6AF4">
        <w:t xml:space="preserve">. </w:t>
      </w:r>
      <w:r w:rsidR="00D61BC8" w:rsidRPr="004A6AF4">
        <w:t xml:space="preserve">In addition, the level of legislative advice </w:t>
      </w:r>
      <w:r w:rsidR="00BD48B1" w:rsidRPr="004A6AF4">
        <w:t xml:space="preserve">and capacity building </w:t>
      </w:r>
      <w:r w:rsidR="00D61BC8" w:rsidRPr="004A6AF4">
        <w:t xml:space="preserve">offered under Programs 1 (Patent Law), 2 (Trademarks, Industrial Designs and Geographical Indications), 3 (Copyright and Related Rights) and 4 (TK, TCEs and GRs) would be adversely affected. Promotion of WIPO treaties, including the Marrakesh and the Beijing Treaties, would also be slowed down.  </w:t>
      </w:r>
    </w:p>
    <w:p w:rsidR="00D61BC8" w:rsidRPr="004A6AF4" w:rsidRDefault="00D61BC8">
      <w:pPr>
        <w:jc w:val="both"/>
      </w:pPr>
    </w:p>
    <w:p w:rsidR="002F7CDC" w:rsidRPr="004A6AF4" w:rsidRDefault="002C207D">
      <w:pPr>
        <w:jc w:val="both"/>
        <w:rPr>
          <w:b/>
          <w:u w:val="single"/>
        </w:rPr>
      </w:pPr>
      <w:r w:rsidRPr="004A6AF4">
        <w:t>New initiatives</w:t>
      </w:r>
      <w:r w:rsidR="002B7966" w:rsidRPr="004A6AF4">
        <w:t xml:space="preserve"> </w:t>
      </w:r>
      <w:r w:rsidRPr="004A6AF4">
        <w:t>would not be possible to undertake</w:t>
      </w:r>
      <w:r w:rsidR="002B7966" w:rsidRPr="004A6AF4">
        <w:t xml:space="preserve"> and would have to be postponed</w:t>
      </w:r>
      <w:r w:rsidR="002F7CDC" w:rsidRPr="004A6AF4">
        <w:t>,</w:t>
      </w:r>
      <w:r w:rsidR="002B7966" w:rsidRPr="004A6AF4">
        <w:t xml:space="preserve"> such as </w:t>
      </w:r>
      <w:r w:rsidR="002F7CDC" w:rsidRPr="004A6AF4">
        <w:t xml:space="preserve">for example critical ICT and information security investments significantly increasing operational risks for the Organization. The </w:t>
      </w:r>
      <w:r w:rsidR="00BD48B1" w:rsidRPr="004A6AF4">
        <w:t xml:space="preserve">operation and support for the expanded ERP system </w:t>
      </w:r>
      <w:r w:rsidR="002F7CDC" w:rsidRPr="004A6AF4">
        <w:t xml:space="preserve">would also be </w:t>
      </w:r>
      <w:r w:rsidR="00BD48B1" w:rsidRPr="004A6AF4">
        <w:t>impacted</w:t>
      </w:r>
      <w:r w:rsidR="002F7CDC" w:rsidRPr="004A6AF4">
        <w:t>.</w:t>
      </w:r>
      <w:r w:rsidR="00B42D7F">
        <w:t xml:space="preserve"> </w:t>
      </w:r>
    </w:p>
    <w:p w:rsidR="002F7CDC" w:rsidRPr="004A6AF4" w:rsidRDefault="002F7CDC" w:rsidP="002C207D">
      <w:pPr>
        <w:jc w:val="both"/>
        <w:rPr>
          <w:b/>
          <w:u w:val="single"/>
        </w:rPr>
      </w:pPr>
    </w:p>
    <w:p w:rsidR="002C207D" w:rsidRPr="004A6AF4" w:rsidRDefault="002C207D" w:rsidP="002C207D">
      <w:pPr>
        <w:jc w:val="both"/>
        <w:rPr>
          <w:u w:val="single"/>
        </w:rPr>
      </w:pPr>
      <w:r w:rsidRPr="004A6AF4">
        <w:rPr>
          <w:u w:val="single"/>
        </w:rPr>
        <w:t>Overall impact on planning, implementation and monitoring and performance assessment</w:t>
      </w:r>
    </w:p>
    <w:p w:rsidR="00375806" w:rsidRPr="004A6AF4" w:rsidRDefault="00375806" w:rsidP="002C207D">
      <w:pPr>
        <w:jc w:val="both"/>
      </w:pPr>
    </w:p>
    <w:p w:rsidR="002C207D" w:rsidRPr="004A6AF4" w:rsidRDefault="002C207D" w:rsidP="002C207D">
      <w:pPr>
        <w:jc w:val="both"/>
      </w:pPr>
      <w:r w:rsidRPr="004A6AF4">
        <w:t>Considerable regression as regards results-based management with a risk of seriously impeding further efforts to embed RBM practices and approaches in the Organization:</w:t>
      </w:r>
    </w:p>
    <w:p w:rsidR="00375806" w:rsidRPr="004A6AF4" w:rsidRDefault="00375806" w:rsidP="002C207D">
      <w:pPr>
        <w:jc w:val="both"/>
      </w:pPr>
    </w:p>
    <w:p w:rsidR="002C207D" w:rsidRPr="004A6AF4" w:rsidRDefault="002C207D" w:rsidP="002C207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SimSun" w:hAnsi="Arial" w:cs="Arial"/>
          <w:color w:val="auto"/>
          <w:sz w:val="22"/>
          <w:szCs w:val="20"/>
          <w:bdr w:val="none" w:sz="0" w:space="0" w:color="auto"/>
          <w:lang w:val="en-US" w:eastAsia="zh-CN"/>
        </w:rPr>
      </w:pPr>
      <w:r w:rsidRPr="004A6AF4">
        <w:rPr>
          <w:rFonts w:ascii="Arial" w:eastAsia="SimSun" w:hAnsi="Arial" w:cs="Arial"/>
          <w:color w:val="auto"/>
          <w:sz w:val="22"/>
          <w:szCs w:val="20"/>
          <w:bdr w:val="none" w:sz="0" w:space="0" w:color="auto"/>
          <w:lang w:val="en-US" w:eastAsia="zh-CN"/>
        </w:rPr>
        <w:t xml:space="preserve">Planning guidance for Programs would be outdated </w:t>
      </w:r>
      <w:r w:rsidR="00BD48B1" w:rsidRPr="004A6AF4">
        <w:rPr>
          <w:rFonts w:ascii="Arial" w:eastAsia="SimSun" w:hAnsi="Arial" w:cs="Arial"/>
          <w:color w:val="auto"/>
          <w:sz w:val="22"/>
          <w:szCs w:val="20"/>
          <w:bdr w:val="none" w:sz="0" w:space="0" w:color="auto"/>
          <w:lang w:val="en-US" w:eastAsia="zh-CN"/>
        </w:rPr>
        <w:t xml:space="preserve">as it would not </w:t>
      </w:r>
      <w:r w:rsidRPr="004A6AF4">
        <w:rPr>
          <w:rFonts w:ascii="Arial" w:eastAsia="SimSun" w:hAnsi="Arial" w:cs="Arial"/>
          <w:color w:val="auto"/>
          <w:sz w:val="22"/>
          <w:szCs w:val="20"/>
          <w:bdr w:val="none" w:sz="0" w:space="0" w:color="auto"/>
          <w:lang w:val="en-US" w:eastAsia="zh-CN"/>
        </w:rPr>
        <w:t>tak</w:t>
      </w:r>
      <w:r w:rsidR="00BD48B1" w:rsidRPr="004A6AF4">
        <w:rPr>
          <w:rFonts w:ascii="Arial" w:eastAsia="SimSun" w:hAnsi="Arial" w:cs="Arial"/>
          <w:color w:val="auto"/>
          <w:sz w:val="22"/>
          <w:szCs w:val="20"/>
          <w:bdr w:val="none" w:sz="0" w:space="0" w:color="auto"/>
          <w:lang w:val="en-US" w:eastAsia="zh-CN"/>
        </w:rPr>
        <w:t>e</w:t>
      </w:r>
      <w:r w:rsidRPr="004A6AF4">
        <w:rPr>
          <w:rFonts w:ascii="Arial" w:eastAsia="SimSun" w:hAnsi="Arial" w:cs="Arial"/>
          <w:color w:val="auto"/>
          <w:sz w:val="22"/>
          <w:szCs w:val="20"/>
          <w:bdr w:val="none" w:sz="0" w:space="0" w:color="auto"/>
          <w:lang w:val="en-US" w:eastAsia="zh-CN"/>
        </w:rPr>
        <w:t xml:space="preserve"> into account progress made in the biennium 2014/15;</w:t>
      </w:r>
    </w:p>
    <w:p w:rsidR="002C207D" w:rsidRPr="004A6AF4" w:rsidRDefault="002C207D" w:rsidP="002C207D">
      <w:pPr>
        <w:pStyle w:val="ListParagraph"/>
        <w:jc w:val="both"/>
        <w:rPr>
          <w:rFonts w:ascii="Arial" w:eastAsia="SimSun" w:hAnsi="Arial" w:cs="Arial"/>
          <w:color w:val="auto"/>
          <w:sz w:val="22"/>
          <w:szCs w:val="20"/>
          <w:bdr w:val="none" w:sz="0" w:space="0" w:color="auto"/>
          <w:lang w:val="en-US" w:eastAsia="zh-CN"/>
        </w:rPr>
      </w:pPr>
      <w:r w:rsidRPr="004A6AF4">
        <w:rPr>
          <w:rFonts w:ascii="Arial" w:eastAsia="SimSun" w:hAnsi="Arial" w:cs="Arial"/>
          <w:color w:val="auto"/>
          <w:sz w:val="22"/>
          <w:szCs w:val="20"/>
          <w:bdr w:val="none" w:sz="0" w:space="0" w:color="auto"/>
          <w:lang w:val="en-US" w:eastAsia="zh-CN"/>
        </w:rPr>
        <w:t xml:space="preserve"> </w:t>
      </w:r>
    </w:p>
    <w:p w:rsidR="002C207D" w:rsidRPr="004A6AF4" w:rsidRDefault="002C207D" w:rsidP="002C207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SimSun" w:hAnsi="Arial" w:cs="Arial"/>
          <w:color w:val="auto"/>
          <w:sz w:val="22"/>
          <w:szCs w:val="20"/>
          <w:bdr w:val="none" w:sz="0" w:space="0" w:color="auto"/>
          <w:lang w:val="en-US" w:eastAsia="zh-CN"/>
        </w:rPr>
      </w:pPr>
      <w:r w:rsidRPr="004A6AF4">
        <w:rPr>
          <w:rFonts w:ascii="Arial" w:eastAsia="SimSun" w:hAnsi="Arial" w:cs="Arial"/>
          <w:color w:val="auto"/>
          <w:sz w:val="22"/>
          <w:szCs w:val="20"/>
          <w:bdr w:val="none" w:sz="0" w:space="0" w:color="auto"/>
          <w:lang w:val="en-US" w:eastAsia="zh-CN"/>
        </w:rPr>
        <w:t>Unclear performance measurement frameworks with no performance targets against which to measure program performance. Performance reporting would become a challenge or even be impossible (back to activity level reporting). The information on program performance to support the PBC’s performance monitoring and decision-making processes w</w:t>
      </w:r>
      <w:r w:rsidR="00BD48B1" w:rsidRPr="004A6AF4">
        <w:rPr>
          <w:rFonts w:ascii="Arial" w:eastAsia="SimSun" w:hAnsi="Arial" w:cs="Arial"/>
          <w:color w:val="auto"/>
          <w:sz w:val="22"/>
          <w:szCs w:val="20"/>
          <w:bdr w:val="none" w:sz="0" w:space="0" w:color="auto"/>
          <w:lang w:val="en-US" w:eastAsia="zh-CN"/>
        </w:rPr>
        <w:t>ould</w:t>
      </w:r>
      <w:r w:rsidRPr="004A6AF4">
        <w:rPr>
          <w:rFonts w:ascii="Arial" w:eastAsia="SimSun" w:hAnsi="Arial" w:cs="Arial"/>
          <w:color w:val="auto"/>
          <w:sz w:val="22"/>
          <w:szCs w:val="20"/>
          <w:bdr w:val="none" w:sz="0" w:space="0" w:color="auto"/>
          <w:lang w:val="en-US" w:eastAsia="zh-CN"/>
        </w:rPr>
        <w:t xml:space="preserve"> be adversely affected.</w:t>
      </w:r>
    </w:p>
    <w:p w:rsidR="002C207D" w:rsidRPr="004A6AF4" w:rsidRDefault="002C207D" w:rsidP="002C207D">
      <w:pPr>
        <w:pStyle w:val="ListParagraph"/>
        <w:jc w:val="both"/>
        <w:rPr>
          <w:rFonts w:ascii="Arial" w:eastAsia="SimSun" w:hAnsi="Arial" w:cs="Arial"/>
          <w:color w:val="auto"/>
          <w:sz w:val="22"/>
          <w:szCs w:val="20"/>
          <w:bdr w:val="none" w:sz="0" w:space="0" w:color="auto"/>
          <w:lang w:val="en-US" w:eastAsia="zh-CN"/>
        </w:rPr>
      </w:pPr>
    </w:p>
    <w:p w:rsidR="002C207D" w:rsidRPr="004A6AF4" w:rsidRDefault="002C207D" w:rsidP="002C207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SimSun" w:hAnsi="Arial" w:cs="Arial"/>
          <w:color w:val="auto"/>
          <w:sz w:val="22"/>
          <w:szCs w:val="20"/>
          <w:bdr w:val="none" w:sz="0" w:space="0" w:color="auto"/>
          <w:lang w:val="en-US" w:eastAsia="zh-CN"/>
        </w:rPr>
      </w:pPr>
      <w:r w:rsidRPr="004A6AF4">
        <w:rPr>
          <w:rFonts w:ascii="Arial" w:eastAsia="SimSun" w:hAnsi="Arial" w:cs="Arial"/>
          <w:color w:val="auto"/>
          <w:sz w:val="22"/>
          <w:szCs w:val="20"/>
          <w:bdr w:val="none" w:sz="0" w:space="0" w:color="auto"/>
          <w:lang w:val="en-US" w:eastAsia="zh-CN"/>
        </w:rPr>
        <w:lastRenderedPageBreak/>
        <w:t>Advancements made to improv</w:t>
      </w:r>
      <w:r w:rsidR="00BD48B1" w:rsidRPr="004A6AF4">
        <w:rPr>
          <w:rFonts w:ascii="Arial" w:eastAsia="SimSun" w:hAnsi="Arial" w:cs="Arial"/>
          <w:color w:val="auto"/>
          <w:sz w:val="22"/>
          <w:szCs w:val="20"/>
          <w:bdr w:val="none" w:sz="0" w:space="0" w:color="auto"/>
          <w:lang w:val="en-US" w:eastAsia="zh-CN"/>
        </w:rPr>
        <w:t>ing</w:t>
      </w:r>
      <w:r w:rsidRPr="004A6AF4">
        <w:rPr>
          <w:rFonts w:ascii="Arial" w:eastAsia="SimSun" w:hAnsi="Arial" w:cs="Arial"/>
          <w:color w:val="auto"/>
          <w:sz w:val="22"/>
          <w:szCs w:val="20"/>
          <w:bdr w:val="none" w:sz="0" w:space="0" w:color="auto"/>
          <w:lang w:val="en-US" w:eastAsia="zh-CN"/>
        </w:rPr>
        <w:t xml:space="preserve"> measurement metrics in the proposed Program and Budget 2016/17 would be lost.</w:t>
      </w:r>
    </w:p>
    <w:p w:rsidR="002C207D" w:rsidRPr="004A6AF4" w:rsidRDefault="002C207D" w:rsidP="002C207D">
      <w:pPr>
        <w:rPr>
          <w:sz w:val="24"/>
          <w:szCs w:val="24"/>
          <w:lang w:val="es-ES_tradnl"/>
        </w:rPr>
      </w:pPr>
    </w:p>
    <w:p w:rsidR="00193020" w:rsidRPr="00924A44" w:rsidRDefault="0063078E" w:rsidP="00203CC7">
      <w:pPr>
        <w:rPr>
          <w:sz w:val="24"/>
          <w:szCs w:val="24"/>
        </w:rPr>
      </w:pPr>
      <w:r w:rsidRPr="00924A44">
        <w:rPr>
          <w:sz w:val="24"/>
          <w:szCs w:val="24"/>
        </w:rPr>
        <w:t>ANNEXES</w:t>
      </w:r>
      <w:r w:rsidR="00D40F7D" w:rsidRPr="00924A44">
        <w:rPr>
          <w:sz w:val="24"/>
          <w:szCs w:val="24"/>
        </w:rPr>
        <w:t xml:space="preserve"> AND APPENDICES</w:t>
      </w:r>
    </w:p>
    <w:p w:rsidR="0063078E" w:rsidRPr="00924A44" w:rsidRDefault="0063078E" w:rsidP="00203CC7">
      <w:pPr>
        <w:rPr>
          <w:sz w:val="24"/>
          <w:szCs w:val="24"/>
        </w:rPr>
      </w:pPr>
    </w:p>
    <w:p w:rsidR="0063078E" w:rsidRPr="00924A44" w:rsidRDefault="0063078E" w:rsidP="00203CC7">
      <w:pPr>
        <w:rPr>
          <w:b/>
        </w:rPr>
      </w:pPr>
      <w:r w:rsidRPr="00924A44">
        <w:rPr>
          <w:b/>
        </w:rPr>
        <w:t xml:space="preserve">Q1: Does the proposed Program and Budget 2016/17 anticipate that all Member States will pay their entire contribution?  </w:t>
      </w:r>
    </w:p>
    <w:p w:rsidR="0063078E" w:rsidRPr="00924A44" w:rsidRDefault="0063078E" w:rsidP="00203CC7">
      <w:pPr>
        <w:rPr>
          <w:sz w:val="24"/>
          <w:szCs w:val="24"/>
        </w:rPr>
      </w:pPr>
    </w:p>
    <w:p w:rsidR="00193020" w:rsidRPr="00924A44" w:rsidRDefault="0063078E" w:rsidP="00203CC7">
      <w:pPr>
        <w:rPr>
          <w:szCs w:val="22"/>
        </w:rPr>
      </w:pPr>
      <w:r w:rsidRPr="00924A44">
        <w:rPr>
          <w:szCs w:val="22"/>
        </w:rPr>
        <w:t xml:space="preserve">A1: </w:t>
      </w:r>
      <w:r w:rsidR="00336409" w:rsidRPr="00924A44">
        <w:rPr>
          <w:szCs w:val="22"/>
        </w:rPr>
        <w:t xml:space="preserve">Member States’ contribution is part of the projected income for 2016/17. For planning purposes it is assumed that contributions for 2016/17 will be received as planned. </w:t>
      </w:r>
    </w:p>
    <w:p w:rsidR="00336409" w:rsidRPr="00924A44" w:rsidRDefault="00336409" w:rsidP="00203CC7">
      <w:pPr>
        <w:rPr>
          <w:sz w:val="24"/>
          <w:szCs w:val="24"/>
        </w:rPr>
      </w:pPr>
    </w:p>
    <w:p w:rsidR="00336409" w:rsidRPr="00924A44" w:rsidRDefault="00336409" w:rsidP="00203CC7">
      <w:pPr>
        <w:rPr>
          <w:szCs w:val="22"/>
        </w:rPr>
      </w:pPr>
      <w:r w:rsidRPr="00924A44">
        <w:rPr>
          <w:szCs w:val="22"/>
        </w:rPr>
        <w:t>For assessed contributions which relate to prior periods, an allowance (provision) is made in the accounts to offset the amounts due. The allowance covers amounts due from Member States that have lost the right to vote and contributions from least developed countries which have been frozen by action of the Assemblies. The allowance is reviewed at the end of each year.</w:t>
      </w:r>
    </w:p>
    <w:p w:rsidR="00336409" w:rsidRPr="00924A44" w:rsidRDefault="00336409" w:rsidP="00203CC7">
      <w:pPr>
        <w:rPr>
          <w:sz w:val="24"/>
          <w:szCs w:val="24"/>
        </w:rPr>
      </w:pPr>
    </w:p>
    <w:p w:rsidR="0063078E" w:rsidRPr="00924A44" w:rsidRDefault="0063078E" w:rsidP="00203CC7">
      <w:pPr>
        <w:rPr>
          <w:sz w:val="24"/>
          <w:szCs w:val="24"/>
        </w:rPr>
      </w:pPr>
    </w:p>
    <w:p w:rsidR="00373B6D" w:rsidRPr="00924A44" w:rsidRDefault="00942BD7" w:rsidP="00203CC7">
      <w:pPr>
        <w:rPr>
          <w:sz w:val="24"/>
          <w:szCs w:val="24"/>
        </w:rPr>
      </w:pPr>
      <w:r>
        <w:rPr>
          <w:sz w:val="24"/>
          <w:szCs w:val="24"/>
        </w:rPr>
        <w:t>REVISED POLICY ON INVEST</w:t>
      </w:r>
      <w:r w:rsidR="00373B6D" w:rsidRPr="00924A44">
        <w:rPr>
          <w:sz w:val="24"/>
          <w:szCs w:val="24"/>
        </w:rPr>
        <w:t>MENTS AND PROPOSAL FOR ADDITIONAL REVISIONS TO POLICY ON INVESTMENTS</w:t>
      </w:r>
    </w:p>
    <w:p w:rsidR="00224A65" w:rsidRPr="00924A44" w:rsidRDefault="00224A65" w:rsidP="00203CC7"/>
    <w:p w:rsidR="00224A65" w:rsidRPr="00924A44" w:rsidRDefault="00B96FF0" w:rsidP="00203CC7">
      <w:pPr>
        <w:rPr>
          <w:b/>
        </w:rPr>
      </w:pPr>
      <w:r w:rsidRPr="00924A44">
        <w:rPr>
          <w:b/>
        </w:rPr>
        <w:t xml:space="preserve">Q1.  </w:t>
      </w:r>
      <w:r w:rsidR="00224A65" w:rsidRPr="00924A44">
        <w:rPr>
          <w:b/>
        </w:rPr>
        <w:t xml:space="preserve">How do </w:t>
      </w:r>
      <w:r w:rsidRPr="00924A44">
        <w:rPr>
          <w:b/>
        </w:rPr>
        <w:t xml:space="preserve">the anticipated </w:t>
      </w:r>
      <w:r w:rsidR="00224A65" w:rsidRPr="00924A44">
        <w:rPr>
          <w:b/>
        </w:rPr>
        <w:t xml:space="preserve">costs </w:t>
      </w:r>
      <w:r w:rsidRPr="00924A44">
        <w:rPr>
          <w:b/>
        </w:rPr>
        <w:t xml:space="preserve">related to </w:t>
      </w:r>
      <w:r w:rsidR="00224A65" w:rsidRPr="00924A44">
        <w:rPr>
          <w:b/>
        </w:rPr>
        <w:t xml:space="preserve">the new proposed investment policy </w:t>
      </w:r>
      <w:r w:rsidRPr="00924A44">
        <w:rPr>
          <w:b/>
        </w:rPr>
        <w:t>(document WO/PBC</w:t>
      </w:r>
      <w:r w:rsidR="00224A65" w:rsidRPr="00924A44">
        <w:rPr>
          <w:b/>
        </w:rPr>
        <w:t>/23/7</w:t>
      </w:r>
      <w:r w:rsidRPr="00924A44">
        <w:rPr>
          <w:b/>
        </w:rPr>
        <w:t xml:space="preserve">) compare to the anticipated </w:t>
      </w:r>
      <w:r w:rsidR="00224A65" w:rsidRPr="00924A44">
        <w:rPr>
          <w:b/>
        </w:rPr>
        <w:t xml:space="preserve">returns and losses avoided as a result of the implementation of the new policy? </w:t>
      </w:r>
    </w:p>
    <w:p w:rsidR="00B96FF0" w:rsidRPr="00924A44" w:rsidRDefault="00B96FF0" w:rsidP="00203CC7">
      <w:pPr>
        <w:rPr>
          <w:b/>
        </w:rPr>
      </w:pPr>
    </w:p>
    <w:p w:rsidR="00804452" w:rsidRPr="00924A44" w:rsidRDefault="00473AFA" w:rsidP="00203CC7">
      <w:r w:rsidRPr="00924A44">
        <w:t>A1:</w:t>
      </w:r>
      <w:r w:rsidR="00804452" w:rsidRPr="00924A44">
        <w:t xml:space="preserve"> Document WO/PBC/23/7 proposes two investment policies.  The policy which will cover operating and core cash aims to obtain a positive return on core cash by working with external fund</w:t>
      </w:r>
      <w:r w:rsidR="00203CC7">
        <w:t xml:space="preserve"> managers and will also endeavor to minimiz</w:t>
      </w:r>
      <w:r w:rsidR="00804452" w:rsidRPr="00924A44">
        <w:t>e the impact of negative interest rates on operating cash by the use of exemption thresholds and by seeking out opportunities in the market (such as foreign currency investmen</w:t>
      </w:r>
      <w:r w:rsidR="00203CC7">
        <w:t>ts) where possible.  The Organiz</w:t>
      </w:r>
      <w:r w:rsidR="00804452" w:rsidRPr="00924A44">
        <w:t xml:space="preserve">ation intends to ask fund managers to aim for a positive return, net of management fees.  The same request will be made with regard to those managers who will invest the strategic cash according to the second (ASHI) investment </w:t>
      </w:r>
      <w:proofErr w:type="gramStart"/>
      <w:r w:rsidR="00804452" w:rsidRPr="00924A44">
        <w:t>policy .</w:t>
      </w:r>
      <w:proofErr w:type="gramEnd"/>
      <w:r w:rsidR="00804452" w:rsidRPr="00924A44">
        <w:t xml:space="preserve">  An additional member of staff will b</w:t>
      </w:r>
      <w:r w:rsidR="00C850AA">
        <w:t>e required to manage the Organiz</w:t>
      </w:r>
      <w:r w:rsidR="00804452" w:rsidRPr="00924A44">
        <w:t>ation’s investments (this is also true in connection with document WO/PBC/23/6) and this person is anticipated to be at the level of P4/P5.</w:t>
      </w:r>
    </w:p>
    <w:p w:rsidR="00473AFA" w:rsidRPr="00924A44" w:rsidRDefault="00473AFA" w:rsidP="00203CC7"/>
    <w:p w:rsidR="00473AFA" w:rsidRPr="00924A44" w:rsidRDefault="00473AFA" w:rsidP="00203CC7">
      <w:pPr>
        <w:rPr>
          <w:b/>
        </w:rPr>
      </w:pPr>
    </w:p>
    <w:p w:rsidR="00224A65" w:rsidRPr="00924A44" w:rsidRDefault="00B96FF0" w:rsidP="00203CC7">
      <w:pPr>
        <w:pStyle w:val="Text"/>
        <w:widowControl w:val="0"/>
        <w:tabs>
          <w:tab w:val="left" w:pos="220"/>
        </w:tabs>
        <w:rPr>
          <w:rFonts w:ascii="Arial" w:eastAsia="Arial" w:hAnsi="Arial" w:cs="Arial"/>
          <w:b/>
          <w:sz w:val="22"/>
          <w:szCs w:val="22"/>
          <w:lang w:val="en-US"/>
        </w:rPr>
      </w:pPr>
      <w:r w:rsidRPr="00924A44">
        <w:rPr>
          <w:rFonts w:ascii="Arial"/>
          <w:b/>
          <w:sz w:val="22"/>
          <w:szCs w:val="22"/>
          <w:lang w:val="en-US"/>
        </w:rPr>
        <w:t xml:space="preserve">Q2.  </w:t>
      </w:r>
      <w:r w:rsidR="00224A65" w:rsidRPr="00924A44">
        <w:rPr>
          <w:rFonts w:ascii="Arial"/>
          <w:b/>
          <w:sz w:val="22"/>
          <w:szCs w:val="22"/>
          <w:lang w:val="en-US"/>
        </w:rPr>
        <w:t xml:space="preserve">If </w:t>
      </w:r>
      <w:r w:rsidRPr="00924A44">
        <w:rPr>
          <w:rFonts w:ascii="Arial"/>
          <w:b/>
          <w:sz w:val="22"/>
          <w:szCs w:val="22"/>
          <w:lang w:val="en-US"/>
        </w:rPr>
        <w:t>the 23</w:t>
      </w:r>
      <w:r w:rsidR="00473AFA" w:rsidRPr="00924A44">
        <w:rPr>
          <w:rFonts w:ascii="Arial"/>
          <w:b/>
          <w:sz w:val="22"/>
          <w:szCs w:val="22"/>
          <w:lang w:val="en-US"/>
        </w:rPr>
        <w:t>nd</w:t>
      </w:r>
      <w:r w:rsidRPr="00924A44">
        <w:rPr>
          <w:rFonts w:ascii="Arial"/>
          <w:b/>
          <w:sz w:val="22"/>
          <w:szCs w:val="22"/>
          <w:lang w:val="en-US"/>
        </w:rPr>
        <w:t xml:space="preserve"> Session of the </w:t>
      </w:r>
      <w:r w:rsidR="00224A65" w:rsidRPr="00924A44">
        <w:rPr>
          <w:rFonts w:ascii="Arial"/>
          <w:b/>
          <w:sz w:val="22"/>
          <w:szCs w:val="22"/>
          <w:lang w:val="en-US"/>
        </w:rPr>
        <w:t xml:space="preserve">PBC were to adopt both proposals on a revised investment policy, would this allow the </w:t>
      </w:r>
      <w:r w:rsidRPr="00924A44">
        <w:rPr>
          <w:rFonts w:ascii="Arial"/>
          <w:b/>
          <w:sz w:val="22"/>
          <w:szCs w:val="22"/>
          <w:lang w:val="en-US"/>
        </w:rPr>
        <w:t xml:space="preserve">Secretariat </w:t>
      </w:r>
      <w:r w:rsidR="00224A65" w:rsidRPr="00924A44">
        <w:rPr>
          <w:rFonts w:ascii="Arial"/>
          <w:b/>
          <w:sz w:val="22"/>
          <w:szCs w:val="22"/>
          <w:lang w:val="en-US"/>
        </w:rPr>
        <w:t>to start the required recruitme</w:t>
      </w:r>
      <w:r w:rsidRPr="00924A44">
        <w:rPr>
          <w:rFonts w:ascii="Arial"/>
          <w:b/>
          <w:sz w:val="22"/>
          <w:szCs w:val="22"/>
          <w:lang w:val="en-US"/>
        </w:rPr>
        <w:t>nt processes for a portfolio manager immediately after the PBC</w:t>
      </w:r>
      <w:r w:rsidR="00224A65" w:rsidRPr="00924A44">
        <w:rPr>
          <w:rFonts w:ascii="Arial"/>
          <w:b/>
          <w:sz w:val="22"/>
          <w:szCs w:val="22"/>
          <w:lang w:val="en-US"/>
        </w:rPr>
        <w:t>, thus accelerate the implementation of the new investment policy and thereby diminish the period during which WIPO might run the risk of having to pay negative interests?</w:t>
      </w:r>
    </w:p>
    <w:p w:rsidR="00224A65" w:rsidRPr="00924A44" w:rsidRDefault="00224A65" w:rsidP="00203CC7">
      <w:pPr>
        <w:pStyle w:val="Text"/>
        <w:widowControl w:val="0"/>
        <w:ind w:firstLine="60"/>
        <w:rPr>
          <w:rFonts w:ascii="Arial" w:eastAsia="Arial" w:hAnsi="Arial" w:cs="Arial"/>
          <w:sz w:val="22"/>
          <w:szCs w:val="22"/>
          <w:lang w:val="en-US"/>
        </w:rPr>
      </w:pPr>
    </w:p>
    <w:p w:rsidR="00804452" w:rsidRPr="00924A44" w:rsidRDefault="00473AFA" w:rsidP="00203CC7">
      <w:r w:rsidRPr="00924A44">
        <w:rPr>
          <w:szCs w:val="22"/>
        </w:rPr>
        <w:t xml:space="preserve">A2: </w:t>
      </w:r>
      <w:r w:rsidR="00804452" w:rsidRPr="00924A44">
        <w:t>If Member States adopt the decisions outlined in both documents, WO/PBC/23/6 and WO/PBC/23/7, the decisions taken in respect of the latter document supersede those in the former document and the policy explained in document WO/PBC/23/6 will not be required.</w:t>
      </w:r>
    </w:p>
    <w:p w:rsidR="00804452" w:rsidRPr="00924A44" w:rsidRDefault="00804452" w:rsidP="00203CC7"/>
    <w:p w:rsidR="00804452" w:rsidRPr="00924A44" w:rsidRDefault="00804452" w:rsidP="00203CC7">
      <w:r w:rsidRPr="00924A44">
        <w:t xml:space="preserve">If the decisions contained within WO/PBC/23/7 are taken during the July session, the Secretariat will prepare two investment policies: one for operating and core cash and one for strategic cash.  These will be submitted to PBC 24 for decision and then to the Assemblies for approval.  </w:t>
      </w:r>
      <w:r w:rsidR="00924A44" w:rsidRPr="00924A44">
        <w:t>Preparatory work could also begin, following PBC 23,</w:t>
      </w:r>
      <w:r w:rsidR="00924A44">
        <w:t xml:space="preserve"> </w:t>
      </w:r>
      <w:r w:rsidR="00924A44" w:rsidRPr="00924A44">
        <w:t xml:space="preserve">with regard to identifying fund managers and on recruitment </w:t>
      </w:r>
      <w:r w:rsidR="000C7A32">
        <w:t>of internal expertise. T</w:t>
      </w:r>
      <w:r w:rsidR="00924A44" w:rsidRPr="00924A44">
        <w:t xml:space="preserve">his would ultimately reduce the time spent on such work after the Assemblies.  </w:t>
      </w:r>
      <w:r w:rsidRPr="00924A44">
        <w:t>In this way, the period during which WIPO would be at risk of paying negative interest could be reduced.</w:t>
      </w:r>
    </w:p>
    <w:p w:rsidR="00473AFA" w:rsidRDefault="00473AFA" w:rsidP="00203CC7">
      <w:pPr>
        <w:pStyle w:val="Text"/>
        <w:widowControl w:val="0"/>
        <w:tabs>
          <w:tab w:val="left" w:pos="220"/>
        </w:tabs>
        <w:rPr>
          <w:rFonts w:ascii="Arial"/>
          <w:sz w:val="22"/>
          <w:szCs w:val="22"/>
          <w:lang w:val="en-US"/>
        </w:rPr>
      </w:pPr>
    </w:p>
    <w:p w:rsidR="006B6DC0" w:rsidRPr="00924A44" w:rsidRDefault="006B6DC0" w:rsidP="00203CC7">
      <w:pPr>
        <w:pStyle w:val="Text"/>
        <w:widowControl w:val="0"/>
        <w:tabs>
          <w:tab w:val="left" w:pos="220"/>
        </w:tabs>
        <w:rPr>
          <w:rFonts w:ascii="Arial"/>
          <w:sz w:val="22"/>
          <w:szCs w:val="22"/>
          <w:lang w:val="en-US"/>
        </w:rPr>
      </w:pPr>
    </w:p>
    <w:p w:rsidR="00224A65" w:rsidRPr="00924A44" w:rsidRDefault="00B96FF0" w:rsidP="00203CC7">
      <w:pPr>
        <w:pStyle w:val="Text"/>
        <w:widowControl w:val="0"/>
        <w:tabs>
          <w:tab w:val="left" w:pos="220"/>
        </w:tabs>
        <w:rPr>
          <w:rFonts w:ascii="Arial" w:eastAsia="Arial" w:hAnsi="Arial" w:cs="Arial"/>
          <w:b/>
          <w:sz w:val="22"/>
          <w:szCs w:val="22"/>
          <w:lang w:val="en-US"/>
        </w:rPr>
      </w:pPr>
      <w:r w:rsidRPr="00924A44">
        <w:rPr>
          <w:rFonts w:ascii="Arial"/>
          <w:b/>
          <w:sz w:val="22"/>
          <w:szCs w:val="22"/>
          <w:lang w:val="en-US"/>
        </w:rPr>
        <w:t xml:space="preserve">Q3.  </w:t>
      </w:r>
      <w:r w:rsidR="00224A65" w:rsidRPr="00924A44">
        <w:rPr>
          <w:rFonts w:ascii="Arial"/>
          <w:b/>
          <w:sz w:val="22"/>
          <w:szCs w:val="22"/>
          <w:lang w:val="en-US"/>
        </w:rPr>
        <w:t xml:space="preserve">Could you please explain the differences between the two proposed modified investment policies (WO/PBC/23/6 and WO/PBC/23/7) in terms of their implications on </w:t>
      </w:r>
      <w:r w:rsidR="00224A65" w:rsidRPr="00924A44">
        <w:rPr>
          <w:rFonts w:ascii="Arial"/>
          <w:b/>
          <w:sz w:val="22"/>
          <w:szCs w:val="22"/>
          <w:lang w:val="en-US"/>
        </w:rPr>
        <w:lastRenderedPageBreak/>
        <w:t xml:space="preserve">timing of hiring staff and contracting external portfolio managers as well as estimated payments of negative interest rates? </w:t>
      </w:r>
    </w:p>
    <w:p w:rsidR="00224A65" w:rsidRPr="00924A44" w:rsidRDefault="00224A65" w:rsidP="00203CC7">
      <w:pPr>
        <w:pStyle w:val="Text"/>
        <w:widowControl w:val="0"/>
        <w:ind w:firstLine="60"/>
        <w:rPr>
          <w:rFonts w:ascii="Arial" w:eastAsia="Arial" w:hAnsi="Arial" w:cs="Arial"/>
          <w:sz w:val="22"/>
          <w:szCs w:val="22"/>
          <w:lang w:val="en-US"/>
        </w:rPr>
      </w:pPr>
    </w:p>
    <w:p w:rsidR="00804452" w:rsidRPr="00924A44" w:rsidRDefault="00473AFA" w:rsidP="00203CC7">
      <w:r w:rsidRPr="00924A44">
        <w:rPr>
          <w:szCs w:val="22"/>
        </w:rPr>
        <w:t>A3:</w:t>
      </w:r>
      <w:r w:rsidR="00804452" w:rsidRPr="00924A44">
        <w:t xml:space="preserve"> For both proposals, the Secretariat will begin looking for staff resources following PBC 23. (The person who joins will also work on the hedging strategy proposed for PCT).  WO/PBC/23/6 does not involve the use of external portfolio managers as such use continues not to be permitted within the </w:t>
      </w:r>
      <w:r w:rsidR="006B6DC0">
        <w:t xml:space="preserve">proposed </w:t>
      </w:r>
      <w:r w:rsidR="00804452" w:rsidRPr="00924A44">
        <w:t xml:space="preserve">amended investment policy.  With respect to WO/PBC/23/7, preparatory work will begin on identifying external fund managers during the summer (see answer above).  </w:t>
      </w:r>
    </w:p>
    <w:p w:rsidR="00473AFA" w:rsidRPr="00924A44" w:rsidRDefault="00473AFA" w:rsidP="00203CC7">
      <w:pPr>
        <w:pStyle w:val="Text"/>
        <w:widowControl w:val="0"/>
        <w:tabs>
          <w:tab w:val="left" w:pos="220"/>
        </w:tabs>
        <w:rPr>
          <w:rFonts w:ascii="Arial"/>
          <w:sz w:val="22"/>
          <w:szCs w:val="22"/>
          <w:lang w:val="en-US"/>
        </w:rPr>
      </w:pPr>
    </w:p>
    <w:p w:rsidR="00473AFA" w:rsidRPr="00924A44" w:rsidRDefault="00473AFA" w:rsidP="00203CC7">
      <w:pPr>
        <w:pStyle w:val="Text"/>
        <w:widowControl w:val="0"/>
        <w:tabs>
          <w:tab w:val="left" w:pos="220"/>
        </w:tabs>
        <w:rPr>
          <w:rFonts w:ascii="Arial"/>
          <w:sz w:val="22"/>
          <w:szCs w:val="22"/>
          <w:lang w:val="en-US"/>
        </w:rPr>
      </w:pPr>
    </w:p>
    <w:p w:rsidR="00224A65" w:rsidRPr="00924A44" w:rsidRDefault="00B96FF0" w:rsidP="00203CC7">
      <w:pPr>
        <w:pStyle w:val="Text"/>
        <w:widowControl w:val="0"/>
        <w:tabs>
          <w:tab w:val="left" w:pos="220"/>
        </w:tabs>
        <w:rPr>
          <w:rFonts w:ascii="Arial" w:eastAsia="Arial" w:hAnsi="Arial" w:cs="Arial"/>
          <w:b/>
          <w:sz w:val="22"/>
          <w:szCs w:val="22"/>
          <w:lang w:val="en-US"/>
        </w:rPr>
      </w:pPr>
      <w:r w:rsidRPr="00924A44">
        <w:rPr>
          <w:rFonts w:ascii="Arial"/>
          <w:b/>
          <w:sz w:val="22"/>
          <w:szCs w:val="22"/>
          <w:lang w:val="en-US"/>
        </w:rPr>
        <w:t xml:space="preserve">Q4.  </w:t>
      </w:r>
      <w:r w:rsidR="00224A65" w:rsidRPr="00924A44">
        <w:rPr>
          <w:rFonts w:ascii="Arial"/>
          <w:b/>
          <w:sz w:val="22"/>
          <w:szCs w:val="22"/>
          <w:lang w:val="en-US"/>
        </w:rPr>
        <w:t xml:space="preserve">Paragraph 10 of WO/PBC/23/7 mentions the possibility of hedging exchange rate risks, and a proposal in this respect has been approved by the PCT Working Group. Is hedging envisaged through forwards only, or also by recurring to options? Will hedging be done internally or contracted out? </w:t>
      </w:r>
    </w:p>
    <w:p w:rsidR="00224A65" w:rsidRPr="00924A44" w:rsidRDefault="00224A65" w:rsidP="00203CC7">
      <w:pPr>
        <w:pStyle w:val="Text"/>
        <w:widowControl w:val="0"/>
        <w:rPr>
          <w:rFonts w:ascii="Arial" w:eastAsia="Arial" w:hAnsi="Arial" w:cs="Arial"/>
          <w:sz w:val="22"/>
          <w:szCs w:val="22"/>
          <w:lang w:val="en-US"/>
        </w:rPr>
      </w:pPr>
    </w:p>
    <w:p w:rsidR="00804452" w:rsidRPr="00924A44" w:rsidRDefault="00473AFA" w:rsidP="00203CC7">
      <w:r w:rsidRPr="00924A44">
        <w:rPr>
          <w:rFonts w:eastAsia="Arial"/>
          <w:szCs w:val="22"/>
        </w:rPr>
        <w:t>A4:</w:t>
      </w:r>
      <w:r w:rsidR="00804452" w:rsidRPr="00924A44">
        <w:t xml:space="preserve"> The hedging mentioned in paragraph 10 of WO/PBC/23/7 is not to be confused with the hedging proposal recently approved by the PCT Working Group.  The PCT hedging proposal is designed to reduce the foreign currency exposure associated with receiving patent application fees in non-Swiss francs whilst the hedging mentioned in paragraph 10 refers to the need to protect investment income earned in non-Swiss francs against fluctuations in exchange rates.</w:t>
      </w:r>
    </w:p>
    <w:p w:rsidR="00804452" w:rsidRPr="00924A44" w:rsidRDefault="00804452" w:rsidP="00203CC7"/>
    <w:p w:rsidR="00804452" w:rsidRPr="00924A44" w:rsidRDefault="00804452" w:rsidP="00203CC7">
      <w:r w:rsidRPr="00924A44">
        <w:t>The hedging carried out in respect of investments will be undertaken largely by external fund managers and it will be for the fund manager to determine which hedging instrument is the most appropriate one to use, depending on the circumstances.  If hedging is undertaken in-house in respect of investments, this would probably involve the use of forward contracts.</w:t>
      </w:r>
    </w:p>
    <w:p w:rsidR="00473AFA" w:rsidRPr="00924A44" w:rsidRDefault="00473AFA" w:rsidP="00203CC7">
      <w:pPr>
        <w:pStyle w:val="Text"/>
        <w:widowControl w:val="0"/>
        <w:rPr>
          <w:rFonts w:ascii="Arial" w:eastAsia="Arial" w:hAnsi="Arial" w:cs="Arial"/>
          <w:sz w:val="22"/>
          <w:szCs w:val="22"/>
          <w:lang w:val="en-US"/>
        </w:rPr>
      </w:pPr>
    </w:p>
    <w:p w:rsidR="00473AFA" w:rsidRPr="00924A44" w:rsidRDefault="00473AFA" w:rsidP="00203CC7">
      <w:pPr>
        <w:pStyle w:val="Text"/>
        <w:widowControl w:val="0"/>
        <w:ind w:firstLine="60"/>
        <w:rPr>
          <w:rFonts w:ascii="Arial" w:eastAsia="Arial" w:hAnsi="Arial" w:cs="Arial"/>
          <w:sz w:val="22"/>
          <w:szCs w:val="22"/>
          <w:lang w:val="en-US"/>
        </w:rPr>
      </w:pPr>
    </w:p>
    <w:p w:rsidR="00224A65" w:rsidRPr="00924A44" w:rsidRDefault="00B96FF0" w:rsidP="00203CC7">
      <w:pPr>
        <w:pStyle w:val="Text"/>
        <w:widowControl w:val="0"/>
        <w:tabs>
          <w:tab w:val="left" w:pos="220"/>
        </w:tabs>
        <w:rPr>
          <w:rFonts w:ascii="Arial" w:eastAsia="Arial" w:hAnsi="Arial" w:cs="Arial"/>
          <w:b/>
          <w:sz w:val="22"/>
          <w:szCs w:val="22"/>
          <w:lang w:val="en-US"/>
        </w:rPr>
      </w:pPr>
      <w:r w:rsidRPr="00924A44">
        <w:rPr>
          <w:rFonts w:ascii="Arial"/>
          <w:b/>
          <w:sz w:val="22"/>
          <w:szCs w:val="22"/>
          <w:lang w:val="en-US"/>
        </w:rPr>
        <w:t>Q5</w:t>
      </w:r>
      <w:r w:rsidR="00473AFA" w:rsidRPr="00924A44">
        <w:rPr>
          <w:rFonts w:ascii="Arial"/>
          <w:b/>
          <w:sz w:val="22"/>
          <w:szCs w:val="22"/>
          <w:lang w:val="en-US"/>
        </w:rPr>
        <w:t>:</w:t>
      </w:r>
      <w:r w:rsidRPr="00924A44">
        <w:rPr>
          <w:rFonts w:ascii="Arial"/>
          <w:b/>
          <w:sz w:val="22"/>
          <w:szCs w:val="22"/>
          <w:lang w:val="en-US"/>
        </w:rPr>
        <w:t xml:space="preserve">  </w:t>
      </w:r>
      <w:r w:rsidR="00224A65" w:rsidRPr="00924A44">
        <w:rPr>
          <w:rFonts w:ascii="Arial"/>
          <w:b/>
          <w:sz w:val="22"/>
          <w:szCs w:val="22"/>
          <w:lang w:val="en-US"/>
        </w:rPr>
        <w:t xml:space="preserve">WO/PBC/23/7 proposes a long term risk rating for corporate bonds of BBB-/Baa3. WO/PBC/23/6 proposes a long term risk rating for corporate bonds of BBB/Baa2. In addition, the latter does not include any short term risk ratings for treasury bonds nor corporate bonds while the former does contain such proposals. Could you please explain the rationale for these proposed elements? </w:t>
      </w:r>
    </w:p>
    <w:p w:rsidR="00224A65" w:rsidRPr="00924A44" w:rsidRDefault="00224A65" w:rsidP="00203CC7">
      <w:pPr>
        <w:pStyle w:val="Text"/>
        <w:widowControl w:val="0"/>
        <w:ind w:firstLine="60"/>
        <w:rPr>
          <w:rFonts w:ascii="Arial" w:eastAsia="Arial" w:hAnsi="Arial" w:cs="Arial"/>
          <w:sz w:val="22"/>
          <w:szCs w:val="22"/>
          <w:lang w:val="en-US"/>
        </w:rPr>
      </w:pPr>
    </w:p>
    <w:p w:rsidR="00804452" w:rsidRPr="00924A44" w:rsidRDefault="00473AFA" w:rsidP="00203CC7">
      <w:r w:rsidRPr="00924A44">
        <w:rPr>
          <w:szCs w:val="22"/>
        </w:rPr>
        <w:t xml:space="preserve">A5: </w:t>
      </w:r>
      <w:r w:rsidR="00804452" w:rsidRPr="00924A44">
        <w:t>Document WO/PBC/23/6 contains the minimum number of changes required to the current policy in order to have an investme</w:t>
      </w:r>
      <w:r w:rsidR="00C850AA">
        <w:t>nt policy with which the Organiz</w:t>
      </w:r>
      <w:r w:rsidR="00804452" w:rsidRPr="00924A44">
        <w:t>ation will be able to work from December 2015 when all of WIPO’s investments will be withdrawn from the Swiss authorities.  The document has taken the current investment policy as a basis and proposes a small number of changes to this policy.</w:t>
      </w:r>
    </w:p>
    <w:p w:rsidR="00804452" w:rsidRPr="00924A44" w:rsidRDefault="00804452" w:rsidP="00203CC7"/>
    <w:p w:rsidR="00804452" w:rsidRPr="00924A44" w:rsidRDefault="00804452" w:rsidP="00203CC7">
      <w:r w:rsidRPr="00924A44">
        <w:t>Document WO/PBC/23/7 proposes more extensive changes and if all the decisions are adopted, will lead to the creation of two completely new investment policies.  The distinction between short and long term investments and the need to accept more risk (hence, investing in corporate bonds at BBB/Baa2) are subjects discussed in this document only.  Such elements are not required for the policy proposed in document WO/PBC/23/6.</w:t>
      </w:r>
    </w:p>
    <w:p w:rsidR="00804452" w:rsidRPr="00924A44" w:rsidRDefault="00804452" w:rsidP="00203CC7">
      <w:pPr>
        <w:pStyle w:val="Text"/>
        <w:widowControl w:val="0"/>
        <w:tabs>
          <w:tab w:val="left" w:pos="220"/>
        </w:tabs>
        <w:rPr>
          <w:rFonts w:ascii="Arial"/>
          <w:b/>
          <w:lang w:val="en-US"/>
        </w:rPr>
      </w:pPr>
    </w:p>
    <w:p w:rsidR="00473AFA" w:rsidRPr="00924A44" w:rsidRDefault="00473AFA" w:rsidP="00203CC7">
      <w:pPr>
        <w:pStyle w:val="Text"/>
        <w:widowControl w:val="0"/>
        <w:tabs>
          <w:tab w:val="left" w:pos="220"/>
        </w:tabs>
        <w:rPr>
          <w:rFonts w:ascii="Arial"/>
          <w:sz w:val="22"/>
          <w:szCs w:val="22"/>
          <w:lang w:val="en-US"/>
        </w:rPr>
      </w:pPr>
    </w:p>
    <w:p w:rsidR="00224A65" w:rsidRPr="00924A44" w:rsidRDefault="00B96FF0" w:rsidP="00203CC7">
      <w:pPr>
        <w:pStyle w:val="Text"/>
        <w:widowControl w:val="0"/>
        <w:tabs>
          <w:tab w:val="left" w:pos="220"/>
        </w:tabs>
        <w:rPr>
          <w:rFonts w:ascii="Arial" w:eastAsia="Arial" w:hAnsi="Arial" w:cs="Arial"/>
          <w:b/>
          <w:sz w:val="22"/>
          <w:szCs w:val="22"/>
          <w:lang w:val="en-US"/>
        </w:rPr>
      </w:pPr>
      <w:r w:rsidRPr="00924A44">
        <w:rPr>
          <w:rFonts w:ascii="Arial"/>
          <w:b/>
          <w:sz w:val="22"/>
          <w:szCs w:val="22"/>
          <w:lang w:val="en-US"/>
        </w:rPr>
        <w:t>Q6</w:t>
      </w:r>
      <w:r w:rsidR="00473AFA" w:rsidRPr="00924A44">
        <w:rPr>
          <w:rFonts w:ascii="Arial"/>
          <w:b/>
          <w:sz w:val="22"/>
          <w:szCs w:val="22"/>
          <w:lang w:val="en-US"/>
        </w:rPr>
        <w:t>:</w:t>
      </w:r>
      <w:r w:rsidRPr="00924A44">
        <w:rPr>
          <w:rFonts w:ascii="Arial"/>
          <w:b/>
          <w:sz w:val="22"/>
          <w:szCs w:val="22"/>
          <w:lang w:val="en-US"/>
        </w:rPr>
        <w:t xml:space="preserve">  </w:t>
      </w:r>
      <w:r w:rsidR="00224A65" w:rsidRPr="00924A44">
        <w:rPr>
          <w:rFonts w:ascii="Arial"/>
          <w:b/>
          <w:sz w:val="22"/>
          <w:szCs w:val="22"/>
          <w:lang w:val="en-US"/>
        </w:rPr>
        <w:t xml:space="preserve">WO/PBC/23/7 contains in paragraph 10 a list of proposed asset categories for Core Cash. Paragraph 5 mentions that some of these categories would also be used for Operating Cash. Could you explain which of the categories contained in paragraph 10 are considered sufficiently liquid and thus would be used for Operating Cash? </w:t>
      </w:r>
    </w:p>
    <w:p w:rsidR="00224A65" w:rsidRPr="00924A44" w:rsidRDefault="00224A65" w:rsidP="00203CC7">
      <w:pPr>
        <w:pStyle w:val="Text"/>
        <w:widowControl w:val="0"/>
        <w:ind w:firstLine="60"/>
        <w:rPr>
          <w:rFonts w:ascii="Arial" w:eastAsia="Arial" w:hAnsi="Arial" w:cs="Arial"/>
          <w:b/>
          <w:sz w:val="22"/>
          <w:szCs w:val="22"/>
          <w:lang w:val="en-US"/>
        </w:rPr>
      </w:pPr>
    </w:p>
    <w:p w:rsidR="00804452" w:rsidRPr="00924A44" w:rsidRDefault="00473AFA" w:rsidP="00203CC7">
      <w:r w:rsidRPr="00924A44">
        <w:rPr>
          <w:rFonts w:eastAsia="Arial"/>
          <w:szCs w:val="22"/>
        </w:rPr>
        <w:t xml:space="preserve">A6: </w:t>
      </w:r>
      <w:r w:rsidR="00804452" w:rsidRPr="00924A44">
        <w:t>Most of the asset classes listed in paragraph 10 could be used for operating cash as all of these assets can be held over a range of time periods. The principal exceptions are private placements and Real Estate Investment Trusts.  However, it is worth noting that in the current environment of negative interest rates, the asset classes which would be used for operating cash are currently giving negative rates over maturities which would be considered as liquid (periods up to 12 months).</w:t>
      </w:r>
    </w:p>
    <w:p w:rsidR="00804452" w:rsidRPr="00924A44" w:rsidRDefault="00804452" w:rsidP="00203CC7"/>
    <w:p w:rsidR="00473AFA" w:rsidRPr="00924A44" w:rsidRDefault="00473AFA" w:rsidP="00203CC7">
      <w:pPr>
        <w:rPr>
          <w:b/>
        </w:rPr>
      </w:pPr>
    </w:p>
    <w:p w:rsidR="00224A65" w:rsidRPr="00924A44" w:rsidRDefault="00B96FF0" w:rsidP="00203CC7">
      <w:pPr>
        <w:rPr>
          <w:rFonts w:eastAsia="Arial"/>
          <w:b/>
        </w:rPr>
      </w:pPr>
      <w:r w:rsidRPr="00924A44">
        <w:rPr>
          <w:b/>
        </w:rPr>
        <w:t xml:space="preserve">Q7.  </w:t>
      </w:r>
      <w:r w:rsidR="00224A65" w:rsidRPr="00924A44">
        <w:rPr>
          <w:b/>
        </w:rPr>
        <w:t>Could you e</w:t>
      </w:r>
      <w:r w:rsidR="00804452" w:rsidRPr="00924A44">
        <w:rPr>
          <w:b/>
        </w:rPr>
        <w:t xml:space="preserve">laborate on how diversification </w:t>
      </w:r>
      <w:r w:rsidR="00224A65" w:rsidRPr="00924A44">
        <w:rPr>
          <w:b/>
        </w:rPr>
        <w:t xml:space="preserve">of banking partners, asset categories and the proposed risk ratings play together to achieve a balance between liquidity requirements and expected returns? </w:t>
      </w:r>
    </w:p>
    <w:p w:rsidR="00224A65" w:rsidRPr="00924A44" w:rsidRDefault="00224A65" w:rsidP="00203CC7">
      <w:pPr>
        <w:tabs>
          <w:tab w:val="num" w:pos="720"/>
        </w:tabs>
        <w:rPr>
          <w:rFonts w:eastAsia="Arial"/>
          <w:b/>
        </w:rPr>
      </w:pPr>
    </w:p>
    <w:p w:rsidR="00804452" w:rsidRPr="00924A44" w:rsidRDefault="00473AFA" w:rsidP="00203CC7">
      <w:r w:rsidRPr="00924A44">
        <w:rPr>
          <w:rFonts w:eastAsia="Arial"/>
        </w:rPr>
        <w:t>A7:</w:t>
      </w:r>
      <w:r w:rsidR="00804452" w:rsidRPr="00924A44">
        <w:t xml:space="preserve"> Diversifying investments between banking partners and a</w:t>
      </w:r>
      <w:r w:rsidR="00C850AA">
        <w:t>sset classes enables the Organiz</w:t>
      </w:r>
      <w:r w:rsidR="00804452" w:rsidRPr="00924A44">
        <w:t>ation to reduce risks whilst aiming to achieve a positive return.  The proposed risk ratings fall within the “”investment” category of ratings issued by the ratings agencies.  By adhering to these ratings as a minimum, WIPO is also endeavoring to minimi</w:t>
      </w:r>
      <w:r w:rsidR="00C850AA">
        <w:t>z</w:t>
      </w:r>
      <w:r w:rsidR="00804452" w:rsidRPr="00924A44">
        <w:t>e risk.  These ratings would be applied to the choices of investments made within the asset classes.</w:t>
      </w:r>
    </w:p>
    <w:p w:rsidR="00804452" w:rsidRPr="00924A44" w:rsidRDefault="00804452" w:rsidP="00203CC7">
      <w:pPr>
        <w:tabs>
          <w:tab w:val="num" w:pos="720"/>
        </w:tabs>
        <w:rPr>
          <w:rFonts w:eastAsia="Arial"/>
          <w:b/>
        </w:rPr>
      </w:pPr>
    </w:p>
    <w:p w:rsidR="00473AFA" w:rsidRPr="00924A44" w:rsidRDefault="00473AFA" w:rsidP="00203CC7">
      <w:pPr>
        <w:tabs>
          <w:tab w:val="num" w:pos="720"/>
        </w:tabs>
        <w:rPr>
          <w:rFonts w:eastAsia="Arial"/>
        </w:rPr>
      </w:pPr>
    </w:p>
    <w:p w:rsidR="00224A65" w:rsidRPr="00924A44" w:rsidRDefault="005C3DBE" w:rsidP="00203CC7">
      <w:pPr>
        <w:rPr>
          <w:b/>
        </w:rPr>
      </w:pPr>
      <w:r w:rsidRPr="00924A44">
        <w:rPr>
          <w:b/>
        </w:rPr>
        <w:t xml:space="preserve">Q8.  </w:t>
      </w:r>
      <w:r w:rsidR="00224A65" w:rsidRPr="00924A44">
        <w:rPr>
          <w:b/>
        </w:rPr>
        <w:t>What are the implications and significance of the proposed rewording of paragraph 2 (Objectives) of the Policy on Investments, and particularly the caveat whereby preservation of capital will be “to the extent possible if prevailing interest rates are negative”</w:t>
      </w:r>
      <w:r w:rsidRPr="00924A44">
        <w:rPr>
          <w:b/>
        </w:rPr>
        <w:t>?</w:t>
      </w:r>
      <w:r w:rsidR="00224A65" w:rsidRPr="00924A44">
        <w:rPr>
          <w:b/>
        </w:rPr>
        <w:t xml:space="preserve"> </w:t>
      </w:r>
    </w:p>
    <w:p w:rsidR="00473AFA" w:rsidRPr="00924A44" w:rsidRDefault="00473AFA" w:rsidP="00203CC7">
      <w:pPr>
        <w:rPr>
          <w:b/>
        </w:rPr>
      </w:pPr>
    </w:p>
    <w:p w:rsidR="00804452" w:rsidRPr="00924A44" w:rsidRDefault="00473AFA" w:rsidP="00203CC7">
      <w:r w:rsidRPr="00924A44">
        <w:t>A8:</w:t>
      </w:r>
      <w:r w:rsidR="00804452" w:rsidRPr="00924A44">
        <w:t xml:space="preserve"> Under the current investment policy, the most important </w:t>
      </w:r>
      <w:r w:rsidR="00C850AA">
        <w:t>of the objectives of the Organiz</w:t>
      </w:r>
      <w:r w:rsidR="00804452" w:rsidRPr="00924A44">
        <w:t>ation’s investment management is to preserve capital.  In an environment of negative interest rates, the ability to do this is obviously reduced as the negative rates reduce capital balances.  In order to avoid this happening, it is necessary to invest the capital in assets which give a positive rate of return.  Such assets carry more risk than an asset such as a bank deposit, for example, which would currently attract a negative interest rate.</w:t>
      </w:r>
    </w:p>
    <w:p w:rsidR="00804452" w:rsidRPr="00924A44" w:rsidRDefault="00804452" w:rsidP="00203CC7">
      <w:pPr>
        <w:tabs>
          <w:tab w:val="num" w:pos="720"/>
        </w:tabs>
        <w:rPr>
          <w:b/>
        </w:rPr>
      </w:pPr>
    </w:p>
    <w:p w:rsidR="00473AFA" w:rsidRPr="00924A44" w:rsidRDefault="00473AFA" w:rsidP="00203CC7">
      <w:pPr>
        <w:pStyle w:val="ListParagraph"/>
        <w:rPr>
          <w:rFonts w:ascii="Arial"/>
          <w:b/>
          <w:lang w:val="en-US"/>
        </w:rPr>
      </w:pPr>
    </w:p>
    <w:p w:rsidR="00224A65" w:rsidRPr="00924A44" w:rsidRDefault="005C3DBE" w:rsidP="00203CC7">
      <w:pPr>
        <w:rPr>
          <w:b/>
        </w:rPr>
      </w:pPr>
      <w:r w:rsidRPr="00924A44">
        <w:rPr>
          <w:b/>
        </w:rPr>
        <w:t>Q9.  T</w:t>
      </w:r>
      <w:r w:rsidR="00224A65" w:rsidRPr="00924A44">
        <w:rPr>
          <w:b/>
        </w:rPr>
        <w:t>he Policy on Investments in paragraph 7 (and this part remains unaffected by the current proposed revision) does contemplate investments in currencies other than the Swiss franc, making provision for the use of hedging instruments to minimize the related risks</w:t>
      </w:r>
      <w:r w:rsidRPr="00924A44">
        <w:rPr>
          <w:b/>
        </w:rPr>
        <w:t>.  I</w:t>
      </w:r>
      <w:r w:rsidR="00224A65" w:rsidRPr="00924A44">
        <w:rPr>
          <w:b/>
        </w:rPr>
        <w:t>n light of this flexibility, what types of concrete situations may lead to capital erosion being unavoidable due to negative interest rates even, therefore, in view of the opportunity to invest in currencies other than the Swiss franc afforded by the Policy on Investments, and what amounts these would represent</w:t>
      </w:r>
      <w:r w:rsidRPr="00924A44">
        <w:rPr>
          <w:b/>
        </w:rPr>
        <w:t>?</w:t>
      </w:r>
    </w:p>
    <w:p w:rsidR="00473AFA" w:rsidRPr="00924A44" w:rsidRDefault="00473AFA" w:rsidP="00203CC7">
      <w:pPr>
        <w:rPr>
          <w:b/>
        </w:rPr>
      </w:pPr>
    </w:p>
    <w:p w:rsidR="00804452" w:rsidRPr="00924A44" w:rsidRDefault="00473AFA" w:rsidP="00203CC7">
      <w:r w:rsidRPr="00924A44">
        <w:t xml:space="preserve">A9: </w:t>
      </w:r>
      <w:r w:rsidR="00804452" w:rsidRPr="00924A44">
        <w:t xml:space="preserve">Positive interest rates currently do exist in various countries although this is sometimes only the case for medium-term investments (5-10 years) which may not be a suitable investment horizon for the Organization.  If the Secretariat became aware of an investment to be held in a foreign currency, which would give a positive return once hedged back </w:t>
      </w:r>
      <w:proofErr w:type="gramStart"/>
      <w:r w:rsidR="00804452" w:rsidRPr="00924A44">
        <w:t>into Swiss francs (which is</w:t>
      </w:r>
      <w:proofErr w:type="gramEnd"/>
      <w:r w:rsidR="00804452" w:rsidRPr="00924A44">
        <w:t xml:space="preserve"> frequently not the case) and if the maturity of the underlying investment satisfied WIPO’s requirements, such an investment would obviously be of interes</w:t>
      </w:r>
      <w:r w:rsidR="00203CC7">
        <w:t>t.  However, the need to minimiz</w:t>
      </w:r>
      <w:r w:rsidR="00804452" w:rsidRPr="00924A44">
        <w:t>e risk requires diversification so it would not be possible to put all of WIPO’s investments in one such investment product or, indeed, in one particular currency.</w:t>
      </w:r>
    </w:p>
    <w:p w:rsidR="00473AFA" w:rsidRPr="00924A44" w:rsidRDefault="00473AFA" w:rsidP="00203CC7"/>
    <w:p w:rsidR="00473AFA" w:rsidRPr="00924A44" w:rsidRDefault="00473AFA" w:rsidP="00203CC7">
      <w:pPr>
        <w:rPr>
          <w:b/>
        </w:rPr>
      </w:pPr>
    </w:p>
    <w:p w:rsidR="00224A65" w:rsidRPr="00924A44" w:rsidRDefault="005C3DBE" w:rsidP="00203CC7">
      <w:pPr>
        <w:rPr>
          <w:b/>
        </w:rPr>
      </w:pPr>
      <w:r w:rsidRPr="00924A44">
        <w:rPr>
          <w:b/>
        </w:rPr>
        <w:t xml:space="preserve">Q10.  </w:t>
      </w:r>
      <w:r w:rsidR="00224A65" w:rsidRPr="00924A44">
        <w:rPr>
          <w:b/>
        </w:rPr>
        <w:t>This very likely relates to the Proposal for Additional Revisions to Policy on Investments [sic] (WO/PBC/23/7) and particularly to the pending new policy on investment regarding operating cash, and one issue we would want to look at is indeed challenges posed by negative interest rates for investments of operating cash, requiring high liquidity; in other words, is it that the caveat in question is meant to indicate that operating cash – because of the high liquidity requirement – may not lend itself to being invested in currencies other than the Swiss franc? This would still entail capital erosion, however.</w:t>
      </w:r>
    </w:p>
    <w:p w:rsidR="00224A65" w:rsidRPr="00924A44" w:rsidRDefault="00224A65" w:rsidP="00203CC7">
      <w:pPr>
        <w:rPr>
          <w:b/>
        </w:rPr>
      </w:pPr>
    </w:p>
    <w:p w:rsidR="00804452" w:rsidRPr="00924A44" w:rsidRDefault="00473AFA" w:rsidP="00203CC7">
      <w:r w:rsidRPr="00924A44">
        <w:t>A10:</w:t>
      </w:r>
      <w:r w:rsidR="00804452" w:rsidRPr="00924A44">
        <w:t xml:space="preserve"> It is possible for operating cash to be invested in foreign currency investment products which are of short duration.  For example, WIPO could invest in a USD deposit for one month and hedge back into Swiss francs at the end of that month.  The money would therefore only be “tied up” for a month and could therefore be regarded as relatively liquid and as meeting the criteria for operating cash.  However, in practice, given the effect of the hedge into Swiss francs, such an investment would yield either a zero or negative return</w:t>
      </w:r>
    </w:p>
    <w:p w:rsidR="00473AFA" w:rsidRPr="00924A44" w:rsidRDefault="00473AFA" w:rsidP="00203CC7"/>
    <w:p w:rsidR="00473AFA" w:rsidRPr="00924A44" w:rsidRDefault="00473AFA" w:rsidP="00203CC7">
      <w:pPr>
        <w:rPr>
          <w:b/>
        </w:rPr>
      </w:pPr>
    </w:p>
    <w:p w:rsidR="00224A65" w:rsidRPr="00924A44" w:rsidRDefault="005C3DBE" w:rsidP="00203CC7">
      <w:pPr>
        <w:rPr>
          <w:rFonts w:eastAsia="Arial"/>
          <w:b/>
        </w:rPr>
      </w:pPr>
      <w:r w:rsidRPr="00924A44">
        <w:rPr>
          <w:rFonts w:eastAsia="Arial"/>
          <w:b/>
        </w:rPr>
        <w:t xml:space="preserve">Q11.  </w:t>
      </w:r>
      <w:r w:rsidR="00224A65" w:rsidRPr="00924A44">
        <w:rPr>
          <w:rFonts w:eastAsia="Arial"/>
          <w:b/>
        </w:rPr>
        <w:t>In addition, whether this new caveat on capital preservation is meant to refer to the Swiss situation, or rather to act as a blanket statement to indicate that interest rates may be negative for any given investment, including abroad; the latter would be less concerning because it would act as a disclaimer of sorts, while the former would be more concerning because it entails that WIPO may not be able to “escape” negative interest rates in Switzerland through investments not affected by that policy.</w:t>
      </w:r>
    </w:p>
    <w:p w:rsidR="00224A65" w:rsidRPr="00924A44" w:rsidRDefault="00224A65" w:rsidP="00203CC7">
      <w:pPr>
        <w:tabs>
          <w:tab w:val="left" w:pos="5529"/>
        </w:tabs>
      </w:pPr>
    </w:p>
    <w:p w:rsidR="003B64BE" w:rsidRPr="00924A44" w:rsidRDefault="00473AFA" w:rsidP="00203CC7">
      <w:r w:rsidRPr="00924A44">
        <w:t>A11:</w:t>
      </w:r>
      <w:r w:rsidR="003B64BE" w:rsidRPr="00924A44">
        <w:t xml:space="preserve"> It is very possible that positive returns obtained on investments held in foreign currencies would become negative or, at best, be at zero once the investment is hedged back into Swiss francs. (</w:t>
      </w:r>
      <w:proofErr w:type="gramStart"/>
      <w:r w:rsidR="003B64BE" w:rsidRPr="00924A44">
        <w:t>please</w:t>
      </w:r>
      <w:proofErr w:type="gramEnd"/>
      <w:r w:rsidR="003B64BE" w:rsidRPr="00924A44">
        <w:t xml:space="preserve"> see answers above).</w:t>
      </w:r>
    </w:p>
    <w:p w:rsidR="003B64BE" w:rsidRPr="00924A44" w:rsidRDefault="003B64BE" w:rsidP="00203CC7">
      <w:pPr>
        <w:rPr>
          <w:rFonts w:eastAsia="Arial"/>
        </w:rPr>
      </w:pPr>
    </w:p>
    <w:p w:rsidR="00473AFA" w:rsidRPr="00924A44" w:rsidRDefault="00473AFA" w:rsidP="00203CC7">
      <w:pPr>
        <w:tabs>
          <w:tab w:val="left" w:pos="5529"/>
        </w:tabs>
      </w:pPr>
    </w:p>
    <w:p w:rsidR="00373B6D" w:rsidRPr="00671B9C" w:rsidRDefault="00373B6D" w:rsidP="00203CC7">
      <w:pPr>
        <w:tabs>
          <w:tab w:val="left" w:pos="5529"/>
        </w:tabs>
        <w:rPr>
          <w:sz w:val="24"/>
          <w:szCs w:val="24"/>
        </w:rPr>
      </w:pPr>
      <w:r w:rsidRPr="00671B9C">
        <w:rPr>
          <w:sz w:val="24"/>
          <w:szCs w:val="24"/>
        </w:rPr>
        <w:t>PROPOSAL ON A REVISED WIPO POLICY RELATED TO RESERVES</w:t>
      </w:r>
      <w:r w:rsidR="00387002" w:rsidRPr="00671B9C">
        <w:rPr>
          <w:sz w:val="24"/>
          <w:szCs w:val="24"/>
        </w:rPr>
        <w:tab/>
      </w:r>
    </w:p>
    <w:p w:rsidR="00373B6D" w:rsidRPr="00671B9C" w:rsidRDefault="00373B6D" w:rsidP="00203CC7">
      <w:pPr>
        <w:tabs>
          <w:tab w:val="left" w:pos="5529"/>
        </w:tabs>
      </w:pPr>
    </w:p>
    <w:p w:rsidR="00473AFA" w:rsidRPr="00671B9C" w:rsidRDefault="005F0E99" w:rsidP="00203CC7">
      <w:pPr>
        <w:pStyle w:val="ONUME"/>
        <w:numPr>
          <w:ilvl w:val="0"/>
          <w:numId w:val="0"/>
        </w:numPr>
        <w:rPr>
          <w:b/>
        </w:rPr>
      </w:pPr>
      <w:r w:rsidRPr="00671B9C">
        <w:rPr>
          <w:b/>
          <w:bCs/>
        </w:rPr>
        <w:t>Q</w:t>
      </w:r>
      <w:r w:rsidR="00473AFA" w:rsidRPr="00671B9C">
        <w:rPr>
          <w:b/>
          <w:bCs/>
        </w:rPr>
        <w:t>1</w:t>
      </w:r>
      <w:r w:rsidRPr="00671B9C">
        <w:rPr>
          <w:b/>
          <w:bCs/>
        </w:rPr>
        <w:t xml:space="preserve">:  </w:t>
      </w:r>
      <w:r w:rsidRPr="00671B9C">
        <w:rPr>
          <w:b/>
        </w:rPr>
        <w:t xml:space="preserve">Before, the reserves were set at 18.5% of biennial expenditure.  Now there is a recommendation to shift to 22%.  </w:t>
      </w:r>
      <w:r w:rsidR="00473AFA" w:rsidRPr="00671B9C">
        <w:rPr>
          <w:b/>
        </w:rPr>
        <w:t>What is the rationale behind this proposal</w:t>
      </w:r>
      <w:r w:rsidRPr="00671B9C">
        <w:rPr>
          <w:b/>
        </w:rPr>
        <w:t xml:space="preserve">?  </w:t>
      </w:r>
    </w:p>
    <w:p w:rsidR="00512E65" w:rsidRPr="00671B9C" w:rsidRDefault="00473AFA" w:rsidP="00203CC7">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rPr>
          <w:rFonts w:ascii="Arial" w:eastAsia="Arial" w:hAnsi="Arial" w:cs="Arial"/>
          <w:color w:val="auto"/>
          <w:sz w:val="22"/>
          <w:szCs w:val="20"/>
          <w:bdr w:val="none" w:sz="0" w:space="0" w:color="auto"/>
          <w:lang w:val="en-US" w:eastAsia="zh-CN"/>
        </w:rPr>
      </w:pPr>
      <w:r w:rsidRPr="00671B9C">
        <w:rPr>
          <w:rFonts w:ascii="Arial" w:eastAsia="Arial" w:hAnsi="Arial" w:cs="Arial"/>
          <w:color w:val="auto"/>
          <w:sz w:val="22"/>
          <w:szCs w:val="20"/>
          <w:bdr w:val="none" w:sz="0" w:space="0" w:color="auto"/>
          <w:lang w:val="en-US" w:eastAsia="zh-CN"/>
        </w:rPr>
        <w:t>A1:</w:t>
      </w:r>
      <w:r w:rsidR="00CB62E3" w:rsidRPr="00671B9C">
        <w:rPr>
          <w:rFonts w:ascii="Arial" w:eastAsia="Arial" w:hAnsi="Arial" w:cs="Arial"/>
          <w:color w:val="auto"/>
          <w:sz w:val="22"/>
          <w:szCs w:val="20"/>
          <w:bdr w:val="none" w:sz="0" w:space="0" w:color="auto"/>
          <w:lang w:val="en-US" w:eastAsia="zh-CN"/>
        </w:rPr>
        <w:t xml:space="preserve">  </w:t>
      </w:r>
      <w:r w:rsidR="00512E65" w:rsidRPr="00671B9C">
        <w:rPr>
          <w:rFonts w:ascii="Arial" w:eastAsia="Arial" w:hAnsi="Arial" w:cs="Arial"/>
          <w:color w:val="auto"/>
          <w:sz w:val="22"/>
          <w:szCs w:val="20"/>
          <w:bdr w:val="none" w:sz="0" w:space="0" w:color="auto"/>
          <w:lang w:val="en-US" w:eastAsia="zh-CN"/>
        </w:rPr>
        <w:t xml:space="preserve">The increase in the target level of the Reserves will serve to strengthen financial risk management by increasing from 4 to 5 months </w:t>
      </w:r>
      <w:r w:rsidR="00BA519A" w:rsidRPr="00671B9C">
        <w:rPr>
          <w:rFonts w:ascii="Arial" w:eastAsia="Arial" w:hAnsi="Arial" w:cs="Arial"/>
          <w:color w:val="auto"/>
          <w:sz w:val="22"/>
          <w:szCs w:val="20"/>
          <w:bdr w:val="none" w:sz="0" w:space="0" w:color="auto"/>
          <w:lang w:val="en-US" w:eastAsia="zh-CN"/>
        </w:rPr>
        <w:t>the period during</w:t>
      </w:r>
      <w:r w:rsidR="00512E65" w:rsidRPr="00671B9C">
        <w:rPr>
          <w:rFonts w:ascii="Arial" w:eastAsia="Arial" w:hAnsi="Arial" w:cs="Arial"/>
          <w:color w:val="auto"/>
          <w:sz w:val="22"/>
          <w:szCs w:val="20"/>
          <w:bdr w:val="none" w:sz="0" w:space="0" w:color="auto"/>
          <w:lang w:val="en-US" w:eastAsia="zh-CN"/>
        </w:rPr>
        <w:t xml:space="preserve"> which the Organization’s operation could be funded by drawing exclusively on the Reserve funds.  Furthermore, the proposed increase is in accordance with Member States’ preference that the increase in the target Reserves be gradually implemented. The increased Reserves level of 22 per cent is also more aligned to the Swiss External Auditor’s recommendation of 2006 which recommended that the Reserves target be set at 25 per cent of Projected Biennial Expenditure i.e. the equivalent of six months of biennial expenditure</w:t>
      </w:r>
      <w:r w:rsidR="00BA519A" w:rsidRPr="00671B9C">
        <w:rPr>
          <w:rFonts w:ascii="Arial" w:eastAsia="Arial" w:hAnsi="Arial" w:cs="Arial"/>
          <w:color w:val="auto"/>
          <w:sz w:val="22"/>
          <w:szCs w:val="20"/>
          <w:bdr w:val="none" w:sz="0" w:space="0" w:color="auto"/>
          <w:lang w:val="en-US" w:eastAsia="zh-CN"/>
        </w:rPr>
        <w:t xml:space="preserve"> (please refer to paragraphs 8-13 of the document WO/PBC/23/8)</w:t>
      </w:r>
      <w:r w:rsidR="00512E65" w:rsidRPr="00671B9C">
        <w:rPr>
          <w:rFonts w:ascii="Arial" w:eastAsia="Arial" w:hAnsi="Arial" w:cs="Arial"/>
          <w:color w:val="auto"/>
          <w:sz w:val="22"/>
          <w:szCs w:val="20"/>
          <w:bdr w:val="none" w:sz="0" w:space="0" w:color="auto"/>
          <w:lang w:val="en-US" w:eastAsia="zh-CN"/>
        </w:rPr>
        <w:t>.</w:t>
      </w:r>
    </w:p>
    <w:p w:rsidR="005340D4" w:rsidRPr="00671B9C" w:rsidRDefault="005340D4" w:rsidP="00203CC7">
      <w:pPr>
        <w:pStyle w:val="ONUME"/>
        <w:numPr>
          <w:ilvl w:val="0"/>
          <w:numId w:val="0"/>
        </w:numPr>
        <w:rPr>
          <w:b/>
        </w:rPr>
      </w:pPr>
    </w:p>
    <w:p w:rsidR="002F446C" w:rsidRPr="00671B9C" w:rsidRDefault="00473AFA" w:rsidP="00203CC7">
      <w:pPr>
        <w:pStyle w:val="ONUME"/>
        <w:numPr>
          <w:ilvl w:val="0"/>
          <w:numId w:val="0"/>
        </w:numPr>
        <w:rPr>
          <w:b/>
          <w:bCs/>
        </w:rPr>
      </w:pPr>
      <w:r w:rsidRPr="00671B9C">
        <w:rPr>
          <w:b/>
        </w:rPr>
        <w:t xml:space="preserve">Q2: </w:t>
      </w:r>
      <w:r w:rsidR="002F446C" w:rsidRPr="00671B9C">
        <w:rPr>
          <w:b/>
        </w:rPr>
        <w:t>T</w:t>
      </w:r>
      <w:r w:rsidR="002F446C" w:rsidRPr="00671B9C">
        <w:rPr>
          <w:rFonts w:eastAsia="Arial"/>
          <w:b/>
        </w:rPr>
        <w:t xml:space="preserve">he revised Policy </w:t>
      </w:r>
      <w:r w:rsidRPr="00671B9C">
        <w:rPr>
          <w:rFonts w:eastAsia="Arial"/>
          <w:b/>
        </w:rPr>
        <w:t xml:space="preserve">related to Reserves </w:t>
      </w:r>
      <w:r w:rsidR="002F446C" w:rsidRPr="00671B9C">
        <w:rPr>
          <w:rFonts w:eastAsia="Arial"/>
          <w:b/>
        </w:rPr>
        <w:t>would seemingly no longer prevent the use of the Reserves “for recurring, operational activities of the Organization”, as is the case in the ex</w:t>
      </w:r>
      <w:r w:rsidRPr="00671B9C">
        <w:rPr>
          <w:rFonts w:eastAsia="Arial"/>
          <w:b/>
        </w:rPr>
        <w:t>isting</w:t>
      </w:r>
      <w:r w:rsidR="002F446C" w:rsidRPr="00671B9C">
        <w:rPr>
          <w:rFonts w:eastAsia="Arial"/>
          <w:b/>
        </w:rPr>
        <w:t xml:space="preserve"> Policy</w:t>
      </w:r>
      <w:r w:rsidRPr="00671B9C">
        <w:rPr>
          <w:rFonts w:eastAsia="Arial"/>
          <w:b/>
        </w:rPr>
        <w:t>.</w:t>
      </w:r>
      <w:r w:rsidR="002F446C" w:rsidRPr="00671B9C">
        <w:rPr>
          <w:rFonts w:eastAsia="Arial"/>
          <w:b/>
        </w:rPr>
        <w:t xml:space="preserve"> Why </w:t>
      </w:r>
      <w:r w:rsidR="00E61E4C" w:rsidRPr="00671B9C">
        <w:rPr>
          <w:rFonts w:eastAsia="Arial"/>
          <w:b/>
        </w:rPr>
        <w:t xml:space="preserve">should </w:t>
      </w:r>
      <w:r w:rsidR="002F446C" w:rsidRPr="00671B9C">
        <w:rPr>
          <w:rFonts w:eastAsia="Arial"/>
          <w:b/>
        </w:rPr>
        <w:t>the Reserves finance any “recurring, operational activities of the Organization”</w:t>
      </w:r>
      <w:r w:rsidR="00E61E4C" w:rsidRPr="00671B9C">
        <w:rPr>
          <w:rFonts w:eastAsia="Arial"/>
          <w:b/>
        </w:rPr>
        <w:t xml:space="preserve"> </w:t>
      </w:r>
      <w:r w:rsidR="002F446C" w:rsidRPr="00671B9C">
        <w:rPr>
          <w:rFonts w:eastAsia="Arial"/>
          <w:b/>
        </w:rPr>
        <w:t xml:space="preserve">and what </w:t>
      </w:r>
      <w:r w:rsidR="00E61E4C" w:rsidRPr="00671B9C">
        <w:rPr>
          <w:rFonts w:eastAsia="Arial"/>
          <w:b/>
        </w:rPr>
        <w:t xml:space="preserve">would </w:t>
      </w:r>
      <w:r w:rsidR="002F446C" w:rsidRPr="00671B9C">
        <w:rPr>
          <w:rFonts w:eastAsia="Arial"/>
          <w:b/>
        </w:rPr>
        <w:t>those activities be</w:t>
      </w:r>
      <w:r w:rsidR="00E61E4C" w:rsidRPr="00671B9C">
        <w:rPr>
          <w:rFonts w:eastAsia="Arial"/>
          <w:b/>
        </w:rPr>
        <w:t>?</w:t>
      </w:r>
    </w:p>
    <w:p w:rsidR="00ED71C1" w:rsidRPr="00671B9C" w:rsidRDefault="00E61E4C" w:rsidP="00203CC7">
      <w:pPr>
        <w:rPr>
          <w:rFonts w:eastAsia="Arial"/>
        </w:rPr>
      </w:pPr>
      <w:r w:rsidRPr="00671B9C">
        <w:rPr>
          <w:rFonts w:eastAsia="Arial"/>
        </w:rPr>
        <w:t xml:space="preserve">A2: </w:t>
      </w:r>
      <w:r w:rsidR="00ED71C1" w:rsidRPr="00671B9C">
        <w:rPr>
          <w:rFonts w:eastAsia="Arial"/>
        </w:rPr>
        <w:t xml:space="preserve">There is no intention to use the </w:t>
      </w:r>
      <w:r w:rsidR="00E9082F" w:rsidRPr="00671B9C">
        <w:rPr>
          <w:rFonts w:eastAsia="Arial"/>
        </w:rPr>
        <w:t>R</w:t>
      </w:r>
      <w:r w:rsidR="00ED71C1" w:rsidRPr="00671B9C">
        <w:rPr>
          <w:rFonts w:eastAsia="Arial"/>
        </w:rPr>
        <w:t xml:space="preserve">eserves for ‘recurring, operational activities’; the contrary is the case.  Where a project financed by the </w:t>
      </w:r>
      <w:r w:rsidR="00E9082F" w:rsidRPr="00671B9C">
        <w:rPr>
          <w:rFonts w:eastAsia="Arial"/>
        </w:rPr>
        <w:t>R</w:t>
      </w:r>
      <w:r w:rsidR="00ED71C1" w:rsidRPr="00671B9C">
        <w:rPr>
          <w:rFonts w:eastAsia="Arial"/>
        </w:rPr>
        <w:t>eserves generates recurring expenses once completed (such as a</w:t>
      </w:r>
      <w:r w:rsidR="00732467" w:rsidRPr="00671B9C">
        <w:rPr>
          <w:rFonts w:eastAsia="Arial"/>
        </w:rPr>
        <w:t>n</w:t>
      </w:r>
      <w:r w:rsidR="00ED71C1" w:rsidRPr="00671B9C">
        <w:rPr>
          <w:rFonts w:eastAsia="Arial"/>
        </w:rPr>
        <w:t xml:space="preserve"> </w:t>
      </w:r>
      <w:r w:rsidR="00732467" w:rsidRPr="00671B9C">
        <w:rPr>
          <w:rFonts w:eastAsia="Arial"/>
        </w:rPr>
        <w:t>ICT</w:t>
      </w:r>
      <w:r w:rsidR="00ED71C1" w:rsidRPr="00671B9C">
        <w:rPr>
          <w:rFonts w:eastAsia="Arial"/>
        </w:rPr>
        <w:t xml:space="preserve"> project which leads to recurring maintenance costs, for example), the recurring costs will be included within the </w:t>
      </w:r>
      <w:r w:rsidR="00732467" w:rsidRPr="00671B9C">
        <w:rPr>
          <w:rFonts w:eastAsia="Arial"/>
        </w:rPr>
        <w:t>consecutive Program and Budgets (i.e. will be financed from the regular budget).</w:t>
      </w:r>
    </w:p>
    <w:p w:rsidR="002F446C" w:rsidRPr="00671B9C" w:rsidRDefault="002F446C" w:rsidP="00203CC7">
      <w:pPr>
        <w:widowControl w:val="0"/>
        <w:rPr>
          <w:rFonts w:eastAsia="Arial"/>
        </w:rPr>
      </w:pPr>
    </w:p>
    <w:p w:rsidR="00E61E4C" w:rsidRPr="00671B9C" w:rsidRDefault="00E61E4C" w:rsidP="00203CC7">
      <w:pPr>
        <w:widowControl w:val="0"/>
        <w:rPr>
          <w:rFonts w:eastAsia="Arial"/>
        </w:rPr>
      </w:pPr>
    </w:p>
    <w:p w:rsidR="002F446C" w:rsidRPr="00671B9C" w:rsidRDefault="00E61E4C" w:rsidP="00203CC7">
      <w:pPr>
        <w:rPr>
          <w:rFonts w:eastAsia="Arial"/>
          <w:b/>
        </w:rPr>
      </w:pPr>
      <w:r w:rsidRPr="00671B9C">
        <w:rPr>
          <w:rFonts w:eastAsia="Arial"/>
          <w:b/>
        </w:rPr>
        <w:t xml:space="preserve">Q3: </w:t>
      </w:r>
      <w:r w:rsidR="002F446C" w:rsidRPr="00671B9C">
        <w:rPr>
          <w:rFonts w:eastAsia="Arial"/>
          <w:b/>
        </w:rPr>
        <w:t xml:space="preserve">Principle 3 of the revised Policy makes provision for “a long-term capital master plan”, which </w:t>
      </w:r>
      <w:r w:rsidRPr="00671B9C">
        <w:rPr>
          <w:rFonts w:eastAsia="Arial"/>
          <w:b/>
        </w:rPr>
        <w:t>appears</w:t>
      </w:r>
      <w:r w:rsidR="002F446C" w:rsidRPr="00671B9C">
        <w:rPr>
          <w:rFonts w:eastAsia="Arial"/>
          <w:b/>
        </w:rPr>
        <w:t xml:space="preserve"> </w:t>
      </w:r>
      <w:r w:rsidRPr="00671B9C">
        <w:rPr>
          <w:rFonts w:eastAsia="Arial"/>
          <w:b/>
        </w:rPr>
        <w:t xml:space="preserve">to </w:t>
      </w:r>
      <w:r w:rsidR="002F446C" w:rsidRPr="00671B9C">
        <w:rPr>
          <w:rFonts w:eastAsia="Arial"/>
          <w:b/>
        </w:rPr>
        <w:t>contradict the provision whereby Reserves are for “extra-ordinary [sic], one-time capital projects and expenditures”</w:t>
      </w:r>
      <w:r w:rsidRPr="00671B9C">
        <w:rPr>
          <w:rFonts w:eastAsia="Arial"/>
          <w:b/>
        </w:rPr>
        <w:t>.</w:t>
      </w:r>
      <w:r w:rsidR="002F446C" w:rsidRPr="00671B9C">
        <w:rPr>
          <w:rFonts w:eastAsia="Arial"/>
          <w:b/>
        </w:rPr>
        <w:t xml:space="preserve"> </w:t>
      </w:r>
      <w:r w:rsidRPr="00671B9C">
        <w:rPr>
          <w:rFonts w:eastAsia="Arial"/>
          <w:b/>
        </w:rPr>
        <w:t>H</w:t>
      </w:r>
      <w:r w:rsidR="002F446C" w:rsidRPr="00671B9C">
        <w:rPr>
          <w:rFonts w:eastAsia="Arial"/>
          <w:b/>
        </w:rPr>
        <w:t xml:space="preserve">ow </w:t>
      </w:r>
      <w:r w:rsidRPr="00671B9C">
        <w:rPr>
          <w:rFonts w:eastAsia="Arial"/>
          <w:b/>
        </w:rPr>
        <w:t xml:space="preserve">would </w:t>
      </w:r>
      <w:r w:rsidR="002F446C" w:rsidRPr="00671B9C">
        <w:rPr>
          <w:rFonts w:eastAsia="Arial"/>
          <w:b/>
        </w:rPr>
        <w:t>these two provisions</w:t>
      </w:r>
      <w:r w:rsidRPr="00671B9C">
        <w:rPr>
          <w:rFonts w:eastAsia="Arial"/>
          <w:b/>
        </w:rPr>
        <w:t xml:space="preserve"> be reconciled? </w:t>
      </w:r>
    </w:p>
    <w:p w:rsidR="002F446C" w:rsidRPr="00671B9C" w:rsidRDefault="002F446C" w:rsidP="00203CC7">
      <w:pPr>
        <w:rPr>
          <w:rFonts w:eastAsia="Arial"/>
        </w:rPr>
      </w:pPr>
    </w:p>
    <w:p w:rsidR="00E61E4C" w:rsidRPr="00671B9C" w:rsidRDefault="00E61E4C" w:rsidP="00203CC7">
      <w:pPr>
        <w:rPr>
          <w:rFonts w:eastAsia="Arial"/>
        </w:rPr>
      </w:pPr>
      <w:r w:rsidRPr="00671B9C">
        <w:rPr>
          <w:rFonts w:eastAsia="Arial"/>
        </w:rPr>
        <w:t>A3:</w:t>
      </w:r>
      <w:r w:rsidR="00047329" w:rsidRPr="00671B9C">
        <w:rPr>
          <w:rFonts w:eastAsia="Arial"/>
        </w:rPr>
        <w:t xml:space="preserve"> Principle 3 (reproduced below) </w:t>
      </w:r>
      <w:r w:rsidR="00040896" w:rsidRPr="00671B9C">
        <w:rPr>
          <w:rFonts w:eastAsia="Arial"/>
        </w:rPr>
        <w:t xml:space="preserve">makes reference </w:t>
      </w:r>
      <w:r w:rsidR="00047329" w:rsidRPr="00671B9C">
        <w:rPr>
          <w:rFonts w:eastAsia="Arial"/>
        </w:rPr>
        <w:t xml:space="preserve">to </w:t>
      </w:r>
      <w:r w:rsidR="00040896" w:rsidRPr="00671B9C">
        <w:rPr>
          <w:rFonts w:eastAsia="Arial"/>
        </w:rPr>
        <w:t xml:space="preserve">the fact that </w:t>
      </w:r>
      <w:r w:rsidR="00047329" w:rsidRPr="00671B9C">
        <w:rPr>
          <w:rFonts w:eastAsia="Arial"/>
        </w:rPr>
        <w:t>“capital projects would typically be identified in a long-term capital master plan”</w:t>
      </w:r>
      <w:r w:rsidR="00040896" w:rsidRPr="00671B9C">
        <w:rPr>
          <w:rFonts w:eastAsia="Arial"/>
        </w:rPr>
        <w:t xml:space="preserve">. In accordance with good practice, any Organization should draw up a long-term plan for major capital projects related to construction/refurbishment of premises and ICT. Many such capital projects would be “extra-ordinary, one time” investments (i.e. for example renovation of a building) but could be planned to be initiated only in five </w:t>
      </w:r>
      <w:proofErr w:type="spellStart"/>
      <w:r w:rsidR="00040896" w:rsidRPr="00671B9C">
        <w:rPr>
          <w:rFonts w:eastAsia="Arial"/>
        </w:rPr>
        <w:t>years time</w:t>
      </w:r>
      <w:proofErr w:type="spellEnd"/>
      <w:r w:rsidR="00040896" w:rsidRPr="00671B9C">
        <w:rPr>
          <w:rFonts w:eastAsia="Arial"/>
        </w:rPr>
        <w:t xml:space="preserve">. There is hence no contradiction between the notions of long term planning and the extra-ordinary nature of capital investments.         </w:t>
      </w:r>
      <w:r w:rsidR="00047329" w:rsidRPr="00671B9C">
        <w:rPr>
          <w:rFonts w:eastAsia="Arial"/>
        </w:rPr>
        <w:t xml:space="preserve">  </w:t>
      </w:r>
    </w:p>
    <w:p w:rsidR="00047329" w:rsidRPr="00671B9C" w:rsidRDefault="00047329" w:rsidP="00203CC7">
      <w:pPr>
        <w:rPr>
          <w:rFonts w:eastAsia="Arial"/>
        </w:rPr>
      </w:pPr>
    </w:p>
    <w:p w:rsidR="00047329" w:rsidRPr="00671B9C" w:rsidRDefault="00047329" w:rsidP="00203CC7">
      <w:pPr>
        <w:tabs>
          <w:tab w:val="left" w:pos="3150"/>
          <w:tab w:val="left" w:pos="3420"/>
        </w:tabs>
        <w:spacing w:after="120"/>
        <w:ind w:left="567"/>
        <w:rPr>
          <w:b/>
          <w:i/>
        </w:rPr>
      </w:pPr>
      <w:r w:rsidRPr="00671B9C">
        <w:rPr>
          <w:b/>
          <w:i/>
        </w:rPr>
        <w:t xml:space="preserve">PRINCIPLE 3: Proposals for the use of the Reserves should be for extra-ordinary, one-time capital projects and expenditures, and, under exceptional circumstances, for strategic initiatives as decided upon by the Assemblies of the Unions of WIPO.  Capital projects would typically be identified in a long-term capital master plan and may be defined as projects related to construction/refurbishment and Information </w:t>
      </w:r>
      <w:r w:rsidRPr="00671B9C">
        <w:rPr>
          <w:b/>
          <w:i/>
        </w:rPr>
        <w:lastRenderedPageBreak/>
        <w:t>and Communication Technology that are needed to keep an Organization’s facilities and systems fit-for-purpose through significant expansion or additions.</w:t>
      </w:r>
    </w:p>
    <w:p w:rsidR="00047329" w:rsidRPr="00671B9C" w:rsidRDefault="00047329" w:rsidP="00203CC7">
      <w:pPr>
        <w:rPr>
          <w:rFonts w:eastAsia="Arial"/>
        </w:rPr>
      </w:pPr>
    </w:p>
    <w:p w:rsidR="005340D4" w:rsidRPr="00671B9C" w:rsidRDefault="005340D4" w:rsidP="00203CC7">
      <w:pPr>
        <w:widowControl w:val="0"/>
        <w:rPr>
          <w:rFonts w:eastAsia="Arial"/>
          <w:b/>
        </w:rPr>
      </w:pPr>
    </w:p>
    <w:p w:rsidR="002F446C" w:rsidRPr="00671B9C" w:rsidRDefault="00E61E4C" w:rsidP="00203CC7">
      <w:pPr>
        <w:widowControl w:val="0"/>
        <w:rPr>
          <w:rFonts w:eastAsia="Arial"/>
          <w:b/>
        </w:rPr>
      </w:pPr>
      <w:r w:rsidRPr="00671B9C">
        <w:rPr>
          <w:rFonts w:eastAsia="Arial"/>
          <w:b/>
        </w:rPr>
        <w:t xml:space="preserve">Q4: </w:t>
      </w:r>
      <w:r w:rsidR="002F446C" w:rsidRPr="00671B9C">
        <w:rPr>
          <w:rFonts w:eastAsia="Arial"/>
          <w:b/>
        </w:rPr>
        <w:t>W</w:t>
      </w:r>
      <w:r w:rsidR="00964F45" w:rsidRPr="00671B9C">
        <w:rPr>
          <w:rFonts w:eastAsia="Arial"/>
          <w:b/>
        </w:rPr>
        <w:t xml:space="preserve">hat </w:t>
      </w:r>
      <w:r w:rsidR="00A25333" w:rsidRPr="00671B9C">
        <w:rPr>
          <w:rFonts w:eastAsia="Arial"/>
          <w:b/>
        </w:rPr>
        <w:t>was</w:t>
      </w:r>
      <w:r w:rsidR="00964F45" w:rsidRPr="00671B9C">
        <w:rPr>
          <w:rFonts w:eastAsia="Arial"/>
          <w:b/>
        </w:rPr>
        <w:t xml:space="preserve"> the reserve </w:t>
      </w:r>
      <w:r w:rsidR="002F446C" w:rsidRPr="00671B9C">
        <w:rPr>
          <w:rFonts w:eastAsia="Arial"/>
          <w:b/>
        </w:rPr>
        <w:t>e</w:t>
      </w:r>
      <w:r w:rsidR="00DC696F" w:rsidRPr="00671B9C">
        <w:rPr>
          <w:rFonts w:eastAsia="Arial"/>
          <w:b/>
        </w:rPr>
        <w:t xml:space="preserve">xpenditure </w:t>
      </w:r>
      <w:r w:rsidR="002F446C" w:rsidRPr="00671B9C">
        <w:rPr>
          <w:rFonts w:eastAsia="Arial"/>
          <w:b/>
        </w:rPr>
        <w:t>in 2014</w:t>
      </w:r>
      <w:r w:rsidR="00DC696F" w:rsidRPr="00671B9C">
        <w:rPr>
          <w:rFonts w:eastAsia="Arial"/>
          <w:b/>
        </w:rPr>
        <w:t>?</w:t>
      </w:r>
      <w:r w:rsidR="002F446C" w:rsidRPr="00671B9C">
        <w:rPr>
          <w:rFonts w:eastAsia="Arial"/>
          <w:b/>
        </w:rPr>
        <w:t xml:space="preserve"> </w:t>
      </w:r>
      <w:r w:rsidR="00EF7781" w:rsidRPr="00671B9C">
        <w:rPr>
          <w:rFonts w:eastAsia="Arial"/>
          <w:b/>
        </w:rPr>
        <w:t xml:space="preserve">And what is the </w:t>
      </w:r>
      <w:r w:rsidR="002F446C" w:rsidRPr="00671B9C">
        <w:rPr>
          <w:rFonts w:eastAsia="Arial"/>
          <w:b/>
        </w:rPr>
        <w:t xml:space="preserve">forecast for </w:t>
      </w:r>
      <w:r w:rsidR="00EF7781" w:rsidRPr="00671B9C">
        <w:rPr>
          <w:rFonts w:eastAsia="Arial"/>
          <w:b/>
        </w:rPr>
        <w:t xml:space="preserve">the </w:t>
      </w:r>
      <w:r w:rsidR="002F446C" w:rsidRPr="00671B9C">
        <w:rPr>
          <w:rFonts w:eastAsia="Arial"/>
          <w:b/>
        </w:rPr>
        <w:t xml:space="preserve">use </w:t>
      </w:r>
      <w:r w:rsidR="00EF7781" w:rsidRPr="00671B9C">
        <w:rPr>
          <w:rFonts w:eastAsia="Arial"/>
          <w:b/>
        </w:rPr>
        <w:t xml:space="preserve">of reserves </w:t>
      </w:r>
      <w:r w:rsidR="002F446C" w:rsidRPr="00671B9C">
        <w:rPr>
          <w:rFonts w:eastAsia="Arial"/>
          <w:b/>
        </w:rPr>
        <w:t>in 2016</w:t>
      </w:r>
      <w:r w:rsidR="00EF7781" w:rsidRPr="00671B9C">
        <w:rPr>
          <w:rFonts w:eastAsia="Arial"/>
          <w:b/>
        </w:rPr>
        <w:t>/</w:t>
      </w:r>
      <w:r w:rsidR="002F446C" w:rsidRPr="00671B9C">
        <w:rPr>
          <w:rFonts w:eastAsia="Arial"/>
          <w:b/>
        </w:rPr>
        <w:t>17</w:t>
      </w:r>
      <w:r w:rsidR="00EF7781" w:rsidRPr="00671B9C">
        <w:rPr>
          <w:rFonts w:eastAsia="Arial"/>
          <w:b/>
        </w:rPr>
        <w:t>?</w:t>
      </w:r>
    </w:p>
    <w:p w:rsidR="00373B6D" w:rsidRPr="00671B9C" w:rsidRDefault="00373B6D" w:rsidP="00203CC7">
      <w:pPr>
        <w:tabs>
          <w:tab w:val="left" w:pos="5529"/>
        </w:tabs>
      </w:pPr>
    </w:p>
    <w:p w:rsidR="00964F45" w:rsidRPr="00FE0F43" w:rsidRDefault="00745CE0" w:rsidP="00203CC7">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rPr>
          <w:rFonts w:ascii="Arial" w:eastAsia="SimSun" w:hAnsi="Arial" w:cs="Arial"/>
          <w:color w:val="auto"/>
          <w:sz w:val="22"/>
          <w:szCs w:val="20"/>
          <w:bdr w:val="none" w:sz="0" w:space="0" w:color="auto"/>
          <w:lang w:val="en-US" w:eastAsia="zh-CN"/>
        </w:rPr>
      </w:pPr>
      <w:r w:rsidRPr="00FE0F43">
        <w:rPr>
          <w:rFonts w:ascii="Arial" w:eastAsia="SimSun" w:hAnsi="Arial" w:cs="Arial"/>
          <w:color w:val="auto"/>
          <w:sz w:val="22"/>
          <w:szCs w:val="20"/>
          <w:bdr w:val="none" w:sz="0" w:space="0" w:color="auto"/>
          <w:lang w:val="en-US" w:eastAsia="zh-CN"/>
        </w:rPr>
        <w:t>A</w:t>
      </w:r>
      <w:r w:rsidR="00964F45" w:rsidRPr="00FE0F43">
        <w:rPr>
          <w:rFonts w:ascii="Arial" w:eastAsia="SimSun" w:hAnsi="Arial" w:cs="Arial"/>
          <w:color w:val="auto"/>
          <w:sz w:val="22"/>
          <w:szCs w:val="20"/>
          <w:bdr w:val="none" w:sz="0" w:space="0" w:color="auto"/>
          <w:lang w:val="en-US" w:eastAsia="zh-CN"/>
        </w:rPr>
        <w:t>4:</w:t>
      </w:r>
      <w:r w:rsidR="00A25333" w:rsidRPr="00FE0F43">
        <w:rPr>
          <w:rFonts w:ascii="Arial" w:eastAsia="SimSun" w:hAnsi="Arial" w:cs="Arial"/>
          <w:color w:val="auto"/>
          <w:sz w:val="22"/>
          <w:szCs w:val="20"/>
          <w:bdr w:val="none" w:sz="0" w:space="0" w:color="auto"/>
          <w:lang w:val="en-US" w:eastAsia="zh-CN"/>
        </w:rPr>
        <w:t xml:space="preserve"> Please refer to document WO/PBC/23/INF.1 on the Financial Situation as of End 2014: Preliminary Results for more details.  Specifically, Table 1 provides the Reserve expenditure both before IPSAS adjustments and after IPSAS adjustments.  Reserve expenditure before IPSAS adjustments (expenditure on a budgetary basis) in 2014 amounted to 35.2 million Swiss francs.  2014 Reserve Expenditure after IPSAS adjustments </w:t>
      </w:r>
      <w:r w:rsidR="00EF7781" w:rsidRPr="00FE0F43">
        <w:rPr>
          <w:rFonts w:ascii="Arial" w:eastAsia="SimSun" w:hAnsi="Arial" w:cs="Arial"/>
          <w:color w:val="auto"/>
          <w:sz w:val="22"/>
          <w:szCs w:val="20"/>
          <w:bdr w:val="none" w:sz="0" w:space="0" w:color="auto"/>
          <w:lang w:val="en-US" w:eastAsia="zh-CN"/>
        </w:rPr>
        <w:t xml:space="preserve">of 29.1 million Swiss francs </w:t>
      </w:r>
      <w:r w:rsidR="00A25333" w:rsidRPr="00FE0F43">
        <w:rPr>
          <w:rFonts w:ascii="Arial" w:eastAsia="SimSun" w:hAnsi="Arial" w:cs="Arial"/>
          <w:color w:val="auto"/>
          <w:sz w:val="22"/>
          <w:szCs w:val="20"/>
          <w:bdr w:val="none" w:sz="0" w:space="0" w:color="auto"/>
          <w:lang w:val="en-US" w:eastAsia="zh-CN"/>
        </w:rPr>
        <w:t>amounted to 6.1 million Swiss francs.  </w:t>
      </w:r>
      <w:r w:rsidR="00EF7781" w:rsidRPr="00FE0F43">
        <w:rPr>
          <w:rFonts w:ascii="Arial" w:eastAsia="SimSun" w:hAnsi="Arial" w:cs="Arial"/>
          <w:color w:val="auto"/>
          <w:sz w:val="22"/>
          <w:szCs w:val="20"/>
          <w:bdr w:val="none" w:sz="0" w:space="0" w:color="auto"/>
          <w:lang w:val="en-US" w:eastAsia="zh-CN"/>
        </w:rPr>
        <w:t>A balance of 27.2 million Swiss francs at the end of 2014 represents the amounts still to be used for projects already approved for financing under the reserves (</w:t>
      </w:r>
      <w:r w:rsidRPr="00FE0F43">
        <w:rPr>
          <w:rFonts w:ascii="Arial" w:eastAsia="SimSun" w:hAnsi="Arial" w:cs="Arial"/>
          <w:color w:val="auto"/>
          <w:sz w:val="22"/>
          <w:szCs w:val="20"/>
          <w:bdr w:val="none" w:sz="0" w:space="0" w:color="auto"/>
          <w:lang w:val="en-US" w:eastAsia="zh-CN"/>
        </w:rPr>
        <w:t xml:space="preserve">see </w:t>
      </w:r>
      <w:r w:rsidR="00A25333" w:rsidRPr="00FE0F43">
        <w:rPr>
          <w:rFonts w:ascii="Arial" w:eastAsia="SimSun" w:hAnsi="Arial" w:cs="Arial"/>
          <w:color w:val="auto"/>
          <w:sz w:val="22"/>
          <w:szCs w:val="20"/>
          <w:bdr w:val="none" w:sz="0" w:space="0" w:color="auto"/>
          <w:lang w:val="en-US" w:eastAsia="zh-CN"/>
        </w:rPr>
        <w:t xml:space="preserve">document WO/PBC/23/8 </w:t>
      </w:r>
      <w:r w:rsidR="00EF7781" w:rsidRPr="00FE0F43">
        <w:rPr>
          <w:rFonts w:ascii="Arial" w:eastAsia="SimSun" w:hAnsi="Arial" w:cs="Arial"/>
          <w:color w:val="auto"/>
          <w:sz w:val="22"/>
          <w:szCs w:val="20"/>
          <w:bdr w:val="none" w:sz="0" w:space="0" w:color="auto"/>
          <w:lang w:val="en-US" w:eastAsia="zh-CN"/>
        </w:rPr>
        <w:t>Table 1)</w:t>
      </w:r>
      <w:r w:rsidR="00A25333" w:rsidRPr="00FE0F43">
        <w:rPr>
          <w:rFonts w:ascii="Arial" w:eastAsia="SimSun" w:hAnsi="Arial" w:cs="Arial"/>
          <w:color w:val="auto"/>
          <w:sz w:val="22"/>
          <w:szCs w:val="20"/>
          <w:bdr w:val="none" w:sz="0" w:space="0" w:color="auto"/>
          <w:lang w:val="en-US" w:eastAsia="zh-CN"/>
        </w:rPr>
        <w:t>.</w:t>
      </w:r>
    </w:p>
    <w:p w:rsidR="00964F45" w:rsidRPr="00671B9C" w:rsidRDefault="00964F45" w:rsidP="00203CC7">
      <w:pPr>
        <w:tabs>
          <w:tab w:val="left" w:pos="5529"/>
        </w:tabs>
      </w:pPr>
    </w:p>
    <w:p w:rsidR="00E51116" w:rsidRDefault="00E51116" w:rsidP="00203CC7">
      <w:pPr>
        <w:tabs>
          <w:tab w:val="left" w:pos="5529"/>
        </w:tabs>
      </w:pPr>
    </w:p>
    <w:p w:rsidR="00E51116" w:rsidRDefault="00E51116" w:rsidP="00203CC7">
      <w:pPr>
        <w:tabs>
          <w:tab w:val="left" w:pos="5529"/>
        </w:tabs>
      </w:pPr>
    </w:p>
    <w:p w:rsidR="00E51116" w:rsidRDefault="00E51116" w:rsidP="00203CC7">
      <w:pPr>
        <w:tabs>
          <w:tab w:val="left" w:pos="5529"/>
        </w:tabs>
      </w:pPr>
      <w:r>
        <w:t xml:space="preserve">FINANCIAL SITUATION AS OF END 2014: PRELIMINARY RESULTS </w:t>
      </w:r>
    </w:p>
    <w:p w:rsidR="00E51116" w:rsidRDefault="00E51116" w:rsidP="00203CC7">
      <w:pPr>
        <w:tabs>
          <w:tab w:val="left" w:pos="5529"/>
        </w:tabs>
      </w:pPr>
    </w:p>
    <w:p w:rsidR="00E51116" w:rsidRDefault="00E51116" w:rsidP="00203CC7">
      <w:pPr>
        <w:tabs>
          <w:tab w:val="left" w:pos="5529"/>
        </w:tabs>
        <w:rPr>
          <w:b/>
        </w:rPr>
      </w:pPr>
      <w:r>
        <w:rPr>
          <w:b/>
        </w:rPr>
        <w:t xml:space="preserve">Q1: What are the main reasons for actual income in 2014 being higher than the estimated budget and why is the income estimate for 2015 lower than the 2014 actuals? </w:t>
      </w:r>
    </w:p>
    <w:p w:rsidR="00E51116" w:rsidRDefault="00E51116" w:rsidP="00203CC7">
      <w:pPr>
        <w:tabs>
          <w:tab w:val="left" w:pos="5529"/>
        </w:tabs>
      </w:pPr>
    </w:p>
    <w:p w:rsidR="00E51116" w:rsidRDefault="00E51116" w:rsidP="00203CC7">
      <w:pPr>
        <w:tabs>
          <w:tab w:val="left" w:pos="5529"/>
        </w:tabs>
      </w:pPr>
      <w:r>
        <w:t xml:space="preserve">A1: </w:t>
      </w:r>
      <w:r w:rsidR="00B42824">
        <w:t xml:space="preserve">The higher actual income in 2014 </w:t>
      </w:r>
      <w:r w:rsidR="005D5AFD">
        <w:t xml:space="preserve">(on a budgetary basis) </w:t>
      </w:r>
      <w:r w:rsidR="00B42824">
        <w:t xml:space="preserve">compared to the budgeted income is primarily attributable to higher than projected registration activities, including as a result of the new America Invents Act. </w:t>
      </w:r>
      <w:proofErr w:type="gramStart"/>
      <w:r w:rsidR="00B42824">
        <w:t>in</w:t>
      </w:r>
      <w:proofErr w:type="gramEnd"/>
      <w:r w:rsidR="00B42824">
        <w:t xml:space="preserve"> the United States of America, and receipt </w:t>
      </w:r>
      <w:r w:rsidR="005D5AFD">
        <w:t xml:space="preserve">in 2014 </w:t>
      </w:r>
      <w:r w:rsidR="00B42824">
        <w:t>of delayed income related to prior periods.  The estimate for 2015 is lower than the actual income in 2014 primarily because of the one-off nature of the increase in US applications in relation to the introduction of the new Act</w:t>
      </w:r>
      <w:r w:rsidR="00103D4C">
        <w:t xml:space="preserve"> and</w:t>
      </w:r>
      <w:r w:rsidR="00B42824">
        <w:t xml:space="preserve"> exchange rate losses following the unpegging of the Swiss francs </w:t>
      </w:r>
      <w:r w:rsidR="00103D4C">
        <w:t>from the Euro at the beginning of 2015.</w:t>
      </w:r>
      <w:r w:rsidR="00B42824">
        <w:t xml:space="preserve">     </w:t>
      </w:r>
    </w:p>
    <w:p w:rsidR="00E51116" w:rsidRDefault="00E51116" w:rsidP="00203CC7"/>
    <w:p w:rsidR="00F71EBD" w:rsidRDefault="00F71EBD" w:rsidP="00203CC7"/>
    <w:p w:rsidR="00F71EBD" w:rsidRDefault="00F71EBD" w:rsidP="00203CC7"/>
    <w:p w:rsidR="005D5AFD" w:rsidRDefault="005D5AFD" w:rsidP="005330A6">
      <w:r>
        <w:t>FINANCIAL MANAGEMENT REPORT 2012/13</w:t>
      </w:r>
    </w:p>
    <w:p w:rsidR="009D519C" w:rsidRDefault="009D519C" w:rsidP="009D519C">
      <w:pPr>
        <w:spacing w:after="200" w:line="276" w:lineRule="auto"/>
        <w:contextualSpacing/>
        <w:rPr>
          <w:b/>
          <w:szCs w:val="22"/>
        </w:rPr>
      </w:pPr>
      <w:bookmarkStart w:id="1" w:name="_Toc394652130"/>
    </w:p>
    <w:p w:rsidR="009D519C" w:rsidRPr="000620CD" w:rsidRDefault="009D519C" w:rsidP="009D519C">
      <w:pPr>
        <w:spacing w:after="200" w:line="276" w:lineRule="auto"/>
        <w:contextualSpacing/>
        <w:rPr>
          <w:b/>
          <w:szCs w:val="22"/>
        </w:rPr>
      </w:pPr>
      <w:r w:rsidRPr="000620CD">
        <w:rPr>
          <w:b/>
          <w:szCs w:val="22"/>
        </w:rPr>
        <w:t>Q1: Are PCT and Madrid fees part of the income for the Lisbon Union</w:t>
      </w:r>
      <w:r>
        <w:rPr>
          <w:b/>
          <w:szCs w:val="22"/>
        </w:rPr>
        <w:t xml:space="preserve"> (table below refers)</w:t>
      </w:r>
      <w:r w:rsidRPr="000620CD">
        <w:rPr>
          <w:b/>
          <w:szCs w:val="22"/>
        </w:rPr>
        <w:t>?</w:t>
      </w:r>
    </w:p>
    <w:p w:rsidR="009D519C" w:rsidRPr="000620CD" w:rsidRDefault="009D519C" w:rsidP="009D519C">
      <w:pPr>
        <w:spacing w:after="200"/>
        <w:contextualSpacing/>
        <w:rPr>
          <w:szCs w:val="22"/>
        </w:rPr>
      </w:pPr>
    </w:p>
    <w:p w:rsidR="009D519C" w:rsidRPr="000620CD" w:rsidRDefault="009D519C" w:rsidP="009D519C">
      <w:pPr>
        <w:spacing w:after="200"/>
        <w:contextualSpacing/>
        <w:rPr>
          <w:b/>
          <w:i/>
          <w:szCs w:val="22"/>
        </w:rPr>
      </w:pPr>
      <w:r w:rsidRPr="000620CD">
        <w:rPr>
          <w:szCs w:val="22"/>
        </w:rPr>
        <w:t xml:space="preserve">A1: The only international registration system-related fee income attributable to the Lisbon Union is the Lisbon System fee income. PCT and Madrid fees are not attributable to the Lisbon Union.  </w:t>
      </w:r>
    </w:p>
    <w:p w:rsidR="00142448" w:rsidRPr="000B120F" w:rsidRDefault="00142448" w:rsidP="00C850AA">
      <w:pPr>
        <w:pStyle w:val="Heading2"/>
        <w:jc w:val="center"/>
        <w:rPr>
          <w:b/>
          <w:sz w:val="18"/>
          <w:szCs w:val="18"/>
        </w:rPr>
      </w:pPr>
      <w:r w:rsidRPr="000B120F">
        <w:rPr>
          <w:b/>
          <w:sz w:val="18"/>
          <w:szCs w:val="18"/>
        </w:rPr>
        <w:t>Table 1</w:t>
      </w:r>
      <w:r w:rsidRPr="000B120F">
        <w:rPr>
          <w:b/>
          <w:sz w:val="18"/>
          <w:szCs w:val="18"/>
        </w:rPr>
        <w:tab/>
        <w:t>Reserve and Working Capital Funds by Union at end 2013</w:t>
      </w:r>
      <w:bookmarkEnd w:id="1"/>
    </w:p>
    <w:p w:rsidR="00142448" w:rsidRPr="000B120F" w:rsidRDefault="00142448" w:rsidP="00C850AA">
      <w:pPr>
        <w:jc w:val="center"/>
        <w:rPr>
          <w:i/>
          <w:sz w:val="18"/>
          <w:szCs w:val="18"/>
          <w:lang w:val="en-GB" w:eastAsia="da-DK"/>
        </w:rPr>
      </w:pPr>
      <w:r w:rsidRPr="000B120F">
        <w:rPr>
          <w:i/>
          <w:sz w:val="18"/>
          <w:szCs w:val="18"/>
          <w:lang w:val="en-GB" w:eastAsia="da-DK"/>
        </w:rPr>
        <w:t>(</w:t>
      </w:r>
      <w:proofErr w:type="gramStart"/>
      <w:r w:rsidRPr="000B120F">
        <w:rPr>
          <w:i/>
          <w:sz w:val="18"/>
          <w:szCs w:val="18"/>
          <w:lang w:val="en-GB" w:eastAsia="da-DK"/>
        </w:rPr>
        <w:t>in</w:t>
      </w:r>
      <w:proofErr w:type="gramEnd"/>
      <w:r w:rsidRPr="000B120F">
        <w:rPr>
          <w:i/>
          <w:sz w:val="18"/>
          <w:szCs w:val="18"/>
          <w:lang w:val="en-GB" w:eastAsia="da-DK"/>
        </w:rPr>
        <w:t xml:space="preserve"> thousands of Swiss francs)</w:t>
      </w:r>
    </w:p>
    <w:p w:rsidR="00142448" w:rsidRDefault="00E34C1F" w:rsidP="00C850AA">
      <w:pPr>
        <w:jc w:val="center"/>
        <w:rPr>
          <w:rStyle w:val="NORMALTEXT"/>
          <w:rFonts w:cs="Times New Roman"/>
        </w:rPr>
      </w:pPr>
      <w:r>
        <w:rPr>
          <w:rStyle w:val="NORMALTEXT"/>
          <w:rFonts w:eastAsia="Times New Roman" w:cs="Times New Roman"/>
        </w:rPr>
        <w:object w:dxaOrig="9024" w:dyaOrig="4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83.5pt" o:ole="">
            <v:imagedata r:id="rId10" o:title=""/>
          </v:shape>
          <o:OLEObject Type="Embed" ProgID="Excel.Sheet.8" ShapeID="_x0000_i1025" DrawAspect="Content" ObjectID="_1503843110" r:id="rId11"/>
        </w:object>
      </w:r>
    </w:p>
    <w:p w:rsidR="00E34C1F" w:rsidRPr="000620CD" w:rsidRDefault="00E34C1F" w:rsidP="00203CC7">
      <w:pPr>
        <w:spacing w:after="200"/>
        <w:contextualSpacing/>
        <w:rPr>
          <w:szCs w:val="22"/>
        </w:rPr>
      </w:pPr>
    </w:p>
    <w:p w:rsidR="000620CD" w:rsidRPr="000620CD" w:rsidRDefault="000620CD" w:rsidP="00203CC7">
      <w:pPr>
        <w:spacing w:after="200"/>
        <w:contextualSpacing/>
        <w:rPr>
          <w:szCs w:val="22"/>
        </w:rPr>
      </w:pPr>
    </w:p>
    <w:p w:rsidR="00E34C1F" w:rsidRPr="000620CD" w:rsidRDefault="00E34C1F" w:rsidP="00203CC7">
      <w:pPr>
        <w:spacing w:after="200"/>
        <w:contextualSpacing/>
        <w:rPr>
          <w:b/>
          <w:szCs w:val="22"/>
        </w:rPr>
      </w:pPr>
      <w:r w:rsidRPr="000620CD">
        <w:rPr>
          <w:b/>
          <w:szCs w:val="22"/>
        </w:rPr>
        <w:t xml:space="preserve">Q2: What is the Lisbon Union’s income in 2012/13 of </w:t>
      </w:r>
      <w:r w:rsidR="00142448" w:rsidRPr="000620CD">
        <w:rPr>
          <w:b/>
          <w:szCs w:val="22"/>
        </w:rPr>
        <w:t xml:space="preserve">1,698,000 </w:t>
      </w:r>
      <w:r w:rsidRPr="000620CD">
        <w:rPr>
          <w:b/>
          <w:szCs w:val="22"/>
        </w:rPr>
        <w:t xml:space="preserve">Swiss francs composed of? </w:t>
      </w:r>
    </w:p>
    <w:p w:rsidR="00E34C1F" w:rsidRPr="000620CD" w:rsidRDefault="00E34C1F" w:rsidP="00203CC7">
      <w:pPr>
        <w:spacing w:after="200"/>
        <w:contextualSpacing/>
        <w:rPr>
          <w:szCs w:val="22"/>
        </w:rPr>
      </w:pPr>
    </w:p>
    <w:p w:rsidR="00F36B27" w:rsidRDefault="00E34C1F" w:rsidP="00203CC7">
      <w:pPr>
        <w:spacing w:after="200"/>
        <w:contextualSpacing/>
        <w:rPr>
          <w:szCs w:val="22"/>
        </w:rPr>
      </w:pPr>
      <w:r w:rsidRPr="000620CD">
        <w:rPr>
          <w:szCs w:val="22"/>
        </w:rPr>
        <w:t xml:space="preserve">A2: </w:t>
      </w:r>
      <w:r w:rsidR="00F36B27">
        <w:rPr>
          <w:szCs w:val="22"/>
        </w:rPr>
        <w:t>Actual income is allocated to the Unions based on the methodology on the allocation of income by Unions described in Annex III in the draft proposed Program and Budget 2016/17. In accordance with the methodology, the Lisbon Union income in 2012/13 was composed of:</w:t>
      </w:r>
      <w:r w:rsidR="00F36B27">
        <w:rPr>
          <w:szCs w:val="22"/>
        </w:rPr>
        <w:tab/>
      </w:r>
    </w:p>
    <w:p w:rsidR="00E34C1F" w:rsidRPr="00F36B27" w:rsidRDefault="00E34C1F" w:rsidP="00203CC7">
      <w:pPr>
        <w:pStyle w:val="ListParagraph"/>
        <w:numPr>
          <w:ilvl w:val="0"/>
          <w:numId w:val="28"/>
        </w:numPr>
        <w:spacing w:after="200"/>
        <w:contextualSpacing/>
        <w:rPr>
          <w:rFonts w:ascii="Arial" w:hAnsi="Arial" w:cs="Arial"/>
          <w:sz w:val="22"/>
          <w:szCs w:val="22"/>
        </w:rPr>
      </w:pPr>
      <w:r w:rsidRPr="00F36B27">
        <w:rPr>
          <w:rFonts w:ascii="Arial" w:hAnsi="Arial" w:cs="Arial"/>
          <w:sz w:val="22"/>
          <w:szCs w:val="22"/>
        </w:rPr>
        <w:t xml:space="preserve">Lisbon fee income = </w:t>
      </w:r>
      <w:r w:rsidR="00142448" w:rsidRPr="00F36B27">
        <w:rPr>
          <w:rFonts w:ascii="Arial" w:hAnsi="Arial" w:cs="Arial"/>
          <w:sz w:val="22"/>
          <w:szCs w:val="22"/>
        </w:rPr>
        <w:t>12,</w:t>
      </w:r>
      <w:r w:rsidRPr="00F36B27">
        <w:rPr>
          <w:rFonts w:ascii="Arial" w:hAnsi="Arial" w:cs="Arial"/>
          <w:sz w:val="22"/>
          <w:szCs w:val="22"/>
        </w:rPr>
        <w:t>000 Swiss francs</w:t>
      </w:r>
    </w:p>
    <w:p w:rsidR="00E34C1F" w:rsidRPr="00203CC7" w:rsidRDefault="00E34C1F" w:rsidP="00203CC7">
      <w:pPr>
        <w:pStyle w:val="ListParagraph"/>
        <w:numPr>
          <w:ilvl w:val="0"/>
          <w:numId w:val="28"/>
        </w:numPr>
        <w:spacing w:after="200"/>
        <w:contextualSpacing/>
        <w:rPr>
          <w:rFonts w:ascii="Arial" w:hAnsi="Arial" w:cs="Arial"/>
          <w:sz w:val="22"/>
          <w:szCs w:val="22"/>
          <w:lang w:val="en-US"/>
        </w:rPr>
      </w:pPr>
      <w:r w:rsidRPr="00203CC7">
        <w:rPr>
          <w:rFonts w:ascii="Arial" w:hAnsi="Arial" w:cs="Arial"/>
          <w:sz w:val="22"/>
          <w:szCs w:val="22"/>
          <w:lang w:val="en-US"/>
        </w:rPr>
        <w:t xml:space="preserve">Share of income from the Arbitration and Mediation Center = </w:t>
      </w:r>
      <w:r w:rsidR="00142448" w:rsidRPr="00203CC7">
        <w:rPr>
          <w:rFonts w:ascii="Arial" w:hAnsi="Arial" w:cs="Arial"/>
          <w:sz w:val="22"/>
          <w:szCs w:val="22"/>
          <w:lang w:val="en-US"/>
        </w:rPr>
        <w:t>6,</w:t>
      </w:r>
      <w:r w:rsidRPr="00203CC7">
        <w:rPr>
          <w:rFonts w:ascii="Arial" w:hAnsi="Arial" w:cs="Arial"/>
          <w:sz w:val="22"/>
          <w:szCs w:val="22"/>
          <w:lang w:val="en-US"/>
        </w:rPr>
        <w:t>000 Swiss francs</w:t>
      </w:r>
    </w:p>
    <w:p w:rsidR="00142448" w:rsidRPr="00203CC7" w:rsidRDefault="00E34C1F" w:rsidP="00203CC7">
      <w:pPr>
        <w:pStyle w:val="ListParagraph"/>
        <w:numPr>
          <w:ilvl w:val="0"/>
          <w:numId w:val="28"/>
        </w:numPr>
        <w:spacing w:after="200"/>
        <w:contextualSpacing/>
        <w:rPr>
          <w:rFonts w:ascii="Arial" w:hAnsi="Arial" w:cs="Arial"/>
          <w:sz w:val="22"/>
          <w:szCs w:val="22"/>
          <w:lang w:val="en-US"/>
        </w:rPr>
      </w:pPr>
      <w:r w:rsidRPr="00203CC7">
        <w:rPr>
          <w:rFonts w:ascii="Arial" w:hAnsi="Arial" w:cs="Arial"/>
          <w:sz w:val="22"/>
          <w:szCs w:val="22"/>
          <w:lang w:val="en-US"/>
        </w:rPr>
        <w:t xml:space="preserve">Share of “other income” </w:t>
      </w:r>
      <w:r w:rsidR="00142448" w:rsidRPr="00203CC7">
        <w:rPr>
          <w:rFonts w:ascii="Arial" w:hAnsi="Arial" w:cs="Arial"/>
          <w:sz w:val="22"/>
          <w:szCs w:val="22"/>
          <w:lang w:val="en-US"/>
        </w:rPr>
        <w:t>1</w:t>
      </w:r>
      <w:r w:rsidRPr="00203CC7">
        <w:rPr>
          <w:rFonts w:ascii="Arial" w:hAnsi="Arial" w:cs="Arial"/>
          <w:sz w:val="22"/>
          <w:szCs w:val="22"/>
          <w:lang w:val="en-US"/>
        </w:rPr>
        <w:t>,</w:t>
      </w:r>
      <w:r w:rsidR="00142448" w:rsidRPr="00203CC7">
        <w:rPr>
          <w:rFonts w:ascii="Arial" w:hAnsi="Arial" w:cs="Arial"/>
          <w:sz w:val="22"/>
          <w:szCs w:val="22"/>
          <w:lang w:val="en-US"/>
        </w:rPr>
        <w:t>680</w:t>
      </w:r>
      <w:r w:rsidRPr="00203CC7">
        <w:rPr>
          <w:rFonts w:ascii="Arial" w:hAnsi="Arial" w:cs="Arial"/>
          <w:sz w:val="22"/>
          <w:szCs w:val="22"/>
          <w:lang w:val="en-US"/>
        </w:rPr>
        <w:t>,000 Swiss francs</w:t>
      </w:r>
      <w:r w:rsidR="00142448" w:rsidRPr="00203CC7">
        <w:rPr>
          <w:rFonts w:ascii="Arial" w:hAnsi="Arial" w:cs="Arial"/>
          <w:sz w:val="22"/>
          <w:szCs w:val="22"/>
          <w:lang w:val="en-US"/>
        </w:rPr>
        <w:t xml:space="preserve">. </w:t>
      </w:r>
      <w:r w:rsidRPr="00203CC7">
        <w:rPr>
          <w:rFonts w:ascii="Arial" w:hAnsi="Arial" w:cs="Arial"/>
          <w:sz w:val="22"/>
          <w:szCs w:val="22"/>
          <w:lang w:val="en-US"/>
        </w:rPr>
        <w:t>“</w:t>
      </w:r>
      <w:r w:rsidR="00142448" w:rsidRPr="00203CC7">
        <w:rPr>
          <w:rFonts w:ascii="Arial" w:hAnsi="Arial" w:cs="Arial"/>
          <w:sz w:val="22"/>
          <w:szCs w:val="22"/>
          <w:lang w:val="en-US"/>
        </w:rPr>
        <w:t>Other income</w:t>
      </w:r>
      <w:r w:rsidRPr="00203CC7">
        <w:rPr>
          <w:rFonts w:ascii="Arial" w:hAnsi="Arial" w:cs="Arial"/>
          <w:sz w:val="22"/>
          <w:szCs w:val="22"/>
          <w:lang w:val="en-US"/>
        </w:rPr>
        <w:t>”</w:t>
      </w:r>
      <w:r w:rsidR="00142448" w:rsidRPr="00203CC7">
        <w:rPr>
          <w:rFonts w:ascii="Arial" w:hAnsi="Arial" w:cs="Arial"/>
          <w:sz w:val="22"/>
          <w:szCs w:val="22"/>
          <w:lang w:val="en-US"/>
        </w:rPr>
        <w:t xml:space="preserve"> </w:t>
      </w:r>
      <w:r w:rsidRPr="00203CC7">
        <w:rPr>
          <w:rFonts w:ascii="Arial" w:hAnsi="Arial" w:cs="Arial"/>
          <w:sz w:val="22"/>
          <w:szCs w:val="22"/>
          <w:lang w:val="en-US"/>
        </w:rPr>
        <w:t xml:space="preserve">included </w:t>
      </w:r>
      <w:r w:rsidR="00142448" w:rsidRPr="00203CC7">
        <w:rPr>
          <w:rFonts w:ascii="Arial" w:hAnsi="Arial" w:cs="Arial"/>
          <w:sz w:val="22"/>
          <w:szCs w:val="22"/>
          <w:lang w:val="en-US"/>
        </w:rPr>
        <w:t xml:space="preserve">credit notes, exchange </w:t>
      </w:r>
      <w:r w:rsidRPr="00203CC7">
        <w:rPr>
          <w:rFonts w:ascii="Arial" w:hAnsi="Arial" w:cs="Arial"/>
          <w:sz w:val="22"/>
          <w:szCs w:val="22"/>
          <w:lang w:val="en-US"/>
        </w:rPr>
        <w:t xml:space="preserve">rate </w:t>
      </w:r>
      <w:r w:rsidR="00142448" w:rsidRPr="00203CC7">
        <w:rPr>
          <w:rFonts w:ascii="Arial" w:hAnsi="Arial" w:cs="Arial"/>
          <w:sz w:val="22"/>
          <w:szCs w:val="22"/>
          <w:lang w:val="en-US"/>
        </w:rPr>
        <w:t xml:space="preserve">differences and rental income – all of which are divided equally </w:t>
      </w:r>
      <w:r w:rsidRPr="00203CC7">
        <w:rPr>
          <w:rFonts w:ascii="Arial" w:hAnsi="Arial" w:cs="Arial"/>
          <w:sz w:val="22"/>
          <w:szCs w:val="22"/>
          <w:lang w:val="en-US"/>
        </w:rPr>
        <w:t xml:space="preserve">to each Union </w:t>
      </w:r>
      <w:r w:rsidR="00142448" w:rsidRPr="00203CC7">
        <w:rPr>
          <w:rFonts w:ascii="Arial" w:hAnsi="Arial" w:cs="Arial"/>
          <w:sz w:val="22"/>
          <w:szCs w:val="22"/>
          <w:lang w:val="en-US"/>
        </w:rPr>
        <w:t>except for the rent</w:t>
      </w:r>
      <w:r w:rsidRPr="00203CC7">
        <w:rPr>
          <w:rFonts w:ascii="Arial" w:hAnsi="Arial" w:cs="Arial"/>
          <w:sz w:val="22"/>
          <w:szCs w:val="22"/>
          <w:lang w:val="en-US"/>
        </w:rPr>
        <w:t>al income</w:t>
      </w:r>
      <w:r w:rsidR="00142448" w:rsidRPr="00203CC7">
        <w:rPr>
          <w:rFonts w:ascii="Arial" w:hAnsi="Arial" w:cs="Arial"/>
          <w:sz w:val="22"/>
          <w:szCs w:val="22"/>
          <w:lang w:val="en-US"/>
        </w:rPr>
        <w:t xml:space="preserve"> on </w:t>
      </w:r>
      <w:r w:rsidRPr="00203CC7">
        <w:rPr>
          <w:rFonts w:ascii="Arial" w:hAnsi="Arial" w:cs="Arial"/>
          <w:sz w:val="22"/>
          <w:szCs w:val="22"/>
          <w:lang w:val="en-US"/>
        </w:rPr>
        <w:t xml:space="preserve">the </w:t>
      </w:r>
      <w:r w:rsidR="00142448" w:rsidRPr="00203CC7">
        <w:rPr>
          <w:rFonts w:ascii="Arial" w:hAnsi="Arial" w:cs="Arial"/>
          <w:sz w:val="22"/>
          <w:szCs w:val="22"/>
          <w:lang w:val="en-US"/>
        </w:rPr>
        <w:t xml:space="preserve">Meyrin building which </w:t>
      </w:r>
      <w:r w:rsidRPr="00203CC7">
        <w:rPr>
          <w:rFonts w:ascii="Arial" w:hAnsi="Arial" w:cs="Arial"/>
          <w:sz w:val="22"/>
          <w:szCs w:val="22"/>
          <w:lang w:val="en-US"/>
        </w:rPr>
        <w:t xml:space="preserve">is entirely attributed to the </w:t>
      </w:r>
      <w:r w:rsidR="00142448" w:rsidRPr="00203CC7">
        <w:rPr>
          <w:rFonts w:ascii="Arial" w:hAnsi="Arial" w:cs="Arial"/>
          <w:sz w:val="22"/>
          <w:szCs w:val="22"/>
          <w:lang w:val="en-US"/>
        </w:rPr>
        <w:t>Madrid</w:t>
      </w:r>
      <w:r w:rsidRPr="00203CC7">
        <w:rPr>
          <w:rFonts w:ascii="Arial" w:hAnsi="Arial" w:cs="Arial"/>
          <w:sz w:val="22"/>
          <w:szCs w:val="22"/>
          <w:lang w:val="en-US"/>
        </w:rPr>
        <w:t xml:space="preserve"> Union</w:t>
      </w:r>
      <w:r w:rsidR="00142448" w:rsidRPr="00203CC7">
        <w:rPr>
          <w:rFonts w:ascii="Arial" w:hAnsi="Arial" w:cs="Arial"/>
          <w:sz w:val="22"/>
          <w:szCs w:val="22"/>
          <w:lang w:val="en-US"/>
        </w:rPr>
        <w:t>.</w:t>
      </w:r>
    </w:p>
    <w:p w:rsidR="00E34C1F" w:rsidRPr="000620CD" w:rsidRDefault="00E34C1F" w:rsidP="00203CC7">
      <w:pPr>
        <w:spacing w:after="200" w:line="276" w:lineRule="auto"/>
        <w:contextualSpacing/>
        <w:rPr>
          <w:szCs w:val="22"/>
        </w:rPr>
      </w:pPr>
    </w:p>
    <w:p w:rsidR="00142448" w:rsidRPr="000620CD" w:rsidRDefault="00E34C1F" w:rsidP="00203CC7">
      <w:pPr>
        <w:spacing w:after="200" w:line="276" w:lineRule="auto"/>
        <w:contextualSpacing/>
        <w:rPr>
          <w:b/>
          <w:szCs w:val="22"/>
        </w:rPr>
      </w:pPr>
      <w:r w:rsidRPr="000620CD">
        <w:rPr>
          <w:b/>
          <w:szCs w:val="22"/>
        </w:rPr>
        <w:t xml:space="preserve">Q3: </w:t>
      </w:r>
      <w:r w:rsidR="00142448" w:rsidRPr="000620CD">
        <w:rPr>
          <w:b/>
          <w:szCs w:val="22"/>
        </w:rPr>
        <w:t xml:space="preserve">What is “reserve expenditure”?  </w:t>
      </w:r>
    </w:p>
    <w:p w:rsidR="00E34C1F" w:rsidRPr="000620CD" w:rsidRDefault="00E34C1F" w:rsidP="00203CC7">
      <w:pPr>
        <w:spacing w:after="200" w:line="276" w:lineRule="auto"/>
        <w:contextualSpacing/>
        <w:rPr>
          <w:szCs w:val="22"/>
        </w:rPr>
      </w:pPr>
    </w:p>
    <w:p w:rsidR="002C1C2A" w:rsidRPr="002C1C2A" w:rsidRDefault="002D1BA7" w:rsidP="00203CC7">
      <w:pPr>
        <w:spacing w:after="200"/>
        <w:contextualSpacing/>
        <w:rPr>
          <w:rFonts w:eastAsia="Times New Roman"/>
        </w:rPr>
      </w:pPr>
      <w:r w:rsidRPr="002C1C2A">
        <w:rPr>
          <w:szCs w:val="22"/>
        </w:rPr>
        <w:t xml:space="preserve">A3: </w:t>
      </w:r>
      <w:r w:rsidR="002C1C2A" w:rsidRPr="002C1C2A">
        <w:rPr>
          <w:rFonts w:eastAsia="Times New Roman"/>
        </w:rPr>
        <w:t xml:space="preserve">The reserve expenditure is attributed to each of the Unions based on initial percentages by Unions for reserve funded projects at the time they are approved.  For example, the cost of the </w:t>
      </w:r>
      <w:r w:rsidR="002C1C2A" w:rsidRPr="002C1C2A">
        <w:rPr>
          <w:rFonts w:ascii="Helvetica" w:hAnsi="Helvetica" w:cs="Helvetica"/>
        </w:rPr>
        <w:t xml:space="preserve">Project to Upgrade the Safety and Security Standards for the Existing WIPO Buildings </w:t>
      </w:r>
      <w:r w:rsidR="002C1C2A" w:rsidRPr="002C1C2A">
        <w:rPr>
          <w:rFonts w:eastAsia="Times New Roman"/>
        </w:rPr>
        <w:t xml:space="preserve">and the ERP Portfolio of Projects, both financed from the reserves, are attributed to the Lisbon Union with 0.1% and 0.2%, respectively.  </w:t>
      </w:r>
    </w:p>
    <w:p w:rsidR="005330A6" w:rsidRDefault="005330A6" w:rsidP="00203CC7">
      <w:pPr>
        <w:spacing w:after="200" w:line="276" w:lineRule="auto"/>
        <w:contextualSpacing/>
        <w:rPr>
          <w:szCs w:val="22"/>
        </w:rPr>
      </w:pPr>
    </w:p>
    <w:p w:rsidR="002D1BA7" w:rsidRPr="000620CD" w:rsidRDefault="002D1BA7" w:rsidP="00203CC7">
      <w:pPr>
        <w:spacing w:after="200" w:line="276" w:lineRule="auto"/>
        <w:contextualSpacing/>
        <w:rPr>
          <w:szCs w:val="22"/>
        </w:rPr>
      </w:pPr>
      <w:r w:rsidRPr="000620CD">
        <w:rPr>
          <w:szCs w:val="22"/>
        </w:rPr>
        <w:t xml:space="preserve"> </w:t>
      </w:r>
    </w:p>
    <w:p w:rsidR="00D16D15" w:rsidRPr="000620CD" w:rsidRDefault="00D16D15" w:rsidP="00203CC7">
      <w:pPr>
        <w:spacing w:after="200" w:line="276" w:lineRule="auto"/>
        <w:contextualSpacing/>
        <w:rPr>
          <w:b/>
          <w:szCs w:val="22"/>
        </w:rPr>
      </w:pPr>
      <w:r w:rsidRPr="000620CD">
        <w:rPr>
          <w:b/>
          <w:szCs w:val="22"/>
        </w:rPr>
        <w:t>Q4</w:t>
      </w:r>
      <w:r w:rsidR="00E34C1F" w:rsidRPr="000620CD">
        <w:rPr>
          <w:b/>
          <w:szCs w:val="22"/>
        </w:rPr>
        <w:t xml:space="preserve">: Why does the </w:t>
      </w:r>
      <w:r w:rsidR="00142448" w:rsidRPr="000620CD">
        <w:rPr>
          <w:b/>
          <w:szCs w:val="22"/>
        </w:rPr>
        <w:t xml:space="preserve">Lisbon </w:t>
      </w:r>
      <w:r w:rsidR="00E34C1F" w:rsidRPr="000620CD">
        <w:rPr>
          <w:b/>
          <w:szCs w:val="22"/>
        </w:rPr>
        <w:t xml:space="preserve">Union have </w:t>
      </w:r>
      <w:r w:rsidR="00142448" w:rsidRPr="000620CD">
        <w:rPr>
          <w:b/>
          <w:szCs w:val="22"/>
        </w:rPr>
        <w:t xml:space="preserve">a RWCF if no one contributes to it? </w:t>
      </w:r>
      <w:r w:rsidR="00142448" w:rsidRPr="000620CD">
        <w:rPr>
          <w:b/>
          <w:szCs w:val="22"/>
        </w:rPr>
        <w:tab/>
      </w:r>
    </w:p>
    <w:p w:rsidR="00D16D15" w:rsidRPr="00C850AA" w:rsidRDefault="00D16D15" w:rsidP="00203CC7">
      <w:pPr>
        <w:contextualSpacing/>
        <w:rPr>
          <w:szCs w:val="22"/>
        </w:rPr>
      </w:pPr>
    </w:p>
    <w:p w:rsidR="00C8680A" w:rsidRPr="000620CD" w:rsidRDefault="00D16D15" w:rsidP="00203CC7">
      <w:pPr>
        <w:contextualSpacing/>
        <w:rPr>
          <w:szCs w:val="22"/>
        </w:rPr>
      </w:pPr>
      <w:r w:rsidRPr="00C8680A">
        <w:rPr>
          <w:szCs w:val="22"/>
        </w:rPr>
        <w:t xml:space="preserve">A4: </w:t>
      </w:r>
      <w:r w:rsidR="00C8680A" w:rsidRPr="00C8680A">
        <w:rPr>
          <w:szCs w:val="22"/>
        </w:rPr>
        <w:t>Reserves are made up of accumulated surpluses/losses. The balance on reserves at the end of one year becomes the opening balance for reserves at the beginning of the next year and the next year’s results</w:t>
      </w:r>
      <w:r w:rsidR="002D2D61">
        <w:rPr>
          <w:szCs w:val="22"/>
        </w:rPr>
        <w:t>,</w:t>
      </w:r>
      <w:r w:rsidR="00C8680A" w:rsidRPr="00C8680A">
        <w:rPr>
          <w:szCs w:val="22"/>
        </w:rPr>
        <w:t xml:space="preserve"> </w:t>
      </w:r>
      <w:r w:rsidR="0057790C">
        <w:rPr>
          <w:szCs w:val="22"/>
        </w:rPr>
        <w:t xml:space="preserve">as per the methodology </w:t>
      </w:r>
      <w:r w:rsidR="002D2D61">
        <w:rPr>
          <w:szCs w:val="22"/>
        </w:rPr>
        <w:t xml:space="preserve">on the allocation of income and expenditure by Unions described in Annex III in the draft proposed Program and Budget 2016/17, </w:t>
      </w:r>
      <w:r w:rsidR="00C8680A" w:rsidRPr="00C8680A">
        <w:rPr>
          <w:szCs w:val="22"/>
        </w:rPr>
        <w:t xml:space="preserve">are added/deducted from the opening balance to produce the closing balance. </w:t>
      </w:r>
      <w:r w:rsidR="00C8680A">
        <w:rPr>
          <w:szCs w:val="22"/>
        </w:rPr>
        <w:t xml:space="preserve">The </w:t>
      </w:r>
      <w:r w:rsidR="00C8680A" w:rsidRPr="00C8680A">
        <w:rPr>
          <w:szCs w:val="22"/>
        </w:rPr>
        <w:t xml:space="preserve">Lisbon </w:t>
      </w:r>
      <w:r w:rsidR="00C8680A">
        <w:rPr>
          <w:szCs w:val="22"/>
        </w:rPr>
        <w:t xml:space="preserve">Union </w:t>
      </w:r>
      <w:r w:rsidR="00C8680A" w:rsidRPr="00C8680A">
        <w:rPr>
          <w:szCs w:val="22"/>
        </w:rPr>
        <w:t>has no working capital funds and so the RWCF for Lisbon is made up of reserves only.</w:t>
      </w:r>
    </w:p>
    <w:p w:rsidR="005330A6" w:rsidRDefault="005330A6" w:rsidP="005330A6">
      <w:pPr>
        <w:spacing w:after="200"/>
        <w:contextualSpacing/>
        <w:rPr>
          <w:b/>
          <w:szCs w:val="22"/>
        </w:rPr>
      </w:pPr>
    </w:p>
    <w:p w:rsidR="005330A6" w:rsidRDefault="005330A6" w:rsidP="005330A6">
      <w:pPr>
        <w:spacing w:after="200"/>
        <w:contextualSpacing/>
        <w:rPr>
          <w:b/>
          <w:szCs w:val="22"/>
        </w:rPr>
      </w:pPr>
    </w:p>
    <w:p w:rsidR="005330A6" w:rsidRPr="000620CD" w:rsidRDefault="005330A6" w:rsidP="005330A6">
      <w:pPr>
        <w:spacing w:after="200"/>
        <w:contextualSpacing/>
        <w:rPr>
          <w:b/>
          <w:szCs w:val="22"/>
        </w:rPr>
      </w:pPr>
      <w:r w:rsidRPr="00203CC7">
        <w:rPr>
          <w:b/>
          <w:szCs w:val="22"/>
        </w:rPr>
        <w:t xml:space="preserve">Q5: </w:t>
      </w:r>
      <w:r w:rsidRPr="000620CD">
        <w:rPr>
          <w:b/>
          <w:szCs w:val="22"/>
        </w:rPr>
        <w:t>If the Lisbon System fee income was 0%, why is there a 20% difference between the 2012/13 budget and the 2012/13 actual income</w:t>
      </w:r>
      <w:r>
        <w:rPr>
          <w:b/>
          <w:szCs w:val="22"/>
        </w:rPr>
        <w:t xml:space="preserve"> as indicated in the below table</w:t>
      </w:r>
      <w:r w:rsidRPr="000620CD">
        <w:rPr>
          <w:b/>
          <w:szCs w:val="22"/>
        </w:rPr>
        <w:t>?</w:t>
      </w:r>
    </w:p>
    <w:p w:rsidR="005330A6" w:rsidRDefault="005330A6" w:rsidP="00C850AA">
      <w:pPr>
        <w:tabs>
          <w:tab w:val="left" w:pos="567"/>
          <w:tab w:val="left" w:pos="1134"/>
          <w:tab w:val="left" w:pos="1701"/>
          <w:tab w:val="left" w:pos="2268"/>
          <w:tab w:val="left" w:pos="2835"/>
          <w:tab w:val="left" w:pos="3402"/>
          <w:tab w:val="left" w:pos="3969"/>
          <w:tab w:val="left" w:pos="4536"/>
          <w:tab w:val="left" w:pos="5103"/>
          <w:tab w:val="left" w:pos="5670"/>
          <w:tab w:val="left" w:pos="6361"/>
        </w:tabs>
        <w:ind w:left="360"/>
        <w:jc w:val="center"/>
        <w:rPr>
          <w:b/>
          <w:noProof/>
          <w:sz w:val="18"/>
          <w:szCs w:val="18"/>
        </w:rPr>
      </w:pPr>
    </w:p>
    <w:p w:rsidR="00142448" w:rsidRPr="000620CD" w:rsidRDefault="00142448" w:rsidP="00C850AA">
      <w:pPr>
        <w:tabs>
          <w:tab w:val="left" w:pos="567"/>
          <w:tab w:val="left" w:pos="1134"/>
          <w:tab w:val="left" w:pos="1701"/>
          <w:tab w:val="left" w:pos="2268"/>
          <w:tab w:val="left" w:pos="2835"/>
          <w:tab w:val="left" w:pos="3402"/>
          <w:tab w:val="left" w:pos="3969"/>
          <w:tab w:val="left" w:pos="4536"/>
          <w:tab w:val="left" w:pos="5103"/>
          <w:tab w:val="left" w:pos="5670"/>
          <w:tab w:val="left" w:pos="6361"/>
        </w:tabs>
        <w:ind w:left="360"/>
        <w:jc w:val="center"/>
        <w:rPr>
          <w:b/>
          <w:noProof/>
          <w:sz w:val="18"/>
          <w:szCs w:val="18"/>
        </w:rPr>
      </w:pPr>
      <w:r w:rsidRPr="000620CD">
        <w:rPr>
          <w:b/>
          <w:noProof/>
          <w:sz w:val="18"/>
          <w:szCs w:val="18"/>
        </w:rPr>
        <w:t>Table 6</w:t>
      </w:r>
      <w:r w:rsidRPr="000620CD">
        <w:rPr>
          <w:b/>
          <w:noProof/>
          <w:sz w:val="18"/>
          <w:szCs w:val="18"/>
        </w:rPr>
        <w:tab/>
        <w:t xml:space="preserve"> Income 2012/13 (in millions of Swiss francs)</w:t>
      </w:r>
    </w:p>
    <w:p w:rsidR="00142448" w:rsidRPr="000620CD" w:rsidRDefault="00142448" w:rsidP="00203CC7">
      <w:pPr>
        <w:ind w:left="360"/>
        <w:rPr>
          <w:sz w:val="18"/>
          <w:szCs w:val="18"/>
        </w:rPr>
      </w:pPr>
    </w:p>
    <w:p w:rsidR="00142448" w:rsidRPr="000620CD" w:rsidRDefault="00142448" w:rsidP="00C850AA">
      <w:pPr>
        <w:ind w:left="360"/>
        <w:jc w:val="center"/>
        <w:rPr>
          <w:szCs w:val="22"/>
        </w:rPr>
      </w:pPr>
      <w:r w:rsidRPr="000620CD">
        <w:rPr>
          <w:noProof/>
          <w:szCs w:val="22"/>
          <w:lang w:eastAsia="en-US"/>
        </w:rPr>
        <w:lastRenderedPageBreak/>
        <w:drawing>
          <wp:inline distT="0" distB="0" distL="0" distR="0" wp14:anchorId="5D0387CF" wp14:editId="6B7E01A3">
            <wp:extent cx="4731026" cy="2297927"/>
            <wp:effectExtent l="0" t="0" r="0" b="7620"/>
            <wp:docPr id="4034" name="Picture 4034"/>
            <wp:cNvGraphicFramePr/>
            <a:graphic xmlns:a="http://schemas.openxmlformats.org/drawingml/2006/main">
              <a:graphicData uri="http://schemas.openxmlformats.org/drawingml/2006/picture">
                <pic:pic xmlns:pic="http://schemas.openxmlformats.org/drawingml/2006/picture">
                  <pic:nvPicPr>
                    <pic:cNvPr id="4034" name="Picture 403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3771" cy="2299260"/>
                    </a:xfrm>
                    <a:prstGeom prst="rect">
                      <a:avLst/>
                    </a:prstGeom>
                    <a:noFill/>
                    <a:ln>
                      <a:noFill/>
                    </a:ln>
                  </pic:spPr>
                </pic:pic>
              </a:graphicData>
            </a:graphic>
          </wp:inline>
        </w:drawing>
      </w:r>
    </w:p>
    <w:p w:rsidR="005330A6" w:rsidRDefault="005330A6" w:rsidP="00203CC7">
      <w:pPr>
        <w:spacing w:after="200"/>
        <w:contextualSpacing/>
        <w:rPr>
          <w:szCs w:val="22"/>
        </w:rPr>
      </w:pPr>
    </w:p>
    <w:p w:rsidR="002D1BA7" w:rsidRPr="000620CD" w:rsidRDefault="002D1BA7" w:rsidP="00203CC7">
      <w:pPr>
        <w:spacing w:after="200"/>
        <w:contextualSpacing/>
        <w:rPr>
          <w:szCs w:val="22"/>
        </w:rPr>
      </w:pPr>
      <w:r w:rsidRPr="000620CD">
        <w:rPr>
          <w:szCs w:val="22"/>
        </w:rPr>
        <w:t xml:space="preserve">A5: The Lisbon System fee income is so small that it gets rounded to zero in the table (being in millions of Swiss francs). In the proposed Program and Budget for 2016/17, a footnote has been added to Table 3 giving the actual amounts for the 2014/15 and 2016/17 budgeted fee income for the Lisbon System.  </w:t>
      </w:r>
    </w:p>
    <w:p w:rsidR="002D1BA7" w:rsidRDefault="002D1BA7" w:rsidP="00203CC7">
      <w:pPr>
        <w:spacing w:after="200"/>
        <w:contextualSpacing/>
        <w:rPr>
          <w:szCs w:val="22"/>
        </w:rPr>
      </w:pPr>
    </w:p>
    <w:p w:rsidR="000620CD" w:rsidRPr="000620CD" w:rsidRDefault="000620CD" w:rsidP="00203CC7">
      <w:pPr>
        <w:spacing w:after="200"/>
        <w:contextualSpacing/>
        <w:rPr>
          <w:szCs w:val="22"/>
        </w:rPr>
      </w:pPr>
    </w:p>
    <w:p w:rsidR="000B120F" w:rsidRPr="000620CD" w:rsidRDefault="000B120F" w:rsidP="00203CC7">
      <w:pPr>
        <w:spacing w:after="200"/>
        <w:contextualSpacing/>
        <w:rPr>
          <w:b/>
          <w:szCs w:val="22"/>
        </w:rPr>
      </w:pPr>
      <w:r w:rsidRPr="000620CD">
        <w:rPr>
          <w:b/>
          <w:szCs w:val="22"/>
        </w:rPr>
        <w:t xml:space="preserve">Q6: </w:t>
      </w:r>
      <w:r w:rsidR="00142448" w:rsidRPr="000620CD">
        <w:rPr>
          <w:b/>
          <w:szCs w:val="22"/>
        </w:rPr>
        <w:t>If PCT fee income is 514.9</w:t>
      </w:r>
      <w:r w:rsidRPr="000620CD">
        <w:rPr>
          <w:b/>
          <w:szCs w:val="22"/>
        </w:rPr>
        <w:t xml:space="preserve"> million Swiss francs</w:t>
      </w:r>
      <w:r w:rsidR="00142448" w:rsidRPr="000620CD">
        <w:rPr>
          <w:b/>
          <w:szCs w:val="22"/>
        </w:rPr>
        <w:t>, Madrid 108</w:t>
      </w:r>
      <w:r w:rsidRPr="000620CD">
        <w:rPr>
          <w:b/>
          <w:szCs w:val="22"/>
        </w:rPr>
        <w:t xml:space="preserve"> million Swiss francs and the </w:t>
      </w:r>
      <w:r w:rsidR="00142448" w:rsidRPr="000620CD">
        <w:rPr>
          <w:b/>
          <w:szCs w:val="22"/>
        </w:rPr>
        <w:t>Hague 6.3</w:t>
      </w:r>
      <w:r w:rsidRPr="000620CD">
        <w:rPr>
          <w:b/>
          <w:szCs w:val="22"/>
        </w:rPr>
        <w:t xml:space="preserve"> million Swiss francs,</w:t>
      </w:r>
      <w:r w:rsidR="00142448" w:rsidRPr="000620CD">
        <w:rPr>
          <w:b/>
          <w:szCs w:val="22"/>
        </w:rPr>
        <w:t xml:space="preserve"> and the expenditures for both PCT and Madrid are less than the</w:t>
      </w:r>
      <w:r w:rsidRPr="000620CD">
        <w:rPr>
          <w:b/>
          <w:szCs w:val="22"/>
        </w:rPr>
        <w:t>ir</w:t>
      </w:r>
      <w:r w:rsidR="00142448" w:rsidRPr="000620CD">
        <w:rPr>
          <w:b/>
          <w:szCs w:val="22"/>
        </w:rPr>
        <w:t xml:space="preserve"> </w:t>
      </w:r>
      <w:r w:rsidRPr="000620CD">
        <w:rPr>
          <w:b/>
          <w:szCs w:val="22"/>
        </w:rPr>
        <w:t xml:space="preserve">fee </w:t>
      </w:r>
      <w:r w:rsidR="00142448" w:rsidRPr="000620CD">
        <w:rPr>
          <w:b/>
          <w:szCs w:val="22"/>
        </w:rPr>
        <w:t xml:space="preserve">income, </w:t>
      </w:r>
      <w:r w:rsidRPr="000620CD">
        <w:rPr>
          <w:b/>
          <w:szCs w:val="22"/>
        </w:rPr>
        <w:t xml:space="preserve">then why </w:t>
      </w:r>
      <w:r w:rsidR="00142448" w:rsidRPr="000620CD">
        <w:rPr>
          <w:b/>
          <w:szCs w:val="22"/>
        </w:rPr>
        <w:t xml:space="preserve">are PCT and Madrid funded by anything other than their own fee income? </w:t>
      </w:r>
    </w:p>
    <w:p w:rsidR="000B120F" w:rsidRPr="000620CD" w:rsidRDefault="000B120F" w:rsidP="00203CC7">
      <w:pPr>
        <w:spacing w:after="200"/>
        <w:contextualSpacing/>
        <w:rPr>
          <w:szCs w:val="22"/>
        </w:rPr>
      </w:pPr>
    </w:p>
    <w:p w:rsidR="00142448" w:rsidRPr="000620CD" w:rsidRDefault="000B120F" w:rsidP="00203CC7">
      <w:pPr>
        <w:spacing w:after="200"/>
        <w:contextualSpacing/>
        <w:rPr>
          <w:szCs w:val="22"/>
        </w:rPr>
      </w:pPr>
      <w:r w:rsidRPr="000620CD">
        <w:rPr>
          <w:szCs w:val="22"/>
        </w:rPr>
        <w:t xml:space="preserve">A6: </w:t>
      </w:r>
      <w:r w:rsidR="003659A9">
        <w:rPr>
          <w:szCs w:val="22"/>
        </w:rPr>
        <w:t xml:space="preserve">All income needs to be accounted for. Since the </w:t>
      </w:r>
      <w:r w:rsidR="003659A9" w:rsidRPr="000620CD">
        <w:rPr>
          <w:szCs w:val="22"/>
        </w:rPr>
        <w:t>Arbitration and Meditation Center</w:t>
      </w:r>
      <w:r w:rsidR="003659A9">
        <w:rPr>
          <w:szCs w:val="22"/>
        </w:rPr>
        <w:t xml:space="preserve"> (AMC) is not a Union, the actual income from the AMC is allocated to the Unions based on the methodology on the allocation of income by Unions described in Annex III in the draft proposed Program and Budget 2016/17. </w:t>
      </w:r>
      <w:r w:rsidR="00142448" w:rsidRPr="000620CD">
        <w:rPr>
          <w:szCs w:val="22"/>
        </w:rPr>
        <w:t xml:space="preserve">Madrid and </w:t>
      </w:r>
      <w:r w:rsidRPr="000620CD">
        <w:rPr>
          <w:szCs w:val="22"/>
        </w:rPr>
        <w:t xml:space="preserve">the </w:t>
      </w:r>
      <w:r w:rsidR="00142448" w:rsidRPr="000620CD">
        <w:rPr>
          <w:szCs w:val="22"/>
        </w:rPr>
        <w:t xml:space="preserve">PCT </w:t>
      </w:r>
      <w:r w:rsidR="003659A9">
        <w:rPr>
          <w:szCs w:val="22"/>
        </w:rPr>
        <w:t xml:space="preserve">therefore </w:t>
      </w:r>
      <w:r w:rsidR="00142448" w:rsidRPr="000620CD">
        <w:rPr>
          <w:szCs w:val="22"/>
        </w:rPr>
        <w:t xml:space="preserve">also receive a share of </w:t>
      </w:r>
      <w:r w:rsidRPr="000620CD">
        <w:rPr>
          <w:szCs w:val="22"/>
        </w:rPr>
        <w:t xml:space="preserve">income from the </w:t>
      </w:r>
      <w:r w:rsidR="003659A9">
        <w:rPr>
          <w:szCs w:val="22"/>
        </w:rPr>
        <w:t>AMC</w:t>
      </w:r>
      <w:r w:rsidR="00142448" w:rsidRPr="000620CD">
        <w:rPr>
          <w:szCs w:val="22"/>
        </w:rPr>
        <w:t xml:space="preserve"> and a share of the interest </w:t>
      </w:r>
      <w:r w:rsidRPr="000620CD">
        <w:rPr>
          <w:szCs w:val="22"/>
        </w:rPr>
        <w:t xml:space="preserve">income </w:t>
      </w:r>
      <w:r w:rsidR="00142448" w:rsidRPr="000620CD">
        <w:rPr>
          <w:szCs w:val="22"/>
        </w:rPr>
        <w:t xml:space="preserve">which is based on a calculation involving revenue, reserves and cash balances. </w:t>
      </w:r>
      <w:r w:rsidRPr="000620CD">
        <w:rPr>
          <w:szCs w:val="22"/>
        </w:rPr>
        <w:t xml:space="preserve">The </w:t>
      </w:r>
      <w:r w:rsidR="00142448" w:rsidRPr="000620CD">
        <w:rPr>
          <w:szCs w:val="22"/>
        </w:rPr>
        <w:t xml:space="preserve">Lisbon </w:t>
      </w:r>
      <w:r w:rsidRPr="000620CD">
        <w:rPr>
          <w:szCs w:val="22"/>
        </w:rPr>
        <w:t xml:space="preserve">Union </w:t>
      </w:r>
      <w:r w:rsidR="00142448" w:rsidRPr="000620CD">
        <w:rPr>
          <w:szCs w:val="22"/>
        </w:rPr>
        <w:t xml:space="preserve">has negative reserves </w:t>
      </w:r>
      <w:r w:rsidRPr="000620CD">
        <w:rPr>
          <w:szCs w:val="22"/>
        </w:rPr>
        <w:t xml:space="preserve">and </w:t>
      </w:r>
      <w:r w:rsidR="00142448" w:rsidRPr="000620CD">
        <w:rPr>
          <w:szCs w:val="22"/>
        </w:rPr>
        <w:t>does</w:t>
      </w:r>
      <w:r w:rsidRPr="000620CD">
        <w:rPr>
          <w:szCs w:val="22"/>
        </w:rPr>
        <w:t xml:space="preserve"> therefore not</w:t>
      </w:r>
      <w:r w:rsidR="00142448" w:rsidRPr="000620CD">
        <w:rPr>
          <w:szCs w:val="22"/>
        </w:rPr>
        <w:t xml:space="preserve"> receive any </w:t>
      </w:r>
      <w:r w:rsidRPr="000620CD">
        <w:rPr>
          <w:szCs w:val="22"/>
        </w:rPr>
        <w:t xml:space="preserve">share of the </w:t>
      </w:r>
      <w:r w:rsidR="00142448" w:rsidRPr="000620CD">
        <w:rPr>
          <w:szCs w:val="22"/>
        </w:rPr>
        <w:t>interest</w:t>
      </w:r>
      <w:r w:rsidRPr="000620CD">
        <w:rPr>
          <w:szCs w:val="22"/>
        </w:rPr>
        <w:t xml:space="preserve"> income</w:t>
      </w:r>
      <w:r w:rsidR="00142448" w:rsidRPr="000620CD">
        <w:rPr>
          <w:szCs w:val="22"/>
        </w:rPr>
        <w:t>.</w:t>
      </w:r>
    </w:p>
    <w:p w:rsidR="000B120F" w:rsidRDefault="000B120F" w:rsidP="00203CC7">
      <w:pPr>
        <w:ind w:left="360"/>
        <w:rPr>
          <w:szCs w:val="22"/>
        </w:rPr>
      </w:pPr>
    </w:p>
    <w:p w:rsidR="005330A6" w:rsidRPr="000620CD" w:rsidRDefault="005330A6" w:rsidP="00203CC7">
      <w:pPr>
        <w:ind w:left="360"/>
        <w:rPr>
          <w:szCs w:val="22"/>
        </w:rPr>
      </w:pPr>
    </w:p>
    <w:p w:rsidR="005330A6" w:rsidRPr="000620CD" w:rsidRDefault="005330A6" w:rsidP="00BE485F">
      <w:pPr>
        <w:keepNext/>
        <w:keepLines/>
        <w:spacing w:after="200"/>
        <w:contextualSpacing/>
        <w:rPr>
          <w:b/>
          <w:szCs w:val="22"/>
        </w:rPr>
      </w:pPr>
      <w:r w:rsidRPr="000620CD">
        <w:rPr>
          <w:b/>
          <w:szCs w:val="22"/>
        </w:rPr>
        <w:lastRenderedPageBreak/>
        <w:t>Q7: What are “other fees”</w:t>
      </w:r>
      <w:r>
        <w:rPr>
          <w:b/>
          <w:szCs w:val="22"/>
        </w:rPr>
        <w:t xml:space="preserve"> in the below table</w:t>
      </w:r>
      <w:r w:rsidRPr="000620CD">
        <w:rPr>
          <w:b/>
          <w:szCs w:val="22"/>
        </w:rPr>
        <w:t xml:space="preserve">?  Lisbon seems like the only income source in this category? If so, why not list it?  </w:t>
      </w:r>
    </w:p>
    <w:p w:rsidR="000620CD" w:rsidRDefault="000620CD" w:rsidP="00BE485F">
      <w:pPr>
        <w:keepNext/>
        <w:keepLines/>
        <w:rPr>
          <w:b/>
          <w:szCs w:val="22"/>
        </w:rPr>
      </w:pPr>
    </w:p>
    <w:p w:rsidR="00142448" w:rsidRPr="000620CD" w:rsidRDefault="00142448" w:rsidP="00BE485F">
      <w:pPr>
        <w:keepNext/>
        <w:keepLines/>
        <w:ind w:left="360"/>
        <w:rPr>
          <w:b/>
          <w:sz w:val="18"/>
          <w:szCs w:val="18"/>
        </w:rPr>
      </w:pPr>
      <w:r w:rsidRPr="000620CD">
        <w:rPr>
          <w:b/>
          <w:sz w:val="18"/>
          <w:szCs w:val="18"/>
        </w:rPr>
        <w:t>STATEMENT II  STATEMENT OF FINANCIAL PERFORMANCE for the biennium ended December 31, 2013 (in thousands of Swiss francs)</w:t>
      </w:r>
    </w:p>
    <w:p w:rsidR="000B120F" w:rsidRPr="000620CD" w:rsidRDefault="000B120F" w:rsidP="00BE485F">
      <w:pPr>
        <w:keepNext/>
        <w:keepLines/>
        <w:ind w:left="360"/>
        <w:rPr>
          <w:b/>
          <w:szCs w:val="22"/>
        </w:rPr>
      </w:pPr>
    </w:p>
    <w:p w:rsidR="00142448" w:rsidRPr="000620CD" w:rsidRDefault="00142448" w:rsidP="00BE485F">
      <w:pPr>
        <w:keepNext/>
        <w:keepLines/>
        <w:ind w:left="360"/>
        <w:rPr>
          <w:szCs w:val="22"/>
        </w:rPr>
      </w:pPr>
      <w:r w:rsidRPr="000620CD">
        <w:rPr>
          <w:noProof/>
          <w:szCs w:val="22"/>
          <w:lang w:eastAsia="en-US"/>
        </w:rPr>
        <w:drawing>
          <wp:inline distT="0" distB="0" distL="0" distR="0" wp14:anchorId="5C11CA91" wp14:editId="3194FC5C">
            <wp:extent cx="5367131" cy="2934031"/>
            <wp:effectExtent l="0" t="0" r="508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245" cy="2935733"/>
                    </a:xfrm>
                    <a:prstGeom prst="rect">
                      <a:avLst/>
                    </a:prstGeom>
                    <a:noFill/>
                    <a:ln>
                      <a:noFill/>
                    </a:ln>
                  </pic:spPr>
                </pic:pic>
              </a:graphicData>
            </a:graphic>
          </wp:inline>
        </w:drawing>
      </w:r>
    </w:p>
    <w:p w:rsidR="000620CD" w:rsidRDefault="000620CD" w:rsidP="00203CC7">
      <w:pPr>
        <w:keepNext/>
        <w:keepLines/>
        <w:spacing w:after="200" w:line="276" w:lineRule="auto"/>
        <w:contextualSpacing/>
        <w:rPr>
          <w:b/>
          <w:szCs w:val="22"/>
        </w:rPr>
      </w:pPr>
    </w:p>
    <w:p w:rsidR="00C8680A" w:rsidRPr="000620CD" w:rsidRDefault="00C8680A" w:rsidP="00203CC7">
      <w:pPr>
        <w:spacing w:after="200"/>
        <w:contextualSpacing/>
        <w:rPr>
          <w:szCs w:val="22"/>
        </w:rPr>
      </w:pPr>
      <w:r w:rsidRPr="000620CD">
        <w:rPr>
          <w:szCs w:val="22"/>
        </w:rPr>
        <w:t xml:space="preserve">A7: Yes, it is just Lisbon. It’s very small being the reason why it is not specifically mentioned. If we ever generated any other fees, we would have to re-open this category and possibly </w:t>
      </w:r>
      <w:r>
        <w:rPr>
          <w:szCs w:val="22"/>
        </w:rPr>
        <w:t xml:space="preserve">show, as a result, </w:t>
      </w:r>
      <w:r w:rsidRPr="000620CD">
        <w:rPr>
          <w:szCs w:val="22"/>
        </w:rPr>
        <w:t>two very small fee lines on the statements.</w:t>
      </w:r>
    </w:p>
    <w:p w:rsidR="000B120F" w:rsidRDefault="000B120F" w:rsidP="00203CC7">
      <w:pPr>
        <w:ind w:left="720"/>
        <w:rPr>
          <w:szCs w:val="22"/>
        </w:rPr>
      </w:pPr>
    </w:p>
    <w:p w:rsidR="005330A6" w:rsidRPr="000620CD" w:rsidRDefault="005330A6" w:rsidP="00203CC7">
      <w:pPr>
        <w:ind w:left="720"/>
        <w:rPr>
          <w:szCs w:val="22"/>
        </w:rPr>
      </w:pPr>
    </w:p>
    <w:p w:rsidR="005330A6" w:rsidRPr="000620CD" w:rsidRDefault="005330A6" w:rsidP="005330A6">
      <w:pPr>
        <w:spacing w:after="200"/>
        <w:contextualSpacing/>
        <w:rPr>
          <w:b/>
          <w:szCs w:val="22"/>
        </w:rPr>
      </w:pPr>
      <w:r w:rsidRPr="000620CD">
        <w:rPr>
          <w:b/>
          <w:szCs w:val="22"/>
        </w:rPr>
        <w:t xml:space="preserve">Q8: The </w:t>
      </w:r>
      <w:r>
        <w:rPr>
          <w:b/>
          <w:szCs w:val="22"/>
        </w:rPr>
        <w:t>below</w:t>
      </w:r>
      <w:r w:rsidRPr="000620CD">
        <w:rPr>
          <w:b/>
          <w:szCs w:val="22"/>
        </w:rPr>
        <w:t xml:space="preserve"> table lists the Madrid Final Budget after Transfers (Revenues) – which appears to be the same as the Original Budget 2012/13 (Revenues).  The Budget and Expenditure Report by Program – 2012/13 Biennium (in thousands of Swiss francs) lists a transfer out of Program 6 of 939,000 Swiss francs. Why this discrepancy?</w:t>
      </w:r>
    </w:p>
    <w:p w:rsidR="000B120F" w:rsidRDefault="000B120F" w:rsidP="00203CC7">
      <w:pPr>
        <w:ind w:left="720"/>
        <w:rPr>
          <w:szCs w:val="22"/>
        </w:rPr>
      </w:pPr>
    </w:p>
    <w:p w:rsidR="005330A6" w:rsidRPr="000620CD" w:rsidRDefault="005330A6" w:rsidP="00203CC7">
      <w:pPr>
        <w:ind w:left="720"/>
        <w:rPr>
          <w:szCs w:val="22"/>
        </w:rPr>
      </w:pPr>
    </w:p>
    <w:p w:rsidR="00142448" w:rsidRPr="000620CD" w:rsidRDefault="00142448" w:rsidP="00203CC7">
      <w:pPr>
        <w:ind w:left="720"/>
        <w:rPr>
          <w:b/>
          <w:sz w:val="18"/>
          <w:szCs w:val="18"/>
        </w:rPr>
      </w:pPr>
      <w:r w:rsidRPr="000620CD">
        <w:rPr>
          <w:b/>
          <w:sz w:val="18"/>
          <w:szCs w:val="18"/>
        </w:rPr>
        <w:t>STATEMENT V  STATEMENT OF COMPARISON OF BUDGET AND ACTUAL AMOUNTS – REVENUE for the biennium ended December 31, 2013(in thousands of Swiss francs)</w:t>
      </w:r>
    </w:p>
    <w:p w:rsidR="00142448" w:rsidRPr="000620CD" w:rsidRDefault="00142448" w:rsidP="00203CC7">
      <w:pPr>
        <w:rPr>
          <w:noProof/>
          <w:szCs w:val="22"/>
        </w:rPr>
      </w:pPr>
    </w:p>
    <w:p w:rsidR="00142448" w:rsidRPr="000620CD" w:rsidRDefault="00142448" w:rsidP="00203CC7">
      <w:pPr>
        <w:rPr>
          <w:szCs w:val="22"/>
        </w:rPr>
      </w:pPr>
      <w:r w:rsidRPr="000620CD">
        <w:rPr>
          <w:noProof/>
          <w:szCs w:val="22"/>
          <w:lang w:eastAsia="en-US"/>
        </w:rPr>
        <w:drawing>
          <wp:inline distT="0" distB="0" distL="0" distR="0" wp14:anchorId="3BA22D8A" wp14:editId="57B9D1FC">
            <wp:extent cx="5255813" cy="2361537"/>
            <wp:effectExtent l="0" t="0" r="254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8862" cy="2362907"/>
                    </a:xfrm>
                    <a:prstGeom prst="rect">
                      <a:avLst/>
                    </a:prstGeom>
                    <a:noFill/>
                    <a:ln>
                      <a:noFill/>
                    </a:ln>
                  </pic:spPr>
                </pic:pic>
              </a:graphicData>
            </a:graphic>
          </wp:inline>
        </w:drawing>
      </w:r>
    </w:p>
    <w:p w:rsidR="003E550F" w:rsidRPr="000620CD" w:rsidRDefault="003E550F" w:rsidP="00203CC7">
      <w:pPr>
        <w:spacing w:after="200" w:line="276" w:lineRule="auto"/>
        <w:contextualSpacing/>
        <w:rPr>
          <w:szCs w:val="22"/>
        </w:rPr>
      </w:pPr>
    </w:p>
    <w:p w:rsidR="00142448" w:rsidRPr="000620CD" w:rsidRDefault="00C20086" w:rsidP="00203CC7">
      <w:pPr>
        <w:spacing w:after="200"/>
        <w:contextualSpacing/>
        <w:rPr>
          <w:szCs w:val="22"/>
        </w:rPr>
      </w:pPr>
      <w:r w:rsidRPr="000620CD">
        <w:rPr>
          <w:szCs w:val="22"/>
        </w:rPr>
        <w:t xml:space="preserve">A8: </w:t>
      </w:r>
      <w:r w:rsidR="00142448" w:rsidRPr="000620CD">
        <w:rPr>
          <w:szCs w:val="22"/>
        </w:rPr>
        <w:t>There are no transfers of revenue</w:t>
      </w:r>
      <w:r w:rsidRPr="000620CD">
        <w:rPr>
          <w:szCs w:val="22"/>
        </w:rPr>
        <w:t xml:space="preserve"> at WIPO and therefore the Final Budget After Transfers 2012/13 (revenues) is equal to the Original Budget 2012/13 (revenues)</w:t>
      </w:r>
      <w:r w:rsidR="00142448" w:rsidRPr="000620CD">
        <w:rPr>
          <w:szCs w:val="22"/>
        </w:rPr>
        <w:t>.</w:t>
      </w:r>
      <w:r w:rsidR="0023436F" w:rsidRPr="000620CD">
        <w:rPr>
          <w:szCs w:val="22"/>
        </w:rPr>
        <w:t xml:space="preserve"> Table 4 refers to Budget After Transfers 2012/13 (expenditure) which reports on budget transfers in the biennium in accordance with Regulation 5.5 in the FRR.  </w:t>
      </w:r>
      <w:r w:rsidRPr="000620CD">
        <w:rPr>
          <w:szCs w:val="22"/>
        </w:rPr>
        <w:t xml:space="preserve"> </w:t>
      </w:r>
    </w:p>
    <w:p w:rsidR="005330A6" w:rsidRPr="000620CD" w:rsidRDefault="005330A6" w:rsidP="005330A6">
      <w:pPr>
        <w:spacing w:after="200"/>
        <w:contextualSpacing/>
        <w:rPr>
          <w:b/>
          <w:szCs w:val="22"/>
        </w:rPr>
      </w:pPr>
      <w:r w:rsidRPr="000620CD">
        <w:rPr>
          <w:b/>
          <w:szCs w:val="22"/>
        </w:rPr>
        <w:lastRenderedPageBreak/>
        <w:t>Q9: What are reserves and how are they financed</w:t>
      </w:r>
      <w:r w:rsidR="002F1B75">
        <w:rPr>
          <w:b/>
          <w:szCs w:val="22"/>
        </w:rPr>
        <w:t xml:space="preserve"> (below table refers)</w:t>
      </w:r>
      <w:r w:rsidRPr="000620CD">
        <w:rPr>
          <w:b/>
          <w:szCs w:val="22"/>
        </w:rPr>
        <w:t>?</w:t>
      </w:r>
    </w:p>
    <w:p w:rsidR="00142448" w:rsidRPr="000620CD" w:rsidRDefault="00142448" w:rsidP="00203CC7">
      <w:pPr>
        <w:rPr>
          <w:szCs w:val="22"/>
        </w:rPr>
      </w:pPr>
    </w:p>
    <w:p w:rsidR="00142448" w:rsidRPr="000620CD" w:rsidRDefault="00142448" w:rsidP="00203CC7">
      <w:pPr>
        <w:rPr>
          <w:szCs w:val="22"/>
        </w:rPr>
      </w:pPr>
      <w:r w:rsidRPr="000620CD">
        <w:rPr>
          <w:noProof/>
          <w:szCs w:val="22"/>
          <w:lang w:eastAsia="en-US"/>
        </w:rPr>
        <w:drawing>
          <wp:inline distT="0" distB="0" distL="0" distR="0" wp14:anchorId="0EB99BFF" wp14:editId="01A24B40">
            <wp:extent cx="575945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714500"/>
                    </a:xfrm>
                    <a:prstGeom prst="rect">
                      <a:avLst/>
                    </a:prstGeom>
                    <a:noFill/>
                    <a:ln>
                      <a:noFill/>
                    </a:ln>
                  </pic:spPr>
                </pic:pic>
              </a:graphicData>
            </a:graphic>
          </wp:inline>
        </w:drawing>
      </w:r>
    </w:p>
    <w:p w:rsidR="007005F4" w:rsidRPr="000620CD" w:rsidRDefault="007005F4" w:rsidP="00203CC7">
      <w:pPr>
        <w:spacing w:after="200"/>
        <w:contextualSpacing/>
        <w:rPr>
          <w:szCs w:val="22"/>
        </w:rPr>
      </w:pPr>
    </w:p>
    <w:p w:rsidR="00142448" w:rsidRPr="000620CD" w:rsidRDefault="002B0E0A" w:rsidP="00203CC7">
      <w:pPr>
        <w:spacing w:after="200"/>
        <w:contextualSpacing/>
        <w:rPr>
          <w:szCs w:val="22"/>
        </w:rPr>
      </w:pPr>
      <w:r w:rsidRPr="000620CD">
        <w:rPr>
          <w:szCs w:val="22"/>
        </w:rPr>
        <w:t>A9: The reserves refer to the net assets by Union (Segment).  Negative reserves are not covered</w:t>
      </w:r>
      <w:r w:rsidR="00C5173E" w:rsidRPr="000620CD">
        <w:rPr>
          <w:szCs w:val="22"/>
        </w:rPr>
        <w:t xml:space="preserve"> as such</w:t>
      </w:r>
      <w:r w:rsidRPr="000620CD">
        <w:rPr>
          <w:szCs w:val="22"/>
        </w:rPr>
        <w:t>.</w:t>
      </w:r>
      <w:r w:rsidR="00EC26E1" w:rsidRPr="000620CD">
        <w:rPr>
          <w:szCs w:val="22"/>
        </w:rPr>
        <w:t xml:space="preserve"> </w:t>
      </w:r>
      <w:r w:rsidRPr="000620CD">
        <w:rPr>
          <w:szCs w:val="22"/>
        </w:rPr>
        <w:t xml:space="preserve"> At the end of a financial period, some </w:t>
      </w:r>
      <w:r w:rsidR="00EC26E1" w:rsidRPr="000620CD">
        <w:rPr>
          <w:szCs w:val="22"/>
        </w:rPr>
        <w:t>U</w:t>
      </w:r>
      <w:r w:rsidRPr="000620CD">
        <w:rPr>
          <w:szCs w:val="22"/>
        </w:rPr>
        <w:t xml:space="preserve">nions are in surplus and some in deficit resulting in a net financial position for the Organization as a whole. </w:t>
      </w:r>
      <w:r w:rsidR="00142448" w:rsidRPr="000620CD">
        <w:rPr>
          <w:szCs w:val="22"/>
        </w:rPr>
        <w:t xml:space="preserve"> </w:t>
      </w:r>
    </w:p>
    <w:p w:rsidR="00EC26E1" w:rsidRPr="000620CD" w:rsidRDefault="00EC26E1" w:rsidP="00203CC7">
      <w:pPr>
        <w:spacing w:after="200"/>
        <w:contextualSpacing/>
        <w:rPr>
          <w:szCs w:val="22"/>
        </w:rPr>
      </w:pPr>
    </w:p>
    <w:p w:rsidR="000620CD" w:rsidRDefault="000620CD" w:rsidP="00203CC7">
      <w:pPr>
        <w:spacing w:after="200"/>
        <w:contextualSpacing/>
        <w:rPr>
          <w:b/>
          <w:szCs w:val="22"/>
        </w:rPr>
      </w:pPr>
    </w:p>
    <w:p w:rsidR="00C5173E" w:rsidRPr="000620CD" w:rsidRDefault="00EC26E1" w:rsidP="00203CC7">
      <w:pPr>
        <w:spacing w:after="200"/>
        <w:contextualSpacing/>
        <w:rPr>
          <w:b/>
          <w:szCs w:val="22"/>
        </w:rPr>
      </w:pPr>
      <w:r w:rsidRPr="000620CD">
        <w:rPr>
          <w:b/>
          <w:szCs w:val="22"/>
        </w:rPr>
        <w:t xml:space="preserve">Q10: </w:t>
      </w:r>
      <w:r w:rsidR="00142448" w:rsidRPr="000620CD">
        <w:rPr>
          <w:b/>
          <w:szCs w:val="22"/>
        </w:rPr>
        <w:t xml:space="preserve">Did Lisbon carry over a 615,000 </w:t>
      </w:r>
      <w:r w:rsidRPr="000620CD">
        <w:rPr>
          <w:b/>
          <w:szCs w:val="22"/>
        </w:rPr>
        <w:t xml:space="preserve">Swiss </w:t>
      </w:r>
      <w:r w:rsidR="00142448" w:rsidRPr="000620CD">
        <w:rPr>
          <w:b/>
          <w:szCs w:val="22"/>
        </w:rPr>
        <w:t xml:space="preserve">deficit from 2011? </w:t>
      </w:r>
      <w:r w:rsidR="00C5173E" w:rsidRPr="000620CD">
        <w:rPr>
          <w:b/>
          <w:szCs w:val="22"/>
        </w:rPr>
        <w:t xml:space="preserve">How is the Lisbon Working Capital Fund or the Lisbon Reserves getting funds? </w:t>
      </w:r>
    </w:p>
    <w:p w:rsidR="00C5173E" w:rsidRPr="000620CD" w:rsidRDefault="00C5173E" w:rsidP="00203CC7">
      <w:pPr>
        <w:spacing w:after="200"/>
        <w:contextualSpacing/>
        <w:rPr>
          <w:szCs w:val="22"/>
        </w:rPr>
      </w:pPr>
    </w:p>
    <w:p w:rsidR="00142448" w:rsidRPr="000620CD" w:rsidRDefault="00EC26E1" w:rsidP="00203CC7">
      <w:pPr>
        <w:spacing w:after="200"/>
        <w:contextualSpacing/>
        <w:rPr>
          <w:b/>
          <w:szCs w:val="22"/>
        </w:rPr>
      </w:pPr>
      <w:r w:rsidRPr="000620CD">
        <w:rPr>
          <w:szCs w:val="22"/>
        </w:rPr>
        <w:t xml:space="preserve">A10: A surplus or deficit in any given year gets reflected in the </w:t>
      </w:r>
      <w:r w:rsidR="00C5173E" w:rsidRPr="000620CD">
        <w:rPr>
          <w:szCs w:val="22"/>
        </w:rPr>
        <w:t>position of net assets at the end of year. The net assets are therefore an indication of the accumulated financial position of a Union at a given point in time</w:t>
      </w:r>
      <w:r w:rsidR="003659A9">
        <w:rPr>
          <w:szCs w:val="22"/>
        </w:rPr>
        <w:t xml:space="preserve"> based on the application of the methodology on the allocation of income and expenditure by Union as described in Annex III in the draft proposed Program and Budget 2016/17</w:t>
      </w:r>
      <w:r w:rsidR="00C5173E" w:rsidRPr="000620CD">
        <w:rPr>
          <w:szCs w:val="22"/>
        </w:rPr>
        <w:t xml:space="preserve">. </w:t>
      </w:r>
      <w:r w:rsidR="00C8680A">
        <w:rPr>
          <w:szCs w:val="22"/>
        </w:rPr>
        <w:t xml:space="preserve">The </w:t>
      </w:r>
      <w:r w:rsidR="00C8680A" w:rsidRPr="003406F9">
        <w:t xml:space="preserve">Lisbon </w:t>
      </w:r>
      <w:r w:rsidR="00C8680A">
        <w:t xml:space="preserve">Union </w:t>
      </w:r>
      <w:r w:rsidR="00C8680A" w:rsidRPr="003406F9">
        <w:t>has no working capital funds and so the RWCF for Lisbon is made up of reserves only.</w:t>
      </w:r>
    </w:p>
    <w:p w:rsidR="00C5173E" w:rsidRDefault="00C5173E" w:rsidP="00203CC7">
      <w:pPr>
        <w:spacing w:after="200" w:line="276" w:lineRule="auto"/>
        <w:contextualSpacing/>
        <w:rPr>
          <w:szCs w:val="22"/>
        </w:rPr>
      </w:pPr>
    </w:p>
    <w:p w:rsidR="002F1B75" w:rsidRDefault="002F1B75" w:rsidP="00203CC7">
      <w:pPr>
        <w:spacing w:after="200" w:line="276" w:lineRule="auto"/>
        <w:contextualSpacing/>
        <w:rPr>
          <w:szCs w:val="22"/>
        </w:rPr>
      </w:pPr>
    </w:p>
    <w:p w:rsidR="002F1B75" w:rsidRPr="000620CD" w:rsidRDefault="002F1B75" w:rsidP="002F1B75">
      <w:pPr>
        <w:spacing w:after="200"/>
        <w:contextualSpacing/>
        <w:rPr>
          <w:b/>
          <w:szCs w:val="22"/>
        </w:rPr>
      </w:pPr>
      <w:r w:rsidRPr="000620CD">
        <w:rPr>
          <w:b/>
          <w:szCs w:val="22"/>
        </w:rPr>
        <w:t xml:space="preserve">Q11: If interest income is allocated among the Unions based upon total cash reserves—meaning Lisbon doesn’t get any because they don’t have any cash reserves—why is rental income not allocated the same way? </w:t>
      </w:r>
    </w:p>
    <w:p w:rsidR="002F1B75" w:rsidRPr="000620CD" w:rsidRDefault="002F1B75" w:rsidP="002F1B75">
      <w:pPr>
        <w:spacing w:after="200"/>
        <w:contextualSpacing/>
        <w:rPr>
          <w:szCs w:val="22"/>
        </w:rPr>
      </w:pPr>
    </w:p>
    <w:p w:rsidR="002F1B75" w:rsidRPr="00C850AA" w:rsidRDefault="002F1B75" w:rsidP="002F1B75">
      <w:pPr>
        <w:spacing w:after="200"/>
        <w:contextualSpacing/>
        <w:rPr>
          <w:b/>
          <w:szCs w:val="22"/>
        </w:rPr>
      </w:pPr>
      <w:r w:rsidRPr="000620CD">
        <w:rPr>
          <w:szCs w:val="22"/>
        </w:rPr>
        <w:t>A11: The allocation of income to Unions is done in accordance with the methodology on the allocation of income and expenditure by Union as described Annex III in the Proposed Program and Budget 2016/17. The methodology has remained unchanged over many biennia</w:t>
      </w:r>
      <w:r w:rsidRPr="00C850AA">
        <w:rPr>
          <w:szCs w:val="22"/>
        </w:rPr>
        <w:t xml:space="preserve">. </w:t>
      </w:r>
    </w:p>
    <w:p w:rsidR="002F1B75" w:rsidRDefault="002F1B75" w:rsidP="00203CC7">
      <w:pPr>
        <w:spacing w:after="200" w:line="276" w:lineRule="auto"/>
        <w:contextualSpacing/>
        <w:rPr>
          <w:szCs w:val="22"/>
        </w:rPr>
      </w:pPr>
    </w:p>
    <w:p w:rsidR="002F1B75" w:rsidRDefault="002F1B75" w:rsidP="00203CC7">
      <w:pPr>
        <w:spacing w:after="200" w:line="276" w:lineRule="auto"/>
        <w:contextualSpacing/>
        <w:rPr>
          <w:szCs w:val="22"/>
        </w:rPr>
      </w:pPr>
    </w:p>
    <w:p w:rsidR="002F1B75" w:rsidRPr="000620CD" w:rsidRDefault="002F1B75" w:rsidP="002F1B75">
      <w:pPr>
        <w:spacing w:after="200"/>
        <w:contextualSpacing/>
        <w:rPr>
          <w:b/>
          <w:szCs w:val="22"/>
        </w:rPr>
      </w:pPr>
      <w:r w:rsidRPr="000620CD">
        <w:rPr>
          <w:b/>
          <w:szCs w:val="22"/>
        </w:rPr>
        <w:t xml:space="preserve">Q12: Why did the Lisbon Union receive 1,680,000 Swiss francs in “other income” </w:t>
      </w:r>
      <w:r>
        <w:rPr>
          <w:b/>
          <w:szCs w:val="22"/>
        </w:rPr>
        <w:t xml:space="preserve">in 2012/13 </w:t>
      </w:r>
      <w:r w:rsidRPr="000620CD">
        <w:rPr>
          <w:b/>
          <w:szCs w:val="22"/>
        </w:rPr>
        <w:t>which appear to be mostly rental income when the Union does not have any reserves</w:t>
      </w:r>
      <w:r>
        <w:rPr>
          <w:b/>
          <w:szCs w:val="22"/>
        </w:rPr>
        <w:t xml:space="preserve"> (table below refers)</w:t>
      </w:r>
      <w:r w:rsidRPr="000620CD">
        <w:rPr>
          <w:b/>
          <w:szCs w:val="22"/>
        </w:rPr>
        <w:t xml:space="preserve">? </w:t>
      </w:r>
    </w:p>
    <w:p w:rsidR="002F1B75" w:rsidRPr="000620CD" w:rsidRDefault="002F1B75" w:rsidP="002F1B75">
      <w:pPr>
        <w:spacing w:after="200"/>
        <w:contextualSpacing/>
        <w:rPr>
          <w:szCs w:val="22"/>
        </w:rPr>
      </w:pPr>
    </w:p>
    <w:p w:rsidR="002F1B75" w:rsidRPr="000620CD" w:rsidRDefault="002F1B75" w:rsidP="002F1B75">
      <w:pPr>
        <w:spacing w:after="200"/>
        <w:contextualSpacing/>
        <w:rPr>
          <w:szCs w:val="22"/>
        </w:rPr>
      </w:pPr>
      <w:r w:rsidRPr="000620CD">
        <w:rPr>
          <w:szCs w:val="22"/>
        </w:rPr>
        <w:t xml:space="preserve">A12: Please refer to Q2 and A2 above for the breakdown of “other income” and related explanation as attribution to the Unions. </w:t>
      </w:r>
    </w:p>
    <w:p w:rsidR="002F1B75" w:rsidRPr="000620CD" w:rsidRDefault="002F1B75" w:rsidP="00203CC7">
      <w:pPr>
        <w:spacing w:after="200" w:line="276" w:lineRule="auto"/>
        <w:contextualSpacing/>
        <w:rPr>
          <w:szCs w:val="22"/>
        </w:rPr>
      </w:pPr>
    </w:p>
    <w:p w:rsidR="00142448" w:rsidRPr="000620CD" w:rsidRDefault="00142448" w:rsidP="00203CC7">
      <w:pPr>
        <w:rPr>
          <w:b/>
          <w:szCs w:val="22"/>
        </w:rPr>
      </w:pPr>
      <w:r w:rsidRPr="000620CD">
        <w:rPr>
          <w:noProof/>
          <w:szCs w:val="22"/>
          <w:lang w:eastAsia="en-US"/>
        </w:rPr>
        <w:lastRenderedPageBreak/>
        <w:drawing>
          <wp:inline distT="0" distB="0" distL="0" distR="0" wp14:anchorId="4A2D7FE9" wp14:editId="4E90E72F">
            <wp:extent cx="5760085" cy="5996940"/>
            <wp:effectExtent l="0" t="0" r="0" b="381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5996940"/>
                    </a:xfrm>
                    <a:prstGeom prst="rect">
                      <a:avLst/>
                    </a:prstGeom>
                    <a:noFill/>
                    <a:ln>
                      <a:noFill/>
                    </a:ln>
                  </pic:spPr>
                </pic:pic>
              </a:graphicData>
            </a:graphic>
          </wp:inline>
        </w:drawing>
      </w:r>
    </w:p>
    <w:p w:rsidR="00C5173E" w:rsidRPr="00C850AA" w:rsidRDefault="00C5173E" w:rsidP="00203CC7">
      <w:pPr>
        <w:spacing w:after="200" w:line="276" w:lineRule="auto"/>
        <w:contextualSpacing/>
        <w:rPr>
          <w:b/>
          <w:szCs w:val="22"/>
        </w:rPr>
      </w:pPr>
    </w:p>
    <w:p w:rsidR="00F71EBD" w:rsidRDefault="00F71EBD" w:rsidP="00203CC7">
      <w:pPr>
        <w:spacing w:after="200"/>
        <w:contextualSpacing/>
        <w:rPr>
          <w:b/>
          <w:szCs w:val="22"/>
        </w:rPr>
      </w:pPr>
    </w:p>
    <w:p w:rsidR="00FC66EA" w:rsidRPr="000620CD" w:rsidRDefault="00FC66EA" w:rsidP="00203CC7">
      <w:pPr>
        <w:keepNext/>
        <w:keepLines/>
        <w:spacing w:after="200"/>
        <w:contextualSpacing/>
        <w:rPr>
          <w:b/>
          <w:szCs w:val="22"/>
        </w:rPr>
      </w:pPr>
      <w:r w:rsidRPr="000620CD">
        <w:rPr>
          <w:b/>
          <w:szCs w:val="22"/>
        </w:rPr>
        <w:t xml:space="preserve">Q13: </w:t>
      </w:r>
      <w:r w:rsidR="00142448" w:rsidRPr="000620CD">
        <w:rPr>
          <w:b/>
          <w:szCs w:val="22"/>
        </w:rPr>
        <w:t>Why do PCT and Madrid receive rental income when their fee revenue alone is enough to cover the expenses of their Systems?</w:t>
      </w:r>
    </w:p>
    <w:p w:rsidR="00FC66EA" w:rsidRPr="000620CD" w:rsidRDefault="00FC66EA" w:rsidP="00203CC7">
      <w:pPr>
        <w:keepNext/>
        <w:keepLines/>
        <w:spacing w:after="200"/>
        <w:contextualSpacing/>
        <w:rPr>
          <w:szCs w:val="22"/>
        </w:rPr>
      </w:pPr>
    </w:p>
    <w:p w:rsidR="00FC66EA" w:rsidRPr="000620CD" w:rsidRDefault="00FC66EA" w:rsidP="00203CC7">
      <w:pPr>
        <w:keepNext/>
        <w:keepLines/>
        <w:spacing w:after="200"/>
        <w:contextualSpacing/>
        <w:rPr>
          <w:szCs w:val="22"/>
        </w:rPr>
      </w:pPr>
      <w:r w:rsidRPr="000620CD">
        <w:rPr>
          <w:szCs w:val="22"/>
        </w:rPr>
        <w:t xml:space="preserve">A13: please refer to Q6 and A6 above. </w:t>
      </w:r>
    </w:p>
    <w:p w:rsidR="00FC66EA" w:rsidRPr="000620CD" w:rsidRDefault="00FC66EA" w:rsidP="00203CC7">
      <w:pPr>
        <w:spacing w:after="200" w:line="276" w:lineRule="auto"/>
        <w:contextualSpacing/>
        <w:rPr>
          <w:szCs w:val="22"/>
        </w:rPr>
      </w:pPr>
    </w:p>
    <w:p w:rsidR="00770738" w:rsidRPr="000620CD" w:rsidRDefault="00770738" w:rsidP="00203CC7">
      <w:pPr>
        <w:spacing w:after="200"/>
        <w:contextualSpacing/>
        <w:rPr>
          <w:szCs w:val="22"/>
        </w:rPr>
      </w:pPr>
    </w:p>
    <w:p w:rsidR="00142448" w:rsidRPr="000620CD" w:rsidRDefault="00FC66EA" w:rsidP="00203CC7">
      <w:pPr>
        <w:spacing w:after="200"/>
        <w:contextualSpacing/>
        <w:rPr>
          <w:b/>
          <w:szCs w:val="22"/>
        </w:rPr>
      </w:pPr>
      <w:r w:rsidRPr="000620CD">
        <w:rPr>
          <w:b/>
          <w:szCs w:val="22"/>
        </w:rPr>
        <w:t xml:space="preserve">Q14: </w:t>
      </w:r>
      <w:r w:rsidR="00142448" w:rsidRPr="000620CD">
        <w:rPr>
          <w:b/>
          <w:szCs w:val="22"/>
        </w:rPr>
        <w:t xml:space="preserve">Does </w:t>
      </w:r>
      <w:r w:rsidRPr="000620CD">
        <w:rPr>
          <w:b/>
          <w:szCs w:val="22"/>
        </w:rPr>
        <w:t xml:space="preserve">the </w:t>
      </w:r>
      <w:r w:rsidR="00142448" w:rsidRPr="000620CD">
        <w:rPr>
          <w:b/>
          <w:szCs w:val="22"/>
        </w:rPr>
        <w:t xml:space="preserve">932,000 </w:t>
      </w:r>
      <w:r w:rsidRPr="000620CD">
        <w:rPr>
          <w:b/>
          <w:szCs w:val="22"/>
        </w:rPr>
        <w:t xml:space="preserve">Swiss francs </w:t>
      </w:r>
      <w:r w:rsidR="00142448" w:rsidRPr="000620CD">
        <w:rPr>
          <w:b/>
          <w:szCs w:val="22"/>
        </w:rPr>
        <w:t xml:space="preserve">in Lisbon Union expenses represent the total expenditures </w:t>
      </w:r>
      <w:r w:rsidRPr="000620CD">
        <w:rPr>
          <w:b/>
          <w:szCs w:val="22"/>
        </w:rPr>
        <w:t>of</w:t>
      </w:r>
      <w:r w:rsidR="00142448" w:rsidRPr="000620CD">
        <w:rPr>
          <w:b/>
          <w:szCs w:val="22"/>
        </w:rPr>
        <w:t xml:space="preserve"> the </w:t>
      </w:r>
      <w:r w:rsidRPr="000620CD">
        <w:rPr>
          <w:b/>
          <w:szCs w:val="22"/>
        </w:rPr>
        <w:t xml:space="preserve">Lisbon </w:t>
      </w:r>
      <w:r w:rsidR="00142448" w:rsidRPr="000620CD">
        <w:rPr>
          <w:b/>
          <w:szCs w:val="22"/>
        </w:rPr>
        <w:t>System</w:t>
      </w:r>
      <w:r w:rsidR="002F1B75">
        <w:rPr>
          <w:b/>
          <w:szCs w:val="22"/>
        </w:rPr>
        <w:t xml:space="preserve"> (above table refers)</w:t>
      </w:r>
      <w:r w:rsidR="00142448" w:rsidRPr="000620CD">
        <w:rPr>
          <w:b/>
          <w:szCs w:val="22"/>
        </w:rPr>
        <w:t>? If there was no fee</w:t>
      </w:r>
      <w:r w:rsidRPr="000620CD">
        <w:rPr>
          <w:b/>
          <w:szCs w:val="22"/>
        </w:rPr>
        <w:t xml:space="preserve"> income, would it be correct to say that 932 thousand Swiss francs</w:t>
      </w:r>
      <w:r w:rsidR="00142448" w:rsidRPr="000620CD">
        <w:rPr>
          <w:b/>
          <w:szCs w:val="22"/>
        </w:rPr>
        <w:t xml:space="preserve"> is the deficit </w:t>
      </w:r>
      <w:r w:rsidRPr="000620CD">
        <w:rPr>
          <w:b/>
          <w:szCs w:val="22"/>
        </w:rPr>
        <w:t>for</w:t>
      </w:r>
      <w:r w:rsidR="00142448" w:rsidRPr="000620CD">
        <w:rPr>
          <w:b/>
          <w:szCs w:val="22"/>
        </w:rPr>
        <w:t xml:space="preserve"> the Lisbon System?</w:t>
      </w:r>
    </w:p>
    <w:p w:rsidR="00770738" w:rsidRPr="000620CD" w:rsidRDefault="00770738" w:rsidP="00203CC7">
      <w:pPr>
        <w:spacing w:after="200"/>
        <w:contextualSpacing/>
        <w:rPr>
          <w:szCs w:val="22"/>
        </w:rPr>
      </w:pPr>
    </w:p>
    <w:p w:rsidR="00770738" w:rsidRPr="000620CD" w:rsidRDefault="00770738" w:rsidP="00203CC7">
      <w:pPr>
        <w:spacing w:after="200"/>
        <w:contextualSpacing/>
        <w:rPr>
          <w:szCs w:val="22"/>
        </w:rPr>
      </w:pPr>
      <w:r w:rsidRPr="000620CD">
        <w:rPr>
          <w:szCs w:val="22"/>
        </w:rPr>
        <w:t xml:space="preserve">A14: The total expenditure attributed to the Lisbon Union amounted to 1,540 thousand Swiss francs in 2012/13 whereas the attributed income amounted to 1698 thousand Swiss francs. The surplus for the Lisbon Union, after IPSAS adjustments amounted to 112 thousand Swiss francs in 2012/13.  </w:t>
      </w:r>
    </w:p>
    <w:p w:rsidR="00770738" w:rsidRPr="000620CD" w:rsidRDefault="00770738" w:rsidP="00203CC7">
      <w:pPr>
        <w:spacing w:after="200"/>
        <w:contextualSpacing/>
        <w:rPr>
          <w:szCs w:val="22"/>
        </w:rPr>
      </w:pPr>
    </w:p>
    <w:p w:rsidR="00895F0F" w:rsidRDefault="00895F0F" w:rsidP="00203CC7">
      <w:pPr>
        <w:spacing w:after="200"/>
        <w:contextualSpacing/>
        <w:rPr>
          <w:szCs w:val="22"/>
        </w:rPr>
      </w:pPr>
    </w:p>
    <w:p w:rsidR="002F1B75" w:rsidRPr="000620CD" w:rsidRDefault="002F1B75" w:rsidP="00203CC7">
      <w:pPr>
        <w:spacing w:after="200"/>
        <w:contextualSpacing/>
        <w:rPr>
          <w:szCs w:val="22"/>
        </w:rPr>
      </w:pPr>
    </w:p>
    <w:p w:rsidR="00895F0F" w:rsidRPr="000620CD" w:rsidRDefault="00895F0F" w:rsidP="00203CC7">
      <w:pPr>
        <w:spacing w:after="200"/>
        <w:contextualSpacing/>
        <w:rPr>
          <w:szCs w:val="22"/>
        </w:rPr>
      </w:pPr>
      <w:r w:rsidRPr="000620CD">
        <w:rPr>
          <w:b/>
          <w:szCs w:val="22"/>
        </w:rPr>
        <w:lastRenderedPageBreak/>
        <w:t xml:space="preserve">Q15: </w:t>
      </w:r>
      <w:r w:rsidR="00142448" w:rsidRPr="000620CD">
        <w:rPr>
          <w:b/>
          <w:szCs w:val="22"/>
        </w:rPr>
        <w:t xml:space="preserve">Why does the Lisbon </w:t>
      </w:r>
      <w:r w:rsidRPr="000620CD">
        <w:rPr>
          <w:b/>
          <w:szCs w:val="22"/>
        </w:rPr>
        <w:t>Union</w:t>
      </w:r>
      <w:r w:rsidR="00142448" w:rsidRPr="000620CD">
        <w:rPr>
          <w:b/>
          <w:szCs w:val="22"/>
        </w:rPr>
        <w:t xml:space="preserve"> receive </w:t>
      </w:r>
      <w:r w:rsidRPr="000620CD">
        <w:rPr>
          <w:b/>
          <w:szCs w:val="22"/>
        </w:rPr>
        <w:t>six thousand Swiss francs in income from the A</w:t>
      </w:r>
      <w:r w:rsidR="00142448" w:rsidRPr="000620CD">
        <w:rPr>
          <w:b/>
          <w:szCs w:val="22"/>
        </w:rPr>
        <w:t xml:space="preserve">rbitration </w:t>
      </w:r>
      <w:r w:rsidRPr="000620CD">
        <w:rPr>
          <w:b/>
          <w:szCs w:val="22"/>
        </w:rPr>
        <w:t>and Mediation Center</w:t>
      </w:r>
      <w:r w:rsidR="002F1B75">
        <w:rPr>
          <w:b/>
          <w:szCs w:val="22"/>
        </w:rPr>
        <w:t xml:space="preserve"> (table above refers)</w:t>
      </w:r>
      <w:r w:rsidR="00142448" w:rsidRPr="000620CD">
        <w:rPr>
          <w:b/>
          <w:szCs w:val="22"/>
        </w:rPr>
        <w:t xml:space="preserve">?  </w:t>
      </w:r>
      <w:r w:rsidRPr="000620CD">
        <w:rPr>
          <w:b/>
          <w:szCs w:val="22"/>
        </w:rPr>
        <w:t xml:space="preserve">Are these arbitration fees paid for appellation of origin disputes?  If they are not specific to AO disputes, why is this money allocated to Lisbon?  How is the allocation calculated across each Union? </w:t>
      </w:r>
    </w:p>
    <w:p w:rsidR="00895F0F" w:rsidRPr="000620CD" w:rsidRDefault="00895F0F" w:rsidP="00203CC7">
      <w:pPr>
        <w:spacing w:after="200"/>
        <w:contextualSpacing/>
        <w:rPr>
          <w:szCs w:val="22"/>
        </w:rPr>
      </w:pPr>
    </w:p>
    <w:p w:rsidR="00895F0F" w:rsidRPr="000620CD" w:rsidRDefault="00895F0F" w:rsidP="00203CC7">
      <w:pPr>
        <w:spacing w:after="200"/>
        <w:contextualSpacing/>
        <w:rPr>
          <w:szCs w:val="22"/>
        </w:rPr>
      </w:pPr>
      <w:r w:rsidRPr="000620CD">
        <w:rPr>
          <w:szCs w:val="22"/>
        </w:rPr>
        <w:t xml:space="preserve">A15: </w:t>
      </w:r>
      <w:r w:rsidR="003659A9">
        <w:rPr>
          <w:szCs w:val="22"/>
        </w:rPr>
        <w:t xml:space="preserve">All income must be accounted for. </w:t>
      </w:r>
      <w:r w:rsidRPr="000620CD">
        <w:rPr>
          <w:szCs w:val="22"/>
        </w:rPr>
        <w:t xml:space="preserve">The income from the Arbitration and Mediation Center is allocated to the Unions in accordance with the methodology for the allocation of </w:t>
      </w:r>
      <w:r w:rsidR="003659A9">
        <w:rPr>
          <w:szCs w:val="22"/>
        </w:rPr>
        <w:t>income and expenditure by Union</w:t>
      </w:r>
      <w:r w:rsidRPr="000620CD">
        <w:rPr>
          <w:szCs w:val="22"/>
        </w:rPr>
        <w:t xml:space="preserve"> </w:t>
      </w:r>
      <w:r w:rsidR="003659A9">
        <w:rPr>
          <w:szCs w:val="22"/>
        </w:rPr>
        <w:t>as described in Annex III in the draft proposed Program and Budget 2016/17.</w:t>
      </w:r>
    </w:p>
    <w:p w:rsidR="00895F0F" w:rsidRPr="000620CD" w:rsidRDefault="00895F0F" w:rsidP="00203CC7">
      <w:pPr>
        <w:spacing w:after="200"/>
        <w:contextualSpacing/>
        <w:rPr>
          <w:szCs w:val="22"/>
        </w:rPr>
      </w:pPr>
    </w:p>
    <w:p w:rsidR="00875762" w:rsidRPr="000620CD" w:rsidRDefault="00875762" w:rsidP="00203CC7">
      <w:pPr>
        <w:spacing w:after="200"/>
        <w:contextualSpacing/>
        <w:rPr>
          <w:szCs w:val="22"/>
        </w:rPr>
      </w:pPr>
    </w:p>
    <w:p w:rsidR="00142448" w:rsidRPr="000620CD" w:rsidRDefault="00895F0F" w:rsidP="00203CC7">
      <w:pPr>
        <w:spacing w:after="200"/>
        <w:contextualSpacing/>
        <w:rPr>
          <w:b/>
          <w:szCs w:val="22"/>
        </w:rPr>
      </w:pPr>
      <w:r w:rsidRPr="000620CD">
        <w:rPr>
          <w:b/>
          <w:szCs w:val="22"/>
        </w:rPr>
        <w:t xml:space="preserve">Q16: </w:t>
      </w:r>
      <w:r w:rsidR="00142448" w:rsidRPr="000620CD">
        <w:rPr>
          <w:b/>
          <w:szCs w:val="22"/>
        </w:rPr>
        <w:t xml:space="preserve">Why or how has Lisbon incurred 20,000 </w:t>
      </w:r>
      <w:r w:rsidRPr="000620CD">
        <w:rPr>
          <w:b/>
          <w:szCs w:val="22"/>
        </w:rPr>
        <w:t xml:space="preserve">Swiss francs </w:t>
      </w:r>
      <w:r w:rsidR="00142448" w:rsidRPr="000620CD">
        <w:rPr>
          <w:b/>
          <w:szCs w:val="22"/>
        </w:rPr>
        <w:t>in arbitration expenses</w:t>
      </w:r>
      <w:r w:rsidR="002F1B75">
        <w:rPr>
          <w:b/>
          <w:szCs w:val="22"/>
        </w:rPr>
        <w:t xml:space="preserve"> (table above refers)</w:t>
      </w:r>
      <w:r w:rsidR="00142448" w:rsidRPr="000620CD">
        <w:rPr>
          <w:b/>
          <w:szCs w:val="22"/>
        </w:rPr>
        <w:t xml:space="preserve">? </w:t>
      </w:r>
    </w:p>
    <w:p w:rsidR="00895F0F" w:rsidRPr="000620CD" w:rsidRDefault="00895F0F" w:rsidP="00203CC7">
      <w:pPr>
        <w:spacing w:after="200"/>
        <w:contextualSpacing/>
        <w:rPr>
          <w:szCs w:val="22"/>
        </w:rPr>
      </w:pPr>
    </w:p>
    <w:p w:rsidR="00955EF8" w:rsidRPr="000620CD" w:rsidRDefault="00895F0F" w:rsidP="00203CC7">
      <w:pPr>
        <w:spacing w:after="200"/>
        <w:contextualSpacing/>
        <w:rPr>
          <w:szCs w:val="22"/>
        </w:rPr>
      </w:pPr>
      <w:r w:rsidRPr="000620CD">
        <w:rPr>
          <w:szCs w:val="22"/>
        </w:rPr>
        <w:t xml:space="preserve">A16: </w:t>
      </w:r>
      <w:r w:rsidR="003659A9">
        <w:rPr>
          <w:szCs w:val="22"/>
        </w:rPr>
        <w:t xml:space="preserve">All expenditure must be accounted for. </w:t>
      </w:r>
      <w:r w:rsidR="00955EF8" w:rsidRPr="000620CD">
        <w:rPr>
          <w:szCs w:val="22"/>
        </w:rPr>
        <w:t xml:space="preserve">The expenses of Program 7 </w:t>
      </w:r>
      <w:r w:rsidR="003659A9">
        <w:rPr>
          <w:szCs w:val="22"/>
        </w:rPr>
        <w:t xml:space="preserve">- </w:t>
      </w:r>
      <w:r w:rsidR="00955EF8" w:rsidRPr="000620CD">
        <w:rPr>
          <w:szCs w:val="22"/>
        </w:rPr>
        <w:t>WIPO Arbitration and Mediation Center are allocated to each of the Unions in accordance with the methodology for the allocation of income and expenditure by Union</w:t>
      </w:r>
      <w:r w:rsidR="003659A9">
        <w:rPr>
          <w:szCs w:val="22"/>
        </w:rPr>
        <w:t xml:space="preserve"> as described in Annex III in the draft proposed Program and Budget 2016/17</w:t>
      </w:r>
      <w:r w:rsidR="00955EF8" w:rsidRPr="000620CD">
        <w:rPr>
          <w:szCs w:val="22"/>
        </w:rPr>
        <w:t xml:space="preserve">. </w:t>
      </w:r>
    </w:p>
    <w:p w:rsidR="00895F0F" w:rsidRDefault="00895F0F" w:rsidP="00203CC7">
      <w:pPr>
        <w:spacing w:after="200" w:line="276" w:lineRule="auto"/>
        <w:contextualSpacing/>
        <w:rPr>
          <w:szCs w:val="22"/>
        </w:rPr>
      </w:pPr>
    </w:p>
    <w:p w:rsidR="002F1B75" w:rsidRDefault="002F1B75" w:rsidP="00203CC7">
      <w:pPr>
        <w:spacing w:after="200" w:line="276" w:lineRule="auto"/>
        <w:contextualSpacing/>
        <w:rPr>
          <w:szCs w:val="22"/>
        </w:rPr>
      </w:pPr>
    </w:p>
    <w:p w:rsidR="002F1B75" w:rsidRPr="000620CD" w:rsidRDefault="002F1B75" w:rsidP="002F1B75">
      <w:pPr>
        <w:rPr>
          <w:b/>
          <w:szCs w:val="22"/>
        </w:rPr>
      </w:pPr>
      <w:r w:rsidRPr="000620CD">
        <w:rPr>
          <w:b/>
          <w:szCs w:val="22"/>
        </w:rPr>
        <w:t xml:space="preserve">Q17: Why is the Lisbon Union not listed in the </w:t>
      </w:r>
      <w:r>
        <w:rPr>
          <w:b/>
          <w:szCs w:val="22"/>
        </w:rPr>
        <w:t>below</w:t>
      </w:r>
      <w:r w:rsidRPr="000620CD">
        <w:rPr>
          <w:b/>
          <w:szCs w:val="22"/>
        </w:rPr>
        <w:t xml:space="preserve"> table? </w:t>
      </w:r>
    </w:p>
    <w:p w:rsidR="002F1B75" w:rsidRPr="000620CD" w:rsidRDefault="002F1B75" w:rsidP="00203CC7">
      <w:pPr>
        <w:spacing w:after="200" w:line="276" w:lineRule="auto"/>
        <w:contextualSpacing/>
        <w:rPr>
          <w:szCs w:val="22"/>
        </w:rPr>
      </w:pPr>
    </w:p>
    <w:p w:rsidR="00142448" w:rsidRPr="000620CD" w:rsidRDefault="00142448" w:rsidP="00203CC7">
      <w:pPr>
        <w:rPr>
          <w:szCs w:val="22"/>
        </w:rPr>
      </w:pPr>
      <w:r w:rsidRPr="000620CD">
        <w:rPr>
          <w:noProof/>
          <w:szCs w:val="22"/>
          <w:lang w:eastAsia="en-US"/>
        </w:rPr>
        <w:drawing>
          <wp:inline distT="0" distB="0" distL="0" distR="0" wp14:anchorId="2801DDB4" wp14:editId="6AA2FDE2">
            <wp:extent cx="5760085" cy="1943100"/>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1943100"/>
                    </a:xfrm>
                    <a:prstGeom prst="rect">
                      <a:avLst/>
                    </a:prstGeom>
                    <a:noFill/>
                    <a:ln>
                      <a:noFill/>
                    </a:ln>
                  </pic:spPr>
                </pic:pic>
              </a:graphicData>
            </a:graphic>
          </wp:inline>
        </w:drawing>
      </w:r>
    </w:p>
    <w:p w:rsidR="00955EF8" w:rsidRPr="000620CD" w:rsidRDefault="00955EF8" w:rsidP="00203CC7">
      <w:pPr>
        <w:ind w:left="720"/>
        <w:rPr>
          <w:szCs w:val="22"/>
        </w:rPr>
      </w:pPr>
    </w:p>
    <w:p w:rsidR="00142448" w:rsidRPr="00C850AA" w:rsidRDefault="00955EF8" w:rsidP="00203CC7">
      <w:pPr>
        <w:rPr>
          <w:szCs w:val="22"/>
        </w:rPr>
      </w:pPr>
      <w:r w:rsidRPr="000620CD">
        <w:rPr>
          <w:szCs w:val="22"/>
        </w:rPr>
        <w:t>A17: The above table provides an overview of the outstanding contributions in respect of the contribution-financed unions</w:t>
      </w:r>
      <w:r w:rsidRPr="00C850AA">
        <w:rPr>
          <w:szCs w:val="22"/>
        </w:rPr>
        <w:t xml:space="preserve">. </w:t>
      </w:r>
    </w:p>
    <w:p w:rsidR="00875762" w:rsidRPr="002F1B75" w:rsidRDefault="00875762" w:rsidP="00203CC7">
      <w:pPr>
        <w:rPr>
          <w:i/>
          <w:szCs w:val="22"/>
          <w:lang w:eastAsia="da-DK"/>
        </w:rPr>
      </w:pPr>
    </w:p>
    <w:p w:rsidR="00F96450" w:rsidRDefault="00F96450" w:rsidP="00203CC7">
      <w:pPr>
        <w:keepNext/>
        <w:tabs>
          <w:tab w:val="left" w:pos="1843"/>
        </w:tabs>
        <w:ind w:left="1843" w:hanging="1843"/>
        <w:outlineLvl w:val="2"/>
        <w:rPr>
          <w:b/>
          <w:sz w:val="28"/>
          <w:szCs w:val="28"/>
          <w:lang w:eastAsia="en-US"/>
        </w:rPr>
        <w:sectPr w:rsidR="00F96450" w:rsidSect="006D4319">
          <w:headerReference w:type="default" r:id="rId18"/>
          <w:endnotePr>
            <w:numFmt w:val="decimal"/>
          </w:endnotePr>
          <w:pgSz w:w="11907" w:h="16840" w:code="9"/>
          <w:pgMar w:top="567" w:right="1134" w:bottom="851" w:left="1418" w:header="510" w:footer="1021" w:gutter="0"/>
          <w:cols w:space="720"/>
          <w:titlePg/>
          <w:docGrid w:linePitch="299"/>
        </w:sectPr>
      </w:pPr>
      <w:bookmarkStart w:id="2" w:name="_Toc419283247"/>
    </w:p>
    <w:p w:rsidR="00942BD7" w:rsidRPr="00942BD7" w:rsidRDefault="00942BD7" w:rsidP="00203CC7">
      <w:pPr>
        <w:keepNext/>
        <w:tabs>
          <w:tab w:val="left" w:pos="1843"/>
        </w:tabs>
        <w:ind w:left="1843" w:hanging="1843"/>
        <w:outlineLvl w:val="2"/>
        <w:rPr>
          <w:b/>
          <w:sz w:val="28"/>
          <w:szCs w:val="28"/>
          <w:lang w:eastAsia="en-US"/>
        </w:rPr>
      </w:pPr>
      <w:r w:rsidRPr="00942BD7">
        <w:rPr>
          <w:b/>
          <w:sz w:val="28"/>
          <w:szCs w:val="28"/>
          <w:lang w:eastAsia="en-US"/>
        </w:rPr>
        <w:lastRenderedPageBreak/>
        <w:t>ANNEX I</w:t>
      </w:r>
      <w:r w:rsidR="00CD09E4">
        <w:rPr>
          <w:rStyle w:val="FootnoteReference"/>
          <w:b/>
          <w:sz w:val="28"/>
          <w:szCs w:val="28"/>
          <w:lang w:eastAsia="en-US"/>
        </w:rPr>
        <w:footnoteReference w:id="7"/>
      </w:r>
    </w:p>
    <w:p w:rsidR="00942BD7" w:rsidRPr="00942BD7" w:rsidRDefault="00942BD7" w:rsidP="00203CC7">
      <w:pPr>
        <w:keepNext/>
        <w:tabs>
          <w:tab w:val="left" w:pos="1843"/>
        </w:tabs>
        <w:ind w:left="1843" w:hanging="1843"/>
        <w:outlineLvl w:val="2"/>
        <w:rPr>
          <w:b/>
          <w:szCs w:val="22"/>
          <w:lang w:eastAsia="en-US"/>
        </w:rPr>
      </w:pPr>
    </w:p>
    <w:p w:rsidR="00942BD7" w:rsidRPr="00942BD7" w:rsidRDefault="00942BD7" w:rsidP="00203CC7">
      <w:pPr>
        <w:keepNext/>
        <w:tabs>
          <w:tab w:val="left" w:pos="1843"/>
        </w:tabs>
        <w:ind w:left="1843" w:hanging="1843"/>
        <w:outlineLvl w:val="2"/>
        <w:rPr>
          <w:b/>
          <w:szCs w:val="22"/>
          <w:lang w:eastAsia="en-US"/>
        </w:rPr>
      </w:pPr>
      <w:r w:rsidRPr="00942BD7">
        <w:rPr>
          <w:b/>
          <w:szCs w:val="22"/>
          <w:lang w:eastAsia="en-US"/>
        </w:rPr>
        <w:t>PROGRAM 6</w:t>
      </w:r>
      <w:r w:rsidRPr="00942BD7">
        <w:rPr>
          <w:b/>
          <w:szCs w:val="22"/>
          <w:lang w:eastAsia="en-US"/>
        </w:rPr>
        <w:tab/>
        <w:t>MADRID SYSTEM</w:t>
      </w:r>
      <w:bookmarkEnd w:id="2"/>
    </w:p>
    <w:p w:rsidR="00942BD7" w:rsidRPr="00942BD7" w:rsidRDefault="00942BD7" w:rsidP="00203CC7">
      <w:pPr>
        <w:rPr>
          <w:rFonts w:eastAsiaTheme="minorEastAsia"/>
          <w:b/>
          <w:sz w:val="20"/>
          <w:szCs w:val="22"/>
          <w:lang w:eastAsia="ja-JP"/>
        </w:rPr>
      </w:pPr>
    </w:p>
    <w:p w:rsidR="00942BD7" w:rsidRPr="00942BD7" w:rsidRDefault="00942BD7" w:rsidP="00203CC7">
      <w:pPr>
        <w:rPr>
          <w:rFonts w:eastAsiaTheme="minorEastAsia"/>
          <w:szCs w:val="22"/>
          <w:lang w:eastAsia="ja-JP"/>
        </w:rPr>
      </w:pPr>
    </w:p>
    <w:p w:rsidR="00942BD7" w:rsidRPr="00942BD7" w:rsidRDefault="00942BD7" w:rsidP="00203CC7">
      <w:pPr>
        <w:rPr>
          <w:rFonts w:eastAsiaTheme="minorEastAsia"/>
          <w:szCs w:val="22"/>
          <w:lang w:eastAsia="ja-JP"/>
        </w:rPr>
      </w:pPr>
      <w:r w:rsidRPr="00942BD7">
        <w:rPr>
          <w:rFonts w:eastAsiaTheme="minorEastAsia"/>
          <w:szCs w:val="22"/>
          <w:lang w:eastAsia="ja-JP"/>
        </w:rPr>
        <w:t>PLANNING CONTEXT</w:t>
      </w:r>
    </w:p>
    <w:p w:rsidR="00942BD7" w:rsidRPr="00942BD7" w:rsidRDefault="00942BD7" w:rsidP="00203CC7">
      <w:pPr>
        <w:rPr>
          <w:rFonts w:eastAsiaTheme="minorEastAsia"/>
          <w:szCs w:val="22"/>
          <w:lang w:eastAsia="ja-JP"/>
        </w:rPr>
      </w:pPr>
    </w:p>
    <w:p w:rsidR="00942BD7" w:rsidRPr="00942BD7" w:rsidRDefault="00942BD7" w:rsidP="00203CC7">
      <w:pPr>
        <w:numPr>
          <w:ilvl w:val="0"/>
          <w:numId w:val="27"/>
        </w:numPr>
        <w:tabs>
          <w:tab w:val="left" w:pos="0"/>
          <w:tab w:val="left" w:pos="567"/>
        </w:tabs>
        <w:ind w:left="0" w:firstLine="0"/>
        <w:rPr>
          <w:rFonts w:eastAsiaTheme="minorEastAsia"/>
          <w:sz w:val="20"/>
          <w:lang w:eastAsia="ja-JP"/>
        </w:rPr>
      </w:pPr>
      <w:r w:rsidRPr="00942BD7">
        <w:rPr>
          <w:rFonts w:eastAsiaTheme="minorEastAsia"/>
          <w:sz w:val="20"/>
          <w:lang w:eastAsia="ja-JP"/>
        </w:rPr>
        <w:t xml:space="preserve">The Madrid System is anticipated to face the following challenges in the biennium 2016/17:  (i) accurately forecasting the number of Madrid filings due to the continuing fragility of the global economy; (ii) ensuring the ability to effectively absorb the likely increase in the number of accessions by new countries;  (iii) enhancement of the Madrid System as a whole so that it may operate more effectively for both private sector users and Offices alike, including those in new member countries;  (iv), improvement in the consistency, predictability and overall quality of the work of the International Bureau (IB) in as cost-effective a manner as possible;  and (v) adequately identifying, harnessing and mastering opportunities offered by increased levels of automation in all aspects of the international procedure. </w:t>
      </w:r>
    </w:p>
    <w:p w:rsidR="00942BD7" w:rsidRPr="00942BD7" w:rsidRDefault="00942BD7" w:rsidP="00203CC7">
      <w:pPr>
        <w:tabs>
          <w:tab w:val="left" w:pos="567"/>
        </w:tabs>
        <w:rPr>
          <w:rFonts w:eastAsiaTheme="minorEastAsia"/>
          <w:sz w:val="20"/>
          <w:lang w:eastAsia="ja-JP"/>
        </w:rPr>
      </w:pPr>
    </w:p>
    <w:p w:rsidR="00942BD7" w:rsidRPr="00942BD7" w:rsidRDefault="00942BD7" w:rsidP="00203CC7">
      <w:pPr>
        <w:rPr>
          <w:rFonts w:eastAsiaTheme="minorEastAsia"/>
          <w:sz w:val="20"/>
          <w:lang w:eastAsia="ja-JP"/>
        </w:rPr>
      </w:pPr>
    </w:p>
    <w:p w:rsidR="00942BD7" w:rsidRPr="00942BD7" w:rsidRDefault="00942BD7" w:rsidP="00203CC7">
      <w:pPr>
        <w:rPr>
          <w:rFonts w:eastAsiaTheme="minorEastAsia"/>
          <w:szCs w:val="22"/>
          <w:lang w:eastAsia="ja-JP"/>
        </w:rPr>
      </w:pPr>
      <w:r w:rsidRPr="00942BD7">
        <w:rPr>
          <w:rFonts w:eastAsiaTheme="minorEastAsia"/>
          <w:szCs w:val="22"/>
          <w:lang w:eastAsia="ja-JP"/>
        </w:rPr>
        <w:t>IMPLEMENTATION STRATEGIES</w:t>
      </w:r>
    </w:p>
    <w:p w:rsidR="00942BD7" w:rsidRPr="00942BD7" w:rsidRDefault="00942BD7" w:rsidP="00203CC7">
      <w:pPr>
        <w:rPr>
          <w:rFonts w:eastAsiaTheme="minorEastAsia"/>
          <w:szCs w:val="22"/>
          <w:lang w:eastAsia="ja-JP"/>
        </w:rPr>
      </w:pPr>
    </w:p>
    <w:p w:rsidR="00942BD7" w:rsidRPr="00942BD7" w:rsidRDefault="00942BD7" w:rsidP="00203CC7">
      <w:pPr>
        <w:numPr>
          <w:ilvl w:val="0"/>
          <w:numId w:val="27"/>
        </w:numPr>
        <w:tabs>
          <w:tab w:val="left" w:pos="0"/>
          <w:tab w:val="left" w:pos="567"/>
        </w:tabs>
        <w:ind w:left="0" w:firstLine="0"/>
        <w:rPr>
          <w:rFonts w:eastAsiaTheme="minorEastAsia"/>
          <w:sz w:val="20"/>
          <w:lang w:eastAsia="ja-JP"/>
        </w:rPr>
      </w:pPr>
      <w:r w:rsidRPr="00942BD7">
        <w:rPr>
          <w:rFonts w:eastAsiaTheme="minorEastAsia"/>
          <w:sz w:val="20"/>
          <w:lang w:eastAsia="ja-JP"/>
        </w:rPr>
        <w:t>The IB will actively engage with potential new members at the early stages of the accession process to provide guidance on the requisite preparatory work, such as change management leadership, legislation, organizational and institutional considerations, procedural and operational issues, IT automation and community changes.  The IB will also provide operational support and guidance to new members in the stages immediately following the entry into effect of the Madrid Protocol.  Given the extent of work likely to be involved and the need to bring various perspectives to the matter, the IB will use the WIPO External Offices, national and regional Offices and other key stakeholders to bring these efforts to a successful conclusion.</w:t>
      </w:r>
    </w:p>
    <w:p w:rsidR="00942BD7" w:rsidRPr="00942BD7" w:rsidRDefault="00942BD7" w:rsidP="00203CC7">
      <w:pPr>
        <w:tabs>
          <w:tab w:val="left" w:pos="567"/>
        </w:tabs>
        <w:contextualSpacing/>
        <w:rPr>
          <w:rFonts w:eastAsiaTheme="minorEastAsia"/>
          <w:sz w:val="20"/>
          <w:lang w:eastAsia="ja-JP"/>
        </w:rPr>
      </w:pPr>
    </w:p>
    <w:p w:rsidR="00942BD7" w:rsidRPr="00942BD7" w:rsidRDefault="00942BD7" w:rsidP="00203CC7">
      <w:pPr>
        <w:numPr>
          <w:ilvl w:val="0"/>
          <w:numId w:val="27"/>
        </w:numPr>
        <w:tabs>
          <w:tab w:val="left" w:pos="0"/>
          <w:tab w:val="left" w:pos="567"/>
        </w:tabs>
        <w:ind w:left="0" w:firstLine="0"/>
        <w:rPr>
          <w:rFonts w:eastAsiaTheme="minorEastAsia"/>
          <w:sz w:val="20"/>
          <w:lang w:eastAsia="ja-JP"/>
        </w:rPr>
      </w:pPr>
      <w:r w:rsidRPr="00942BD7">
        <w:rPr>
          <w:rFonts w:eastAsiaTheme="minorEastAsia"/>
          <w:sz w:val="20"/>
          <w:lang w:eastAsia="ja-JP"/>
        </w:rPr>
        <w:t>The series of initiatives launched in early 2014 to improve performance in the handling of Madrid international applications and the management of the International Register will also be sustained.  Foundational progress already made in the areas of workload/resource planning, customer services and staff training will be strengthened with a view to yielding tangible benefits for private sector users and Offices.  As these aspects of the work continue to mature, the focus will shift increasingly to quality, including more consistent and predictable examination results through enhanced examination documentation and process control.  In conjunction therewith, special efforts will be made to make the IB’s classification process more effective</w:t>
      </w:r>
      <w:r w:rsidRPr="00942BD7">
        <w:rPr>
          <w:rFonts w:eastAsia="MS Mincho"/>
          <w:color w:val="000000"/>
          <w:sz w:val="20"/>
          <w:lang w:eastAsia="ja-JP"/>
        </w:rPr>
        <w:t xml:space="preserve"> through advancement of the development of a seamless platform for the Nice listed goods and services and the Madrid Goods and Services Manager (MSG) database</w:t>
      </w:r>
      <w:r w:rsidRPr="00942BD7">
        <w:rPr>
          <w:rFonts w:eastAsiaTheme="minorEastAsia"/>
          <w:sz w:val="20"/>
          <w:lang w:eastAsia="ja-JP"/>
        </w:rPr>
        <w:t xml:space="preserve"> in order to make the classification practices in all concerned Offices more transparent.  </w:t>
      </w:r>
    </w:p>
    <w:p w:rsidR="00942BD7" w:rsidRPr="00942BD7" w:rsidRDefault="00942BD7" w:rsidP="00203CC7">
      <w:pPr>
        <w:tabs>
          <w:tab w:val="left" w:pos="567"/>
        </w:tabs>
        <w:contextualSpacing/>
        <w:rPr>
          <w:rFonts w:eastAsiaTheme="minorEastAsia"/>
          <w:sz w:val="20"/>
          <w:lang w:eastAsia="ja-JP"/>
        </w:rPr>
      </w:pPr>
    </w:p>
    <w:p w:rsidR="00942BD7" w:rsidRPr="00942BD7" w:rsidRDefault="00942BD7" w:rsidP="00203CC7">
      <w:pPr>
        <w:numPr>
          <w:ilvl w:val="0"/>
          <w:numId w:val="27"/>
        </w:numPr>
        <w:tabs>
          <w:tab w:val="left" w:pos="0"/>
          <w:tab w:val="left" w:pos="567"/>
        </w:tabs>
        <w:ind w:left="0" w:firstLine="0"/>
        <w:rPr>
          <w:rFonts w:eastAsiaTheme="minorEastAsia"/>
          <w:sz w:val="20"/>
          <w:lang w:eastAsia="ja-JP"/>
        </w:rPr>
      </w:pPr>
      <w:r w:rsidRPr="00942BD7">
        <w:rPr>
          <w:rFonts w:eastAsiaTheme="minorEastAsia"/>
          <w:sz w:val="20"/>
          <w:lang w:eastAsia="ja-JP"/>
        </w:rPr>
        <w:t xml:space="preserve">In the area of promotion, greater emphasis will be placed on market research and marketing/outreach plans tailored to the specific needs and profiles of potential local users.  Additional and improved quality information regarding the Madrid System, including examination practices both within the IB and at designated Contracting Parties, will be made available on the IB’s web site, catering to the needs of both new and more experienced users.  The existing online tools for managing Madrid trademark portfolios by trademark owners will be streamlined into an integrated electronic environment, permitting users to seamlessly search, file, monitor and manage their trademarks online. In addition, the existing online tools permitting Offices to manage Madrid applications, notifications of designations and other official notifications will be similarly streamlined into an integrated electronic environment. </w:t>
      </w:r>
    </w:p>
    <w:p w:rsidR="00942BD7" w:rsidRPr="00942BD7" w:rsidRDefault="00942BD7" w:rsidP="00203CC7">
      <w:pPr>
        <w:tabs>
          <w:tab w:val="left" w:pos="567"/>
        </w:tabs>
        <w:contextualSpacing/>
        <w:rPr>
          <w:rFonts w:eastAsiaTheme="minorEastAsia"/>
          <w:sz w:val="20"/>
          <w:lang w:eastAsia="ja-JP"/>
        </w:rPr>
      </w:pPr>
    </w:p>
    <w:p w:rsidR="00942BD7" w:rsidRPr="00942BD7" w:rsidRDefault="00942BD7" w:rsidP="00203CC7">
      <w:pPr>
        <w:numPr>
          <w:ilvl w:val="0"/>
          <w:numId w:val="27"/>
        </w:numPr>
        <w:tabs>
          <w:tab w:val="left" w:pos="0"/>
          <w:tab w:val="left" w:pos="567"/>
        </w:tabs>
        <w:ind w:left="0" w:firstLine="0"/>
        <w:rPr>
          <w:rFonts w:eastAsiaTheme="minorEastAsia"/>
          <w:sz w:val="20"/>
          <w:lang w:eastAsia="ja-JP"/>
        </w:rPr>
      </w:pPr>
      <w:r w:rsidRPr="00942BD7">
        <w:rPr>
          <w:rFonts w:eastAsiaTheme="minorEastAsia"/>
          <w:sz w:val="20"/>
          <w:lang w:eastAsia="ja-JP"/>
        </w:rPr>
        <w:t>With the rapid expansion of its geographical scope, the Madrid System will need to serve the interests of all stakeholders equally to deliver its full potential in the new environment.  The Working Group on the Legal Development of the Madrid System will consider how the System’s legal framework needs to evolve to cater to the changing needs.</w:t>
      </w:r>
    </w:p>
    <w:p w:rsidR="00942BD7" w:rsidRPr="00942BD7" w:rsidRDefault="00942BD7" w:rsidP="00203CC7">
      <w:pPr>
        <w:tabs>
          <w:tab w:val="left" w:pos="567"/>
        </w:tabs>
        <w:contextualSpacing/>
        <w:rPr>
          <w:rFonts w:eastAsiaTheme="minorEastAsia"/>
          <w:sz w:val="20"/>
          <w:lang w:eastAsia="ja-JP"/>
        </w:rPr>
      </w:pPr>
    </w:p>
    <w:p w:rsidR="00942BD7" w:rsidRPr="00942BD7" w:rsidRDefault="00942BD7" w:rsidP="00203CC7">
      <w:pPr>
        <w:numPr>
          <w:ilvl w:val="0"/>
          <w:numId w:val="27"/>
        </w:numPr>
        <w:tabs>
          <w:tab w:val="left" w:pos="0"/>
          <w:tab w:val="left" w:pos="567"/>
        </w:tabs>
        <w:ind w:left="0" w:firstLine="0"/>
        <w:rPr>
          <w:rFonts w:eastAsiaTheme="minorEastAsia"/>
          <w:sz w:val="20"/>
          <w:lang w:eastAsia="ja-JP"/>
        </w:rPr>
      </w:pPr>
      <w:r w:rsidRPr="00942BD7">
        <w:rPr>
          <w:rFonts w:eastAsiaTheme="minorEastAsia"/>
          <w:sz w:val="20"/>
          <w:lang w:eastAsia="ja-JP"/>
        </w:rPr>
        <w:t xml:space="preserve">As opportunities for increased and improved application of information and communication technologies present themselves, the IB will follow a number of guiding implementation policies aimed at accommodating the expectations of the various Madrid System stakeholders, including Offices, applicants, rightsholders or IP professionals, as part of efforts towards moving to a fully electronic environment. Such implementation policies will ensure that stakeholders can safely and progressively interact with the international register online and synchronously, in a real-time, self-service mode. Great </w:t>
      </w:r>
      <w:r w:rsidRPr="00942BD7">
        <w:rPr>
          <w:rFonts w:eastAsiaTheme="minorEastAsia"/>
          <w:sz w:val="20"/>
          <w:lang w:eastAsia="ja-JP"/>
        </w:rPr>
        <w:lastRenderedPageBreak/>
        <w:t>attention will be paid to delivering improved online services that offer identical services and performance to all stakeholders, irrespective of geographic location.</w:t>
      </w:r>
    </w:p>
    <w:p w:rsidR="00942BD7" w:rsidRPr="00942BD7" w:rsidRDefault="00942BD7" w:rsidP="00203CC7">
      <w:pPr>
        <w:ind w:left="720"/>
        <w:contextualSpacing/>
        <w:rPr>
          <w:rFonts w:eastAsiaTheme="minorEastAsia"/>
          <w:sz w:val="20"/>
          <w:lang w:eastAsia="ja-JP"/>
        </w:rPr>
      </w:pPr>
    </w:p>
    <w:p w:rsidR="00942BD7" w:rsidRPr="00942BD7" w:rsidRDefault="00942BD7" w:rsidP="00203CC7">
      <w:pPr>
        <w:tabs>
          <w:tab w:val="left" w:pos="567"/>
        </w:tabs>
        <w:rPr>
          <w:rFonts w:eastAsiaTheme="minorEastAsia"/>
          <w:sz w:val="20"/>
          <w:lang w:eastAsia="ja-JP"/>
        </w:rPr>
      </w:pPr>
      <w:r w:rsidRPr="00942BD7">
        <w:rPr>
          <w:rFonts w:asciiTheme="minorHAnsi" w:eastAsiaTheme="minorEastAsia" w:hAnsiTheme="minorHAnsi" w:cstheme="minorBidi"/>
          <w:noProof/>
          <w:szCs w:val="22"/>
          <w:lang w:eastAsia="en-US"/>
        </w:rPr>
        <w:drawing>
          <wp:inline distT="0" distB="0" distL="0" distR="0" wp14:anchorId="09F2A97C" wp14:editId="3D5CC07B">
            <wp:extent cx="5761355" cy="1432952"/>
            <wp:effectExtent l="0" t="0" r="0" b="91440"/>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42BD7" w:rsidRPr="00942BD7" w:rsidRDefault="00942BD7" w:rsidP="00203CC7">
      <w:pPr>
        <w:tabs>
          <w:tab w:val="left" w:pos="567"/>
        </w:tabs>
        <w:rPr>
          <w:rFonts w:eastAsiaTheme="minorEastAsia"/>
          <w:sz w:val="20"/>
          <w:lang w:eastAsia="ja-JP"/>
        </w:rPr>
      </w:pPr>
    </w:p>
    <w:p w:rsidR="00942BD7" w:rsidRPr="00942BD7" w:rsidRDefault="00942BD7" w:rsidP="00203CC7">
      <w:pPr>
        <w:tabs>
          <w:tab w:val="left" w:pos="567"/>
        </w:tabs>
        <w:rPr>
          <w:rFonts w:eastAsiaTheme="minorEastAsia"/>
          <w:sz w:val="20"/>
          <w:lang w:eastAsia="ja-JP"/>
        </w:rPr>
      </w:pPr>
    </w:p>
    <w:p w:rsidR="00942BD7" w:rsidRPr="00942BD7" w:rsidRDefault="00942BD7" w:rsidP="00203CC7">
      <w:pPr>
        <w:keepNext/>
        <w:keepLines/>
        <w:rPr>
          <w:rFonts w:eastAsiaTheme="minorEastAsia"/>
          <w:szCs w:val="22"/>
          <w:lang w:eastAsia="ja-JP"/>
        </w:rPr>
      </w:pPr>
      <w:r w:rsidRPr="00942BD7">
        <w:rPr>
          <w:rFonts w:eastAsiaTheme="minorEastAsia"/>
          <w:szCs w:val="22"/>
          <w:lang w:eastAsia="ja-JP"/>
        </w:rPr>
        <w:t>MAJOR RISKS AND MITIGATION STRATEGIES</w:t>
      </w:r>
    </w:p>
    <w:p w:rsidR="00942BD7" w:rsidRPr="00942BD7" w:rsidRDefault="00942BD7" w:rsidP="00203CC7">
      <w:pPr>
        <w:keepNext/>
        <w:keepLines/>
        <w:rPr>
          <w:rFonts w:eastAsia="Times New Roman"/>
          <w:szCs w:val="22"/>
          <w:lang w:eastAsia="ja-JP"/>
        </w:rPr>
      </w:pPr>
    </w:p>
    <w:tbl>
      <w:tblPr>
        <w:tblW w:w="935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11"/>
        <w:gridCol w:w="5245"/>
      </w:tblGrid>
      <w:tr w:rsidR="00942BD7" w:rsidRPr="00942BD7" w:rsidTr="009F1B0F">
        <w:trPr>
          <w:trHeight w:val="478"/>
        </w:trPr>
        <w:tc>
          <w:tcPr>
            <w:tcW w:w="4111" w:type="dxa"/>
            <w:tcBorders>
              <w:top w:val="single" w:sz="4" w:space="0" w:color="auto"/>
              <w:left w:val="single" w:sz="4" w:space="0" w:color="auto"/>
              <w:bottom w:val="single" w:sz="4" w:space="0" w:color="auto"/>
              <w:right w:val="nil"/>
            </w:tcBorders>
            <w:shd w:val="clear" w:color="auto" w:fill="C6D9F1" w:themeFill="text2" w:themeFillTint="33"/>
            <w:vAlign w:val="center"/>
          </w:tcPr>
          <w:p w:rsidR="00942BD7" w:rsidRPr="00942BD7" w:rsidRDefault="00942BD7" w:rsidP="00203CC7">
            <w:pPr>
              <w:keepNext/>
              <w:keepLines/>
              <w:rPr>
                <w:rFonts w:eastAsia="Times New Roman"/>
                <w:b/>
                <w:bCs/>
                <w:sz w:val="18"/>
                <w:szCs w:val="18"/>
                <w:lang w:eastAsia="ja-JP"/>
              </w:rPr>
            </w:pPr>
            <w:r w:rsidRPr="00942BD7">
              <w:rPr>
                <w:rFonts w:eastAsia="Times New Roman"/>
                <w:b/>
                <w:bCs/>
                <w:sz w:val="18"/>
                <w:szCs w:val="18"/>
                <w:lang w:eastAsia="ja-JP"/>
              </w:rPr>
              <w:t>Risk</w:t>
            </w:r>
          </w:p>
        </w:tc>
        <w:tc>
          <w:tcPr>
            <w:tcW w:w="5245" w:type="dxa"/>
            <w:tcBorders>
              <w:top w:val="single" w:sz="4" w:space="0" w:color="auto"/>
              <w:left w:val="nil"/>
              <w:bottom w:val="single" w:sz="4" w:space="0" w:color="auto"/>
              <w:right w:val="single" w:sz="4" w:space="0" w:color="auto"/>
            </w:tcBorders>
            <w:shd w:val="clear" w:color="auto" w:fill="C6D9F1" w:themeFill="text2" w:themeFillTint="33"/>
            <w:vAlign w:val="center"/>
          </w:tcPr>
          <w:p w:rsidR="00942BD7" w:rsidRPr="00942BD7" w:rsidRDefault="00942BD7" w:rsidP="00203CC7">
            <w:pPr>
              <w:keepNext/>
              <w:keepLines/>
              <w:rPr>
                <w:rFonts w:eastAsia="Times New Roman"/>
                <w:b/>
                <w:bCs/>
                <w:sz w:val="18"/>
                <w:szCs w:val="18"/>
                <w:lang w:eastAsia="ja-JP"/>
              </w:rPr>
            </w:pPr>
            <w:r w:rsidRPr="00942BD7">
              <w:rPr>
                <w:rFonts w:eastAsia="Times New Roman"/>
                <w:b/>
                <w:bCs/>
                <w:sz w:val="18"/>
                <w:szCs w:val="18"/>
                <w:lang w:eastAsia="ja-JP"/>
              </w:rPr>
              <w:t>Mitigation</w:t>
            </w:r>
          </w:p>
        </w:tc>
      </w:tr>
      <w:tr w:rsidR="00942BD7" w:rsidRPr="00942BD7" w:rsidTr="009F1B0F">
        <w:trPr>
          <w:trHeight w:val="211"/>
        </w:trPr>
        <w:tc>
          <w:tcPr>
            <w:tcW w:w="4111" w:type="dxa"/>
            <w:tcBorders>
              <w:top w:val="single" w:sz="4" w:space="0" w:color="auto"/>
              <w:left w:val="single" w:sz="4" w:space="0" w:color="auto"/>
              <w:bottom w:val="nil"/>
              <w:right w:val="nil"/>
            </w:tcBorders>
            <w:shd w:val="clear" w:color="auto" w:fill="auto"/>
            <w:tcMar>
              <w:top w:w="113" w:type="dxa"/>
              <w:bottom w:w="113" w:type="dxa"/>
            </w:tcMar>
          </w:tcPr>
          <w:p w:rsidR="00942BD7" w:rsidRPr="00942BD7" w:rsidRDefault="00942BD7" w:rsidP="00203CC7">
            <w:pPr>
              <w:rPr>
                <w:rFonts w:eastAsia="Times New Roman"/>
                <w:sz w:val="16"/>
                <w:szCs w:val="16"/>
                <w:lang w:eastAsia="ja-JP"/>
              </w:rPr>
            </w:pPr>
            <w:r w:rsidRPr="00942BD7">
              <w:rPr>
                <w:rFonts w:eastAsia="Times New Roman"/>
                <w:sz w:val="16"/>
                <w:szCs w:val="16"/>
                <w:lang w:eastAsia="ja-JP"/>
              </w:rPr>
              <w:t>Madrid System is considered less attractive than the national route in respect of certain Designated Contracting Parties.</w:t>
            </w:r>
          </w:p>
        </w:tc>
        <w:tc>
          <w:tcPr>
            <w:tcW w:w="5245" w:type="dxa"/>
            <w:tcBorders>
              <w:top w:val="single" w:sz="4" w:space="0" w:color="auto"/>
              <w:left w:val="nil"/>
              <w:bottom w:val="nil"/>
              <w:right w:val="single" w:sz="4" w:space="0" w:color="auto"/>
            </w:tcBorders>
            <w:shd w:val="clear" w:color="auto" w:fill="auto"/>
            <w:tcMar>
              <w:top w:w="113" w:type="dxa"/>
              <w:bottom w:w="113" w:type="dxa"/>
            </w:tcMar>
          </w:tcPr>
          <w:p w:rsidR="00942BD7" w:rsidRPr="00942BD7" w:rsidRDefault="00942BD7" w:rsidP="00203CC7">
            <w:pPr>
              <w:rPr>
                <w:rFonts w:eastAsia="Times New Roman"/>
                <w:sz w:val="16"/>
                <w:szCs w:val="16"/>
                <w:lang w:eastAsia="ja-JP"/>
              </w:rPr>
            </w:pPr>
            <w:r w:rsidRPr="00942BD7">
              <w:rPr>
                <w:rFonts w:eastAsia="Times New Roman"/>
                <w:sz w:val="16"/>
                <w:szCs w:val="16"/>
                <w:lang w:eastAsia="ja-JP"/>
              </w:rPr>
              <w:t>Enhance the effectiveness of the Madrid System through legal and practical adjustments which facilitate the securing of trademark protection in all designated Contracting Parties</w:t>
            </w:r>
          </w:p>
          <w:p w:rsidR="00942BD7" w:rsidRPr="00942BD7" w:rsidRDefault="00942BD7" w:rsidP="00203CC7">
            <w:pPr>
              <w:rPr>
                <w:rFonts w:eastAsia="Times New Roman"/>
                <w:sz w:val="16"/>
                <w:szCs w:val="16"/>
                <w:lang w:eastAsia="ja-JP"/>
              </w:rPr>
            </w:pPr>
          </w:p>
          <w:p w:rsidR="00942BD7" w:rsidRPr="00942BD7" w:rsidRDefault="00942BD7" w:rsidP="00203CC7">
            <w:pPr>
              <w:rPr>
                <w:rFonts w:eastAsia="Times New Roman"/>
                <w:sz w:val="16"/>
                <w:szCs w:val="16"/>
                <w:lang w:eastAsia="ja-JP"/>
              </w:rPr>
            </w:pPr>
            <w:r w:rsidRPr="00942BD7">
              <w:rPr>
                <w:rFonts w:eastAsia="Times New Roman"/>
                <w:sz w:val="16"/>
                <w:szCs w:val="16"/>
                <w:lang w:eastAsia="ja-JP"/>
              </w:rPr>
              <w:t>Promote new accessions in key regions and countries</w:t>
            </w:r>
          </w:p>
        </w:tc>
      </w:tr>
      <w:tr w:rsidR="00942BD7" w:rsidRPr="00942BD7" w:rsidTr="009F1B0F">
        <w:trPr>
          <w:trHeight w:val="211"/>
        </w:trPr>
        <w:tc>
          <w:tcPr>
            <w:tcW w:w="4111" w:type="dxa"/>
            <w:tcBorders>
              <w:top w:val="nil"/>
              <w:left w:val="single" w:sz="4" w:space="0" w:color="auto"/>
              <w:bottom w:val="nil"/>
              <w:right w:val="nil"/>
            </w:tcBorders>
            <w:shd w:val="clear" w:color="auto" w:fill="auto"/>
            <w:tcMar>
              <w:top w:w="113" w:type="dxa"/>
              <w:bottom w:w="113" w:type="dxa"/>
            </w:tcMar>
          </w:tcPr>
          <w:p w:rsidR="00942BD7" w:rsidRPr="00942BD7" w:rsidRDefault="00942BD7" w:rsidP="00203CC7">
            <w:pPr>
              <w:rPr>
                <w:rFonts w:eastAsia="Times New Roman"/>
                <w:sz w:val="16"/>
                <w:szCs w:val="16"/>
                <w:lang w:eastAsia="ja-JP"/>
              </w:rPr>
            </w:pPr>
            <w:r w:rsidRPr="00942BD7">
              <w:rPr>
                <w:rFonts w:eastAsia="Times New Roman"/>
                <w:sz w:val="16"/>
                <w:szCs w:val="16"/>
                <w:lang w:eastAsia="ja-JP"/>
              </w:rPr>
              <w:t>Quality of the International Bureau’s services does not meet customer expectations</w:t>
            </w:r>
          </w:p>
        </w:tc>
        <w:tc>
          <w:tcPr>
            <w:tcW w:w="5245" w:type="dxa"/>
            <w:tcBorders>
              <w:top w:val="nil"/>
              <w:left w:val="nil"/>
              <w:bottom w:val="nil"/>
              <w:right w:val="single" w:sz="4" w:space="0" w:color="auto"/>
            </w:tcBorders>
            <w:shd w:val="clear" w:color="auto" w:fill="auto"/>
            <w:tcMar>
              <w:top w:w="113" w:type="dxa"/>
              <w:bottom w:w="113" w:type="dxa"/>
            </w:tcMar>
          </w:tcPr>
          <w:p w:rsidR="00942BD7" w:rsidRPr="00942BD7" w:rsidRDefault="00942BD7" w:rsidP="00203CC7">
            <w:pPr>
              <w:rPr>
                <w:rFonts w:eastAsia="Times New Roman"/>
                <w:sz w:val="16"/>
                <w:szCs w:val="16"/>
                <w:lang w:eastAsia="ja-JP"/>
              </w:rPr>
            </w:pPr>
            <w:r w:rsidRPr="00942BD7">
              <w:rPr>
                <w:rFonts w:eastAsia="Times New Roman"/>
                <w:sz w:val="16"/>
                <w:szCs w:val="16"/>
                <w:lang w:eastAsia="ja-JP"/>
              </w:rPr>
              <w:t>Improve staff profile alignment; improve consistency of operational practices and their compliance with the legal framework; continue to strengthen quality control procedures; and provide training support.</w:t>
            </w:r>
          </w:p>
        </w:tc>
      </w:tr>
      <w:tr w:rsidR="00942BD7" w:rsidRPr="00942BD7" w:rsidTr="009F1B0F">
        <w:trPr>
          <w:trHeight w:val="211"/>
        </w:trPr>
        <w:tc>
          <w:tcPr>
            <w:tcW w:w="4111" w:type="dxa"/>
            <w:tcBorders>
              <w:top w:val="nil"/>
              <w:left w:val="single" w:sz="4" w:space="0" w:color="auto"/>
              <w:bottom w:val="single" w:sz="4" w:space="0" w:color="auto"/>
              <w:right w:val="nil"/>
            </w:tcBorders>
            <w:shd w:val="clear" w:color="auto" w:fill="auto"/>
            <w:tcMar>
              <w:top w:w="113" w:type="dxa"/>
              <w:bottom w:w="113" w:type="dxa"/>
            </w:tcMar>
          </w:tcPr>
          <w:p w:rsidR="00942BD7" w:rsidRPr="00942BD7" w:rsidRDefault="00942BD7" w:rsidP="00203CC7">
            <w:pPr>
              <w:rPr>
                <w:rFonts w:eastAsia="Times New Roman"/>
                <w:sz w:val="16"/>
                <w:szCs w:val="16"/>
                <w:lang w:eastAsia="ja-JP"/>
              </w:rPr>
            </w:pPr>
            <w:r w:rsidRPr="00942BD7">
              <w:rPr>
                <w:rFonts w:eastAsia="Times New Roman"/>
                <w:sz w:val="16"/>
                <w:szCs w:val="16"/>
                <w:lang w:eastAsia="ja-JP"/>
              </w:rPr>
              <w:t>Prolonged unavailability of operations at the International Bureau.</w:t>
            </w:r>
          </w:p>
        </w:tc>
        <w:tc>
          <w:tcPr>
            <w:tcW w:w="5245" w:type="dxa"/>
            <w:tcBorders>
              <w:top w:val="nil"/>
              <w:left w:val="nil"/>
              <w:bottom w:val="single" w:sz="4" w:space="0" w:color="auto"/>
              <w:right w:val="single" w:sz="4" w:space="0" w:color="auto"/>
            </w:tcBorders>
            <w:shd w:val="clear" w:color="auto" w:fill="auto"/>
            <w:tcMar>
              <w:top w:w="113" w:type="dxa"/>
              <w:bottom w:w="113" w:type="dxa"/>
            </w:tcMar>
          </w:tcPr>
          <w:p w:rsidR="00942BD7" w:rsidRPr="00942BD7" w:rsidRDefault="00942BD7" w:rsidP="00203CC7">
            <w:pPr>
              <w:rPr>
                <w:rFonts w:eastAsia="Times New Roman"/>
                <w:sz w:val="16"/>
                <w:szCs w:val="16"/>
                <w:lang w:eastAsia="ja-JP"/>
              </w:rPr>
            </w:pPr>
            <w:r w:rsidRPr="00942BD7">
              <w:rPr>
                <w:rFonts w:eastAsia="Times New Roman"/>
                <w:color w:val="000000"/>
                <w:sz w:val="16"/>
                <w:szCs w:val="16"/>
                <w:lang w:eastAsia="ja-JP"/>
              </w:rPr>
              <w:t>Further develop the Business Continuity Plan of the International Bureau.</w:t>
            </w:r>
          </w:p>
        </w:tc>
      </w:tr>
    </w:tbl>
    <w:p w:rsidR="00942BD7" w:rsidRPr="00942BD7" w:rsidRDefault="00942BD7" w:rsidP="00203CC7">
      <w:pPr>
        <w:rPr>
          <w:rFonts w:eastAsia="Times New Roman"/>
          <w:szCs w:val="22"/>
          <w:lang w:eastAsia="ja-JP"/>
        </w:rPr>
      </w:pPr>
    </w:p>
    <w:p w:rsidR="00942BD7" w:rsidRPr="00942BD7" w:rsidRDefault="00942BD7" w:rsidP="00203CC7">
      <w:pPr>
        <w:tabs>
          <w:tab w:val="left" w:pos="567"/>
        </w:tabs>
        <w:rPr>
          <w:rFonts w:eastAsiaTheme="minorEastAsia"/>
          <w:sz w:val="20"/>
          <w:lang w:eastAsia="ja-JP"/>
        </w:rPr>
      </w:pPr>
    </w:p>
    <w:p w:rsidR="00942BD7" w:rsidRPr="00942BD7" w:rsidRDefault="00942BD7" w:rsidP="00203CC7">
      <w:pPr>
        <w:rPr>
          <w:rFonts w:eastAsia="Times New Roman"/>
          <w:szCs w:val="22"/>
          <w:lang w:eastAsia="ja-JP"/>
        </w:rPr>
      </w:pPr>
      <w:r w:rsidRPr="00942BD7">
        <w:rPr>
          <w:rFonts w:eastAsia="Times New Roman"/>
          <w:szCs w:val="22"/>
          <w:lang w:eastAsia="ja-JP"/>
        </w:rPr>
        <w:t>RESULTS FRAMEWORK</w:t>
      </w:r>
    </w:p>
    <w:p w:rsidR="00942BD7" w:rsidRPr="00942BD7" w:rsidRDefault="00942BD7" w:rsidP="00203CC7">
      <w:pPr>
        <w:rPr>
          <w:rFonts w:eastAsia="Times New Roman"/>
          <w:szCs w:val="22"/>
          <w:lang w:eastAsia="ja-JP"/>
        </w:rPr>
      </w:pPr>
    </w:p>
    <w:tbl>
      <w:tblPr>
        <w:tblW w:w="9371" w:type="dxa"/>
        <w:tblInd w:w="93" w:type="dxa"/>
        <w:tblLook w:val="04A0" w:firstRow="1" w:lastRow="0" w:firstColumn="1" w:lastColumn="0" w:noHBand="0" w:noVBand="1"/>
      </w:tblPr>
      <w:tblGrid>
        <w:gridCol w:w="2060"/>
        <w:gridCol w:w="2500"/>
        <w:gridCol w:w="2543"/>
        <w:gridCol w:w="2268"/>
      </w:tblGrid>
      <w:tr w:rsidR="00942BD7" w:rsidRPr="00942BD7" w:rsidTr="00203CC7">
        <w:trPr>
          <w:trHeight w:val="518"/>
          <w:tblHeader/>
        </w:trPr>
        <w:tc>
          <w:tcPr>
            <w:tcW w:w="2060"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Expected Results</w:t>
            </w:r>
          </w:p>
        </w:tc>
        <w:tc>
          <w:tcPr>
            <w:tcW w:w="2500" w:type="dxa"/>
            <w:tcBorders>
              <w:top w:val="single" w:sz="4" w:space="0" w:color="auto"/>
              <w:left w:val="nil"/>
              <w:bottom w:val="single" w:sz="4" w:space="0" w:color="auto"/>
              <w:right w:val="nil"/>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Performance Indicators</w:t>
            </w:r>
          </w:p>
        </w:tc>
        <w:tc>
          <w:tcPr>
            <w:tcW w:w="2543" w:type="dxa"/>
            <w:tcBorders>
              <w:top w:val="single" w:sz="4" w:space="0" w:color="auto"/>
              <w:left w:val="nil"/>
              <w:bottom w:val="single" w:sz="4" w:space="0" w:color="auto"/>
              <w:right w:val="nil"/>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Baselines</w:t>
            </w:r>
          </w:p>
        </w:tc>
        <w:tc>
          <w:tcPr>
            <w:tcW w:w="226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Targets</w:t>
            </w:r>
          </w:p>
        </w:tc>
      </w:tr>
      <w:tr w:rsidR="00942BD7" w:rsidRPr="00942BD7" w:rsidTr="00203CC7">
        <w:trPr>
          <w:trHeight w:val="1304"/>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br/>
              <w:t>II.6 Wider and more effective use of the Madrid &amp; Lisbon systems, including by developing countries and LDCs</w:t>
            </w:r>
          </w:p>
        </w:tc>
        <w:tc>
          <w:tcPr>
            <w:tcW w:w="2500" w:type="dxa"/>
            <w:tcBorders>
              <w:top w:val="nil"/>
              <w:left w:val="nil"/>
              <w:bottom w:val="nil"/>
              <w:right w:val="nil"/>
            </w:tcBorders>
            <w:shd w:val="clear" w:color="000000" w:fill="FFFFFF"/>
            <w:hideMark/>
          </w:tcPr>
          <w:p w:rsidR="00942BD7" w:rsidRPr="00942BD7" w:rsidRDefault="00942BD7" w:rsidP="00203CC7">
            <w:pPr>
              <w:ind w:firstLineChars="200" w:firstLine="320"/>
              <w:rPr>
                <w:rFonts w:eastAsia="Times New Roman"/>
                <w:color w:val="000000"/>
                <w:sz w:val="16"/>
                <w:szCs w:val="16"/>
                <w:lang w:eastAsia="ja-JP"/>
              </w:rPr>
            </w:pPr>
            <w:r w:rsidRPr="00942BD7">
              <w:rPr>
                <w:rFonts w:eastAsia="Times New Roman"/>
                <w:color w:val="000000"/>
                <w:sz w:val="16"/>
                <w:szCs w:val="16"/>
                <w:lang w:eastAsia="ja-JP"/>
              </w:rPr>
              <w:br/>
              <w:t>Total Membership of the Madrid System</w:t>
            </w:r>
            <w:r w:rsidRPr="00942BD7">
              <w:rPr>
                <w:rFonts w:eastAsia="Times New Roman"/>
                <w:color w:val="000000"/>
                <w:sz w:val="16"/>
                <w:szCs w:val="16"/>
                <w:lang w:eastAsia="ja-JP"/>
              </w:rPr>
              <w:br/>
            </w:r>
            <w:r w:rsidRPr="00942BD7">
              <w:rPr>
                <w:rFonts w:eastAsia="Times New Roman"/>
                <w:color w:val="000000"/>
                <w:sz w:val="16"/>
                <w:szCs w:val="16"/>
                <w:lang w:eastAsia="ja-JP"/>
              </w:rPr>
              <w:br/>
              <w:t>Market share (i.e., national route versus Madrid route) (Madrid)</w:t>
            </w:r>
          </w:p>
        </w:tc>
        <w:tc>
          <w:tcPr>
            <w:tcW w:w="2543" w:type="dxa"/>
            <w:tcBorders>
              <w:top w:val="nil"/>
              <w:left w:val="nil"/>
              <w:bottom w:val="nil"/>
              <w:right w:val="nil"/>
            </w:tcBorders>
            <w:shd w:val="clear" w:color="000000" w:fill="FFFFFF"/>
            <w:hideMark/>
          </w:tcPr>
          <w:p w:rsidR="00942BD7" w:rsidRPr="00942BD7" w:rsidRDefault="00942BD7" w:rsidP="00203CC7">
            <w:pPr>
              <w:ind w:firstLineChars="200" w:firstLine="320"/>
              <w:rPr>
                <w:rFonts w:eastAsia="Times New Roman"/>
                <w:color w:val="000000"/>
                <w:sz w:val="16"/>
                <w:szCs w:val="16"/>
                <w:lang w:eastAsia="ja-JP"/>
              </w:rPr>
            </w:pPr>
            <w:r w:rsidRPr="00942BD7">
              <w:rPr>
                <w:rFonts w:eastAsia="Times New Roman"/>
                <w:color w:val="000000"/>
                <w:sz w:val="16"/>
                <w:szCs w:val="16"/>
                <w:lang w:eastAsia="ja-JP"/>
              </w:rPr>
              <w:br/>
              <w:t>95 members (as at April 15, 2015)</w:t>
            </w:r>
            <w:r w:rsidRPr="00942BD7">
              <w:rPr>
                <w:rFonts w:eastAsia="Times New Roman"/>
                <w:color w:val="000000"/>
                <w:sz w:val="16"/>
                <w:szCs w:val="16"/>
                <w:lang w:eastAsia="ja-JP"/>
              </w:rPr>
              <w:br/>
            </w:r>
            <w:r w:rsidRPr="00942BD7">
              <w:rPr>
                <w:rFonts w:eastAsia="Times New Roman"/>
                <w:color w:val="000000"/>
                <w:sz w:val="16"/>
                <w:szCs w:val="16"/>
                <w:lang w:eastAsia="ja-JP"/>
              </w:rPr>
              <w:br/>
              <w:t xml:space="preserve">63.4% market share (as of Dec 31, 2012) </w:t>
            </w:r>
          </w:p>
        </w:tc>
        <w:tc>
          <w:tcPr>
            <w:tcW w:w="2268" w:type="dxa"/>
            <w:tcBorders>
              <w:top w:val="nil"/>
              <w:left w:val="nil"/>
              <w:bottom w:val="nil"/>
              <w:right w:val="single" w:sz="4" w:space="0" w:color="auto"/>
            </w:tcBorders>
            <w:shd w:val="clear" w:color="000000" w:fill="FFFFFF"/>
            <w:hideMark/>
          </w:tcPr>
          <w:p w:rsidR="00942BD7" w:rsidRPr="00942BD7" w:rsidRDefault="00942BD7" w:rsidP="00203CC7">
            <w:pPr>
              <w:ind w:firstLineChars="200" w:firstLine="320"/>
              <w:rPr>
                <w:rFonts w:eastAsia="Times New Roman"/>
                <w:color w:val="000000"/>
                <w:sz w:val="16"/>
                <w:szCs w:val="16"/>
                <w:lang w:eastAsia="ja-JP"/>
              </w:rPr>
            </w:pPr>
            <w:r w:rsidRPr="00942BD7">
              <w:rPr>
                <w:rFonts w:eastAsia="Times New Roman"/>
                <w:color w:val="000000"/>
                <w:sz w:val="16"/>
                <w:szCs w:val="16"/>
                <w:lang w:eastAsia="ja-JP"/>
              </w:rPr>
              <w:br/>
              <w:t>103</w:t>
            </w:r>
            <w:r w:rsidRPr="00942BD7">
              <w:rPr>
                <w:rFonts w:eastAsia="Times New Roman"/>
                <w:color w:val="000000"/>
                <w:sz w:val="16"/>
                <w:szCs w:val="16"/>
                <w:lang w:eastAsia="ja-JP"/>
              </w:rPr>
              <w:br/>
            </w:r>
            <w:r w:rsidRPr="00942BD7">
              <w:rPr>
                <w:rFonts w:eastAsia="Times New Roman"/>
                <w:color w:val="000000"/>
                <w:sz w:val="16"/>
                <w:szCs w:val="16"/>
                <w:lang w:eastAsia="ja-JP"/>
              </w:rPr>
              <w:br/>
            </w:r>
            <w:r w:rsidRPr="00942BD7">
              <w:rPr>
                <w:rFonts w:eastAsia="Times New Roman"/>
                <w:color w:val="000000"/>
                <w:sz w:val="16"/>
                <w:szCs w:val="16"/>
                <w:lang w:eastAsia="ja-JP"/>
              </w:rPr>
              <w:br/>
              <w:t>Increase of  market share</w:t>
            </w:r>
          </w:p>
        </w:tc>
      </w:tr>
      <w:tr w:rsidR="00942BD7" w:rsidRPr="00942BD7" w:rsidTr="00203CC7">
        <w:trPr>
          <w:trHeight w:val="441"/>
        </w:trPr>
        <w:tc>
          <w:tcPr>
            <w:tcW w:w="2060" w:type="dxa"/>
            <w:tcBorders>
              <w:top w:val="nil"/>
              <w:left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Filing rate (Madrid)</w:t>
            </w:r>
          </w:p>
        </w:tc>
        <w:tc>
          <w:tcPr>
            <w:tcW w:w="2543" w:type="dxa"/>
            <w:tcBorders>
              <w:top w:val="nil"/>
              <w:left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xml:space="preserve">47,885 applications </w:t>
            </w: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2.3% filing rate (as of Dec  31, 2014)</w:t>
            </w:r>
          </w:p>
        </w:tc>
        <w:tc>
          <w:tcPr>
            <w:tcW w:w="2268" w:type="dxa"/>
            <w:tcBorders>
              <w:top w:val="nil"/>
              <w:left w:val="nil"/>
              <w:right w:val="single" w:sz="4" w:space="0" w:color="auto"/>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2016: + 4.6% Filing rate</w:t>
            </w:r>
            <w:r w:rsidRPr="00942BD7">
              <w:rPr>
                <w:rFonts w:eastAsia="Times New Roman"/>
                <w:color w:val="000000"/>
                <w:sz w:val="16"/>
                <w:szCs w:val="16"/>
                <w:lang w:eastAsia="ja-JP"/>
              </w:rPr>
              <w:br/>
              <w:t>2017: + 2.3% Filing rate</w:t>
            </w:r>
          </w:p>
        </w:tc>
      </w:tr>
      <w:tr w:rsidR="00942BD7" w:rsidRPr="00942BD7" w:rsidTr="00203CC7">
        <w:trPr>
          <w:trHeight w:val="2490"/>
        </w:trPr>
        <w:tc>
          <w:tcPr>
            <w:tcW w:w="2060" w:type="dxa"/>
            <w:tcBorders>
              <w:left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right w:val="nil"/>
            </w:tcBorders>
            <w:shd w:val="clear" w:color="000000" w:fill="FFFFFF"/>
            <w:hideMark/>
          </w:tcPr>
          <w:p w:rsid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Registrations (Madrid)</w:t>
            </w: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Renewals (Madrid)</w:t>
            </w: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Total no. of registrations (Madrid)</w:t>
            </w:r>
            <w:r w:rsidRPr="00942BD7">
              <w:rPr>
                <w:rFonts w:eastAsia="Times New Roman"/>
                <w:color w:val="000000"/>
                <w:sz w:val="16"/>
                <w:szCs w:val="16"/>
                <w:lang w:eastAsia="ja-JP"/>
              </w:rPr>
              <w:br/>
            </w:r>
            <w:r w:rsidRPr="00942BD7">
              <w:rPr>
                <w:rFonts w:eastAsia="Times New Roman"/>
                <w:color w:val="000000"/>
                <w:sz w:val="16"/>
                <w:szCs w:val="16"/>
                <w:lang w:eastAsia="ja-JP"/>
              </w:rPr>
              <w:br/>
            </w:r>
            <w:r w:rsidRPr="00942BD7">
              <w:rPr>
                <w:rFonts w:eastAsia="Times New Roman"/>
                <w:color w:val="000000"/>
                <w:sz w:val="16"/>
                <w:szCs w:val="16"/>
                <w:lang w:eastAsia="ja-JP"/>
              </w:rPr>
              <w:br/>
              <w:t>Total no. of designations (Madrid)</w:t>
            </w:r>
          </w:p>
        </w:tc>
        <w:tc>
          <w:tcPr>
            <w:tcW w:w="2543" w:type="dxa"/>
            <w:tcBorders>
              <w:left w:val="nil"/>
              <w:right w:val="nil"/>
            </w:tcBorders>
            <w:shd w:val="clear" w:color="000000" w:fill="FFFFFF"/>
            <w:hideMark/>
          </w:tcPr>
          <w:p w:rsid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42,430 (2014)</w:t>
            </w: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25,729 (2014)</w:t>
            </w: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xml:space="preserve">594,477 registrations </w:t>
            </w: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(as of  Dec 31, 2014)</w:t>
            </w:r>
            <w:r w:rsidRPr="00942BD7">
              <w:rPr>
                <w:rFonts w:eastAsia="Times New Roman"/>
                <w:color w:val="000000"/>
                <w:sz w:val="16"/>
                <w:szCs w:val="16"/>
                <w:lang w:eastAsia="ja-JP"/>
              </w:rPr>
              <w:br/>
            </w:r>
            <w:r w:rsidRPr="00942BD7">
              <w:rPr>
                <w:rFonts w:eastAsia="Times New Roman"/>
                <w:color w:val="000000"/>
                <w:sz w:val="16"/>
                <w:szCs w:val="16"/>
                <w:lang w:eastAsia="ja-JP"/>
              </w:rPr>
              <w:br/>
              <w:t xml:space="preserve">5.61 million designations </w:t>
            </w: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(as of Dec 31, 2014)</w:t>
            </w:r>
          </w:p>
        </w:tc>
        <w:tc>
          <w:tcPr>
            <w:tcW w:w="2268" w:type="dxa"/>
            <w:tcBorders>
              <w:left w:val="nil"/>
              <w:right w:val="single" w:sz="4" w:space="0" w:color="auto"/>
            </w:tcBorders>
            <w:shd w:val="clear" w:color="000000" w:fill="FFFFFF"/>
            <w:hideMark/>
          </w:tcPr>
          <w:p w:rsid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47,387 (2016)</w:t>
            </w: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48,652 (2017)</w:t>
            </w:r>
          </w:p>
          <w:p w:rsid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29,850 (2016)</w:t>
            </w: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31,020 (2017)</w:t>
            </w: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2016: 630,000 registrations</w:t>
            </w:r>
            <w:r w:rsidRPr="00942BD7">
              <w:rPr>
                <w:rFonts w:eastAsia="Times New Roman"/>
                <w:color w:val="000000"/>
                <w:sz w:val="16"/>
                <w:szCs w:val="16"/>
                <w:lang w:eastAsia="ja-JP"/>
              </w:rPr>
              <w:br/>
              <w:t>2017: 650,000 registrations</w:t>
            </w:r>
            <w:r w:rsidRPr="00942BD7">
              <w:rPr>
                <w:rFonts w:eastAsia="Times New Roman"/>
                <w:color w:val="000000"/>
                <w:sz w:val="16"/>
                <w:szCs w:val="16"/>
                <w:lang w:eastAsia="ja-JP"/>
              </w:rPr>
              <w:br/>
            </w:r>
            <w:r w:rsidRPr="00942BD7">
              <w:rPr>
                <w:rFonts w:eastAsia="Times New Roman"/>
                <w:color w:val="000000"/>
                <w:sz w:val="16"/>
                <w:szCs w:val="16"/>
                <w:lang w:eastAsia="ja-JP"/>
              </w:rPr>
              <w:br/>
              <w:t>2016: 5.68 million designations</w:t>
            </w:r>
            <w:r w:rsidRPr="00942BD7">
              <w:rPr>
                <w:rFonts w:eastAsia="Times New Roman"/>
                <w:color w:val="000000"/>
                <w:sz w:val="16"/>
                <w:szCs w:val="16"/>
                <w:lang w:eastAsia="ja-JP"/>
              </w:rPr>
              <w:br/>
              <w:t>2017: 5.7 million designations</w:t>
            </w:r>
          </w:p>
        </w:tc>
      </w:tr>
      <w:tr w:rsidR="00942BD7" w:rsidRPr="00942BD7" w:rsidTr="00203CC7">
        <w:trPr>
          <w:trHeight w:val="1260"/>
        </w:trPr>
        <w:tc>
          <w:tcPr>
            <w:tcW w:w="2060" w:type="dxa"/>
            <w:tcBorders>
              <w:left w:val="single" w:sz="4" w:space="0" w:color="auto"/>
              <w:bottom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bottom w:val="single" w:sz="4" w:space="0" w:color="auto"/>
              <w:right w:val="nil"/>
            </w:tcBorders>
            <w:shd w:val="clear" w:color="000000" w:fill="FFFFFF"/>
            <w:hideMark/>
          </w:tcPr>
          <w:p w:rsid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Irregularity rate (Article 12 and 13) (Madrid)</w:t>
            </w:r>
          </w:p>
        </w:tc>
        <w:tc>
          <w:tcPr>
            <w:tcW w:w="2543" w:type="dxa"/>
            <w:tcBorders>
              <w:left w:val="nil"/>
              <w:bottom w:val="single" w:sz="4" w:space="0" w:color="auto"/>
              <w:right w:val="nil"/>
            </w:tcBorders>
            <w:shd w:val="clear" w:color="000000" w:fill="FFFFFF"/>
            <w:hideMark/>
          </w:tcPr>
          <w:p w:rsidR="00942BD7" w:rsidRDefault="00942BD7" w:rsidP="00203CC7">
            <w:pPr>
              <w:ind w:left="117"/>
              <w:rPr>
                <w:rFonts w:eastAsia="Times New Roman"/>
                <w:color w:val="000000"/>
                <w:sz w:val="16"/>
                <w:szCs w:val="16"/>
                <w:lang w:eastAsia="ja-JP"/>
              </w:rPr>
            </w:pPr>
          </w:p>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 xml:space="preserve">36%  Irregularity rate </w:t>
            </w:r>
          </w:p>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(as of Dec 31,2014)</w:t>
            </w:r>
            <w:r w:rsidRPr="00942BD7">
              <w:rPr>
                <w:rFonts w:eastAsia="Times New Roman"/>
                <w:color w:val="000000"/>
                <w:sz w:val="16"/>
                <w:szCs w:val="16"/>
                <w:lang w:eastAsia="ja-JP"/>
              </w:rPr>
              <w:br/>
            </w:r>
            <w:r w:rsidRPr="00942BD7">
              <w:rPr>
                <w:rFonts w:eastAsia="Times New Roman"/>
                <w:color w:val="000000"/>
                <w:sz w:val="16"/>
                <w:szCs w:val="16"/>
                <w:lang w:eastAsia="ja-JP"/>
              </w:rPr>
              <w:br/>
              <w:t xml:space="preserve">Acceptable terms in Madrid Goods and Services Database (MGS) (In English) </w:t>
            </w:r>
            <w:r w:rsidRPr="00942BD7">
              <w:rPr>
                <w:rFonts w:eastAsia="Times New Roman"/>
                <w:sz w:val="16"/>
                <w:szCs w:val="16"/>
                <w:lang w:eastAsia="ja-JP"/>
              </w:rPr>
              <w:t>67,050</w:t>
            </w:r>
            <w:r w:rsidRPr="00942BD7">
              <w:rPr>
                <w:rFonts w:eastAsia="Times New Roman"/>
                <w:color w:val="000000"/>
                <w:sz w:val="16"/>
                <w:szCs w:val="16"/>
                <w:lang w:eastAsia="ja-JP"/>
              </w:rPr>
              <w:t xml:space="preserve"> (May 2015)</w:t>
            </w:r>
          </w:p>
        </w:tc>
        <w:tc>
          <w:tcPr>
            <w:tcW w:w="2268" w:type="dxa"/>
            <w:tcBorders>
              <w:left w:val="nil"/>
              <w:bottom w:val="single" w:sz="4" w:space="0" w:color="auto"/>
              <w:right w:val="single" w:sz="4" w:space="0" w:color="auto"/>
            </w:tcBorders>
            <w:shd w:val="clear" w:color="000000" w:fill="FFFFFF"/>
            <w:hideMark/>
          </w:tcPr>
          <w:p w:rsid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Decrease</w:t>
            </w: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80,000</w:t>
            </w:r>
          </w:p>
        </w:tc>
      </w:tr>
      <w:tr w:rsidR="00942BD7" w:rsidRPr="00942BD7" w:rsidTr="00203CC7">
        <w:trPr>
          <w:trHeight w:val="918"/>
        </w:trPr>
        <w:tc>
          <w:tcPr>
            <w:tcW w:w="2060" w:type="dxa"/>
            <w:tcBorders>
              <w:top w:val="single" w:sz="4" w:space="0" w:color="auto"/>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lastRenderedPageBreak/>
              <w:t> </w:t>
            </w:r>
          </w:p>
        </w:tc>
        <w:tc>
          <w:tcPr>
            <w:tcW w:w="2500" w:type="dxa"/>
            <w:tcBorders>
              <w:top w:val="single" w:sz="4" w:space="0" w:color="auto"/>
              <w:left w:val="nil"/>
              <w:bottom w:val="nil"/>
              <w:right w:val="nil"/>
            </w:tcBorders>
            <w:shd w:val="clear" w:color="000000" w:fill="FFFFFF"/>
            <w:hideMark/>
          </w:tcPr>
          <w:p w:rsidR="00942BD7" w:rsidRDefault="00942BD7" w:rsidP="00203CC7">
            <w:pPr>
              <w:ind w:left="97"/>
              <w:rPr>
                <w:rFonts w:eastAsia="Times New Roman"/>
                <w:color w:val="000000"/>
                <w:sz w:val="16"/>
                <w:szCs w:val="16"/>
                <w:lang w:eastAsia="ja-JP"/>
              </w:rPr>
            </w:pPr>
          </w:p>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Functional improvements to the Madrid System</w:t>
            </w:r>
          </w:p>
        </w:tc>
        <w:tc>
          <w:tcPr>
            <w:tcW w:w="2543" w:type="dxa"/>
            <w:tcBorders>
              <w:top w:val="single" w:sz="4" w:space="0" w:color="auto"/>
              <w:left w:val="nil"/>
              <w:bottom w:val="nil"/>
              <w:right w:val="nil"/>
            </w:tcBorders>
            <w:shd w:val="clear" w:color="000000" w:fill="FFFFFF"/>
            <w:hideMark/>
          </w:tcPr>
          <w:p w:rsidR="00942BD7" w:rsidRDefault="00942BD7" w:rsidP="00203CC7">
            <w:pPr>
              <w:ind w:left="117"/>
              <w:rPr>
                <w:rFonts w:eastAsia="Times New Roman"/>
                <w:color w:val="000000"/>
                <w:sz w:val="16"/>
                <w:szCs w:val="16"/>
                <w:lang w:eastAsia="ja-JP"/>
              </w:rPr>
            </w:pPr>
          </w:p>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Common Regulations and Administrative Instructions in force at December 31, 2014</w:t>
            </w:r>
          </w:p>
        </w:tc>
        <w:tc>
          <w:tcPr>
            <w:tcW w:w="2268" w:type="dxa"/>
            <w:tcBorders>
              <w:top w:val="single" w:sz="4" w:space="0" w:color="auto"/>
              <w:left w:val="nil"/>
              <w:bottom w:val="nil"/>
              <w:right w:val="single" w:sz="4" w:space="0" w:color="auto"/>
            </w:tcBorders>
            <w:shd w:val="clear" w:color="000000" w:fill="FFFFFF"/>
            <w:hideMark/>
          </w:tcPr>
          <w:p w:rsidR="00942BD7" w:rsidRDefault="00942BD7" w:rsidP="00203CC7">
            <w:pPr>
              <w:ind w:left="107"/>
              <w:rPr>
                <w:rFonts w:eastAsia="Times New Roman"/>
                <w:color w:val="000000"/>
                <w:sz w:val="16"/>
                <w:szCs w:val="16"/>
                <w:lang w:eastAsia="ja-JP"/>
              </w:rPr>
            </w:pPr>
          </w:p>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Amendments to the Common Regulations and Administrative Instructions</w:t>
            </w:r>
          </w:p>
        </w:tc>
      </w:tr>
      <w:tr w:rsidR="00942BD7" w:rsidRPr="00942BD7" w:rsidTr="00203CC7">
        <w:trPr>
          <w:trHeight w:val="621"/>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II.7 Improved productivity and service quality of Madrid &amp; Lisbon operations</w:t>
            </w:r>
          </w:p>
        </w:tc>
        <w:tc>
          <w:tcPr>
            <w:tcW w:w="2500" w:type="dxa"/>
            <w:tcBorders>
              <w:top w:val="nil"/>
              <w:left w:val="nil"/>
              <w:bottom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Client satisfaction (Madrid)</w:t>
            </w:r>
          </w:p>
        </w:tc>
        <w:tc>
          <w:tcPr>
            <w:tcW w:w="2543" w:type="dxa"/>
            <w:tcBorders>
              <w:top w:val="nil"/>
              <w:left w:val="nil"/>
              <w:bottom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Service Orientation Index in 2014 (39)</w:t>
            </w:r>
          </w:p>
        </w:tc>
        <w:tc>
          <w:tcPr>
            <w:tcW w:w="2268" w:type="dxa"/>
            <w:tcBorders>
              <w:top w:val="nil"/>
              <w:left w:val="nil"/>
              <w:bottom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Improvement in Index</w:t>
            </w:r>
          </w:p>
        </w:tc>
      </w:tr>
      <w:tr w:rsidR="00942BD7" w:rsidRPr="00942BD7" w:rsidTr="00203CC7">
        <w:trPr>
          <w:trHeight w:val="486"/>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bottom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Unit cost (Madrid)</w:t>
            </w:r>
          </w:p>
        </w:tc>
        <w:tc>
          <w:tcPr>
            <w:tcW w:w="2543" w:type="dxa"/>
            <w:tcBorders>
              <w:top w:val="nil"/>
              <w:left w:val="nil"/>
              <w:bottom w:val="nil"/>
              <w:right w:val="nil"/>
            </w:tcBorders>
            <w:shd w:val="clear" w:color="000000" w:fill="FFFFFF"/>
            <w:hideMark/>
          </w:tcPr>
          <w:p w:rsidR="00942BD7" w:rsidRPr="00942BD7" w:rsidRDefault="00942BD7" w:rsidP="00203CC7">
            <w:pPr>
              <w:ind w:left="115"/>
              <w:rPr>
                <w:rFonts w:eastAsia="Times New Roman"/>
                <w:color w:val="000000"/>
                <w:sz w:val="16"/>
                <w:szCs w:val="16"/>
                <w:lang w:eastAsia="ja-JP"/>
              </w:rPr>
            </w:pPr>
            <w:r w:rsidRPr="00942BD7">
              <w:rPr>
                <w:rFonts w:eastAsia="Times New Roman"/>
                <w:color w:val="000000"/>
                <w:sz w:val="16"/>
                <w:szCs w:val="16"/>
                <w:lang w:eastAsia="ja-JP"/>
              </w:rPr>
              <w:t xml:space="preserve">Registration/renewal Cost: </w:t>
            </w:r>
          </w:p>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837 CHF</w:t>
            </w:r>
            <w:r w:rsidRPr="00942BD7">
              <w:rPr>
                <w:rFonts w:eastAsia="Times New Roman"/>
                <w:color w:val="000000"/>
                <w:sz w:val="16"/>
                <w:szCs w:val="16"/>
                <w:lang w:eastAsia="ja-JP"/>
              </w:rPr>
              <w:br/>
              <w:t>Inscription Unit Cost: 320 CHF</w:t>
            </w:r>
          </w:p>
        </w:tc>
        <w:tc>
          <w:tcPr>
            <w:tcW w:w="2268" w:type="dxa"/>
            <w:tcBorders>
              <w:top w:val="nil"/>
              <w:left w:val="nil"/>
              <w:bottom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Reduction in both unit cost categories</w:t>
            </w:r>
          </w:p>
        </w:tc>
      </w:tr>
      <w:tr w:rsidR="00942BD7" w:rsidRPr="00942BD7" w:rsidTr="00203CC7">
        <w:trPr>
          <w:trHeight w:val="1424"/>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bottom w:val="nil"/>
              <w:right w:val="nil"/>
            </w:tcBorders>
            <w:shd w:val="clear" w:color="000000" w:fill="FFFFFF"/>
            <w:hideMark/>
          </w:tcPr>
          <w:p w:rsidR="00942BD7" w:rsidRPr="00942BD7" w:rsidRDefault="00942BD7" w:rsidP="00203CC7">
            <w:pPr>
              <w:ind w:left="101"/>
              <w:rPr>
                <w:rFonts w:eastAsia="Times New Roman"/>
                <w:color w:val="000000"/>
                <w:sz w:val="16"/>
                <w:szCs w:val="16"/>
                <w:lang w:eastAsia="ja-JP"/>
              </w:rPr>
            </w:pPr>
            <w:r w:rsidRPr="00942BD7">
              <w:rPr>
                <w:rFonts w:eastAsia="Times New Roman"/>
                <w:color w:val="000000"/>
                <w:sz w:val="16"/>
                <w:szCs w:val="16"/>
                <w:lang w:eastAsia="ja-JP"/>
              </w:rPr>
              <w:t>Timeliness of transactions</w:t>
            </w:r>
          </w:p>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(days) (Madrid)</w:t>
            </w:r>
          </w:p>
        </w:tc>
        <w:tc>
          <w:tcPr>
            <w:tcW w:w="2543" w:type="dxa"/>
            <w:tcBorders>
              <w:top w:val="nil"/>
              <w:left w:val="nil"/>
              <w:bottom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 xml:space="preserve">Applications: 70 </w:t>
            </w:r>
            <w:r w:rsidRPr="00942BD7">
              <w:rPr>
                <w:rFonts w:eastAsia="Times New Roman"/>
                <w:color w:val="000000"/>
                <w:sz w:val="16"/>
                <w:szCs w:val="16"/>
                <w:lang w:eastAsia="ja-JP"/>
              </w:rPr>
              <w:br/>
              <w:t xml:space="preserve">Renewals: 63 </w:t>
            </w:r>
            <w:r w:rsidRPr="00942BD7">
              <w:rPr>
                <w:rFonts w:eastAsia="Times New Roman"/>
                <w:color w:val="000000"/>
                <w:sz w:val="16"/>
                <w:szCs w:val="16"/>
                <w:lang w:eastAsia="ja-JP"/>
              </w:rPr>
              <w:br/>
              <w:t>Subsequent Designations: 56</w:t>
            </w:r>
            <w:r w:rsidRPr="00942BD7">
              <w:rPr>
                <w:rFonts w:eastAsia="Times New Roman"/>
                <w:color w:val="000000"/>
                <w:sz w:val="16"/>
                <w:szCs w:val="16"/>
                <w:lang w:eastAsia="ja-JP"/>
              </w:rPr>
              <w:br/>
              <w:t>Decisions:12</w:t>
            </w:r>
            <w:r w:rsidRPr="00942BD7">
              <w:rPr>
                <w:rFonts w:eastAsia="Times New Roman"/>
                <w:color w:val="000000"/>
                <w:sz w:val="16"/>
                <w:szCs w:val="16"/>
                <w:lang w:eastAsia="ja-JP"/>
              </w:rPr>
              <w:br/>
              <w:t>Modifications:79</w:t>
            </w:r>
            <w:r w:rsidRPr="00942BD7">
              <w:rPr>
                <w:rFonts w:eastAsia="Times New Roman"/>
                <w:color w:val="000000"/>
                <w:sz w:val="16"/>
                <w:szCs w:val="16"/>
                <w:lang w:eastAsia="ja-JP"/>
              </w:rPr>
              <w:br/>
              <w:t>Corrections 232</w:t>
            </w:r>
            <w:r w:rsidRPr="00942BD7">
              <w:rPr>
                <w:rFonts w:eastAsia="Times New Roman"/>
                <w:color w:val="000000"/>
                <w:sz w:val="16"/>
                <w:szCs w:val="16"/>
                <w:lang w:eastAsia="ja-JP"/>
              </w:rPr>
              <w:br/>
              <w:t>(as at December 31,2014)</w:t>
            </w:r>
          </w:p>
        </w:tc>
        <w:tc>
          <w:tcPr>
            <w:tcW w:w="2268" w:type="dxa"/>
            <w:tcBorders>
              <w:top w:val="nil"/>
              <w:left w:val="nil"/>
              <w:bottom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Improvement across all transactions</w:t>
            </w:r>
            <w:r w:rsidRPr="00942BD7">
              <w:rPr>
                <w:rFonts w:eastAsia="Times New Roman"/>
                <w:color w:val="000000"/>
                <w:sz w:val="16"/>
                <w:szCs w:val="16"/>
                <w:lang w:eastAsia="ja-JP"/>
              </w:rPr>
              <w:br/>
            </w:r>
            <w:r w:rsidRPr="00942BD7">
              <w:rPr>
                <w:rFonts w:eastAsia="Times New Roman"/>
                <w:color w:val="000000"/>
                <w:sz w:val="16"/>
                <w:szCs w:val="16"/>
                <w:lang w:eastAsia="ja-JP"/>
              </w:rPr>
              <w:br/>
            </w:r>
            <w:r w:rsidRPr="00942BD7">
              <w:rPr>
                <w:rFonts w:eastAsia="Times New Roman"/>
                <w:color w:val="000000"/>
                <w:sz w:val="16"/>
                <w:szCs w:val="16"/>
                <w:lang w:eastAsia="ja-JP"/>
              </w:rPr>
              <w:br/>
            </w:r>
            <w:r w:rsidRPr="00942BD7">
              <w:rPr>
                <w:rFonts w:eastAsia="Times New Roman"/>
                <w:color w:val="000000"/>
                <w:sz w:val="16"/>
                <w:szCs w:val="16"/>
                <w:lang w:eastAsia="ja-JP"/>
              </w:rPr>
              <w:br/>
            </w:r>
            <w:r w:rsidRPr="00942BD7">
              <w:rPr>
                <w:rFonts w:eastAsia="Times New Roman"/>
                <w:color w:val="000000"/>
                <w:sz w:val="16"/>
                <w:szCs w:val="16"/>
                <w:lang w:eastAsia="ja-JP"/>
              </w:rPr>
              <w:br/>
            </w:r>
          </w:p>
        </w:tc>
      </w:tr>
      <w:tr w:rsidR="00942BD7" w:rsidRPr="00942BD7" w:rsidTr="00203CC7">
        <w:trPr>
          <w:trHeight w:val="360"/>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bottom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Quality (Madrid)</w:t>
            </w:r>
          </w:p>
        </w:tc>
        <w:tc>
          <w:tcPr>
            <w:tcW w:w="2543" w:type="dxa"/>
            <w:tcBorders>
              <w:top w:val="nil"/>
              <w:left w:val="nil"/>
              <w:bottom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tbd</w:t>
            </w:r>
          </w:p>
        </w:tc>
        <w:tc>
          <w:tcPr>
            <w:tcW w:w="2268" w:type="dxa"/>
            <w:tcBorders>
              <w:top w:val="nil"/>
              <w:left w:val="nil"/>
              <w:bottom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tbd</w:t>
            </w:r>
          </w:p>
        </w:tc>
      </w:tr>
      <w:tr w:rsidR="00942BD7" w:rsidRPr="00942BD7" w:rsidTr="00203CC7">
        <w:trPr>
          <w:trHeight w:val="3305"/>
        </w:trPr>
        <w:tc>
          <w:tcPr>
            <w:tcW w:w="2060" w:type="dxa"/>
            <w:tcBorders>
              <w:top w:val="nil"/>
              <w:left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Improved operation of the Madrid Registry, including electronic processes and procedures (Madrid)</w:t>
            </w:r>
          </w:p>
        </w:tc>
        <w:tc>
          <w:tcPr>
            <w:tcW w:w="2543" w:type="dxa"/>
            <w:tcBorders>
              <w:top w:val="nil"/>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70% of documents received electronically</w:t>
            </w:r>
            <w:r w:rsidRPr="00942BD7">
              <w:rPr>
                <w:rFonts w:eastAsia="Times New Roman"/>
                <w:color w:val="000000"/>
                <w:sz w:val="16"/>
                <w:szCs w:val="16"/>
                <w:lang w:eastAsia="ja-JP"/>
              </w:rPr>
              <w:br/>
            </w:r>
            <w:r w:rsidRPr="00942BD7">
              <w:rPr>
                <w:rFonts w:eastAsia="Times New Roman"/>
                <w:color w:val="000000"/>
                <w:sz w:val="16"/>
                <w:szCs w:val="16"/>
                <w:lang w:eastAsia="ja-JP"/>
              </w:rPr>
              <w:br/>
              <w:t>220,000 email notifications</w:t>
            </w:r>
            <w:r w:rsidRPr="00942BD7">
              <w:rPr>
                <w:rFonts w:eastAsia="Times New Roman"/>
                <w:color w:val="000000"/>
                <w:sz w:val="16"/>
                <w:szCs w:val="16"/>
                <w:lang w:eastAsia="ja-JP"/>
              </w:rPr>
              <w:br/>
            </w:r>
            <w:r w:rsidRPr="00942BD7">
              <w:rPr>
                <w:rFonts w:eastAsia="Times New Roman"/>
                <w:color w:val="000000"/>
                <w:sz w:val="16"/>
                <w:szCs w:val="16"/>
                <w:lang w:eastAsia="ja-JP"/>
              </w:rPr>
              <w:br/>
              <w:t>1800 MPM Clients</w:t>
            </w:r>
            <w:r w:rsidRPr="00942BD7">
              <w:rPr>
                <w:rFonts w:eastAsia="Times New Roman"/>
                <w:color w:val="000000"/>
                <w:sz w:val="16"/>
                <w:szCs w:val="16"/>
                <w:lang w:eastAsia="ja-JP"/>
              </w:rPr>
              <w:br/>
            </w:r>
            <w:r w:rsidRPr="00942BD7">
              <w:rPr>
                <w:rFonts w:eastAsia="Times New Roman"/>
                <w:color w:val="000000"/>
                <w:sz w:val="16"/>
                <w:szCs w:val="16"/>
                <w:lang w:eastAsia="ja-JP"/>
              </w:rPr>
              <w:br/>
              <w:t>17 Offices sending XML</w:t>
            </w:r>
            <w:r w:rsidRPr="00942BD7">
              <w:rPr>
                <w:rFonts w:eastAsia="Times New Roman"/>
                <w:color w:val="000000"/>
                <w:sz w:val="16"/>
                <w:szCs w:val="16"/>
                <w:lang w:eastAsia="ja-JP"/>
              </w:rPr>
              <w:br/>
            </w:r>
            <w:r w:rsidRPr="00942BD7">
              <w:rPr>
                <w:rFonts w:eastAsia="Times New Roman"/>
                <w:color w:val="000000"/>
                <w:sz w:val="16"/>
                <w:szCs w:val="16"/>
                <w:lang w:eastAsia="ja-JP"/>
              </w:rPr>
              <w:br/>
              <w:t>1 Intelligent web form</w:t>
            </w:r>
            <w:r w:rsidRPr="00942BD7">
              <w:rPr>
                <w:rFonts w:eastAsia="Times New Roman"/>
                <w:color w:val="000000"/>
                <w:sz w:val="16"/>
                <w:szCs w:val="16"/>
                <w:lang w:eastAsia="ja-JP"/>
              </w:rPr>
              <w:br/>
            </w:r>
            <w:r w:rsidRPr="00942BD7">
              <w:rPr>
                <w:rFonts w:eastAsia="Times New Roman"/>
                <w:color w:val="000000"/>
                <w:sz w:val="16"/>
                <w:szCs w:val="16"/>
                <w:lang w:eastAsia="ja-JP"/>
              </w:rPr>
              <w:br/>
              <w:t>690,000 documents inbound</w:t>
            </w:r>
            <w:r w:rsidRPr="00942BD7">
              <w:rPr>
                <w:rFonts w:eastAsia="Times New Roman"/>
                <w:color w:val="000000"/>
                <w:sz w:val="16"/>
                <w:szCs w:val="16"/>
                <w:lang w:eastAsia="ja-JP"/>
              </w:rPr>
              <w:br/>
            </w:r>
            <w:r w:rsidRPr="00942BD7">
              <w:rPr>
                <w:rFonts w:eastAsia="Times New Roman"/>
                <w:color w:val="000000"/>
                <w:sz w:val="16"/>
                <w:szCs w:val="16"/>
                <w:lang w:eastAsia="ja-JP"/>
              </w:rPr>
              <w:br/>
            </w:r>
            <w:r w:rsidRPr="00942BD7">
              <w:rPr>
                <w:rFonts w:eastAsia="Times New Roman"/>
                <w:color w:val="000000"/>
                <w:sz w:val="16"/>
                <w:szCs w:val="16"/>
                <w:lang w:eastAsia="ja-JP"/>
              </w:rPr>
              <w:br/>
              <w:t>1,750,000 documents outbound</w:t>
            </w:r>
            <w:r w:rsidRPr="00942BD7">
              <w:rPr>
                <w:rFonts w:eastAsia="Times New Roman"/>
                <w:color w:val="000000"/>
                <w:sz w:val="16"/>
                <w:szCs w:val="16"/>
                <w:lang w:eastAsia="ja-JP"/>
              </w:rPr>
              <w:br/>
            </w:r>
          </w:p>
        </w:tc>
        <w:tc>
          <w:tcPr>
            <w:tcW w:w="2268" w:type="dxa"/>
            <w:tcBorders>
              <w:top w:val="nil"/>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75% of documents received electronically</w:t>
            </w:r>
            <w:r w:rsidRPr="00942BD7">
              <w:rPr>
                <w:rFonts w:eastAsia="Times New Roman"/>
                <w:color w:val="000000"/>
                <w:sz w:val="16"/>
                <w:szCs w:val="16"/>
                <w:lang w:eastAsia="ja-JP"/>
              </w:rPr>
              <w:br/>
            </w:r>
            <w:r w:rsidRPr="00942BD7">
              <w:rPr>
                <w:rFonts w:eastAsia="Times New Roman"/>
                <w:color w:val="000000"/>
                <w:sz w:val="16"/>
                <w:szCs w:val="16"/>
                <w:lang w:eastAsia="ja-JP"/>
              </w:rPr>
              <w:br/>
              <w:t>250,000 email notifications</w:t>
            </w:r>
            <w:r w:rsidRPr="00942BD7">
              <w:rPr>
                <w:rFonts w:eastAsia="Times New Roman"/>
                <w:color w:val="000000"/>
                <w:sz w:val="16"/>
                <w:szCs w:val="16"/>
                <w:lang w:eastAsia="ja-JP"/>
              </w:rPr>
              <w:br/>
            </w:r>
            <w:r w:rsidRPr="00942BD7">
              <w:rPr>
                <w:rFonts w:eastAsia="Times New Roman"/>
                <w:color w:val="000000"/>
                <w:sz w:val="16"/>
                <w:szCs w:val="16"/>
                <w:lang w:eastAsia="ja-JP"/>
              </w:rPr>
              <w:br/>
              <w:t>2000 MPM Clients</w:t>
            </w:r>
            <w:r w:rsidRPr="00942BD7">
              <w:rPr>
                <w:rFonts w:eastAsia="Times New Roman"/>
                <w:color w:val="000000"/>
                <w:sz w:val="16"/>
                <w:szCs w:val="16"/>
                <w:lang w:eastAsia="ja-JP"/>
              </w:rPr>
              <w:br/>
            </w:r>
            <w:r w:rsidRPr="00942BD7">
              <w:rPr>
                <w:rFonts w:eastAsia="Times New Roman"/>
                <w:color w:val="000000"/>
                <w:sz w:val="16"/>
                <w:szCs w:val="16"/>
                <w:lang w:eastAsia="ja-JP"/>
              </w:rPr>
              <w:br/>
              <w:t>20 Offices sending XML</w:t>
            </w:r>
            <w:r w:rsidRPr="00942BD7">
              <w:rPr>
                <w:rFonts w:eastAsia="Times New Roman"/>
                <w:color w:val="000000"/>
                <w:sz w:val="16"/>
                <w:szCs w:val="16"/>
                <w:lang w:eastAsia="ja-JP"/>
              </w:rPr>
              <w:br/>
            </w:r>
            <w:r w:rsidRPr="00942BD7">
              <w:rPr>
                <w:rFonts w:eastAsia="Times New Roman"/>
                <w:color w:val="000000"/>
                <w:sz w:val="16"/>
                <w:szCs w:val="16"/>
                <w:lang w:eastAsia="ja-JP"/>
              </w:rPr>
              <w:br/>
              <w:t>6 Intelligent web forms</w:t>
            </w:r>
            <w:r w:rsidRPr="00942BD7">
              <w:rPr>
                <w:rFonts w:eastAsia="Times New Roman"/>
                <w:color w:val="000000"/>
                <w:sz w:val="16"/>
                <w:szCs w:val="16"/>
                <w:lang w:eastAsia="ja-JP"/>
              </w:rPr>
              <w:br/>
            </w:r>
            <w:r w:rsidRPr="00942BD7">
              <w:rPr>
                <w:rFonts w:eastAsia="Times New Roman"/>
                <w:color w:val="000000"/>
                <w:sz w:val="16"/>
                <w:szCs w:val="16"/>
                <w:lang w:eastAsia="ja-JP"/>
              </w:rPr>
              <w:br/>
              <w:t>750,000 documents inbound</w:t>
            </w:r>
            <w:r w:rsidRPr="00942BD7">
              <w:rPr>
                <w:rFonts w:eastAsia="Times New Roman"/>
                <w:color w:val="000000"/>
                <w:sz w:val="16"/>
                <w:szCs w:val="16"/>
                <w:lang w:eastAsia="ja-JP"/>
              </w:rPr>
              <w:br/>
            </w:r>
            <w:r w:rsidRPr="00942BD7">
              <w:rPr>
                <w:rFonts w:eastAsia="Times New Roman"/>
                <w:color w:val="000000"/>
                <w:sz w:val="16"/>
                <w:szCs w:val="16"/>
                <w:lang w:eastAsia="ja-JP"/>
              </w:rPr>
              <w:br/>
              <w:t>2,000,000 documents outbound</w:t>
            </w:r>
          </w:p>
        </w:tc>
      </w:tr>
      <w:tr w:rsidR="00942BD7" w:rsidRPr="00942BD7" w:rsidTr="00203CC7">
        <w:trPr>
          <w:trHeight w:val="1085"/>
        </w:trPr>
        <w:tc>
          <w:tcPr>
            <w:tcW w:w="2060" w:type="dxa"/>
            <w:tcBorders>
              <w:top w:val="nil"/>
              <w:left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Stable provision of evolving Madrid back office IT services</w:t>
            </w:r>
          </w:p>
        </w:tc>
        <w:tc>
          <w:tcPr>
            <w:tcW w:w="2543" w:type="dxa"/>
            <w:tcBorders>
              <w:top w:val="nil"/>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 xml:space="preserve">No service interruption </w:t>
            </w:r>
            <w:r w:rsidRPr="00942BD7">
              <w:rPr>
                <w:rFonts w:eastAsia="Times New Roman"/>
                <w:color w:val="000000"/>
                <w:sz w:val="16"/>
                <w:szCs w:val="16"/>
                <w:lang w:eastAsia="ja-JP"/>
              </w:rPr>
              <w:br/>
              <w:t>(no. of ICT incidents)</w:t>
            </w:r>
            <w:r w:rsidRPr="00942BD7">
              <w:rPr>
                <w:rFonts w:eastAsia="Times New Roman"/>
                <w:color w:val="000000"/>
                <w:sz w:val="16"/>
                <w:szCs w:val="16"/>
                <w:lang w:eastAsia="ja-JP"/>
              </w:rPr>
              <w:br/>
            </w:r>
            <w:r w:rsidRPr="00942BD7">
              <w:rPr>
                <w:rFonts w:eastAsia="Times New Roman"/>
                <w:color w:val="000000"/>
                <w:sz w:val="16"/>
                <w:szCs w:val="16"/>
                <w:lang w:eastAsia="ja-JP"/>
              </w:rPr>
              <w:br/>
              <w:t>Enhancements delivered and deployed on time</w:t>
            </w:r>
          </w:p>
        </w:tc>
        <w:tc>
          <w:tcPr>
            <w:tcW w:w="2268" w:type="dxa"/>
            <w:tcBorders>
              <w:top w:val="nil"/>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No service interruption</w:t>
            </w:r>
            <w:r w:rsidRPr="00942BD7">
              <w:rPr>
                <w:rFonts w:eastAsia="Times New Roman"/>
                <w:color w:val="000000"/>
                <w:sz w:val="16"/>
                <w:szCs w:val="16"/>
                <w:lang w:eastAsia="ja-JP"/>
              </w:rPr>
              <w:br/>
              <w:t>(no. of ICT incidents)</w:t>
            </w:r>
            <w:r w:rsidRPr="00942BD7">
              <w:rPr>
                <w:rFonts w:eastAsia="Times New Roman"/>
                <w:color w:val="000000"/>
                <w:sz w:val="16"/>
                <w:szCs w:val="16"/>
                <w:lang w:eastAsia="ja-JP"/>
              </w:rPr>
              <w:br/>
            </w:r>
            <w:r w:rsidRPr="00942BD7">
              <w:rPr>
                <w:rFonts w:eastAsia="Times New Roman"/>
                <w:color w:val="000000"/>
                <w:sz w:val="16"/>
                <w:szCs w:val="16"/>
                <w:lang w:eastAsia="ja-JP"/>
              </w:rPr>
              <w:br/>
              <w:t>Enhancements delivered and deployed on time</w:t>
            </w:r>
          </w:p>
        </w:tc>
      </w:tr>
      <w:tr w:rsidR="00942BD7" w:rsidRPr="00942BD7" w:rsidTr="00203CC7">
        <w:trPr>
          <w:trHeight w:val="989"/>
        </w:trPr>
        <w:tc>
          <w:tcPr>
            <w:tcW w:w="2060" w:type="dxa"/>
            <w:tcBorders>
              <w:left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3 deployed versions of M-IRIS and 3 deployed versions of Madrid eFiling (IRPI)</w:t>
            </w:r>
          </w:p>
        </w:tc>
        <w:tc>
          <w:tcPr>
            <w:tcW w:w="2543" w:type="dxa"/>
            <w:tcBorders>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M-IRIS deployed</w:t>
            </w:r>
            <w:r w:rsidRPr="00942BD7">
              <w:rPr>
                <w:rFonts w:eastAsia="Times New Roman"/>
                <w:color w:val="000000"/>
                <w:sz w:val="16"/>
                <w:szCs w:val="16"/>
                <w:lang w:eastAsia="ja-JP"/>
              </w:rPr>
              <w:br/>
            </w:r>
            <w:r w:rsidRPr="00942BD7">
              <w:rPr>
                <w:rFonts w:eastAsia="Times New Roman"/>
                <w:color w:val="000000"/>
                <w:sz w:val="16"/>
                <w:szCs w:val="16"/>
                <w:lang w:eastAsia="ja-JP"/>
              </w:rPr>
              <w:br/>
              <w:t>Madrid eFiling deployed</w:t>
            </w:r>
            <w:r w:rsidRPr="00942BD7">
              <w:rPr>
                <w:rFonts w:eastAsia="Times New Roman"/>
                <w:color w:val="000000"/>
                <w:sz w:val="16"/>
                <w:szCs w:val="16"/>
                <w:lang w:eastAsia="ja-JP"/>
              </w:rPr>
              <w:br/>
            </w:r>
          </w:p>
        </w:tc>
        <w:tc>
          <w:tcPr>
            <w:tcW w:w="2268" w:type="dxa"/>
            <w:tcBorders>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3 new versions of</w:t>
            </w:r>
            <w:r w:rsidRPr="00942BD7">
              <w:rPr>
                <w:rFonts w:eastAsia="Times New Roman"/>
                <w:color w:val="000000"/>
                <w:sz w:val="16"/>
                <w:szCs w:val="16"/>
                <w:lang w:eastAsia="ja-JP"/>
              </w:rPr>
              <w:br/>
              <w:t>M-IRIS/D-IRIS</w:t>
            </w:r>
            <w:r w:rsidRPr="00942BD7">
              <w:rPr>
                <w:rFonts w:eastAsia="Times New Roman"/>
                <w:color w:val="000000"/>
                <w:sz w:val="16"/>
                <w:szCs w:val="16"/>
                <w:lang w:eastAsia="ja-JP"/>
              </w:rPr>
              <w:br/>
            </w:r>
            <w:r w:rsidRPr="00942BD7">
              <w:rPr>
                <w:rFonts w:eastAsia="Times New Roman"/>
                <w:color w:val="000000"/>
                <w:sz w:val="16"/>
                <w:szCs w:val="16"/>
                <w:lang w:eastAsia="ja-JP"/>
              </w:rPr>
              <w:br/>
              <w:t>3 new versions of Madrid eFiling</w:t>
            </w:r>
          </w:p>
        </w:tc>
      </w:tr>
      <w:tr w:rsidR="00942BD7" w:rsidRPr="00942BD7" w:rsidTr="00203CC7">
        <w:trPr>
          <w:trHeight w:val="70"/>
        </w:trPr>
        <w:tc>
          <w:tcPr>
            <w:tcW w:w="2060" w:type="dxa"/>
            <w:tcBorders>
              <w:left w:val="single" w:sz="4" w:space="0" w:color="auto"/>
              <w:bottom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p>
        </w:tc>
        <w:tc>
          <w:tcPr>
            <w:tcW w:w="2500" w:type="dxa"/>
            <w:tcBorders>
              <w:left w:val="nil"/>
              <w:bottom w:val="single" w:sz="4" w:space="0" w:color="auto"/>
              <w:right w:val="nil"/>
            </w:tcBorders>
            <w:shd w:val="clear" w:color="000000" w:fill="FFFFFF"/>
          </w:tcPr>
          <w:p w:rsidR="00942BD7" w:rsidRPr="00942BD7" w:rsidRDefault="00942BD7" w:rsidP="00203CC7">
            <w:pPr>
              <w:rPr>
                <w:rFonts w:eastAsia="Times New Roman"/>
                <w:color w:val="000000"/>
                <w:sz w:val="16"/>
                <w:szCs w:val="16"/>
                <w:lang w:eastAsia="ja-JP"/>
              </w:rPr>
            </w:pPr>
          </w:p>
        </w:tc>
        <w:tc>
          <w:tcPr>
            <w:tcW w:w="2543" w:type="dxa"/>
            <w:tcBorders>
              <w:left w:val="nil"/>
              <w:bottom w:val="single" w:sz="4" w:space="0" w:color="auto"/>
              <w:right w:val="nil"/>
            </w:tcBorders>
            <w:shd w:val="clear" w:color="000000" w:fill="FFFFFF"/>
          </w:tcPr>
          <w:p w:rsidR="00942BD7" w:rsidRPr="00942BD7" w:rsidRDefault="00942BD7" w:rsidP="00203CC7">
            <w:pPr>
              <w:rPr>
                <w:rFonts w:eastAsia="Times New Roman"/>
                <w:color w:val="000000"/>
                <w:sz w:val="16"/>
                <w:szCs w:val="16"/>
                <w:lang w:eastAsia="ja-JP"/>
              </w:rPr>
            </w:pPr>
          </w:p>
        </w:tc>
        <w:tc>
          <w:tcPr>
            <w:tcW w:w="2268" w:type="dxa"/>
            <w:tcBorders>
              <w:left w:val="nil"/>
              <w:bottom w:val="single" w:sz="4" w:space="0" w:color="auto"/>
              <w:right w:val="single" w:sz="4" w:space="0" w:color="auto"/>
            </w:tcBorders>
            <w:shd w:val="clear" w:color="000000" w:fill="FFFFFF"/>
          </w:tcPr>
          <w:p w:rsidR="00942BD7" w:rsidRPr="00942BD7" w:rsidRDefault="00942BD7" w:rsidP="00203CC7">
            <w:pPr>
              <w:rPr>
                <w:rFonts w:eastAsia="Times New Roman"/>
                <w:color w:val="000000"/>
                <w:sz w:val="16"/>
                <w:szCs w:val="16"/>
                <w:lang w:eastAsia="ja-JP"/>
              </w:rPr>
            </w:pPr>
          </w:p>
        </w:tc>
      </w:tr>
    </w:tbl>
    <w:p w:rsidR="00942BD7" w:rsidRPr="00942BD7" w:rsidRDefault="00942BD7" w:rsidP="00203CC7">
      <w:pPr>
        <w:tabs>
          <w:tab w:val="left" w:pos="567"/>
        </w:tabs>
        <w:rPr>
          <w:rFonts w:eastAsiaTheme="minorEastAsia"/>
          <w:sz w:val="20"/>
          <w:lang w:eastAsia="ja-JP"/>
        </w:rPr>
      </w:pPr>
    </w:p>
    <w:p w:rsidR="00942BD7" w:rsidRPr="00942BD7" w:rsidRDefault="00942BD7" w:rsidP="00203CC7">
      <w:pPr>
        <w:tabs>
          <w:tab w:val="left" w:pos="567"/>
        </w:tabs>
        <w:rPr>
          <w:rFonts w:eastAsiaTheme="minorEastAsia"/>
          <w:sz w:val="20"/>
          <w:lang w:eastAsia="ja-JP"/>
        </w:rPr>
      </w:pPr>
    </w:p>
    <w:p w:rsidR="00942BD7" w:rsidRPr="00942BD7" w:rsidRDefault="00942BD7" w:rsidP="00203CC7">
      <w:pPr>
        <w:keepNext/>
        <w:rPr>
          <w:bCs/>
          <w:iCs/>
          <w:caps/>
          <w:szCs w:val="28"/>
          <w:lang w:eastAsia="ja-JP"/>
        </w:rPr>
      </w:pPr>
      <w:r w:rsidRPr="00942BD7">
        <w:rPr>
          <w:bCs/>
          <w:iCs/>
          <w:caps/>
          <w:szCs w:val="28"/>
          <w:lang w:eastAsia="ja-JP"/>
        </w:rPr>
        <w:t xml:space="preserve">RESOURCES FOR PROGram 6 </w:t>
      </w:r>
    </w:p>
    <w:p w:rsidR="00942BD7" w:rsidRPr="00942BD7" w:rsidRDefault="00942BD7" w:rsidP="00203CC7">
      <w:pPr>
        <w:tabs>
          <w:tab w:val="left" w:pos="567"/>
        </w:tabs>
        <w:rPr>
          <w:bCs/>
          <w:iCs/>
          <w:sz w:val="20"/>
          <w:szCs w:val="28"/>
          <w:lang w:eastAsia="ja-JP"/>
        </w:rPr>
      </w:pPr>
    </w:p>
    <w:p w:rsidR="00942BD7" w:rsidRPr="00942BD7" w:rsidRDefault="00942BD7" w:rsidP="00203CC7">
      <w:pPr>
        <w:ind w:hanging="142"/>
        <w:jc w:val="center"/>
        <w:rPr>
          <w:b/>
          <w:bCs/>
          <w:iCs/>
          <w:sz w:val="20"/>
          <w:szCs w:val="28"/>
          <w:lang w:eastAsia="ja-JP"/>
        </w:rPr>
      </w:pPr>
      <w:r w:rsidRPr="00942BD7">
        <w:rPr>
          <w:b/>
          <w:bCs/>
          <w:iCs/>
          <w:sz w:val="20"/>
          <w:szCs w:val="28"/>
          <w:lang w:eastAsia="ja-JP"/>
        </w:rPr>
        <w:t>Program 6: Resources by Result</w:t>
      </w:r>
    </w:p>
    <w:p w:rsidR="00942BD7" w:rsidRDefault="00942BD7" w:rsidP="00203CC7">
      <w:pPr>
        <w:keepNext/>
        <w:jc w:val="center"/>
        <w:rPr>
          <w:bCs/>
          <w:i/>
          <w:iCs/>
          <w:sz w:val="20"/>
          <w:szCs w:val="28"/>
          <w:lang w:eastAsia="ja-JP"/>
        </w:rPr>
      </w:pPr>
      <w:r w:rsidRPr="00942BD7">
        <w:rPr>
          <w:bCs/>
          <w:i/>
          <w:iCs/>
          <w:sz w:val="20"/>
          <w:szCs w:val="28"/>
          <w:lang w:eastAsia="ja-JP"/>
        </w:rPr>
        <w:t>(in thousands of Swiss francs)</w:t>
      </w:r>
    </w:p>
    <w:p w:rsidR="00203CC7" w:rsidRPr="00942BD7" w:rsidRDefault="00203CC7" w:rsidP="00203CC7">
      <w:pPr>
        <w:keepNext/>
        <w:jc w:val="center"/>
        <w:rPr>
          <w:bCs/>
          <w:i/>
          <w:iCs/>
          <w:sz w:val="20"/>
          <w:szCs w:val="28"/>
          <w:lang w:eastAsia="ja-JP"/>
        </w:rPr>
      </w:pPr>
    </w:p>
    <w:tbl>
      <w:tblPr>
        <w:tblW w:w="8544" w:type="dxa"/>
        <w:tblInd w:w="93" w:type="dxa"/>
        <w:tblLook w:val="04A0" w:firstRow="1" w:lastRow="0" w:firstColumn="1" w:lastColumn="0" w:noHBand="0" w:noVBand="1"/>
      </w:tblPr>
      <w:tblGrid>
        <w:gridCol w:w="439"/>
        <w:gridCol w:w="4356"/>
        <w:gridCol w:w="1264"/>
        <w:gridCol w:w="1226"/>
        <w:gridCol w:w="1264"/>
      </w:tblGrid>
      <w:tr w:rsidR="00942BD7" w:rsidRPr="00942BD7" w:rsidTr="00CD09E4">
        <w:trPr>
          <w:trHeight w:val="567"/>
        </w:trPr>
        <w:tc>
          <w:tcPr>
            <w:tcW w:w="4789"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942BD7" w:rsidRPr="00942BD7" w:rsidRDefault="00942BD7" w:rsidP="00203CC7">
            <w:pPr>
              <w:rPr>
                <w:rFonts w:eastAsia="Times New Roman"/>
                <w:i/>
                <w:iCs/>
                <w:sz w:val="16"/>
                <w:szCs w:val="16"/>
                <w:lang w:eastAsia="en-US"/>
              </w:rPr>
            </w:pPr>
            <w:r w:rsidRPr="00942BD7">
              <w:rPr>
                <w:rFonts w:eastAsia="Times New Roman"/>
                <w:i/>
                <w:iCs/>
                <w:sz w:val="16"/>
                <w:szCs w:val="16"/>
                <w:lang w:eastAsia="en-US"/>
              </w:rPr>
              <w:t xml:space="preserve">Expected Result No. and Description </w:t>
            </w:r>
          </w:p>
        </w:tc>
        <w:tc>
          <w:tcPr>
            <w:tcW w:w="1264" w:type="dxa"/>
            <w:tcBorders>
              <w:top w:val="single" w:sz="4" w:space="0" w:color="auto"/>
              <w:left w:val="nil"/>
              <w:bottom w:val="single" w:sz="4" w:space="0" w:color="auto"/>
              <w:right w:val="single" w:sz="4" w:space="0" w:color="auto"/>
            </w:tcBorders>
            <w:shd w:val="clear" w:color="000000" w:fill="C5D9F1"/>
            <w:vAlign w:val="center"/>
            <w:hideMark/>
          </w:tcPr>
          <w:p w:rsidR="00942BD7" w:rsidRPr="00942BD7" w:rsidRDefault="00942BD7" w:rsidP="00203CC7">
            <w:pPr>
              <w:rPr>
                <w:rFonts w:eastAsia="Times New Roman"/>
                <w:i/>
                <w:iCs/>
                <w:sz w:val="16"/>
                <w:szCs w:val="16"/>
                <w:lang w:eastAsia="en-US"/>
              </w:rPr>
            </w:pPr>
            <w:r w:rsidRPr="00942BD7">
              <w:rPr>
                <w:rFonts w:eastAsia="Times New Roman"/>
                <w:i/>
                <w:iCs/>
                <w:sz w:val="16"/>
                <w:szCs w:val="16"/>
                <w:lang w:eastAsia="en-US"/>
              </w:rPr>
              <w:t xml:space="preserve"> 2014/15 Approved Budget </w:t>
            </w:r>
          </w:p>
        </w:tc>
        <w:tc>
          <w:tcPr>
            <w:tcW w:w="1226" w:type="dxa"/>
            <w:tcBorders>
              <w:top w:val="single" w:sz="4" w:space="0" w:color="auto"/>
              <w:left w:val="nil"/>
              <w:bottom w:val="single" w:sz="4" w:space="0" w:color="auto"/>
              <w:right w:val="single" w:sz="4" w:space="0" w:color="auto"/>
            </w:tcBorders>
            <w:shd w:val="clear" w:color="000000" w:fill="C5D9F1"/>
            <w:vAlign w:val="center"/>
            <w:hideMark/>
          </w:tcPr>
          <w:p w:rsidR="00942BD7" w:rsidRPr="00942BD7" w:rsidRDefault="00942BD7" w:rsidP="00203CC7">
            <w:pPr>
              <w:rPr>
                <w:rFonts w:eastAsia="Times New Roman"/>
                <w:i/>
                <w:iCs/>
                <w:sz w:val="16"/>
                <w:szCs w:val="16"/>
                <w:lang w:eastAsia="en-US"/>
              </w:rPr>
            </w:pPr>
            <w:r w:rsidRPr="00942BD7">
              <w:rPr>
                <w:rFonts w:eastAsia="Times New Roman"/>
                <w:i/>
                <w:iCs/>
                <w:sz w:val="16"/>
                <w:szCs w:val="16"/>
                <w:lang w:eastAsia="en-US"/>
              </w:rPr>
              <w:t xml:space="preserve"> 2014/15 Budget after transfers </w:t>
            </w:r>
          </w:p>
        </w:tc>
        <w:tc>
          <w:tcPr>
            <w:tcW w:w="1264" w:type="dxa"/>
            <w:tcBorders>
              <w:top w:val="single" w:sz="4" w:space="0" w:color="auto"/>
              <w:left w:val="nil"/>
              <w:bottom w:val="single" w:sz="4" w:space="0" w:color="auto"/>
              <w:right w:val="single" w:sz="4" w:space="0" w:color="auto"/>
            </w:tcBorders>
            <w:shd w:val="clear" w:color="000000" w:fill="C5D9F1"/>
            <w:vAlign w:val="center"/>
            <w:hideMark/>
          </w:tcPr>
          <w:p w:rsidR="00942BD7" w:rsidRPr="00942BD7" w:rsidRDefault="00942BD7" w:rsidP="00203CC7">
            <w:pPr>
              <w:rPr>
                <w:rFonts w:eastAsia="Times New Roman"/>
                <w:i/>
                <w:iCs/>
                <w:sz w:val="16"/>
                <w:szCs w:val="16"/>
                <w:lang w:eastAsia="en-US"/>
              </w:rPr>
            </w:pPr>
            <w:r w:rsidRPr="00942BD7">
              <w:rPr>
                <w:rFonts w:eastAsia="Times New Roman"/>
                <w:i/>
                <w:iCs/>
                <w:sz w:val="16"/>
                <w:szCs w:val="16"/>
                <w:lang w:eastAsia="en-US"/>
              </w:rPr>
              <w:t xml:space="preserve"> 2016/17 Proposed Budget </w:t>
            </w:r>
          </w:p>
        </w:tc>
      </w:tr>
      <w:tr w:rsidR="00942BD7" w:rsidRPr="00942BD7" w:rsidTr="00CD09E4">
        <w:trPr>
          <w:trHeight w:val="378"/>
        </w:trPr>
        <w:tc>
          <w:tcPr>
            <w:tcW w:w="434" w:type="dxa"/>
            <w:tcBorders>
              <w:top w:val="nil"/>
              <w:left w:val="single" w:sz="4" w:space="0" w:color="auto"/>
              <w:bottom w:val="nil"/>
              <w:right w:val="nil"/>
            </w:tcBorders>
            <w:shd w:val="clear" w:color="auto" w:fill="auto"/>
            <w:noWrap/>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II.6</w:t>
            </w:r>
          </w:p>
        </w:tc>
        <w:tc>
          <w:tcPr>
            <w:tcW w:w="4356" w:type="dxa"/>
            <w:tcBorders>
              <w:top w:val="nil"/>
              <w:left w:val="nil"/>
              <w:bottom w:val="nil"/>
              <w:right w:val="nil"/>
            </w:tcBorders>
            <w:shd w:val="clear" w:color="auto" w:fill="auto"/>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Wider and more effective use of the Madrid &amp; Lisbon systems, including by developing countries and LDCs</w:t>
            </w:r>
          </w:p>
        </w:tc>
        <w:tc>
          <w:tcPr>
            <w:tcW w:w="1264" w:type="dxa"/>
            <w:tcBorders>
              <w:top w:val="nil"/>
              <w:left w:val="nil"/>
              <w:bottom w:val="nil"/>
              <w:right w:val="nil"/>
            </w:tcBorders>
            <w:shd w:val="clear" w:color="auto" w:fill="auto"/>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 xml:space="preserve">               14,313 </w:t>
            </w:r>
          </w:p>
        </w:tc>
        <w:tc>
          <w:tcPr>
            <w:tcW w:w="1226" w:type="dxa"/>
            <w:tcBorders>
              <w:top w:val="nil"/>
              <w:left w:val="nil"/>
              <w:bottom w:val="nil"/>
              <w:right w:val="nil"/>
            </w:tcBorders>
            <w:shd w:val="clear" w:color="auto" w:fill="auto"/>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 xml:space="preserve">              16,053 </w:t>
            </w:r>
          </w:p>
        </w:tc>
        <w:tc>
          <w:tcPr>
            <w:tcW w:w="1264" w:type="dxa"/>
            <w:tcBorders>
              <w:top w:val="nil"/>
              <w:left w:val="nil"/>
              <w:bottom w:val="nil"/>
              <w:right w:val="single" w:sz="4" w:space="0" w:color="auto"/>
            </w:tcBorders>
            <w:shd w:val="clear" w:color="auto" w:fill="auto"/>
            <w:noWrap/>
            <w:vAlign w:val="center"/>
            <w:hideMark/>
          </w:tcPr>
          <w:p w:rsidR="00942BD7" w:rsidRPr="00942BD7" w:rsidRDefault="00942BD7" w:rsidP="00203CC7">
            <w:pPr>
              <w:rPr>
                <w:rFonts w:eastAsia="Times New Roman"/>
                <w:color w:val="000000"/>
                <w:sz w:val="16"/>
                <w:szCs w:val="16"/>
                <w:lang w:eastAsia="en-US"/>
              </w:rPr>
            </w:pPr>
            <w:r w:rsidRPr="00942BD7">
              <w:rPr>
                <w:rFonts w:eastAsia="Times New Roman"/>
                <w:color w:val="000000"/>
                <w:sz w:val="16"/>
                <w:szCs w:val="16"/>
                <w:lang w:eastAsia="en-US"/>
              </w:rPr>
              <w:t xml:space="preserve">               10,450 </w:t>
            </w:r>
          </w:p>
        </w:tc>
      </w:tr>
      <w:tr w:rsidR="00942BD7" w:rsidRPr="00942BD7" w:rsidTr="00CD09E4">
        <w:trPr>
          <w:trHeight w:val="479"/>
        </w:trPr>
        <w:tc>
          <w:tcPr>
            <w:tcW w:w="434" w:type="dxa"/>
            <w:tcBorders>
              <w:top w:val="nil"/>
              <w:left w:val="single" w:sz="4" w:space="0" w:color="auto"/>
              <w:bottom w:val="nil"/>
              <w:right w:val="nil"/>
            </w:tcBorders>
            <w:shd w:val="clear" w:color="auto" w:fill="auto"/>
            <w:noWrap/>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II.7</w:t>
            </w:r>
          </w:p>
        </w:tc>
        <w:tc>
          <w:tcPr>
            <w:tcW w:w="4356" w:type="dxa"/>
            <w:tcBorders>
              <w:top w:val="nil"/>
              <w:left w:val="nil"/>
              <w:bottom w:val="nil"/>
              <w:right w:val="nil"/>
            </w:tcBorders>
            <w:shd w:val="clear" w:color="auto" w:fill="auto"/>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Improved productivity and service quality of Madrid &amp; Lisbon operations</w:t>
            </w:r>
          </w:p>
        </w:tc>
        <w:tc>
          <w:tcPr>
            <w:tcW w:w="1264" w:type="dxa"/>
            <w:tcBorders>
              <w:top w:val="nil"/>
              <w:left w:val="nil"/>
              <w:bottom w:val="nil"/>
              <w:right w:val="nil"/>
            </w:tcBorders>
            <w:shd w:val="clear" w:color="auto" w:fill="auto"/>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 xml:space="preserve">               40,932 </w:t>
            </w:r>
          </w:p>
        </w:tc>
        <w:tc>
          <w:tcPr>
            <w:tcW w:w="1226" w:type="dxa"/>
            <w:tcBorders>
              <w:top w:val="nil"/>
              <w:left w:val="nil"/>
              <w:bottom w:val="nil"/>
              <w:right w:val="nil"/>
            </w:tcBorders>
            <w:shd w:val="clear" w:color="auto" w:fill="auto"/>
            <w:vAlign w:val="center"/>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 xml:space="preserve">              39,221 </w:t>
            </w:r>
          </w:p>
        </w:tc>
        <w:tc>
          <w:tcPr>
            <w:tcW w:w="1264" w:type="dxa"/>
            <w:tcBorders>
              <w:top w:val="nil"/>
              <w:left w:val="nil"/>
              <w:bottom w:val="nil"/>
              <w:right w:val="single" w:sz="4" w:space="0" w:color="auto"/>
            </w:tcBorders>
            <w:shd w:val="clear" w:color="auto" w:fill="auto"/>
            <w:noWrap/>
            <w:vAlign w:val="center"/>
            <w:hideMark/>
          </w:tcPr>
          <w:p w:rsidR="00942BD7" w:rsidRPr="00942BD7" w:rsidRDefault="00942BD7" w:rsidP="00203CC7">
            <w:pPr>
              <w:rPr>
                <w:rFonts w:eastAsia="Times New Roman"/>
                <w:color w:val="000000"/>
                <w:sz w:val="16"/>
                <w:szCs w:val="16"/>
                <w:lang w:eastAsia="en-US"/>
              </w:rPr>
            </w:pPr>
            <w:r w:rsidRPr="00942BD7">
              <w:rPr>
                <w:rFonts w:eastAsia="Times New Roman"/>
                <w:color w:val="000000"/>
                <w:sz w:val="16"/>
                <w:szCs w:val="16"/>
                <w:lang w:eastAsia="en-US"/>
              </w:rPr>
              <w:t xml:space="preserve">               47,657 </w:t>
            </w:r>
          </w:p>
        </w:tc>
      </w:tr>
      <w:tr w:rsidR="00942BD7" w:rsidRPr="00942BD7" w:rsidTr="00CD09E4">
        <w:trPr>
          <w:trHeight w:val="189"/>
        </w:trPr>
        <w:tc>
          <w:tcPr>
            <w:tcW w:w="434" w:type="dxa"/>
            <w:tcBorders>
              <w:top w:val="single" w:sz="4" w:space="0" w:color="auto"/>
              <w:left w:val="single" w:sz="4" w:space="0" w:color="auto"/>
              <w:bottom w:val="single" w:sz="4" w:space="0" w:color="auto"/>
              <w:right w:val="nil"/>
            </w:tcBorders>
            <w:shd w:val="clear" w:color="000000" w:fill="C5D9F1"/>
            <w:noWrap/>
            <w:vAlign w:val="bottom"/>
            <w:hideMark/>
          </w:tcPr>
          <w:p w:rsidR="00942BD7" w:rsidRPr="00942BD7" w:rsidRDefault="00942BD7" w:rsidP="00203CC7">
            <w:pPr>
              <w:rPr>
                <w:rFonts w:eastAsia="Times New Roman"/>
                <w:sz w:val="16"/>
                <w:szCs w:val="16"/>
                <w:lang w:eastAsia="en-US"/>
              </w:rPr>
            </w:pPr>
            <w:r w:rsidRPr="00942BD7">
              <w:rPr>
                <w:rFonts w:eastAsia="Times New Roman"/>
                <w:sz w:val="16"/>
                <w:szCs w:val="16"/>
                <w:lang w:eastAsia="en-US"/>
              </w:rPr>
              <w:t> </w:t>
            </w:r>
          </w:p>
        </w:tc>
        <w:tc>
          <w:tcPr>
            <w:tcW w:w="4356" w:type="dxa"/>
            <w:tcBorders>
              <w:top w:val="single" w:sz="4" w:space="0" w:color="auto"/>
              <w:left w:val="nil"/>
              <w:bottom w:val="single" w:sz="4" w:space="0" w:color="auto"/>
              <w:right w:val="single" w:sz="4" w:space="0" w:color="auto"/>
            </w:tcBorders>
            <w:shd w:val="clear" w:color="000000" w:fill="C5D9F1"/>
            <w:noWrap/>
            <w:vAlign w:val="bottom"/>
            <w:hideMark/>
          </w:tcPr>
          <w:p w:rsidR="00942BD7" w:rsidRPr="00942BD7" w:rsidRDefault="00942BD7" w:rsidP="00203CC7">
            <w:pPr>
              <w:rPr>
                <w:rFonts w:eastAsia="Times New Roman"/>
                <w:b/>
                <w:bCs/>
                <w:sz w:val="16"/>
                <w:szCs w:val="16"/>
                <w:lang w:eastAsia="en-US"/>
              </w:rPr>
            </w:pPr>
            <w:r w:rsidRPr="00942BD7">
              <w:rPr>
                <w:rFonts w:eastAsia="Times New Roman"/>
                <w:b/>
                <w:bCs/>
                <w:sz w:val="16"/>
                <w:szCs w:val="16"/>
                <w:lang w:eastAsia="en-US"/>
              </w:rPr>
              <w:t>Total</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rsidR="00942BD7" w:rsidRPr="00942BD7" w:rsidRDefault="00942BD7" w:rsidP="00203CC7">
            <w:pPr>
              <w:rPr>
                <w:rFonts w:eastAsia="Times New Roman"/>
                <w:b/>
                <w:bCs/>
                <w:sz w:val="16"/>
                <w:szCs w:val="16"/>
                <w:lang w:eastAsia="en-US"/>
              </w:rPr>
            </w:pPr>
            <w:r w:rsidRPr="00942BD7">
              <w:rPr>
                <w:rFonts w:eastAsia="Times New Roman"/>
                <w:b/>
                <w:bCs/>
                <w:sz w:val="16"/>
                <w:szCs w:val="16"/>
                <w:lang w:eastAsia="en-US"/>
              </w:rPr>
              <w:t xml:space="preserve">               55,245 </w:t>
            </w:r>
          </w:p>
        </w:tc>
        <w:tc>
          <w:tcPr>
            <w:tcW w:w="1226" w:type="dxa"/>
            <w:tcBorders>
              <w:top w:val="single" w:sz="4" w:space="0" w:color="auto"/>
              <w:left w:val="nil"/>
              <w:bottom w:val="single" w:sz="4" w:space="0" w:color="auto"/>
              <w:right w:val="single" w:sz="4" w:space="0" w:color="auto"/>
            </w:tcBorders>
            <w:shd w:val="clear" w:color="000000" w:fill="C5D9F1"/>
            <w:noWrap/>
            <w:vAlign w:val="bottom"/>
            <w:hideMark/>
          </w:tcPr>
          <w:p w:rsidR="00942BD7" w:rsidRPr="00942BD7" w:rsidRDefault="00942BD7" w:rsidP="00203CC7">
            <w:pPr>
              <w:rPr>
                <w:rFonts w:eastAsia="Times New Roman"/>
                <w:b/>
                <w:bCs/>
                <w:sz w:val="16"/>
                <w:szCs w:val="16"/>
                <w:lang w:eastAsia="en-US"/>
              </w:rPr>
            </w:pPr>
            <w:r w:rsidRPr="00942BD7">
              <w:rPr>
                <w:rFonts w:eastAsia="Times New Roman"/>
                <w:b/>
                <w:bCs/>
                <w:sz w:val="16"/>
                <w:szCs w:val="16"/>
                <w:lang w:eastAsia="en-US"/>
              </w:rPr>
              <w:t xml:space="preserve">              55,274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rsidR="00942BD7" w:rsidRPr="00942BD7" w:rsidRDefault="00942BD7" w:rsidP="00203CC7">
            <w:pPr>
              <w:rPr>
                <w:rFonts w:eastAsia="Times New Roman"/>
                <w:b/>
                <w:bCs/>
                <w:sz w:val="16"/>
                <w:szCs w:val="16"/>
                <w:lang w:eastAsia="en-US"/>
              </w:rPr>
            </w:pPr>
            <w:r w:rsidRPr="00942BD7">
              <w:rPr>
                <w:rFonts w:eastAsia="Times New Roman"/>
                <w:b/>
                <w:bCs/>
                <w:sz w:val="16"/>
                <w:szCs w:val="16"/>
                <w:lang w:eastAsia="en-US"/>
              </w:rPr>
              <w:t xml:space="preserve">               58,106 </w:t>
            </w:r>
          </w:p>
        </w:tc>
      </w:tr>
    </w:tbl>
    <w:p w:rsidR="00942BD7" w:rsidRPr="00942BD7" w:rsidRDefault="00942BD7" w:rsidP="00203CC7">
      <w:pPr>
        <w:keepNext/>
        <w:jc w:val="center"/>
        <w:rPr>
          <w:b/>
          <w:bCs/>
          <w:iCs/>
          <w:sz w:val="20"/>
          <w:szCs w:val="28"/>
          <w:lang w:eastAsia="ja-JP"/>
        </w:rPr>
      </w:pPr>
      <w:r w:rsidRPr="00942BD7">
        <w:rPr>
          <w:b/>
          <w:bCs/>
          <w:iCs/>
          <w:sz w:val="20"/>
          <w:szCs w:val="28"/>
          <w:lang w:eastAsia="ja-JP"/>
        </w:rPr>
        <w:lastRenderedPageBreak/>
        <w:t>Program 6: Resources by Object of Expenditure</w:t>
      </w:r>
    </w:p>
    <w:p w:rsidR="00942BD7" w:rsidRPr="00942BD7" w:rsidRDefault="00942BD7" w:rsidP="00203CC7">
      <w:pPr>
        <w:keepNext/>
        <w:jc w:val="center"/>
        <w:rPr>
          <w:bCs/>
          <w:i/>
          <w:iCs/>
          <w:sz w:val="20"/>
          <w:szCs w:val="28"/>
          <w:lang w:eastAsia="ja-JP"/>
        </w:rPr>
      </w:pPr>
      <w:r w:rsidRPr="00942BD7">
        <w:rPr>
          <w:bCs/>
          <w:i/>
          <w:iCs/>
          <w:sz w:val="20"/>
          <w:szCs w:val="28"/>
          <w:lang w:eastAsia="ja-JP"/>
        </w:rPr>
        <w:t>(in thousands of Swiss francs)</w:t>
      </w:r>
    </w:p>
    <w:p w:rsidR="00942BD7" w:rsidRPr="00942BD7" w:rsidRDefault="00942BD7" w:rsidP="00203CC7">
      <w:pPr>
        <w:keepNext/>
        <w:jc w:val="center"/>
        <w:rPr>
          <w:bCs/>
          <w:i/>
          <w:iCs/>
          <w:sz w:val="20"/>
          <w:szCs w:val="28"/>
          <w:lang w:eastAsia="ja-JP"/>
        </w:rPr>
      </w:pPr>
    </w:p>
    <w:p w:rsidR="00203CC7" w:rsidRDefault="00942BD7" w:rsidP="00203CC7">
      <w:pPr>
        <w:spacing w:after="200" w:line="276" w:lineRule="auto"/>
        <w:rPr>
          <w:rFonts w:asciiTheme="minorHAnsi" w:eastAsiaTheme="minorEastAsia" w:hAnsiTheme="minorHAnsi" w:cstheme="minorBidi"/>
          <w:szCs w:val="22"/>
          <w:lang w:eastAsia="ja-JP"/>
        </w:rPr>
      </w:pPr>
      <w:r w:rsidRPr="00942BD7">
        <w:rPr>
          <w:rFonts w:asciiTheme="minorHAnsi" w:eastAsiaTheme="minorEastAsia" w:hAnsiTheme="minorHAnsi" w:cstheme="minorBidi"/>
          <w:noProof/>
          <w:szCs w:val="22"/>
          <w:lang w:eastAsia="en-US"/>
        </w:rPr>
        <w:drawing>
          <wp:inline distT="0" distB="0" distL="0" distR="0" wp14:anchorId="2A50FEA2" wp14:editId="00455F6D">
            <wp:extent cx="5514975" cy="6210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14975" cy="6210300"/>
                    </a:xfrm>
                    <a:prstGeom prst="rect">
                      <a:avLst/>
                    </a:prstGeom>
                    <a:noFill/>
                    <a:ln>
                      <a:noFill/>
                    </a:ln>
                  </pic:spPr>
                </pic:pic>
              </a:graphicData>
            </a:graphic>
          </wp:inline>
        </w:drawing>
      </w:r>
    </w:p>
    <w:p w:rsidR="00942BD7" w:rsidRPr="00942BD7" w:rsidRDefault="00942BD7" w:rsidP="00203CC7">
      <w:pPr>
        <w:spacing w:after="200" w:line="276" w:lineRule="auto"/>
        <w:rPr>
          <w:rFonts w:asciiTheme="minorHAnsi" w:eastAsiaTheme="minorEastAsia" w:hAnsiTheme="minorHAnsi" w:cstheme="minorBidi"/>
          <w:szCs w:val="22"/>
          <w:lang w:eastAsia="ja-JP"/>
        </w:rPr>
      </w:pPr>
      <w:r w:rsidRPr="00942BD7">
        <w:rPr>
          <w:rFonts w:asciiTheme="minorHAnsi" w:eastAsiaTheme="minorEastAsia" w:hAnsiTheme="minorHAnsi" w:cstheme="minorBidi"/>
          <w:szCs w:val="22"/>
          <w:lang w:eastAsia="ja-JP"/>
        </w:rPr>
        <w:br w:type="page"/>
      </w:r>
    </w:p>
    <w:p w:rsidR="00942BD7" w:rsidRPr="00942BD7" w:rsidRDefault="00942BD7" w:rsidP="00203CC7">
      <w:pPr>
        <w:spacing w:after="200" w:line="276" w:lineRule="auto"/>
        <w:rPr>
          <w:b/>
          <w:iCs/>
          <w:caps/>
          <w:szCs w:val="22"/>
          <w:lang w:eastAsia="ja-JP"/>
        </w:rPr>
      </w:pPr>
      <w:r w:rsidRPr="00942BD7">
        <w:rPr>
          <w:b/>
          <w:iCs/>
          <w:caps/>
          <w:szCs w:val="22"/>
          <w:lang w:eastAsia="ja-JP"/>
        </w:rPr>
        <w:lastRenderedPageBreak/>
        <w:t>LISBON SYSTEM</w:t>
      </w:r>
    </w:p>
    <w:p w:rsidR="00942BD7" w:rsidRPr="00942BD7" w:rsidRDefault="00942BD7" w:rsidP="00203CC7">
      <w:pPr>
        <w:rPr>
          <w:rFonts w:eastAsiaTheme="minorEastAsia"/>
          <w:szCs w:val="22"/>
          <w:lang w:eastAsia="ja-JP"/>
        </w:rPr>
      </w:pPr>
    </w:p>
    <w:p w:rsidR="00942BD7" w:rsidRPr="00942BD7" w:rsidRDefault="00942BD7" w:rsidP="00203CC7">
      <w:pPr>
        <w:rPr>
          <w:rFonts w:eastAsiaTheme="minorEastAsia"/>
          <w:szCs w:val="22"/>
          <w:lang w:eastAsia="ja-JP"/>
        </w:rPr>
      </w:pPr>
      <w:r w:rsidRPr="00942BD7">
        <w:rPr>
          <w:rFonts w:eastAsiaTheme="minorEastAsia"/>
          <w:szCs w:val="22"/>
          <w:lang w:eastAsia="ja-JP"/>
        </w:rPr>
        <w:t>PLANNING CONTEXT</w:t>
      </w:r>
    </w:p>
    <w:p w:rsidR="00942BD7" w:rsidRPr="00312744" w:rsidRDefault="00942BD7" w:rsidP="00203CC7">
      <w:pPr>
        <w:rPr>
          <w:rFonts w:eastAsiaTheme="minorEastAsia"/>
          <w:sz w:val="20"/>
          <w:szCs w:val="22"/>
          <w:lang w:eastAsia="ja-JP"/>
        </w:rPr>
      </w:pPr>
    </w:p>
    <w:p w:rsidR="00942BD7" w:rsidRPr="00C90772" w:rsidRDefault="00942BD7" w:rsidP="00203CC7">
      <w:pPr>
        <w:pStyle w:val="ListParagraph"/>
        <w:numPr>
          <w:ilvl w:val="0"/>
          <w:numId w:val="30"/>
        </w:numPr>
        <w:tabs>
          <w:tab w:val="left" w:pos="567"/>
        </w:tabs>
        <w:ind w:left="0" w:firstLine="0"/>
        <w:rPr>
          <w:rFonts w:ascii="Arial" w:eastAsiaTheme="minorEastAsia" w:hAnsi="Arial" w:cs="Arial"/>
          <w:sz w:val="20"/>
          <w:szCs w:val="22"/>
          <w:lang w:val="en-US" w:eastAsia="ja-JP"/>
        </w:rPr>
      </w:pPr>
      <w:r w:rsidRPr="00C90772">
        <w:rPr>
          <w:rFonts w:ascii="Arial" w:eastAsiaTheme="minorEastAsia" w:hAnsi="Arial" w:cs="Arial"/>
          <w:sz w:val="20"/>
          <w:szCs w:val="22"/>
          <w:lang w:val="en-US" w:eastAsia="ja-JP"/>
        </w:rPr>
        <w:t>The main focus as regards the Lisbon System will be the effective administration of the International Registry for Appellations of Origin and preparations for the possible entry into force of the Geneva Act of the Lisbon Agreement on Appellations of Origin and Geographical Indications (“Geneva Act”).</w:t>
      </w:r>
    </w:p>
    <w:p w:rsidR="00942BD7" w:rsidRPr="00312744" w:rsidRDefault="00942BD7" w:rsidP="00203CC7">
      <w:pPr>
        <w:rPr>
          <w:rFonts w:eastAsiaTheme="minorEastAsia"/>
          <w:sz w:val="20"/>
          <w:szCs w:val="22"/>
          <w:lang w:eastAsia="ja-JP"/>
        </w:rPr>
      </w:pPr>
    </w:p>
    <w:p w:rsidR="00942BD7" w:rsidRPr="00203CC7" w:rsidRDefault="00942BD7" w:rsidP="00203CC7">
      <w:pPr>
        <w:rPr>
          <w:rFonts w:eastAsiaTheme="minorEastAsia"/>
          <w:szCs w:val="22"/>
          <w:lang w:eastAsia="ja-JP"/>
        </w:rPr>
      </w:pPr>
    </w:p>
    <w:p w:rsidR="00942BD7" w:rsidRPr="00203CC7" w:rsidRDefault="00942BD7" w:rsidP="00203CC7">
      <w:pPr>
        <w:rPr>
          <w:rFonts w:eastAsiaTheme="minorEastAsia"/>
          <w:szCs w:val="22"/>
          <w:lang w:eastAsia="ja-JP"/>
        </w:rPr>
      </w:pPr>
      <w:r w:rsidRPr="00203CC7">
        <w:rPr>
          <w:rFonts w:eastAsiaTheme="minorEastAsia"/>
          <w:szCs w:val="22"/>
          <w:lang w:eastAsia="ja-JP"/>
        </w:rPr>
        <w:t>IMPLEMENTATION STRATEGIES</w:t>
      </w:r>
    </w:p>
    <w:p w:rsidR="00942BD7" w:rsidRPr="00312744" w:rsidRDefault="00942BD7" w:rsidP="00203CC7">
      <w:pPr>
        <w:rPr>
          <w:rFonts w:eastAsiaTheme="minorEastAsia"/>
          <w:sz w:val="20"/>
          <w:szCs w:val="22"/>
          <w:lang w:eastAsia="ja-JP"/>
        </w:rPr>
      </w:pPr>
    </w:p>
    <w:p w:rsidR="00942BD7" w:rsidRPr="00C90772" w:rsidRDefault="00942BD7" w:rsidP="00203CC7">
      <w:pPr>
        <w:pStyle w:val="ListParagraph"/>
        <w:numPr>
          <w:ilvl w:val="0"/>
          <w:numId w:val="30"/>
        </w:numPr>
        <w:tabs>
          <w:tab w:val="left" w:pos="567"/>
        </w:tabs>
        <w:ind w:left="0" w:firstLine="0"/>
        <w:rPr>
          <w:rFonts w:ascii="Arial" w:eastAsiaTheme="minorEastAsia" w:hAnsi="Arial" w:cs="Arial"/>
          <w:sz w:val="20"/>
          <w:szCs w:val="22"/>
          <w:lang w:val="en-US" w:eastAsia="ja-JP"/>
        </w:rPr>
      </w:pPr>
      <w:r w:rsidRPr="00C90772">
        <w:rPr>
          <w:rFonts w:ascii="Arial" w:eastAsiaTheme="minorEastAsia" w:hAnsi="Arial" w:cs="Arial"/>
          <w:sz w:val="20"/>
          <w:szCs w:val="22"/>
          <w:lang w:val="en-US" w:eastAsia="ja-JP"/>
        </w:rPr>
        <w:t>The Geneva Act is expected to pave the way for a significant increase in the membership of the Lisbon Union.  Although the accession rate is difficult to predict, entry into force of the Geneva Act may already occur in the course of the biennium or soon thereafter.  Consequently, as the Geneva Act will coexist with the current Lisbon Agreement for as long as not all Member States of the current Lisbon Agreement have acceded to the Geneva Act, preparations need to be made for the adoption of Common Regulations under the two instruments.</w:t>
      </w:r>
    </w:p>
    <w:p w:rsidR="00942BD7" w:rsidRPr="00312744" w:rsidRDefault="00942BD7" w:rsidP="00203CC7">
      <w:pPr>
        <w:tabs>
          <w:tab w:val="left" w:pos="567"/>
        </w:tabs>
        <w:contextualSpacing/>
        <w:rPr>
          <w:rFonts w:eastAsiaTheme="minorEastAsia"/>
          <w:sz w:val="20"/>
          <w:szCs w:val="22"/>
          <w:lang w:eastAsia="ja-JP"/>
        </w:rPr>
      </w:pPr>
    </w:p>
    <w:p w:rsidR="00942BD7" w:rsidRPr="00C90772" w:rsidRDefault="00942BD7" w:rsidP="00203CC7">
      <w:pPr>
        <w:pStyle w:val="ListParagraph"/>
        <w:numPr>
          <w:ilvl w:val="0"/>
          <w:numId w:val="30"/>
        </w:numPr>
        <w:tabs>
          <w:tab w:val="left" w:pos="567"/>
        </w:tabs>
        <w:ind w:left="0" w:firstLine="0"/>
        <w:rPr>
          <w:rFonts w:ascii="Arial" w:eastAsiaTheme="minorEastAsia" w:hAnsi="Arial" w:cs="Arial"/>
          <w:sz w:val="20"/>
          <w:szCs w:val="22"/>
          <w:lang w:val="en-US" w:eastAsia="ja-JP"/>
        </w:rPr>
      </w:pPr>
      <w:r w:rsidRPr="00C90772">
        <w:rPr>
          <w:rFonts w:ascii="Arial" w:eastAsiaTheme="minorEastAsia" w:hAnsi="Arial" w:cs="Arial"/>
          <w:sz w:val="20"/>
          <w:szCs w:val="22"/>
          <w:lang w:val="en-US" w:eastAsia="ja-JP"/>
        </w:rPr>
        <w:t xml:space="preserve">The preparation of future Common Regulations will also provide an opportunity for critically reviewing current administration procedures and further developing electronic notification and publication tools to maximize efficiency. </w:t>
      </w:r>
    </w:p>
    <w:p w:rsidR="00942BD7" w:rsidRPr="00312744" w:rsidRDefault="00942BD7" w:rsidP="00203CC7">
      <w:pPr>
        <w:ind w:left="720"/>
        <w:contextualSpacing/>
        <w:rPr>
          <w:rFonts w:eastAsiaTheme="minorEastAsia"/>
          <w:sz w:val="20"/>
          <w:szCs w:val="22"/>
          <w:lang w:eastAsia="ja-JP"/>
        </w:rPr>
      </w:pPr>
    </w:p>
    <w:p w:rsidR="00942BD7" w:rsidRPr="00C90772" w:rsidRDefault="00942BD7" w:rsidP="00203CC7">
      <w:pPr>
        <w:pStyle w:val="ListParagraph"/>
        <w:numPr>
          <w:ilvl w:val="0"/>
          <w:numId w:val="30"/>
        </w:numPr>
        <w:tabs>
          <w:tab w:val="left" w:pos="567"/>
        </w:tabs>
        <w:ind w:left="0" w:firstLine="0"/>
        <w:rPr>
          <w:rFonts w:ascii="Arial" w:eastAsiaTheme="minorEastAsia" w:hAnsi="Arial" w:cs="Arial"/>
          <w:sz w:val="20"/>
          <w:szCs w:val="22"/>
          <w:lang w:val="en-US" w:eastAsia="ja-JP"/>
        </w:rPr>
      </w:pPr>
      <w:r w:rsidRPr="00C90772">
        <w:rPr>
          <w:rFonts w:ascii="Arial" w:eastAsiaTheme="minorEastAsia" w:hAnsi="Arial" w:cs="Arial"/>
          <w:sz w:val="20"/>
          <w:szCs w:val="22"/>
          <w:lang w:val="en-US" w:eastAsia="ja-JP"/>
        </w:rPr>
        <w:t>In addition, technical assistance will be provided to Member States and relevant regional organizations, in particular to developing countries and LDCs, interested in adhering to the Lisbon System.  Also in this context, outreach and additional training activities will be undertaken to further promote the use of the System.</w:t>
      </w:r>
    </w:p>
    <w:p w:rsidR="00942BD7" w:rsidRPr="00312744" w:rsidRDefault="00942BD7" w:rsidP="00203CC7">
      <w:pPr>
        <w:ind w:left="720"/>
        <w:contextualSpacing/>
        <w:rPr>
          <w:rFonts w:eastAsiaTheme="minorEastAsia"/>
          <w:sz w:val="20"/>
          <w:szCs w:val="22"/>
          <w:lang w:eastAsia="ja-JP"/>
        </w:rPr>
      </w:pPr>
    </w:p>
    <w:p w:rsidR="00942BD7" w:rsidRPr="00C90772" w:rsidRDefault="00942BD7" w:rsidP="00203CC7">
      <w:pPr>
        <w:pStyle w:val="ListParagraph"/>
        <w:numPr>
          <w:ilvl w:val="0"/>
          <w:numId w:val="30"/>
        </w:numPr>
        <w:tabs>
          <w:tab w:val="left" w:pos="567"/>
        </w:tabs>
        <w:ind w:left="0" w:firstLine="0"/>
        <w:rPr>
          <w:rFonts w:ascii="Arial" w:eastAsiaTheme="minorEastAsia" w:hAnsi="Arial" w:cs="Arial"/>
          <w:sz w:val="20"/>
          <w:szCs w:val="22"/>
          <w:lang w:val="en-US" w:eastAsia="ja-JP"/>
        </w:rPr>
      </w:pPr>
      <w:r w:rsidRPr="00312744">
        <w:rPr>
          <w:rFonts w:ascii="Arial" w:eastAsiaTheme="minorEastAsia" w:hAnsi="Arial" w:cs="Arial"/>
          <w:sz w:val="20"/>
          <w:szCs w:val="22"/>
          <w:lang w:val="en-US" w:eastAsia="ja-JP"/>
        </w:rPr>
        <w:t>The average number of international applications and other requests for recording in the International Register under the Lisbon System since 1967 has amounted to approximately 25</w:t>
      </w:r>
      <w:r w:rsidR="00C850AA" w:rsidRPr="00312744">
        <w:rPr>
          <w:rFonts w:ascii="Arial" w:eastAsiaTheme="minorEastAsia" w:hAnsi="Arial" w:cs="Arial"/>
          <w:sz w:val="20"/>
          <w:szCs w:val="22"/>
          <w:lang w:val="en-US" w:eastAsia="ja-JP"/>
        </w:rPr>
        <w:t> </w:t>
      </w:r>
      <w:r w:rsidRPr="00312744">
        <w:rPr>
          <w:rFonts w:ascii="Arial" w:eastAsiaTheme="minorEastAsia" w:hAnsi="Arial" w:cs="Arial"/>
          <w:sz w:val="20"/>
          <w:szCs w:val="22"/>
          <w:lang w:val="en-US" w:eastAsia="ja-JP"/>
        </w:rPr>
        <w:t xml:space="preserve">such transactions per year, with large variations, however, between years (for example, seven requests for the recording of transactions were received in 2009 and 596 requests in 2007).  </w:t>
      </w:r>
      <w:r w:rsidRPr="00C90772">
        <w:rPr>
          <w:rFonts w:ascii="Arial" w:eastAsiaTheme="minorEastAsia" w:hAnsi="Arial" w:cs="Arial"/>
          <w:sz w:val="20"/>
          <w:szCs w:val="22"/>
          <w:lang w:val="en-US" w:eastAsia="ja-JP"/>
        </w:rPr>
        <w:t>The number of transactions was considerably higher in 2014 (121) and in 2015 is also expected to be higher than the average.  In view of the possible entry into force of the Geneva Act and further accessions, it is estimated that such an increased level of registration activity will continue in the years to come.</w:t>
      </w:r>
    </w:p>
    <w:p w:rsidR="00942BD7" w:rsidRPr="00312744" w:rsidRDefault="00942BD7" w:rsidP="00203CC7">
      <w:pPr>
        <w:ind w:left="720"/>
        <w:contextualSpacing/>
        <w:rPr>
          <w:rFonts w:eastAsiaTheme="minorEastAsia"/>
          <w:sz w:val="20"/>
          <w:szCs w:val="22"/>
          <w:lang w:eastAsia="ja-JP"/>
        </w:rPr>
      </w:pPr>
    </w:p>
    <w:p w:rsidR="00942BD7" w:rsidRPr="00C90772" w:rsidRDefault="00942BD7" w:rsidP="00203CC7">
      <w:pPr>
        <w:pStyle w:val="ListParagraph"/>
        <w:numPr>
          <w:ilvl w:val="0"/>
          <w:numId w:val="30"/>
        </w:numPr>
        <w:tabs>
          <w:tab w:val="left" w:pos="567"/>
        </w:tabs>
        <w:ind w:left="0" w:firstLine="0"/>
        <w:rPr>
          <w:rFonts w:ascii="Arial" w:eastAsiaTheme="minorEastAsia" w:hAnsi="Arial" w:cs="Arial"/>
          <w:sz w:val="20"/>
          <w:szCs w:val="22"/>
          <w:lang w:val="en-US" w:eastAsia="ja-JP"/>
        </w:rPr>
      </w:pPr>
      <w:r w:rsidRPr="00C90772">
        <w:rPr>
          <w:rFonts w:ascii="Arial" w:eastAsiaTheme="minorEastAsia" w:hAnsi="Arial" w:cs="Arial"/>
          <w:sz w:val="20"/>
          <w:szCs w:val="22"/>
          <w:lang w:val="en-US" w:eastAsia="ja-JP"/>
        </w:rPr>
        <w:t xml:space="preserve">The Lisbon System collaborates primarily with other Programs as illustrated below: </w:t>
      </w:r>
    </w:p>
    <w:p w:rsidR="00942BD7" w:rsidRPr="00312744" w:rsidRDefault="00942BD7" w:rsidP="00203CC7">
      <w:pPr>
        <w:tabs>
          <w:tab w:val="left" w:pos="567"/>
        </w:tabs>
        <w:rPr>
          <w:rFonts w:eastAsiaTheme="minorEastAsia"/>
          <w:sz w:val="20"/>
          <w:szCs w:val="22"/>
          <w:lang w:eastAsia="ja-JP"/>
        </w:rPr>
      </w:pPr>
    </w:p>
    <w:p w:rsidR="00942BD7" w:rsidRPr="00203CC7" w:rsidRDefault="00942BD7" w:rsidP="00203CC7">
      <w:pPr>
        <w:rPr>
          <w:rFonts w:eastAsiaTheme="minorEastAsia"/>
          <w:szCs w:val="22"/>
          <w:lang w:eastAsia="ja-JP"/>
        </w:rPr>
      </w:pPr>
    </w:p>
    <w:p w:rsidR="00942BD7" w:rsidRPr="00942BD7" w:rsidRDefault="00942BD7" w:rsidP="00203CC7">
      <w:pPr>
        <w:rPr>
          <w:rFonts w:eastAsiaTheme="minorEastAsia"/>
          <w:sz w:val="20"/>
          <w:szCs w:val="22"/>
          <w:lang w:eastAsia="ja-JP"/>
        </w:rPr>
      </w:pPr>
      <w:r w:rsidRPr="00942BD7">
        <w:rPr>
          <w:rFonts w:asciiTheme="minorHAnsi" w:eastAsiaTheme="minorEastAsia" w:hAnsiTheme="minorHAnsi" w:cstheme="minorBidi"/>
          <w:noProof/>
          <w:szCs w:val="22"/>
          <w:lang w:eastAsia="en-US"/>
        </w:rPr>
        <w:drawing>
          <wp:inline distT="0" distB="0" distL="0" distR="0" wp14:anchorId="006A9285" wp14:editId="1383BB75">
            <wp:extent cx="5761355" cy="1432560"/>
            <wp:effectExtent l="0" t="0" r="0" b="91440"/>
            <wp:docPr id="11"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942BD7" w:rsidRPr="00942BD7" w:rsidRDefault="00942BD7" w:rsidP="00203CC7">
      <w:pPr>
        <w:rPr>
          <w:rFonts w:eastAsiaTheme="minorEastAsia"/>
          <w:sz w:val="20"/>
          <w:szCs w:val="22"/>
          <w:lang w:eastAsia="ja-JP"/>
        </w:rPr>
      </w:pPr>
    </w:p>
    <w:p w:rsidR="00942BD7" w:rsidRPr="00942BD7" w:rsidRDefault="00942BD7" w:rsidP="00203CC7">
      <w:pPr>
        <w:keepNext/>
        <w:keepLines/>
        <w:rPr>
          <w:rFonts w:eastAsia="Times New Roman"/>
          <w:szCs w:val="22"/>
          <w:lang w:eastAsia="ja-JP"/>
        </w:rPr>
      </w:pPr>
    </w:p>
    <w:p w:rsidR="00203CC7" w:rsidRDefault="00203CC7">
      <w:pPr>
        <w:rPr>
          <w:rFonts w:eastAsia="Times New Roman"/>
          <w:szCs w:val="22"/>
          <w:lang w:eastAsia="ja-JP"/>
        </w:rPr>
      </w:pPr>
      <w:r>
        <w:rPr>
          <w:rFonts w:eastAsia="Times New Roman"/>
          <w:szCs w:val="22"/>
          <w:lang w:eastAsia="ja-JP"/>
        </w:rPr>
        <w:br w:type="page"/>
      </w:r>
    </w:p>
    <w:p w:rsidR="00942BD7" w:rsidRPr="00942BD7" w:rsidRDefault="00942BD7" w:rsidP="00203CC7">
      <w:pPr>
        <w:rPr>
          <w:rFonts w:eastAsia="Times New Roman"/>
          <w:szCs w:val="22"/>
          <w:lang w:eastAsia="ja-JP"/>
        </w:rPr>
      </w:pPr>
      <w:r w:rsidRPr="00942BD7">
        <w:rPr>
          <w:rFonts w:eastAsia="Times New Roman"/>
          <w:szCs w:val="22"/>
          <w:lang w:eastAsia="ja-JP"/>
        </w:rPr>
        <w:lastRenderedPageBreak/>
        <w:t>RESULTS FRAMEWORK</w:t>
      </w:r>
    </w:p>
    <w:p w:rsidR="00942BD7" w:rsidRPr="00942BD7" w:rsidRDefault="00942BD7" w:rsidP="00203CC7">
      <w:pPr>
        <w:rPr>
          <w:rFonts w:eastAsia="Times New Roman"/>
          <w:szCs w:val="22"/>
          <w:lang w:eastAsia="ja-JP"/>
        </w:rPr>
      </w:pPr>
    </w:p>
    <w:tbl>
      <w:tblPr>
        <w:tblW w:w="9371" w:type="dxa"/>
        <w:tblInd w:w="93" w:type="dxa"/>
        <w:tblLook w:val="04A0" w:firstRow="1" w:lastRow="0" w:firstColumn="1" w:lastColumn="0" w:noHBand="0" w:noVBand="1"/>
      </w:tblPr>
      <w:tblGrid>
        <w:gridCol w:w="2060"/>
        <w:gridCol w:w="2500"/>
        <w:gridCol w:w="2620"/>
        <w:gridCol w:w="2191"/>
      </w:tblGrid>
      <w:tr w:rsidR="00942BD7" w:rsidRPr="00942BD7" w:rsidTr="009F1B0F">
        <w:trPr>
          <w:trHeight w:val="518"/>
          <w:tblHeader/>
        </w:trPr>
        <w:tc>
          <w:tcPr>
            <w:tcW w:w="2060"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Expected Results</w:t>
            </w:r>
          </w:p>
        </w:tc>
        <w:tc>
          <w:tcPr>
            <w:tcW w:w="2500" w:type="dxa"/>
            <w:tcBorders>
              <w:top w:val="single" w:sz="4" w:space="0" w:color="auto"/>
              <w:left w:val="nil"/>
              <w:bottom w:val="single" w:sz="4" w:space="0" w:color="auto"/>
              <w:right w:val="nil"/>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Performance Indicators</w:t>
            </w:r>
          </w:p>
        </w:tc>
        <w:tc>
          <w:tcPr>
            <w:tcW w:w="2620" w:type="dxa"/>
            <w:tcBorders>
              <w:top w:val="single" w:sz="4" w:space="0" w:color="auto"/>
              <w:left w:val="nil"/>
              <w:bottom w:val="single" w:sz="4" w:space="0" w:color="auto"/>
              <w:right w:val="nil"/>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Baselines</w:t>
            </w:r>
          </w:p>
        </w:tc>
        <w:tc>
          <w:tcPr>
            <w:tcW w:w="21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942BD7" w:rsidRPr="00942BD7" w:rsidRDefault="00942BD7" w:rsidP="00203CC7">
            <w:pPr>
              <w:rPr>
                <w:rFonts w:eastAsia="Times New Roman"/>
                <w:b/>
                <w:bCs/>
                <w:color w:val="000000"/>
                <w:sz w:val="18"/>
                <w:szCs w:val="18"/>
                <w:lang w:eastAsia="ja-JP"/>
              </w:rPr>
            </w:pPr>
            <w:r w:rsidRPr="00942BD7">
              <w:rPr>
                <w:rFonts w:eastAsia="Times New Roman"/>
                <w:b/>
                <w:bCs/>
                <w:color w:val="000000"/>
                <w:sz w:val="18"/>
                <w:szCs w:val="18"/>
                <w:lang w:eastAsia="ja-JP"/>
              </w:rPr>
              <w:t>Targets</w:t>
            </w:r>
          </w:p>
        </w:tc>
      </w:tr>
      <w:tr w:rsidR="00942BD7" w:rsidRPr="00942BD7" w:rsidTr="009F1B0F">
        <w:trPr>
          <w:trHeight w:val="1304"/>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br/>
              <w:t>II.6 Wider and more effective use of the Madrid &amp; Lisbon systems, including by developing countries and LDCs</w:t>
            </w:r>
          </w:p>
        </w:tc>
        <w:tc>
          <w:tcPr>
            <w:tcW w:w="2500" w:type="dxa"/>
            <w:tcBorders>
              <w:top w:val="nil"/>
              <w:left w:val="nil"/>
              <w:right w:val="nil"/>
            </w:tcBorders>
            <w:shd w:val="clear" w:color="000000" w:fill="FFFFFF"/>
            <w:hideMark/>
          </w:tcPr>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Expansion of the geographical coverage of the Lisbon System</w:t>
            </w:r>
          </w:p>
        </w:tc>
        <w:tc>
          <w:tcPr>
            <w:tcW w:w="2620" w:type="dxa"/>
            <w:tcBorders>
              <w:top w:val="nil"/>
              <w:left w:val="nil"/>
              <w:right w:val="nil"/>
            </w:tcBorders>
            <w:shd w:val="clear" w:color="000000" w:fill="FFFFFF"/>
            <w:hideMark/>
          </w:tcPr>
          <w:p w:rsidR="00942BD7" w:rsidRPr="00942BD7" w:rsidRDefault="00942BD7" w:rsidP="00203CC7">
            <w:pPr>
              <w:ind w:firstLineChars="200" w:firstLine="320"/>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No. of Contracting Parties to the Geneva Act at the end of 2015</w:t>
            </w:r>
          </w:p>
        </w:tc>
        <w:tc>
          <w:tcPr>
            <w:tcW w:w="2191" w:type="dxa"/>
            <w:tcBorders>
              <w:top w:val="nil"/>
              <w:left w:val="nil"/>
              <w:right w:val="single" w:sz="4" w:space="0" w:color="auto"/>
            </w:tcBorders>
            <w:shd w:val="clear" w:color="000000" w:fill="FFFFFF"/>
            <w:hideMark/>
          </w:tcPr>
          <w:p w:rsidR="00942BD7" w:rsidRPr="00942BD7" w:rsidRDefault="00942BD7" w:rsidP="00203CC7">
            <w:pPr>
              <w:rPr>
                <w:rFonts w:eastAsia="Times New Roman"/>
                <w:color w:val="000000"/>
                <w:sz w:val="16"/>
                <w:szCs w:val="16"/>
                <w:lang w:eastAsia="ja-JP"/>
              </w:rPr>
            </w:pPr>
          </w:p>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Up to 5 Contracting parties to the Geneva Act by the end of 2017</w:t>
            </w:r>
          </w:p>
        </w:tc>
      </w:tr>
      <w:tr w:rsidR="00942BD7" w:rsidRPr="00942BD7" w:rsidTr="00203CC7">
        <w:trPr>
          <w:trHeight w:val="882"/>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xml:space="preserve">% of participants in Lisbon System events satisfied and reporting enhanced awareness post an event </w:t>
            </w:r>
          </w:p>
        </w:tc>
        <w:tc>
          <w:tcPr>
            <w:tcW w:w="2620" w:type="dxa"/>
            <w:tcBorders>
              <w:top w:val="nil"/>
              <w:left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84% of participants satisfied (2014) in 5 events</w:t>
            </w:r>
          </w:p>
        </w:tc>
        <w:tc>
          <w:tcPr>
            <w:tcW w:w="2191" w:type="dxa"/>
            <w:tcBorders>
              <w:top w:val="nil"/>
              <w:left w:val="nil"/>
              <w:right w:val="single" w:sz="4" w:space="0" w:color="auto"/>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85% of participants satisfied</w:t>
            </w:r>
          </w:p>
        </w:tc>
      </w:tr>
      <w:tr w:rsidR="00942BD7" w:rsidRPr="00942BD7" w:rsidTr="00203CC7">
        <w:trPr>
          <w:trHeight w:val="1139"/>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No. of international applications and other transactions (Lisbon)</w:t>
            </w:r>
          </w:p>
        </w:tc>
        <w:tc>
          <w:tcPr>
            <w:tcW w:w="2620" w:type="dxa"/>
            <w:tcBorders>
              <w:left w:val="nil"/>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121 transactions in 2014:</w:t>
            </w:r>
            <w:r w:rsidRPr="00942BD7">
              <w:rPr>
                <w:rFonts w:eastAsia="Times New Roman"/>
                <w:color w:val="000000"/>
                <w:sz w:val="16"/>
                <w:szCs w:val="16"/>
                <w:lang w:eastAsia="ja-JP"/>
              </w:rPr>
              <w:br/>
              <w:t>- 80 international  applications</w:t>
            </w:r>
            <w:r w:rsidRPr="00942BD7">
              <w:rPr>
                <w:rFonts w:eastAsia="Times New Roman"/>
                <w:color w:val="000000"/>
                <w:sz w:val="16"/>
                <w:szCs w:val="16"/>
                <w:lang w:eastAsia="ja-JP"/>
              </w:rPr>
              <w:br/>
              <w:t>- 26 statements of grant protection</w:t>
            </w:r>
            <w:r w:rsidRPr="00942BD7">
              <w:rPr>
                <w:rFonts w:eastAsia="Times New Roman"/>
                <w:color w:val="000000"/>
                <w:sz w:val="16"/>
                <w:szCs w:val="16"/>
                <w:lang w:eastAsia="ja-JP"/>
              </w:rPr>
              <w:br/>
              <w:t>- 15 refusal declarations</w:t>
            </w:r>
          </w:p>
        </w:tc>
        <w:tc>
          <w:tcPr>
            <w:tcW w:w="2191" w:type="dxa"/>
            <w:tcBorders>
              <w:left w:val="nil"/>
              <w:bottom w:val="nil"/>
              <w:right w:val="single" w:sz="4" w:space="0" w:color="auto"/>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100 transactions in 2016/17</w:t>
            </w:r>
            <w:r w:rsidRPr="00942BD7">
              <w:rPr>
                <w:rFonts w:eastAsia="Times New Roman"/>
                <w:color w:val="000000"/>
                <w:sz w:val="16"/>
                <w:szCs w:val="16"/>
                <w:lang w:eastAsia="ja-JP"/>
              </w:rPr>
              <w:br/>
              <w:t>- 20 new international  applications</w:t>
            </w:r>
            <w:r w:rsidRPr="00942BD7">
              <w:rPr>
                <w:rFonts w:eastAsia="Times New Roman"/>
                <w:color w:val="000000"/>
                <w:sz w:val="16"/>
                <w:szCs w:val="16"/>
                <w:lang w:eastAsia="ja-JP"/>
              </w:rPr>
              <w:br/>
              <w:t>- 60 statements of grant protection</w:t>
            </w:r>
            <w:r w:rsidRPr="00942BD7">
              <w:rPr>
                <w:rFonts w:eastAsia="Times New Roman"/>
                <w:color w:val="000000"/>
                <w:sz w:val="16"/>
                <w:szCs w:val="16"/>
                <w:lang w:eastAsia="ja-JP"/>
              </w:rPr>
              <w:br/>
              <w:t>- 20 refusal declarations</w:t>
            </w:r>
          </w:p>
        </w:tc>
      </w:tr>
      <w:tr w:rsidR="00942BD7" w:rsidRPr="00942BD7" w:rsidTr="00203CC7">
        <w:trPr>
          <w:trHeight w:val="1176"/>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top w:val="nil"/>
              <w:left w:val="nil"/>
              <w:bottom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No. of international registrations from developing countries and LDCs in force under the Lisbon System (in relation to the total no.)</w:t>
            </w:r>
          </w:p>
        </w:tc>
        <w:tc>
          <w:tcPr>
            <w:tcW w:w="2620" w:type="dxa"/>
            <w:tcBorders>
              <w:top w:val="nil"/>
              <w:left w:val="nil"/>
              <w:bottom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78 (out of 896)</w:t>
            </w:r>
            <w:r w:rsidRPr="00942BD7">
              <w:rPr>
                <w:rFonts w:eastAsia="Times New Roman"/>
                <w:color w:val="000000"/>
                <w:sz w:val="16"/>
                <w:szCs w:val="16"/>
                <w:lang w:eastAsia="ja-JP"/>
              </w:rPr>
              <w:br/>
              <w:t>(March 2015)</w:t>
            </w:r>
          </w:p>
        </w:tc>
        <w:tc>
          <w:tcPr>
            <w:tcW w:w="2191" w:type="dxa"/>
            <w:tcBorders>
              <w:top w:val="nil"/>
              <w:left w:val="nil"/>
              <w:bottom w:val="nil"/>
              <w:right w:val="single" w:sz="4" w:space="0" w:color="auto"/>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90 (out of 950)</w:t>
            </w:r>
          </w:p>
        </w:tc>
      </w:tr>
      <w:tr w:rsidR="00942BD7" w:rsidRPr="00942BD7" w:rsidTr="009F1B0F">
        <w:trPr>
          <w:trHeight w:val="621"/>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II.7 Improved productivity and service quality of Madrid &amp; Lisbon operations</w:t>
            </w:r>
          </w:p>
        </w:tc>
        <w:tc>
          <w:tcPr>
            <w:tcW w:w="2500" w:type="dxa"/>
            <w:tcBorders>
              <w:top w:val="nil"/>
              <w:left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Adoption of provisions streamlining the Lisbon System legal framework</w:t>
            </w:r>
          </w:p>
        </w:tc>
        <w:tc>
          <w:tcPr>
            <w:tcW w:w="2620" w:type="dxa"/>
            <w:tcBorders>
              <w:top w:val="nil"/>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Current legal framework and legal framework of the Geneva Act of May 2015</w:t>
            </w:r>
          </w:p>
        </w:tc>
        <w:tc>
          <w:tcPr>
            <w:tcW w:w="2191" w:type="dxa"/>
            <w:tcBorders>
              <w:top w:val="nil"/>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Adoption of Common Regulations under Lisbon Agreement and Geneva Act</w:t>
            </w:r>
          </w:p>
        </w:tc>
      </w:tr>
      <w:tr w:rsidR="00942BD7" w:rsidRPr="00942BD7" w:rsidTr="009F1B0F">
        <w:trPr>
          <w:trHeight w:val="486"/>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Unit cost (Lisbon)</w:t>
            </w:r>
          </w:p>
        </w:tc>
        <w:tc>
          <w:tcPr>
            <w:tcW w:w="2620" w:type="dxa"/>
            <w:tcBorders>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tbd</w:t>
            </w:r>
          </w:p>
        </w:tc>
        <w:tc>
          <w:tcPr>
            <w:tcW w:w="2191" w:type="dxa"/>
            <w:tcBorders>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tbd</w:t>
            </w:r>
          </w:p>
        </w:tc>
      </w:tr>
      <w:tr w:rsidR="00942BD7" w:rsidRPr="00942BD7" w:rsidTr="00203CC7">
        <w:trPr>
          <w:trHeight w:val="491"/>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right w:val="nil"/>
            </w:tcBorders>
            <w:shd w:val="clear" w:color="000000" w:fill="FFFFFF"/>
            <w:hideMark/>
          </w:tcPr>
          <w:p w:rsidR="00942BD7" w:rsidRPr="00942BD7" w:rsidRDefault="00942BD7" w:rsidP="00203CC7">
            <w:pPr>
              <w:ind w:left="101"/>
              <w:rPr>
                <w:rFonts w:eastAsia="Times New Roman"/>
                <w:color w:val="000000"/>
                <w:sz w:val="16"/>
                <w:szCs w:val="16"/>
                <w:lang w:eastAsia="ja-JP"/>
              </w:rPr>
            </w:pPr>
            <w:r w:rsidRPr="00942BD7">
              <w:rPr>
                <w:rFonts w:eastAsia="Times New Roman"/>
                <w:color w:val="000000"/>
                <w:sz w:val="16"/>
                <w:szCs w:val="16"/>
                <w:lang w:eastAsia="ja-JP"/>
              </w:rPr>
              <w:t>Timeliness of transactions</w:t>
            </w:r>
          </w:p>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 xml:space="preserve"> (Lisbon)</w:t>
            </w:r>
          </w:p>
        </w:tc>
        <w:tc>
          <w:tcPr>
            <w:tcW w:w="2620" w:type="dxa"/>
            <w:tcBorders>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tbd</w:t>
            </w:r>
          </w:p>
        </w:tc>
        <w:tc>
          <w:tcPr>
            <w:tcW w:w="2191" w:type="dxa"/>
            <w:tcBorders>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tbd</w:t>
            </w:r>
          </w:p>
        </w:tc>
      </w:tr>
      <w:tr w:rsidR="00942BD7" w:rsidRPr="00942BD7" w:rsidTr="009F1B0F">
        <w:trPr>
          <w:trHeight w:val="360"/>
        </w:trPr>
        <w:tc>
          <w:tcPr>
            <w:tcW w:w="2060" w:type="dxa"/>
            <w:tcBorders>
              <w:top w:val="nil"/>
              <w:left w:val="single" w:sz="4" w:space="0" w:color="auto"/>
              <w:bottom w:val="nil"/>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Quality (Lisbon)</w:t>
            </w:r>
          </w:p>
        </w:tc>
        <w:tc>
          <w:tcPr>
            <w:tcW w:w="2620" w:type="dxa"/>
            <w:tcBorders>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tbd</w:t>
            </w:r>
          </w:p>
        </w:tc>
        <w:tc>
          <w:tcPr>
            <w:tcW w:w="2191" w:type="dxa"/>
            <w:tcBorders>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tbd</w:t>
            </w:r>
          </w:p>
        </w:tc>
      </w:tr>
      <w:tr w:rsidR="00942BD7" w:rsidRPr="00942BD7" w:rsidTr="00203CC7">
        <w:trPr>
          <w:trHeight w:val="1052"/>
        </w:trPr>
        <w:tc>
          <w:tcPr>
            <w:tcW w:w="2060" w:type="dxa"/>
            <w:tcBorders>
              <w:top w:val="nil"/>
              <w:left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Increased use of electronic means for filing and processing international applications and other transactions (Lisbon)</w:t>
            </w:r>
          </w:p>
        </w:tc>
        <w:tc>
          <w:tcPr>
            <w:tcW w:w="2620" w:type="dxa"/>
            <w:tcBorders>
              <w:left w:val="nil"/>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Current data entry tool</w:t>
            </w:r>
            <w:r w:rsidRPr="00942BD7">
              <w:rPr>
                <w:rFonts w:eastAsia="Times New Roman"/>
                <w:color w:val="000000"/>
                <w:sz w:val="16"/>
                <w:szCs w:val="16"/>
                <w:lang w:eastAsia="ja-JP"/>
              </w:rPr>
              <w:br/>
            </w:r>
            <w:r w:rsidRPr="00942BD7">
              <w:rPr>
                <w:rFonts w:eastAsia="Times New Roman"/>
                <w:color w:val="000000"/>
                <w:sz w:val="16"/>
                <w:szCs w:val="16"/>
                <w:lang w:eastAsia="ja-JP"/>
              </w:rPr>
              <w:br/>
              <w:t>Current Bulletin and database</w:t>
            </w:r>
          </w:p>
        </w:tc>
        <w:tc>
          <w:tcPr>
            <w:tcW w:w="2191" w:type="dxa"/>
            <w:tcBorders>
              <w:left w:val="nil"/>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Improved data entry tool</w:t>
            </w:r>
            <w:r w:rsidRPr="00942BD7">
              <w:rPr>
                <w:rFonts w:eastAsia="Times New Roman"/>
                <w:color w:val="000000"/>
                <w:sz w:val="16"/>
                <w:szCs w:val="16"/>
                <w:lang w:eastAsia="ja-JP"/>
              </w:rPr>
              <w:br/>
            </w:r>
          </w:p>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Integration of the Bulletin into the Lisbon Express database</w:t>
            </w:r>
          </w:p>
        </w:tc>
      </w:tr>
      <w:tr w:rsidR="00942BD7" w:rsidRPr="00942BD7" w:rsidTr="00942BD7">
        <w:trPr>
          <w:trHeight w:val="630"/>
        </w:trPr>
        <w:tc>
          <w:tcPr>
            <w:tcW w:w="2060" w:type="dxa"/>
            <w:tcBorders>
              <w:top w:val="nil"/>
              <w:left w:val="single" w:sz="4" w:space="0" w:color="auto"/>
              <w:bottom w:val="single" w:sz="4" w:space="0" w:color="auto"/>
              <w:right w:val="nil"/>
            </w:tcBorders>
            <w:shd w:val="clear" w:color="000000" w:fill="FFFFFF"/>
            <w:hideMark/>
          </w:tcPr>
          <w:p w:rsidR="00942BD7" w:rsidRPr="00942BD7" w:rsidRDefault="00942BD7" w:rsidP="00203CC7">
            <w:pPr>
              <w:rPr>
                <w:rFonts w:eastAsia="Times New Roman"/>
                <w:color w:val="000000"/>
                <w:sz w:val="16"/>
                <w:szCs w:val="16"/>
                <w:lang w:eastAsia="ja-JP"/>
              </w:rPr>
            </w:pPr>
            <w:r w:rsidRPr="00942BD7">
              <w:rPr>
                <w:rFonts w:eastAsia="Times New Roman"/>
                <w:color w:val="000000"/>
                <w:sz w:val="16"/>
                <w:szCs w:val="16"/>
                <w:lang w:eastAsia="ja-JP"/>
              </w:rPr>
              <w:t> </w:t>
            </w:r>
          </w:p>
        </w:tc>
        <w:tc>
          <w:tcPr>
            <w:tcW w:w="2500" w:type="dxa"/>
            <w:tcBorders>
              <w:left w:val="nil"/>
              <w:bottom w:val="single" w:sz="4" w:space="0" w:color="auto"/>
              <w:right w:val="nil"/>
            </w:tcBorders>
            <w:shd w:val="clear" w:color="000000" w:fill="FFFFFF"/>
            <w:hideMark/>
          </w:tcPr>
          <w:p w:rsidR="00942BD7" w:rsidRPr="00942BD7" w:rsidRDefault="00942BD7" w:rsidP="00203CC7">
            <w:pPr>
              <w:ind w:left="97"/>
              <w:rPr>
                <w:rFonts w:eastAsia="Times New Roman"/>
                <w:color w:val="000000"/>
                <w:sz w:val="16"/>
                <w:szCs w:val="16"/>
                <w:lang w:eastAsia="ja-JP"/>
              </w:rPr>
            </w:pPr>
            <w:r w:rsidRPr="00942BD7">
              <w:rPr>
                <w:rFonts w:eastAsia="Times New Roman"/>
                <w:color w:val="000000"/>
                <w:sz w:val="16"/>
                <w:szCs w:val="16"/>
                <w:lang w:eastAsia="ja-JP"/>
              </w:rPr>
              <w:t>Improved electronic services for the Lisbon Registry and Article 6</w:t>
            </w:r>
            <w:r w:rsidRPr="00942BD7">
              <w:rPr>
                <w:rFonts w:eastAsia="Times New Roman"/>
                <w:i/>
                <w:color w:val="000000"/>
                <w:sz w:val="16"/>
                <w:szCs w:val="16"/>
                <w:lang w:eastAsia="ja-JP"/>
              </w:rPr>
              <w:t>ter</w:t>
            </w:r>
          </w:p>
        </w:tc>
        <w:tc>
          <w:tcPr>
            <w:tcW w:w="2620" w:type="dxa"/>
            <w:tcBorders>
              <w:left w:val="nil"/>
              <w:bottom w:val="single" w:sz="4" w:space="0" w:color="auto"/>
              <w:right w:val="nil"/>
            </w:tcBorders>
            <w:shd w:val="clear" w:color="000000" w:fill="FFFFFF"/>
            <w:hideMark/>
          </w:tcPr>
          <w:p w:rsidR="00942BD7" w:rsidRPr="00942BD7" w:rsidRDefault="00942BD7" w:rsidP="00203CC7">
            <w:pPr>
              <w:ind w:left="117"/>
              <w:rPr>
                <w:rFonts w:eastAsia="Times New Roman"/>
                <w:color w:val="000000"/>
                <w:sz w:val="16"/>
                <w:szCs w:val="16"/>
                <w:lang w:eastAsia="ja-JP"/>
              </w:rPr>
            </w:pPr>
            <w:r w:rsidRPr="00942BD7">
              <w:rPr>
                <w:rFonts w:eastAsia="Times New Roman"/>
                <w:color w:val="000000"/>
                <w:sz w:val="16"/>
                <w:szCs w:val="16"/>
                <w:lang w:eastAsia="ja-JP"/>
              </w:rPr>
              <w:t>Simple implementation of an electronic register</w:t>
            </w:r>
          </w:p>
        </w:tc>
        <w:tc>
          <w:tcPr>
            <w:tcW w:w="2191" w:type="dxa"/>
            <w:tcBorders>
              <w:left w:val="nil"/>
              <w:bottom w:val="single" w:sz="4" w:space="0" w:color="auto"/>
              <w:right w:val="single" w:sz="4" w:space="0" w:color="auto"/>
            </w:tcBorders>
            <w:shd w:val="clear" w:color="000000" w:fill="FFFFFF"/>
            <w:hideMark/>
          </w:tcPr>
          <w:p w:rsidR="00942BD7" w:rsidRPr="00942BD7" w:rsidRDefault="00942BD7" w:rsidP="00203CC7">
            <w:pPr>
              <w:ind w:left="107"/>
              <w:rPr>
                <w:rFonts w:eastAsia="Times New Roman"/>
                <w:color w:val="000000"/>
                <w:sz w:val="16"/>
                <w:szCs w:val="16"/>
                <w:lang w:eastAsia="ja-JP"/>
              </w:rPr>
            </w:pPr>
            <w:r w:rsidRPr="00942BD7">
              <w:rPr>
                <w:rFonts w:eastAsia="Times New Roman"/>
                <w:color w:val="000000"/>
                <w:sz w:val="16"/>
                <w:szCs w:val="16"/>
                <w:lang w:eastAsia="ja-JP"/>
              </w:rPr>
              <w:t>Electronic filing web forms</w:t>
            </w:r>
          </w:p>
        </w:tc>
      </w:tr>
    </w:tbl>
    <w:p w:rsidR="00942BD7" w:rsidRDefault="00942BD7" w:rsidP="00203CC7">
      <w:pPr>
        <w:keepNext/>
        <w:rPr>
          <w:bCs/>
          <w:iCs/>
          <w:caps/>
          <w:szCs w:val="28"/>
          <w:lang w:eastAsia="ja-JP"/>
        </w:rPr>
      </w:pPr>
    </w:p>
    <w:p w:rsidR="00203CC7" w:rsidRPr="00942BD7" w:rsidRDefault="00203CC7" w:rsidP="00203CC7">
      <w:pPr>
        <w:keepNext/>
        <w:rPr>
          <w:bCs/>
          <w:iCs/>
          <w:caps/>
          <w:szCs w:val="28"/>
          <w:lang w:eastAsia="ja-JP"/>
        </w:rPr>
      </w:pPr>
    </w:p>
    <w:p w:rsidR="00942BD7" w:rsidRPr="00942BD7" w:rsidRDefault="00942BD7" w:rsidP="00203CC7">
      <w:pPr>
        <w:keepNext/>
        <w:rPr>
          <w:bCs/>
          <w:iCs/>
          <w:caps/>
          <w:szCs w:val="28"/>
          <w:lang w:eastAsia="ja-JP"/>
        </w:rPr>
      </w:pPr>
      <w:r w:rsidRPr="00942BD7">
        <w:rPr>
          <w:bCs/>
          <w:iCs/>
          <w:caps/>
          <w:szCs w:val="28"/>
          <w:lang w:eastAsia="ja-JP"/>
        </w:rPr>
        <w:t xml:space="preserve">RESOURCES FOR LISBON SYSTEM </w:t>
      </w:r>
    </w:p>
    <w:p w:rsidR="00942BD7" w:rsidRPr="00942BD7" w:rsidRDefault="00942BD7" w:rsidP="00203CC7">
      <w:pPr>
        <w:rPr>
          <w:bCs/>
          <w:iCs/>
          <w:caps/>
          <w:sz w:val="20"/>
          <w:szCs w:val="28"/>
          <w:lang w:eastAsia="ja-JP"/>
        </w:rPr>
      </w:pPr>
    </w:p>
    <w:p w:rsidR="00942BD7" w:rsidRPr="00942BD7" w:rsidRDefault="00942BD7" w:rsidP="00203CC7">
      <w:pPr>
        <w:jc w:val="center"/>
        <w:rPr>
          <w:b/>
          <w:bCs/>
          <w:iCs/>
          <w:sz w:val="20"/>
          <w:szCs w:val="28"/>
          <w:lang w:eastAsia="ja-JP"/>
        </w:rPr>
      </w:pPr>
      <w:r w:rsidRPr="00942BD7">
        <w:rPr>
          <w:b/>
          <w:bCs/>
          <w:iCs/>
          <w:sz w:val="20"/>
          <w:szCs w:val="28"/>
          <w:lang w:eastAsia="ja-JP"/>
        </w:rPr>
        <w:t>Lisbon System: Resources by Result</w:t>
      </w:r>
    </w:p>
    <w:p w:rsidR="00942BD7" w:rsidRPr="00942BD7" w:rsidRDefault="00942BD7" w:rsidP="00203CC7">
      <w:pPr>
        <w:keepNext/>
        <w:jc w:val="center"/>
        <w:rPr>
          <w:bCs/>
          <w:i/>
          <w:iCs/>
          <w:sz w:val="20"/>
          <w:szCs w:val="28"/>
          <w:lang w:eastAsia="ja-JP"/>
        </w:rPr>
      </w:pPr>
      <w:r w:rsidRPr="00942BD7">
        <w:rPr>
          <w:bCs/>
          <w:i/>
          <w:iCs/>
          <w:sz w:val="20"/>
          <w:szCs w:val="28"/>
          <w:lang w:eastAsia="ja-JP"/>
        </w:rPr>
        <w:t>(in thousands of Swiss francs)</w:t>
      </w:r>
    </w:p>
    <w:p w:rsidR="00942BD7" w:rsidRPr="00942BD7" w:rsidRDefault="00942BD7" w:rsidP="00203CC7">
      <w:pPr>
        <w:keepNext/>
        <w:jc w:val="center"/>
        <w:rPr>
          <w:bCs/>
          <w:i/>
          <w:iCs/>
          <w:sz w:val="18"/>
          <w:lang w:eastAsia="ja-JP"/>
        </w:rPr>
      </w:pPr>
    </w:p>
    <w:p w:rsidR="00942BD7" w:rsidRPr="00942BD7" w:rsidRDefault="00942BD7" w:rsidP="00C850AA">
      <w:pPr>
        <w:keepNext/>
        <w:tabs>
          <w:tab w:val="left" w:pos="0"/>
        </w:tabs>
        <w:jc w:val="center"/>
        <w:rPr>
          <w:bCs/>
          <w:i/>
          <w:iCs/>
          <w:sz w:val="20"/>
          <w:lang w:eastAsia="ja-JP"/>
        </w:rPr>
      </w:pPr>
      <w:r w:rsidRPr="00942BD7">
        <w:rPr>
          <w:rFonts w:asciiTheme="minorHAnsi" w:eastAsiaTheme="minorEastAsia" w:hAnsiTheme="minorHAnsi" w:cstheme="minorBidi"/>
          <w:noProof/>
          <w:szCs w:val="22"/>
          <w:lang w:eastAsia="en-US"/>
        </w:rPr>
        <w:drawing>
          <wp:inline distT="0" distB="0" distL="0" distR="0" wp14:anchorId="3FBB2FC3" wp14:editId="0B242FDB">
            <wp:extent cx="5676900" cy="1228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76900" cy="1228725"/>
                    </a:xfrm>
                    <a:prstGeom prst="rect">
                      <a:avLst/>
                    </a:prstGeom>
                    <a:noFill/>
                    <a:ln>
                      <a:noFill/>
                    </a:ln>
                  </pic:spPr>
                </pic:pic>
              </a:graphicData>
            </a:graphic>
          </wp:inline>
        </w:drawing>
      </w:r>
    </w:p>
    <w:p w:rsidR="00942BD7" w:rsidRPr="00942BD7" w:rsidRDefault="00942BD7" w:rsidP="00203CC7">
      <w:pPr>
        <w:rPr>
          <w:bCs/>
          <w:i/>
          <w:iCs/>
          <w:sz w:val="20"/>
          <w:lang w:eastAsia="ja-JP"/>
        </w:rPr>
      </w:pPr>
    </w:p>
    <w:p w:rsidR="00942BD7" w:rsidRPr="00942BD7" w:rsidRDefault="00942BD7" w:rsidP="00203CC7">
      <w:pPr>
        <w:rPr>
          <w:bCs/>
          <w:iCs/>
          <w:sz w:val="20"/>
          <w:lang w:eastAsia="ja-JP"/>
        </w:rPr>
      </w:pPr>
    </w:p>
    <w:p w:rsidR="00942BD7" w:rsidRPr="00942BD7" w:rsidRDefault="00942BD7" w:rsidP="00203CC7">
      <w:pPr>
        <w:keepNext/>
        <w:ind w:left="1440" w:firstLine="720"/>
        <w:rPr>
          <w:b/>
          <w:bCs/>
          <w:iCs/>
          <w:sz w:val="20"/>
          <w:szCs w:val="28"/>
          <w:lang w:eastAsia="ja-JP"/>
        </w:rPr>
      </w:pPr>
      <w:r w:rsidRPr="00942BD7">
        <w:rPr>
          <w:b/>
          <w:bCs/>
          <w:iCs/>
          <w:sz w:val="20"/>
          <w:szCs w:val="28"/>
          <w:lang w:eastAsia="ja-JP"/>
        </w:rPr>
        <w:lastRenderedPageBreak/>
        <w:t>Lisbon System: Resources by Object of Expenditure</w:t>
      </w:r>
    </w:p>
    <w:p w:rsidR="00942BD7" w:rsidRPr="00942BD7" w:rsidRDefault="00942BD7" w:rsidP="00203CC7">
      <w:pPr>
        <w:keepNext/>
        <w:jc w:val="center"/>
        <w:rPr>
          <w:bCs/>
          <w:i/>
          <w:iCs/>
          <w:sz w:val="20"/>
          <w:szCs w:val="28"/>
          <w:lang w:eastAsia="ja-JP"/>
        </w:rPr>
      </w:pPr>
      <w:r w:rsidRPr="00942BD7">
        <w:rPr>
          <w:bCs/>
          <w:i/>
          <w:iCs/>
          <w:sz w:val="20"/>
          <w:szCs w:val="28"/>
          <w:lang w:eastAsia="ja-JP"/>
        </w:rPr>
        <w:t>(in thousands of Swiss francs)</w:t>
      </w:r>
    </w:p>
    <w:p w:rsidR="00942BD7" w:rsidRPr="00942BD7" w:rsidRDefault="00942BD7" w:rsidP="00203CC7">
      <w:pPr>
        <w:keepNext/>
        <w:rPr>
          <w:bCs/>
          <w:i/>
          <w:iCs/>
          <w:sz w:val="20"/>
          <w:szCs w:val="28"/>
          <w:lang w:eastAsia="ja-JP"/>
        </w:rPr>
      </w:pPr>
    </w:p>
    <w:p w:rsidR="00942BD7" w:rsidRPr="00942BD7" w:rsidRDefault="00942BD7" w:rsidP="00203CC7">
      <w:pPr>
        <w:rPr>
          <w:bCs/>
          <w:iCs/>
          <w:sz w:val="20"/>
          <w:lang w:eastAsia="ja-JP"/>
        </w:rPr>
      </w:pPr>
      <w:r w:rsidRPr="00942BD7">
        <w:rPr>
          <w:rFonts w:asciiTheme="minorHAnsi" w:eastAsiaTheme="minorEastAsia" w:hAnsiTheme="minorHAnsi" w:cstheme="minorBidi"/>
          <w:noProof/>
          <w:szCs w:val="22"/>
          <w:lang w:eastAsia="en-US"/>
        </w:rPr>
        <w:drawing>
          <wp:inline distT="0" distB="0" distL="0" distR="0" wp14:anchorId="064C8C59" wp14:editId="41B0F71E">
            <wp:extent cx="5514975" cy="6210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4975" cy="6210300"/>
                    </a:xfrm>
                    <a:prstGeom prst="rect">
                      <a:avLst/>
                    </a:prstGeom>
                    <a:noFill/>
                    <a:ln>
                      <a:noFill/>
                    </a:ln>
                  </pic:spPr>
                </pic:pic>
              </a:graphicData>
            </a:graphic>
          </wp:inline>
        </w:drawing>
      </w:r>
    </w:p>
    <w:p w:rsidR="00942BD7" w:rsidRDefault="00942BD7" w:rsidP="00203CC7"/>
    <w:p w:rsidR="00942BD7" w:rsidRDefault="00942BD7" w:rsidP="00203CC7"/>
    <w:p w:rsidR="00F96450" w:rsidRDefault="00F96450" w:rsidP="00203CC7">
      <w:pPr>
        <w:sectPr w:rsidR="00F96450" w:rsidSect="006D4319">
          <w:endnotePr>
            <w:numFmt w:val="decimal"/>
          </w:endnotePr>
          <w:pgSz w:w="11907" w:h="16840" w:code="9"/>
          <w:pgMar w:top="567" w:right="1134" w:bottom="851" w:left="1418" w:header="510" w:footer="1021" w:gutter="0"/>
          <w:cols w:space="720"/>
          <w:titlePg/>
          <w:docGrid w:linePitch="299"/>
        </w:sectPr>
      </w:pPr>
    </w:p>
    <w:p w:rsidR="009F1B0F" w:rsidRDefault="00F96450" w:rsidP="00203CC7">
      <w:r>
        <w:lastRenderedPageBreak/>
        <w:t>Annex II</w:t>
      </w:r>
    </w:p>
    <w:p w:rsidR="00F96450" w:rsidRDefault="00F96450" w:rsidP="00203CC7"/>
    <w:p w:rsidR="00942BD7" w:rsidRDefault="00F96450" w:rsidP="00203CC7">
      <w:r w:rsidRPr="00F96450">
        <w:rPr>
          <w:noProof/>
          <w:lang w:eastAsia="en-US"/>
        </w:rPr>
        <w:drawing>
          <wp:inline distT="0" distB="0" distL="0" distR="0" wp14:anchorId="3D0509FF" wp14:editId="055D5C26">
            <wp:extent cx="9792970" cy="2274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92970" cy="2274456"/>
                    </a:xfrm>
                    <a:prstGeom prst="rect">
                      <a:avLst/>
                    </a:prstGeom>
                    <a:noFill/>
                    <a:ln>
                      <a:noFill/>
                    </a:ln>
                  </pic:spPr>
                </pic:pic>
              </a:graphicData>
            </a:graphic>
          </wp:inline>
        </w:drawing>
      </w:r>
    </w:p>
    <w:p w:rsidR="00942BD7" w:rsidRDefault="00942BD7" w:rsidP="00203CC7"/>
    <w:p w:rsidR="00F96450" w:rsidRDefault="00F96450" w:rsidP="00203CC7">
      <w:pPr>
        <w:ind w:left="5670" w:firstLine="567"/>
      </w:pPr>
    </w:p>
    <w:p w:rsidR="00F96450" w:rsidRDefault="00F96450" w:rsidP="00203CC7">
      <w:pPr>
        <w:ind w:left="5670" w:firstLine="567"/>
      </w:pPr>
    </w:p>
    <w:p w:rsidR="00F96450" w:rsidRDefault="00F96450" w:rsidP="00203CC7">
      <w:pPr>
        <w:ind w:left="5670" w:firstLine="567"/>
      </w:pPr>
    </w:p>
    <w:p w:rsidR="002928D3" w:rsidRPr="00924A44" w:rsidRDefault="00387002" w:rsidP="00203CC7">
      <w:pPr>
        <w:pStyle w:val="Endofdocument-Annex"/>
        <w:ind w:left="11204" w:firstLine="136"/>
      </w:pPr>
      <w:r w:rsidRPr="00671B9C">
        <w:t>[End of document]</w:t>
      </w:r>
    </w:p>
    <w:sectPr w:rsidR="002928D3" w:rsidRPr="00924A44" w:rsidSect="00F96450">
      <w:headerReference w:type="first" r:id="rId33"/>
      <w:endnotePr>
        <w:numFmt w:val="decimal"/>
      </w:endnotePr>
      <w:pgSz w:w="16840" w:h="11907" w:orient="landscape" w:code="9"/>
      <w:pgMar w:top="1418" w:right="567" w:bottom="1134" w:left="85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B2B" w:rsidRDefault="006D5B2B">
      <w:r>
        <w:separator/>
      </w:r>
    </w:p>
  </w:endnote>
  <w:endnote w:type="continuationSeparator" w:id="0">
    <w:p w:rsidR="006D5B2B" w:rsidRDefault="006D5B2B" w:rsidP="003B38C1">
      <w:r>
        <w:separator/>
      </w:r>
    </w:p>
    <w:p w:rsidR="006D5B2B" w:rsidRPr="003B38C1" w:rsidRDefault="006D5B2B" w:rsidP="003B38C1">
      <w:pPr>
        <w:spacing w:after="60"/>
        <w:rPr>
          <w:sz w:val="17"/>
        </w:rPr>
      </w:pPr>
      <w:r>
        <w:rPr>
          <w:sz w:val="17"/>
        </w:rPr>
        <w:t>[Endnote continued from previous page]</w:t>
      </w:r>
    </w:p>
  </w:endnote>
  <w:endnote w:type="continuationNotice" w:id="1">
    <w:p w:rsidR="006D5B2B" w:rsidRPr="003B38C1" w:rsidRDefault="006D5B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B2B" w:rsidRDefault="006D5B2B">
      <w:r>
        <w:separator/>
      </w:r>
    </w:p>
  </w:footnote>
  <w:footnote w:type="continuationSeparator" w:id="0">
    <w:p w:rsidR="006D5B2B" w:rsidRDefault="006D5B2B" w:rsidP="008B60B2">
      <w:r>
        <w:separator/>
      </w:r>
    </w:p>
    <w:p w:rsidR="006D5B2B" w:rsidRPr="00ED77FB" w:rsidRDefault="006D5B2B" w:rsidP="008B60B2">
      <w:pPr>
        <w:spacing w:after="60"/>
        <w:rPr>
          <w:sz w:val="17"/>
          <w:szCs w:val="17"/>
        </w:rPr>
      </w:pPr>
      <w:r w:rsidRPr="00ED77FB">
        <w:rPr>
          <w:sz w:val="17"/>
          <w:szCs w:val="17"/>
        </w:rPr>
        <w:t>[Footnote continued from previous page]</w:t>
      </w:r>
    </w:p>
  </w:footnote>
  <w:footnote w:type="continuationNotice" w:id="1">
    <w:p w:rsidR="006D5B2B" w:rsidRPr="00ED77FB" w:rsidRDefault="006D5B2B" w:rsidP="008B60B2">
      <w:pPr>
        <w:spacing w:before="60"/>
        <w:jc w:val="right"/>
        <w:rPr>
          <w:sz w:val="17"/>
          <w:szCs w:val="17"/>
        </w:rPr>
      </w:pPr>
      <w:r w:rsidRPr="00ED77FB">
        <w:rPr>
          <w:sz w:val="17"/>
          <w:szCs w:val="17"/>
        </w:rPr>
        <w:t>[Footnote continued on next page]</w:t>
      </w:r>
    </w:p>
  </w:footnote>
  <w:footnote w:id="2">
    <w:p w:rsidR="00B42D7F" w:rsidRPr="005E2810" w:rsidRDefault="00B42D7F" w:rsidP="00484241">
      <w:pPr>
        <w:pStyle w:val="FootnoteText"/>
      </w:pPr>
      <w:r>
        <w:rPr>
          <w:rStyle w:val="FootnoteReference"/>
        </w:rPr>
        <w:footnoteRef/>
      </w:r>
      <w:r>
        <w:t xml:space="preserve"> </w:t>
      </w:r>
      <w:r>
        <w:tab/>
        <w:t>The exact amounts also include reduced page fees, which vary according to the individual application – a calculation would require a significant investment in time and would not noticeably affect the distribution of the reductions.</w:t>
      </w:r>
    </w:p>
  </w:footnote>
  <w:footnote w:id="3">
    <w:p w:rsidR="00B42D7F" w:rsidRPr="005B4444" w:rsidRDefault="00B42D7F" w:rsidP="00484241">
      <w:pPr>
        <w:pStyle w:val="FootnoteText"/>
      </w:pPr>
      <w:r>
        <w:rPr>
          <w:rStyle w:val="FootnoteReference"/>
        </w:rPr>
        <w:footnoteRef/>
      </w:r>
      <w:r>
        <w:t xml:space="preserve"> </w:t>
      </w:r>
      <w:r>
        <w:tab/>
        <w:t xml:space="preserve">For the text of the PCT Regulations, including the PCT Schedule of Fees, as in force until June 30, 2015, see here:  </w:t>
      </w:r>
      <w:hyperlink r:id="rId1" w:history="1">
        <w:r w:rsidRPr="00541AB9">
          <w:rPr>
            <w:rStyle w:val="Hyperlink"/>
          </w:rPr>
          <w:t>http://www.wipo.int/export/sites/www/pct/en/texts/pdf/pct_regs2014.pdf</w:t>
        </w:r>
      </w:hyperlink>
      <w:r>
        <w:t xml:space="preserve">;  for a list of countries eligible for PCT fee reductions under the PCT Schedule of Fees as in force until June 30, 2015, see here:  </w:t>
      </w:r>
      <w:hyperlink r:id="rId2" w:history="1">
        <w:r w:rsidRPr="00541AB9">
          <w:rPr>
            <w:rStyle w:val="Hyperlink"/>
          </w:rPr>
          <w:t>http://www.wipo.int/export/sites/www/pct/en/fees/fee_reduction_pre_july.pdf</w:t>
        </w:r>
      </w:hyperlink>
      <w:r>
        <w:t>.</w:t>
      </w:r>
    </w:p>
  </w:footnote>
  <w:footnote w:id="4">
    <w:p w:rsidR="00B42D7F" w:rsidRPr="005B4444" w:rsidRDefault="00B42D7F" w:rsidP="00484241">
      <w:pPr>
        <w:pStyle w:val="FootnoteText"/>
      </w:pPr>
      <w:r>
        <w:rPr>
          <w:rStyle w:val="FootnoteReference"/>
        </w:rPr>
        <w:footnoteRef/>
      </w:r>
      <w:r>
        <w:t xml:space="preserve"> </w:t>
      </w:r>
      <w:r>
        <w:tab/>
        <w:t xml:space="preserve">For the text of the PCT Regulations, including the PCT Schedule of Fees, as in force as of July 1, 2015, see here:  </w:t>
      </w:r>
      <w:hyperlink r:id="rId3" w:history="1">
        <w:r w:rsidRPr="00541AB9">
          <w:rPr>
            <w:rStyle w:val="Hyperlink"/>
          </w:rPr>
          <w:t>http://www.wipo.int/export/sites/www/pct/en/texts/pdf/pct_regs.pdf</w:t>
        </w:r>
      </w:hyperlink>
      <w:r>
        <w:t xml:space="preserve">;   for a list of countries eligible for PCT fee reductions under the PCT Schedule of Fees as in force as of July 1, 2015, see here:  </w:t>
      </w:r>
      <w:hyperlink r:id="rId4" w:history="1">
        <w:r w:rsidRPr="00541AB9">
          <w:rPr>
            <w:rStyle w:val="Hyperlink"/>
          </w:rPr>
          <w:t>http://www.wipo.int/export/sites/www/pct/en/fees/fee_reduction_july.pdf</w:t>
        </w:r>
      </w:hyperlink>
      <w:r>
        <w:t>.</w:t>
      </w:r>
    </w:p>
  </w:footnote>
  <w:footnote w:id="5">
    <w:p w:rsidR="00B42D7F" w:rsidRPr="005B4444" w:rsidRDefault="00B42D7F" w:rsidP="00484241">
      <w:pPr>
        <w:pStyle w:val="FootnoteText"/>
      </w:pPr>
      <w:r>
        <w:rPr>
          <w:rStyle w:val="FootnoteReference"/>
        </w:rPr>
        <w:footnoteRef/>
      </w:r>
      <w:r>
        <w:t xml:space="preserve"> </w:t>
      </w:r>
      <w:r>
        <w:tab/>
      </w:r>
      <w:proofErr w:type="gramStart"/>
      <w:r>
        <w:t>Singapore and the United Arab Emirates.</w:t>
      </w:r>
      <w:proofErr w:type="gramEnd"/>
    </w:p>
  </w:footnote>
  <w:footnote w:id="6">
    <w:p w:rsidR="00B42D7F" w:rsidRPr="00FB4098" w:rsidRDefault="00B42D7F" w:rsidP="00484241">
      <w:pPr>
        <w:pStyle w:val="FootnoteText"/>
      </w:pPr>
      <w:r>
        <w:rPr>
          <w:rStyle w:val="FootnoteReference"/>
        </w:rPr>
        <w:footnoteRef/>
      </w:r>
      <w:r>
        <w:t xml:space="preserve"> </w:t>
      </w:r>
      <w:r>
        <w:tab/>
      </w:r>
      <w:proofErr w:type="gramStart"/>
      <w:r>
        <w:t>Bahamas, Cyprus, Greece, Malta, Nauru, Palau, Portugal, Saudi Arabia, Slovenia and Suriname.</w:t>
      </w:r>
      <w:proofErr w:type="gramEnd"/>
    </w:p>
  </w:footnote>
  <w:footnote w:id="7">
    <w:p w:rsidR="00B42D7F" w:rsidRPr="00CD09E4" w:rsidRDefault="00B42D7F">
      <w:pPr>
        <w:pStyle w:val="FootnoteText"/>
      </w:pPr>
      <w:r>
        <w:rPr>
          <w:rStyle w:val="FootnoteReference"/>
        </w:rPr>
        <w:footnoteRef/>
      </w:r>
      <w:r>
        <w:t xml:space="preserve"> </w:t>
      </w:r>
      <w:r w:rsidRPr="00CD09E4">
        <w:t xml:space="preserve">For the purposes of the </w:t>
      </w:r>
      <w:r>
        <w:t xml:space="preserve">visualization of the split of the Madrid and Lisbon systems, Expected Results II.6 and II.7 have remained merged. These could be split into separate results for each System should the Member States so decide.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D7F" w:rsidRDefault="00B42D7F" w:rsidP="00477D6B">
    <w:pPr>
      <w:jc w:val="right"/>
    </w:pPr>
    <w:r>
      <w:t xml:space="preserve">Q &amp; A PBC 24, page </w:t>
    </w:r>
    <w:r>
      <w:fldChar w:fldCharType="begin"/>
    </w:r>
    <w:r>
      <w:instrText xml:space="preserve"> PAGE  \* MERGEFORMAT </w:instrText>
    </w:r>
    <w:r>
      <w:fldChar w:fldCharType="separate"/>
    </w:r>
    <w:r w:rsidR="00170164">
      <w:rPr>
        <w:noProof/>
      </w:rPr>
      <w:t>38</w:t>
    </w:r>
    <w:r>
      <w:fldChar w:fldCharType="end"/>
    </w:r>
  </w:p>
  <w:p w:rsidR="00B42D7F" w:rsidRDefault="00B42D7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D7F" w:rsidRDefault="00B42D7F" w:rsidP="00C850AA">
    <w:pPr>
      <w:pStyle w:val="Header"/>
      <w:jc w:val="right"/>
    </w:pPr>
    <w:r>
      <w:t xml:space="preserve">Q &amp; A PBC 24, page </w:t>
    </w:r>
    <w:r>
      <w:fldChar w:fldCharType="begin"/>
    </w:r>
    <w:r>
      <w:instrText xml:space="preserve"> PAGE  \* MERGEFORMAT </w:instrText>
    </w:r>
    <w:r>
      <w:fldChar w:fldCharType="separate"/>
    </w:r>
    <w:r w:rsidR="00170164">
      <w:rPr>
        <w:noProof/>
      </w:rPr>
      <w:t>39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CBA"/>
    <w:multiLevelType w:val="hybridMultilevel"/>
    <w:tmpl w:val="1336829A"/>
    <w:lvl w:ilvl="0" w:tplc="E52A0382">
      <w:numFmt w:val="bullet"/>
      <w:lvlText w:val=""/>
      <w:lvlJc w:val="left"/>
      <w:pPr>
        <w:ind w:left="1080" w:hanging="360"/>
      </w:pPr>
      <w:rPr>
        <w:rFonts w:ascii="Symbol" w:eastAsia="Cambria"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7D50B0"/>
    <w:multiLevelType w:val="multilevel"/>
    <w:tmpl w:val="5CF0B9E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4">
    <w:nsid w:val="130B3ABE"/>
    <w:multiLevelType w:val="hybridMultilevel"/>
    <w:tmpl w:val="8B1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742D0B"/>
    <w:multiLevelType w:val="hybridMultilevel"/>
    <w:tmpl w:val="74A2EC14"/>
    <w:lvl w:ilvl="0" w:tplc="88443A00">
      <w:start w:val="1"/>
      <w:numFmt w:val="decimal"/>
      <w:lvlText w:val="6.%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621B0"/>
    <w:multiLevelType w:val="hybridMultilevel"/>
    <w:tmpl w:val="CD80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10BAF"/>
    <w:multiLevelType w:val="multilevel"/>
    <w:tmpl w:val="D2B6132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9">
    <w:nsid w:val="38815A8E"/>
    <w:multiLevelType w:val="hybridMultilevel"/>
    <w:tmpl w:val="617E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46B9D"/>
    <w:multiLevelType w:val="hybridMultilevel"/>
    <w:tmpl w:val="2188E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7D4F76"/>
    <w:multiLevelType w:val="hybridMultilevel"/>
    <w:tmpl w:val="57B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45F30"/>
    <w:multiLevelType w:val="hybridMultilevel"/>
    <w:tmpl w:val="0224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34377"/>
    <w:multiLevelType w:val="hybridMultilevel"/>
    <w:tmpl w:val="E090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86CE0"/>
    <w:multiLevelType w:val="hybridMultilevel"/>
    <w:tmpl w:val="4024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A97904"/>
    <w:multiLevelType w:val="multilevel"/>
    <w:tmpl w:val="C95431F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7">
    <w:nsid w:val="56A0774D"/>
    <w:multiLevelType w:val="multilevel"/>
    <w:tmpl w:val="20049B9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8">
    <w:nsid w:val="58550052"/>
    <w:multiLevelType w:val="hybridMultilevel"/>
    <w:tmpl w:val="A726071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917E7"/>
    <w:multiLevelType w:val="hybridMultilevel"/>
    <w:tmpl w:val="83FA8D64"/>
    <w:lvl w:ilvl="0" w:tplc="03286C3A">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C7217"/>
    <w:multiLevelType w:val="hybridMultilevel"/>
    <w:tmpl w:val="3B50C662"/>
    <w:lvl w:ilvl="0" w:tplc="B156B91C">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923F2B"/>
    <w:multiLevelType w:val="hybridMultilevel"/>
    <w:tmpl w:val="4046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3">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9E6E54"/>
    <w:multiLevelType w:val="hybridMultilevel"/>
    <w:tmpl w:val="C03C7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334BB"/>
    <w:multiLevelType w:val="hybridMultilevel"/>
    <w:tmpl w:val="565C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DE7953"/>
    <w:multiLevelType w:val="hybridMultilevel"/>
    <w:tmpl w:val="C3C4C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B23513B"/>
    <w:multiLevelType w:val="multilevel"/>
    <w:tmpl w:val="FD1CC65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8">
    <w:nsid w:val="7C5B0B61"/>
    <w:multiLevelType w:val="hybridMultilevel"/>
    <w:tmpl w:val="7B9A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E7524"/>
    <w:multiLevelType w:val="hybridMultilevel"/>
    <w:tmpl w:val="EB3E727E"/>
    <w:lvl w:ilvl="0" w:tplc="B156B91C">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7EA8391A"/>
    <w:multiLevelType w:val="hybridMultilevel"/>
    <w:tmpl w:val="B2A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16"/>
  </w:num>
  <w:num w:numId="5">
    <w:abstractNumId w:val="27"/>
  </w:num>
  <w:num w:numId="6">
    <w:abstractNumId w:val="17"/>
  </w:num>
  <w:num w:numId="7">
    <w:abstractNumId w:val="3"/>
  </w:num>
  <w:num w:numId="8">
    <w:abstractNumId w:val="8"/>
  </w:num>
  <w:num w:numId="9">
    <w:abstractNumId w:val="1"/>
  </w:num>
  <w:num w:numId="10">
    <w:abstractNumId w:val="14"/>
  </w:num>
  <w:num w:numId="11">
    <w:abstractNumId w:val="22"/>
  </w:num>
  <w:num w:numId="12">
    <w:abstractNumId w:val="18"/>
  </w:num>
  <w:num w:numId="13">
    <w:abstractNumId w:val="29"/>
  </w:num>
  <w:num w:numId="14">
    <w:abstractNumId w:val="23"/>
  </w:num>
  <w:num w:numId="15">
    <w:abstractNumId w:val="19"/>
  </w:num>
  <w:num w:numId="16">
    <w:abstractNumId w:val="0"/>
  </w:num>
  <w:num w:numId="17">
    <w:abstractNumId w:val="28"/>
  </w:num>
  <w:num w:numId="18">
    <w:abstractNumId w:val="30"/>
  </w:num>
  <w:num w:numId="19">
    <w:abstractNumId w:val="7"/>
  </w:num>
  <w:num w:numId="20">
    <w:abstractNumId w:val="10"/>
  </w:num>
  <w:num w:numId="21">
    <w:abstractNumId w:val="12"/>
  </w:num>
  <w:num w:numId="22">
    <w:abstractNumId w:val="4"/>
  </w:num>
  <w:num w:numId="23">
    <w:abstractNumId w:val="21"/>
  </w:num>
  <w:num w:numId="24">
    <w:abstractNumId w:val="25"/>
  </w:num>
  <w:num w:numId="25">
    <w:abstractNumId w:val="13"/>
  </w:num>
  <w:num w:numId="26">
    <w:abstractNumId w:val="26"/>
  </w:num>
  <w:num w:numId="27">
    <w:abstractNumId w:val="6"/>
  </w:num>
  <w:num w:numId="28">
    <w:abstractNumId w:val="20"/>
  </w:num>
  <w:num w:numId="29">
    <w:abstractNumId w:val="11"/>
  </w:num>
  <w:num w:numId="30">
    <w:abstractNumId w:val="24"/>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879"/>
    <w:rsid w:val="00004246"/>
    <w:rsid w:val="000220E2"/>
    <w:rsid w:val="00022153"/>
    <w:rsid w:val="00022AD7"/>
    <w:rsid w:val="000304BA"/>
    <w:rsid w:val="000379BB"/>
    <w:rsid w:val="00040896"/>
    <w:rsid w:val="00043CAA"/>
    <w:rsid w:val="00047329"/>
    <w:rsid w:val="00052663"/>
    <w:rsid w:val="000541CF"/>
    <w:rsid w:val="00054A88"/>
    <w:rsid w:val="0005568A"/>
    <w:rsid w:val="00055E68"/>
    <w:rsid w:val="00057080"/>
    <w:rsid w:val="000620CD"/>
    <w:rsid w:val="0006226F"/>
    <w:rsid w:val="000650F0"/>
    <w:rsid w:val="00067090"/>
    <w:rsid w:val="000748AD"/>
    <w:rsid w:val="00075432"/>
    <w:rsid w:val="0007784C"/>
    <w:rsid w:val="00084D59"/>
    <w:rsid w:val="00091989"/>
    <w:rsid w:val="000968ED"/>
    <w:rsid w:val="000A59AA"/>
    <w:rsid w:val="000B09C2"/>
    <w:rsid w:val="000B120F"/>
    <w:rsid w:val="000B248A"/>
    <w:rsid w:val="000B384F"/>
    <w:rsid w:val="000C008F"/>
    <w:rsid w:val="000C0DE3"/>
    <w:rsid w:val="000C32DE"/>
    <w:rsid w:val="000C603D"/>
    <w:rsid w:val="000C7608"/>
    <w:rsid w:val="000C7A32"/>
    <w:rsid w:val="000C7EF6"/>
    <w:rsid w:val="000D1B6E"/>
    <w:rsid w:val="000D6BCA"/>
    <w:rsid w:val="000E09CD"/>
    <w:rsid w:val="000E34CB"/>
    <w:rsid w:val="000F24B5"/>
    <w:rsid w:val="000F3EFA"/>
    <w:rsid w:val="000F5E56"/>
    <w:rsid w:val="00103D4C"/>
    <w:rsid w:val="00104897"/>
    <w:rsid w:val="001256A6"/>
    <w:rsid w:val="0012759D"/>
    <w:rsid w:val="00134861"/>
    <w:rsid w:val="001362EE"/>
    <w:rsid w:val="00142448"/>
    <w:rsid w:val="00142B34"/>
    <w:rsid w:val="00142EFB"/>
    <w:rsid w:val="00162FA1"/>
    <w:rsid w:val="00170164"/>
    <w:rsid w:val="00171248"/>
    <w:rsid w:val="001832A6"/>
    <w:rsid w:val="00184D9E"/>
    <w:rsid w:val="00193020"/>
    <w:rsid w:val="001947B9"/>
    <w:rsid w:val="001955B9"/>
    <w:rsid w:val="00195A27"/>
    <w:rsid w:val="001A1A76"/>
    <w:rsid w:val="001A1AC4"/>
    <w:rsid w:val="001A249D"/>
    <w:rsid w:val="001B5499"/>
    <w:rsid w:val="001B73A1"/>
    <w:rsid w:val="001C28DF"/>
    <w:rsid w:val="001D150C"/>
    <w:rsid w:val="001D17A9"/>
    <w:rsid w:val="001E0900"/>
    <w:rsid w:val="001E1A23"/>
    <w:rsid w:val="001E4B1B"/>
    <w:rsid w:val="001E5E88"/>
    <w:rsid w:val="001E6BA7"/>
    <w:rsid w:val="001F3B01"/>
    <w:rsid w:val="001F7B9D"/>
    <w:rsid w:val="00203CC7"/>
    <w:rsid w:val="002064BD"/>
    <w:rsid w:val="002164A2"/>
    <w:rsid w:val="00224A65"/>
    <w:rsid w:val="0023436F"/>
    <w:rsid w:val="00242503"/>
    <w:rsid w:val="00252519"/>
    <w:rsid w:val="00262366"/>
    <w:rsid w:val="00262828"/>
    <w:rsid w:val="002634C4"/>
    <w:rsid w:val="002746F1"/>
    <w:rsid w:val="0027640E"/>
    <w:rsid w:val="00281C69"/>
    <w:rsid w:val="00283E88"/>
    <w:rsid w:val="002928D3"/>
    <w:rsid w:val="00294DB3"/>
    <w:rsid w:val="002A336B"/>
    <w:rsid w:val="002A49A1"/>
    <w:rsid w:val="002A62DE"/>
    <w:rsid w:val="002B0E0A"/>
    <w:rsid w:val="002B62D4"/>
    <w:rsid w:val="002B7966"/>
    <w:rsid w:val="002B7BC1"/>
    <w:rsid w:val="002C06D4"/>
    <w:rsid w:val="002C1C2A"/>
    <w:rsid w:val="002C207D"/>
    <w:rsid w:val="002C24DD"/>
    <w:rsid w:val="002C315F"/>
    <w:rsid w:val="002D1BA7"/>
    <w:rsid w:val="002D25D1"/>
    <w:rsid w:val="002D2D61"/>
    <w:rsid w:val="002D5CC9"/>
    <w:rsid w:val="002E412D"/>
    <w:rsid w:val="002F00FA"/>
    <w:rsid w:val="002F1B75"/>
    <w:rsid w:val="002F1FE6"/>
    <w:rsid w:val="002F446C"/>
    <w:rsid w:val="002F4E68"/>
    <w:rsid w:val="002F7CDC"/>
    <w:rsid w:val="00310F88"/>
    <w:rsid w:val="003124F7"/>
    <w:rsid w:val="00312744"/>
    <w:rsid w:val="00312F7F"/>
    <w:rsid w:val="0031400A"/>
    <w:rsid w:val="00317B9F"/>
    <w:rsid w:val="00321757"/>
    <w:rsid w:val="003227DB"/>
    <w:rsid w:val="00322BCF"/>
    <w:rsid w:val="00325EE2"/>
    <w:rsid w:val="0032607A"/>
    <w:rsid w:val="003274D7"/>
    <w:rsid w:val="00332128"/>
    <w:rsid w:val="003350BF"/>
    <w:rsid w:val="00336409"/>
    <w:rsid w:val="00340166"/>
    <w:rsid w:val="003415FB"/>
    <w:rsid w:val="00341D75"/>
    <w:rsid w:val="003427A3"/>
    <w:rsid w:val="00343242"/>
    <w:rsid w:val="00353C3E"/>
    <w:rsid w:val="00361450"/>
    <w:rsid w:val="003659A9"/>
    <w:rsid w:val="003673CF"/>
    <w:rsid w:val="00373B6D"/>
    <w:rsid w:val="00375806"/>
    <w:rsid w:val="00380152"/>
    <w:rsid w:val="00383257"/>
    <w:rsid w:val="003845C1"/>
    <w:rsid w:val="00385111"/>
    <w:rsid w:val="003859E4"/>
    <w:rsid w:val="00387002"/>
    <w:rsid w:val="00395A96"/>
    <w:rsid w:val="00396F09"/>
    <w:rsid w:val="003A08E0"/>
    <w:rsid w:val="003A5261"/>
    <w:rsid w:val="003A6F89"/>
    <w:rsid w:val="003A778D"/>
    <w:rsid w:val="003B0AF5"/>
    <w:rsid w:val="003B3042"/>
    <w:rsid w:val="003B38C1"/>
    <w:rsid w:val="003B64BE"/>
    <w:rsid w:val="003B7D4E"/>
    <w:rsid w:val="003C282F"/>
    <w:rsid w:val="003C5C94"/>
    <w:rsid w:val="003D469B"/>
    <w:rsid w:val="003E550F"/>
    <w:rsid w:val="003E60CC"/>
    <w:rsid w:val="003E7A03"/>
    <w:rsid w:val="003F2BB6"/>
    <w:rsid w:val="00412138"/>
    <w:rsid w:val="00413B43"/>
    <w:rsid w:val="004147B2"/>
    <w:rsid w:val="00417ED8"/>
    <w:rsid w:val="00423E3E"/>
    <w:rsid w:val="00425EDE"/>
    <w:rsid w:val="0042613F"/>
    <w:rsid w:val="00427AF4"/>
    <w:rsid w:val="004329E3"/>
    <w:rsid w:val="0044045E"/>
    <w:rsid w:val="00443166"/>
    <w:rsid w:val="004446C6"/>
    <w:rsid w:val="004531CF"/>
    <w:rsid w:val="004537FF"/>
    <w:rsid w:val="00457783"/>
    <w:rsid w:val="004647DA"/>
    <w:rsid w:val="0046600E"/>
    <w:rsid w:val="00472E81"/>
    <w:rsid w:val="00473AFA"/>
    <w:rsid w:val="00474062"/>
    <w:rsid w:val="00477D6B"/>
    <w:rsid w:val="004808E5"/>
    <w:rsid w:val="00484228"/>
    <w:rsid w:val="00484241"/>
    <w:rsid w:val="004849FC"/>
    <w:rsid w:val="004A46A1"/>
    <w:rsid w:val="004A4EB1"/>
    <w:rsid w:val="004A5B01"/>
    <w:rsid w:val="004A638C"/>
    <w:rsid w:val="004A68E2"/>
    <w:rsid w:val="004A6AF4"/>
    <w:rsid w:val="004B6D81"/>
    <w:rsid w:val="004C197A"/>
    <w:rsid w:val="004D1C21"/>
    <w:rsid w:val="004D3FE4"/>
    <w:rsid w:val="004D4F8E"/>
    <w:rsid w:val="004D62C1"/>
    <w:rsid w:val="004F756C"/>
    <w:rsid w:val="005019FF"/>
    <w:rsid w:val="005108DD"/>
    <w:rsid w:val="005129DC"/>
    <w:rsid w:val="00512E65"/>
    <w:rsid w:val="00517C4B"/>
    <w:rsid w:val="00523716"/>
    <w:rsid w:val="0053057A"/>
    <w:rsid w:val="005330A6"/>
    <w:rsid w:val="005340D4"/>
    <w:rsid w:val="0053762B"/>
    <w:rsid w:val="00537E52"/>
    <w:rsid w:val="00537F8A"/>
    <w:rsid w:val="00540062"/>
    <w:rsid w:val="0054119F"/>
    <w:rsid w:val="00541486"/>
    <w:rsid w:val="0055033D"/>
    <w:rsid w:val="00551E3F"/>
    <w:rsid w:val="0055358C"/>
    <w:rsid w:val="00560A29"/>
    <w:rsid w:val="00562BE3"/>
    <w:rsid w:val="00562E3F"/>
    <w:rsid w:val="0056325C"/>
    <w:rsid w:val="00563E03"/>
    <w:rsid w:val="00564CF7"/>
    <w:rsid w:val="0057790C"/>
    <w:rsid w:val="00580EB3"/>
    <w:rsid w:val="0058105B"/>
    <w:rsid w:val="00581CB3"/>
    <w:rsid w:val="00583676"/>
    <w:rsid w:val="00587DB5"/>
    <w:rsid w:val="00594185"/>
    <w:rsid w:val="00595B0F"/>
    <w:rsid w:val="005A32B9"/>
    <w:rsid w:val="005A4BF7"/>
    <w:rsid w:val="005A5191"/>
    <w:rsid w:val="005A63CC"/>
    <w:rsid w:val="005A7892"/>
    <w:rsid w:val="005A7E5B"/>
    <w:rsid w:val="005B1B43"/>
    <w:rsid w:val="005B362A"/>
    <w:rsid w:val="005C2DD4"/>
    <w:rsid w:val="005C3DBE"/>
    <w:rsid w:val="005C6649"/>
    <w:rsid w:val="005D10E6"/>
    <w:rsid w:val="005D5AFD"/>
    <w:rsid w:val="005E5A91"/>
    <w:rsid w:val="005F0E99"/>
    <w:rsid w:val="005F5015"/>
    <w:rsid w:val="006008FC"/>
    <w:rsid w:val="00601D50"/>
    <w:rsid w:val="006051B6"/>
    <w:rsid w:val="00605827"/>
    <w:rsid w:val="00614807"/>
    <w:rsid w:val="00615E9C"/>
    <w:rsid w:val="00617A3D"/>
    <w:rsid w:val="00622A29"/>
    <w:rsid w:val="00623CBB"/>
    <w:rsid w:val="006302ED"/>
    <w:rsid w:val="0063078E"/>
    <w:rsid w:val="0063488A"/>
    <w:rsid w:val="0063753F"/>
    <w:rsid w:val="0064442A"/>
    <w:rsid w:val="00646050"/>
    <w:rsid w:val="00661E93"/>
    <w:rsid w:val="00663E52"/>
    <w:rsid w:val="00664140"/>
    <w:rsid w:val="00664874"/>
    <w:rsid w:val="00665352"/>
    <w:rsid w:val="00670D4C"/>
    <w:rsid w:val="006713CA"/>
    <w:rsid w:val="00671B9C"/>
    <w:rsid w:val="006726AA"/>
    <w:rsid w:val="006731ED"/>
    <w:rsid w:val="00676C5C"/>
    <w:rsid w:val="00685B34"/>
    <w:rsid w:val="00687BF2"/>
    <w:rsid w:val="006A7C20"/>
    <w:rsid w:val="006B111F"/>
    <w:rsid w:val="006B1C8D"/>
    <w:rsid w:val="006B6DC0"/>
    <w:rsid w:val="006C37C3"/>
    <w:rsid w:val="006C382F"/>
    <w:rsid w:val="006C579E"/>
    <w:rsid w:val="006D3956"/>
    <w:rsid w:val="006D4319"/>
    <w:rsid w:val="006D56EF"/>
    <w:rsid w:val="006D5A8E"/>
    <w:rsid w:val="006D5B2B"/>
    <w:rsid w:val="006E2777"/>
    <w:rsid w:val="006E3B38"/>
    <w:rsid w:val="006F18ED"/>
    <w:rsid w:val="006F2C31"/>
    <w:rsid w:val="006F32DF"/>
    <w:rsid w:val="006F6DFD"/>
    <w:rsid w:val="007005F4"/>
    <w:rsid w:val="00701FDE"/>
    <w:rsid w:val="00704726"/>
    <w:rsid w:val="00707288"/>
    <w:rsid w:val="0070777A"/>
    <w:rsid w:val="00726653"/>
    <w:rsid w:val="00730F91"/>
    <w:rsid w:val="00732467"/>
    <w:rsid w:val="00734980"/>
    <w:rsid w:val="00745CE0"/>
    <w:rsid w:val="00750A03"/>
    <w:rsid w:val="0076128F"/>
    <w:rsid w:val="00767821"/>
    <w:rsid w:val="00770738"/>
    <w:rsid w:val="00771713"/>
    <w:rsid w:val="0077360E"/>
    <w:rsid w:val="007830A3"/>
    <w:rsid w:val="0078453E"/>
    <w:rsid w:val="00784C39"/>
    <w:rsid w:val="0078769A"/>
    <w:rsid w:val="00792C4C"/>
    <w:rsid w:val="00794F14"/>
    <w:rsid w:val="007A713D"/>
    <w:rsid w:val="007B6F22"/>
    <w:rsid w:val="007C34CC"/>
    <w:rsid w:val="007C6ACD"/>
    <w:rsid w:val="007D1613"/>
    <w:rsid w:val="007D3C8E"/>
    <w:rsid w:val="007D4A81"/>
    <w:rsid w:val="007D5422"/>
    <w:rsid w:val="007D5707"/>
    <w:rsid w:val="007D60EE"/>
    <w:rsid w:val="007D66E0"/>
    <w:rsid w:val="007E078A"/>
    <w:rsid w:val="007F094A"/>
    <w:rsid w:val="007F2DD9"/>
    <w:rsid w:val="007F5CA2"/>
    <w:rsid w:val="007F6219"/>
    <w:rsid w:val="007F6253"/>
    <w:rsid w:val="00804452"/>
    <w:rsid w:val="00804B0E"/>
    <w:rsid w:val="00807F00"/>
    <w:rsid w:val="008218A1"/>
    <w:rsid w:val="00823F2E"/>
    <w:rsid w:val="00825EF9"/>
    <w:rsid w:val="00842D00"/>
    <w:rsid w:val="008648BB"/>
    <w:rsid w:val="0087278A"/>
    <w:rsid w:val="00872AEC"/>
    <w:rsid w:val="0087324D"/>
    <w:rsid w:val="008740D7"/>
    <w:rsid w:val="00875762"/>
    <w:rsid w:val="00880739"/>
    <w:rsid w:val="00881DA2"/>
    <w:rsid w:val="008851C3"/>
    <w:rsid w:val="00895F0F"/>
    <w:rsid w:val="008B2CC1"/>
    <w:rsid w:val="008B60B2"/>
    <w:rsid w:val="008B65A6"/>
    <w:rsid w:val="008C05AF"/>
    <w:rsid w:val="008C26E8"/>
    <w:rsid w:val="008C48E7"/>
    <w:rsid w:val="008C6656"/>
    <w:rsid w:val="008D104C"/>
    <w:rsid w:val="008D1941"/>
    <w:rsid w:val="008E5F97"/>
    <w:rsid w:val="008E64D0"/>
    <w:rsid w:val="00900C33"/>
    <w:rsid w:val="0090731E"/>
    <w:rsid w:val="00910AD8"/>
    <w:rsid w:val="009119E8"/>
    <w:rsid w:val="0091669F"/>
    <w:rsid w:val="00916EE2"/>
    <w:rsid w:val="00924A44"/>
    <w:rsid w:val="00927F87"/>
    <w:rsid w:val="00935D75"/>
    <w:rsid w:val="00940056"/>
    <w:rsid w:val="00940E44"/>
    <w:rsid w:val="009417B0"/>
    <w:rsid w:val="00942BD7"/>
    <w:rsid w:val="00944AB2"/>
    <w:rsid w:val="00944ADD"/>
    <w:rsid w:val="00946A44"/>
    <w:rsid w:val="00953625"/>
    <w:rsid w:val="00955EF8"/>
    <w:rsid w:val="009571B1"/>
    <w:rsid w:val="009618A1"/>
    <w:rsid w:val="009638C9"/>
    <w:rsid w:val="00964F45"/>
    <w:rsid w:val="00966A22"/>
    <w:rsid w:val="0096722F"/>
    <w:rsid w:val="009722A2"/>
    <w:rsid w:val="00972DAB"/>
    <w:rsid w:val="00980843"/>
    <w:rsid w:val="00986B3E"/>
    <w:rsid w:val="00990086"/>
    <w:rsid w:val="009917E4"/>
    <w:rsid w:val="00995443"/>
    <w:rsid w:val="00995B14"/>
    <w:rsid w:val="009A0CE7"/>
    <w:rsid w:val="009A3CCE"/>
    <w:rsid w:val="009A6B1C"/>
    <w:rsid w:val="009A7AEB"/>
    <w:rsid w:val="009B239D"/>
    <w:rsid w:val="009B33AE"/>
    <w:rsid w:val="009B77F8"/>
    <w:rsid w:val="009C0D88"/>
    <w:rsid w:val="009C1BB5"/>
    <w:rsid w:val="009C1F6E"/>
    <w:rsid w:val="009C3F6D"/>
    <w:rsid w:val="009D1EEA"/>
    <w:rsid w:val="009D3805"/>
    <w:rsid w:val="009D519C"/>
    <w:rsid w:val="009D6C31"/>
    <w:rsid w:val="009E159C"/>
    <w:rsid w:val="009E17EE"/>
    <w:rsid w:val="009E2791"/>
    <w:rsid w:val="009E3F6F"/>
    <w:rsid w:val="009E4BAD"/>
    <w:rsid w:val="009E5092"/>
    <w:rsid w:val="009E6EFA"/>
    <w:rsid w:val="009F1B0F"/>
    <w:rsid w:val="009F2920"/>
    <w:rsid w:val="009F367B"/>
    <w:rsid w:val="009F499F"/>
    <w:rsid w:val="009F68F2"/>
    <w:rsid w:val="00A01088"/>
    <w:rsid w:val="00A037AD"/>
    <w:rsid w:val="00A0783F"/>
    <w:rsid w:val="00A114F3"/>
    <w:rsid w:val="00A12DA8"/>
    <w:rsid w:val="00A14C41"/>
    <w:rsid w:val="00A234C1"/>
    <w:rsid w:val="00A23598"/>
    <w:rsid w:val="00A248AC"/>
    <w:rsid w:val="00A24EBC"/>
    <w:rsid w:val="00A25333"/>
    <w:rsid w:val="00A25602"/>
    <w:rsid w:val="00A31012"/>
    <w:rsid w:val="00A32C91"/>
    <w:rsid w:val="00A42DA7"/>
    <w:rsid w:val="00A42DAF"/>
    <w:rsid w:val="00A45861"/>
    <w:rsid w:val="00A45BD8"/>
    <w:rsid w:val="00A505C9"/>
    <w:rsid w:val="00A50E43"/>
    <w:rsid w:val="00A6316D"/>
    <w:rsid w:val="00A6648F"/>
    <w:rsid w:val="00A735A1"/>
    <w:rsid w:val="00A74F4B"/>
    <w:rsid w:val="00A80220"/>
    <w:rsid w:val="00A862E6"/>
    <w:rsid w:val="00A869B7"/>
    <w:rsid w:val="00AA17C7"/>
    <w:rsid w:val="00AB5417"/>
    <w:rsid w:val="00AB617F"/>
    <w:rsid w:val="00AC205C"/>
    <w:rsid w:val="00AC4092"/>
    <w:rsid w:val="00AC5573"/>
    <w:rsid w:val="00AD02C5"/>
    <w:rsid w:val="00AD2C21"/>
    <w:rsid w:val="00AD6C90"/>
    <w:rsid w:val="00AE442F"/>
    <w:rsid w:val="00AE54E0"/>
    <w:rsid w:val="00AF0A6B"/>
    <w:rsid w:val="00AF24BA"/>
    <w:rsid w:val="00B00407"/>
    <w:rsid w:val="00B00FB7"/>
    <w:rsid w:val="00B05A69"/>
    <w:rsid w:val="00B073F0"/>
    <w:rsid w:val="00B12C8D"/>
    <w:rsid w:val="00B13162"/>
    <w:rsid w:val="00B16A7B"/>
    <w:rsid w:val="00B17531"/>
    <w:rsid w:val="00B26D1D"/>
    <w:rsid w:val="00B328D8"/>
    <w:rsid w:val="00B35447"/>
    <w:rsid w:val="00B42824"/>
    <w:rsid w:val="00B42D7F"/>
    <w:rsid w:val="00B44F88"/>
    <w:rsid w:val="00B57EA9"/>
    <w:rsid w:val="00B64903"/>
    <w:rsid w:val="00B64E40"/>
    <w:rsid w:val="00B744C6"/>
    <w:rsid w:val="00B91D1A"/>
    <w:rsid w:val="00B91FBD"/>
    <w:rsid w:val="00B93349"/>
    <w:rsid w:val="00B96FF0"/>
    <w:rsid w:val="00B9734B"/>
    <w:rsid w:val="00BA06A5"/>
    <w:rsid w:val="00BA3CEE"/>
    <w:rsid w:val="00BA4FC3"/>
    <w:rsid w:val="00BA519A"/>
    <w:rsid w:val="00BA65FA"/>
    <w:rsid w:val="00BB0F4A"/>
    <w:rsid w:val="00BB10D4"/>
    <w:rsid w:val="00BB6204"/>
    <w:rsid w:val="00BC1537"/>
    <w:rsid w:val="00BD27F9"/>
    <w:rsid w:val="00BD48B1"/>
    <w:rsid w:val="00BD733E"/>
    <w:rsid w:val="00BE089C"/>
    <w:rsid w:val="00BE08F2"/>
    <w:rsid w:val="00BE235E"/>
    <w:rsid w:val="00BE33E4"/>
    <w:rsid w:val="00BE485F"/>
    <w:rsid w:val="00BF3089"/>
    <w:rsid w:val="00BF660C"/>
    <w:rsid w:val="00BF7473"/>
    <w:rsid w:val="00C00B35"/>
    <w:rsid w:val="00C05091"/>
    <w:rsid w:val="00C11BFE"/>
    <w:rsid w:val="00C1628D"/>
    <w:rsid w:val="00C20086"/>
    <w:rsid w:val="00C23A4B"/>
    <w:rsid w:val="00C25DAA"/>
    <w:rsid w:val="00C26374"/>
    <w:rsid w:val="00C27CF6"/>
    <w:rsid w:val="00C30BD7"/>
    <w:rsid w:val="00C4214C"/>
    <w:rsid w:val="00C43C47"/>
    <w:rsid w:val="00C5173E"/>
    <w:rsid w:val="00C66F92"/>
    <w:rsid w:val="00C730A2"/>
    <w:rsid w:val="00C739E9"/>
    <w:rsid w:val="00C8135C"/>
    <w:rsid w:val="00C826CB"/>
    <w:rsid w:val="00C850AA"/>
    <w:rsid w:val="00C8680A"/>
    <w:rsid w:val="00C90772"/>
    <w:rsid w:val="00C92C28"/>
    <w:rsid w:val="00CA18C1"/>
    <w:rsid w:val="00CA2EFA"/>
    <w:rsid w:val="00CA3786"/>
    <w:rsid w:val="00CA3EBB"/>
    <w:rsid w:val="00CA68B8"/>
    <w:rsid w:val="00CA69B2"/>
    <w:rsid w:val="00CB0F2F"/>
    <w:rsid w:val="00CB0F8B"/>
    <w:rsid w:val="00CB17C0"/>
    <w:rsid w:val="00CB1A64"/>
    <w:rsid w:val="00CB3F6F"/>
    <w:rsid w:val="00CB62E3"/>
    <w:rsid w:val="00CC10BF"/>
    <w:rsid w:val="00CD09E4"/>
    <w:rsid w:val="00CD11C1"/>
    <w:rsid w:val="00CE4CDA"/>
    <w:rsid w:val="00CE5C61"/>
    <w:rsid w:val="00CF535E"/>
    <w:rsid w:val="00CF5811"/>
    <w:rsid w:val="00D03ACF"/>
    <w:rsid w:val="00D16D15"/>
    <w:rsid w:val="00D261A0"/>
    <w:rsid w:val="00D27C18"/>
    <w:rsid w:val="00D40280"/>
    <w:rsid w:val="00D40F7D"/>
    <w:rsid w:val="00D45252"/>
    <w:rsid w:val="00D45E73"/>
    <w:rsid w:val="00D54554"/>
    <w:rsid w:val="00D5739D"/>
    <w:rsid w:val="00D61BC8"/>
    <w:rsid w:val="00D62B83"/>
    <w:rsid w:val="00D62C81"/>
    <w:rsid w:val="00D71085"/>
    <w:rsid w:val="00D71B4D"/>
    <w:rsid w:val="00D93934"/>
    <w:rsid w:val="00D93D55"/>
    <w:rsid w:val="00DA1535"/>
    <w:rsid w:val="00DA5419"/>
    <w:rsid w:val="00DA5A70"/>
    <w:rsid w:val="00DB57E1"/>
    <w:rsid w:val="00DC0893"/>
    <w:rsid w:val="00DC4D2D"/>
    <w:rsid w:val="00DC696F"/>
    <w:rsid w:val="00DC6D8C"/>
    <w:rsid w:val="00DE2E94"/>
    <w:rsid w:val="00DE3D1D"/>
    <w:rsid w:val="00DF1AD1"/>
    <w:rsid w:val="00E00F39"/>
    <w:rsid w:val="00E01C28"/>
    <w:rsid w:val="00E053F8"/>
    <w:rsid w:val="00E12740"/>
    <w:rsid w:val="00E134E9"/>
    <w:rsid w:val="00E15A7A"/>
    <w:rsid w:val="00E21950"/>
    <w:rsid w:val="00E2313D"/>
    <w:rsid w:val="00E3161B"/>
    <w:rsid w:val="00E31DF0"/>
    <w:rsid w:val="00E32E62"/>
    <w:rsid w:val="00E335FE"/>
    <w:rsid w:val="00E34C1F"/>
    <w:rsid w:val="00E35715"/>
    <w:rsid w:val="00E408CC"/>
    <w:rsid w:val="00E43467"/>
    <w:rsid w:val="00E44357"/>
    <w:rsid w:val="00E45784"/>
    <w:rsid w:val="00E50680"/>
    <w:rsid w:val="00E51116"/>
    <w:rsid w:val="00E54C63"/>
    <w:rsid w:val="00E6111F"/>
    <w:rsid w:val="00E61E4C"/>
    <w:rsid w:val="00E649D6"/>
    <w:rsid w:val="00E70D65"/>
    <w:rsid w:val="00E71884"/>
    <w:rsid w:val="00E81D57"/>
    <w:rsid w:val="00E85684"/>
    <w:rsid w:val="00E9082F"/>
    <w:rsid w:val="00E92CC5"/>
    <w:rsid w:val="00E960E9"/>
    <w:rsid w:val="00EA1FC4"/>
    <w:rsid w:val="00EC26E1"/>
    <w:rsid w:val="00EC4E49"/>
    <w:rsid w:val="00ED1D91"/>
    <w:rsid w:val="00ED4681"/>
    <w:rsid w:val="00ED52AC"/>
    <w:rsid w:val="00ED71C1"/>
    <w:rsid w:val="00ED77FB"/>
    <w:rsid w:val="00ED7C5F"/>
    <w:rsid w:val="00EE06A9"/>
    <w:rsid w:val="00EE33AE"/>
    <w:rsid w:val="00EE45FA"/>
    <w:rsid w:val="00EF5BFC"/>
    <w:rsid w:val="00EF7781"/>
    <w:rsid w:val="00EF77EB"/>
    <w:rsid w:val="00F00CFC"/>
    <w:rsid w:val="00F03404"/>
    <w:rsid w:val="00F03ABB"/>
    <w:rsid w:val="00F04A9A"/>
    <w:rsid w:val="00F060FE"/>
    <w:rsid w:val="00F069C0"/>
    <w:rsid w:val="00F12E97"/>
    <w:rsid w:val="00F15AEB"/>
    <w:rsid w:val="00F16EC7"/>
    <w:rsid w:val="00F2007B"/>
    <w:rsid w:val="00F20EEF"/>
    <w:rsid w:val="00F22792"/>
    <w:rsid w:val="00F23B7F"/>
    <w:rsid w:val="00F24AE3"/>
    <w:rsid w:val="00F30990"/>
    <w:rsid w:val="00F364D6"/>
    <w:rsid w:val="00F36B27"/>
    <w:rsid w:val="00F4009A"/>
    <w:rsid w:val="00F426ED"/>
    <w:rsid w:val="00F56DC5"/>
    <w:rsid w:val="00F63E0D"/>
    <w:rsid w:val="00F66152"/>
    <w:rsid w:val="00F70614"/>
    <w:rsid w:val="00F71EBD"/>
    <w:rsid w:val="00F912B7"/>
    <w:rsid w:val="00F94290"/>
    <w:rsid w:val="00F96450"/>
    <w:rsid w:val="00F9687D"/>
    <w:rsid w:val="00FA3578"/>
    <w:rsid w:val="00FB354D"/>
    <w:rsid w:val="00FC3ECE"/>
    <w:rsid w:val="00FC66EA"/>
    <w:rsid w:val="00FD0439"/>
    <w:rsid w:val="00FD2029"/>
    <w:rsid w:val="00FD27E7"/>
    <w:rsid w:val="00FD30CF"/>
    <w:rsid w:val="00FD64B8"/>
    <w:rsid w:val="00FD6D7A"/>
    <w:rsid w:val="00FE0F43"/>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semiHidden/>
    <w:locked/>
    <w:rsid w:val="00C25DAA"/>
    <w:rPr>
      <w:rFonts w:ascii="Arial" w:eastAsia="SimSun" w:hAnsi="Arial" w:cs="Arial"/>
      <w:sz w:val="18"/>
      <w:lang w:eastAsia="zh-CN"/>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paragraph" w:customStyle="1" w:styleId="Default">
    <w:name w:val="Default"/>
    <w:rsid w:val="00F30990"/>
    <w:pPr>
      <w:autoSpaceDE w:val="0"/>
      <w:autoSpaceDN w:val="0"/>
      <w:adjustRightInd w:val="0"/>
    </w:pPr>
    <w:rPr>
      <w:rFonts w:ascii="Arial" w:hAnsi="Arial" w:cs="Arial"/>
      <w:color w:val="000000"/>
      <w:sz w:val="24"/>
      <w:szCs w:val="24"/>
    </w:rPr>
  </w:style>
  <w:style w:type="character" w:customStyle="1" w:styleId="NORMALTEXT">
    <w:name w:val="NORMAL TEXT"/>
    <w:basedOn w:val="DefaultParagraphFont"/>
    <w:rsid w:val="00142448"/>
    <w:rPr>
      <w:rFonts w:ascii="Arial" w:hAnsi="Arial" w:cs="Arial" w:hint="default"/>
      <w:i w:val="0"/>
      <w:iCs/>
      <w:sz w:val="22"/>
    </w:rPr>
  </w:style>
  <w:style w:type="table" w:styleId="TableGrid">
    <w:name w:val="Table Grid"/>
    <w:basedOn w:val="TableNormal"/>
    <w:uiPriority w:val="59"/>
    <w:rsid w:val="009F68F2"/>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68F2"/>
    <w:rPr>
      <w:color w:val="0000FF" w:themeColor="hyperlink"/>
      <w:u w:val="single"/>
    </w:rPr>
  </w:style>
  <w:style w:type="paragraph" w:customStyle="1" w:styleId="a">
    <w:name w:val="#"/>
    <w:basedOn w:val="Normal"/>
    <w:rsid w:val="009F68F2"/>
    <w:pPr>
      <w:spacing w:before="60" w:after="60"/>
      <w:jc w:val="center"/>
    </w:pPr>
    <w:rPr>
      <w:rFonts w:eastAsiaTheme="minorHAnsi" w:cs="Times New Roman"/>
      <w:b/>
      <w:bCs/>
      <w:sz w:val="12"/>
      <w:szCs w:val="1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semiHidden/>
    <w:locked/>
    <w:rsid w:val="00C25DAA"/>
    <w:rPr>
      <w:rFonts w:ascii="Arial" w:eastAsia="SimSun" w:hAnsi="Arial" w:cs="Arial"/>
      <w:sz w:val="18"/>
      <w:lang w:eastAsia="zh-CN"/>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paragraph" w:customStyle="1" w:styleId="Default">
    <w:name w:val="Default"/>
    <w:rsid w:val="00F30990"/>
    <w:pPr>
      <w:autoSpaceDE w:val="0"/>
      <w:autoSpaceDN w:val="0"/>
      <w:adjustRightInd w:val="0"/>
    </w:pPr>
    <w:rPr>
      <w:rFonts w:ascii="Arial" w:hAnsi="Arial" w:cs="Arial"/>
      <w:color w:val="000000"/>
      <w:sz w:val="24"/>
      <w:szCs w:val="24"/>
    </w:rPr>
  </w:style>
  <w:style w:type="character" w:customStyle="1" w:styleId="NORMALTEXT">
    <w:name w:val="NORMAL TEXT"/>
    <w:basedOn w:val="DefaultParagraphFont"/>
    <w:rsid w:val="00142448"/>
    <w:rPr>
      <w:rFonts w:ascii="Arial" w:hAnsi="Arial" w:cs="Arial" w:hint="default"/>
      <w:i w:val="0"/>
      <w:iCs/>
      <w:sz w:val="22"/>
    </w:rPr>
  </w:style>
  <w:style w:type="table" w:styleId="TableGrid">
    <w:name w:val="Table Grid"/>
    <w:basedOn w:val="TableNormal"/>
    <w:uiPriority w:val="59"/>
    <w:rsid w:val="009F68F2"/>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68F2"/>
    <w:rPr>
      <w:color w:val="0000FF" w:themeColor="hyperlink"/>
      <w:u w:val="single"/>
    </w:rPr>
  </w:style>
  <w:style w:type="paragraph" w:customStyle="1" w:styleId="a">
    <w:name w:val="#"/>
    <w:basedOn w:val="Normal"/>
    <w:rsid w:val="009F68F2"/>
    <w:pPr>
      <w:spacing w:before="60" w:after="60"/>
      <w:jc w:val="center"/>
    </w:pPr>
    <w:rPr>
      <w:rFonts w:eastAsiaTheme="minorHAnsi" w:cs="Times New Roman"/>
      <w:b/>
      <w:bCs/>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485976567">
      <w:bodyDiv w:val="1"/>
      <w:marLeft w:val="0"/>
      <w:marRight w:val="0"/>
      <w:marTop w:val="0"/>
      <w:marBottom w:val="0"/>
      <w:divBdr>
        <w:top w:val="none" w:sz="0" w:space="0" w:color="auto"/>
        <w:left w:val="none" w:sz="0" w:space="0" w:color="auto"/>
        <w:bottom w:val="none" w:sz="0" w:space="0" w:color="auto"/>
        <w:right w:val="none" w:sz="0" w:space="0" w:color="auto"/>
      </w:divBdr>
    </w:div>
    <w:div w:id="740904958">
      <w:bodyDiv w:val="1"/>
      <w:marLeft w:val="0"/>
      <w:marRight w:val="0"/>
      <w:marTop w:val="0"/>
      <w:marBottom w:val="0"/>
      <w:divBdr>
        <w:top w:val="none" w:sz="0" w:space="0" w:color="auto"/>
        <w:left w:val="none" w:sz="0" w:space="0" w:color="auto"/>
        <w:bottom w:val="none" w:sz="0" w:space="0" w:color="auto"/>
        <w:right w:val="none" w:sz="0" w:space="0" w:color="auto"/>
      </w:divBdr>
    </w:div>
    <w:div w:id="752552961">
      <w:bodyDiv w:val="1"/>
      <w:marLeft w:val="0"/>
      <w:marRight w:val="0"/>
      <w:marTop w:val="0"/>
      <w:marBottom w:val="0"/>
      <w:divBdr>
        <w:top w:val="none" w:sz="0" w:space="0" w:color="auto"/>
        <w:left w:val="none" w:sz="0" w:space="0" w:color="auto"/>
        <w:bottom w:val="none" w:sz="0" w:space="0" w:color="auto"/>
        <w:right w:val="none" w:sz="0" w:space="0" w:color="auto"/>
      </w:divBdr>
    </w:div>
    <w:div w:id="753824498">
      <w:bodyDiv w:val="1"/>
      <w:marLeft w:val="0"/>
      <w:marRight w:val="0"/>
      <w:marTop w:val="0"/>
      <w:marBottom w:val="0"/>
      <w:divBdr>
        <w:top w:val="none" w:sz="0" w:space="0" w:color="auto"/>
        <w:left w:val="none" w:sz="0" w:space="0" w:color="auto"/>
        <w:bottom w:val="none" w:sz="0" w:space="0" w:color="auto"/>
        <w:right w:val="none" w:sz="0" w:space="0" w:color="auto"/>
      </w:divBdr>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15518585">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445464869">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1.xml"/><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diagramData" Target="diagrams/data2.xm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diagramLayout" Target="diagrams/layout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image" Target="media/image6.emf"/><Relationship Id="rId23" Type="http://schemas.microsoft.com/office/2007/relationships/diagramDrawing" Target="diagrams/drawing1.xml"/><Relationship Id="rId28" Type="http://schemas.openxmlformats.org/officeDocument/2006/relationships/diagramColors" Target="diagrams/colors2.xml"/><Relationship Id="rId10" Type="http://schemas.openxmlformats.org/officeDocument/2006/relationships/image" Target="media/image2.emf"/><Relationship Id="rId19" Type="http://schemas.openxmlformats.org/officeDocument/2006/relationships/diagramData" Target="diagrams/data1.xml"/><Relationship Id="rId31"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image" Target="media/image10.emf"/><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pct/en/texts/pdf/pct_regs.pdf" TargetMode="External"/><Relationship Id="rId2" Type="http://schemas.openxmlformats.org/officeDocument/2006/relationships/hyperlink" Target="http://www.wipo.int/export/sites/www/pct/en/fees/fee_reduction_pre_july.pdf" TargetMode="External"/><Relationship Id="rId1" Type="http://schemas.openxmlformats.org/officeDocument/2006/relationships/hyperlink" Target="http://www.wipo.int/export/sites/www/pct/en/texts/pdf/pct_regs2014.pdf" TargetMode="External"/><Relationship Id="rId4" Type="http://schemas.openxmlformats.org/officeDocument/2006/relationships/hyperlink" Target="http://www.wipo.int/export/sites/www/pct/en/fees/fee_reduction_july.pdf"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304047" y="549354"/>
          <a:ext cx="1215104" cy="368758"/>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en-US"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6</a:t>
          </a: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227983" y="1032968"/>
          <a:ext cx="1352971" cy="399983"/>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31</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Hague System</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0">
          <a:off x="2850710" y="969382"/>
          <a:ext cx="114870"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4282109" y="501142"/>
          <a:ext cx="1092550" cy="444246"/>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10</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TDC</a:t>
          </a: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519047" y="722173"/>
          <a:ext cx="763116"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260274" y="34356"/>
          <a:ext cx="1306950" cy="4025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9</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Regional Bureaus</a:t>
          </a: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856426" y="486985"/>
          <a:ext cx="112422"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354166" y="508973"/>
          <a:ext cx="1161257" cy="4437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Libson System</a:t>
          </a:r>
        </a:p>
        <a:p>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F9B6D57-E004-4603-A3A8-3A2B6A815956}" type="parTrans" cxnId="{46C2FB3A-BC61-4C22-A3CC-12E30BF0C032}">
      <dgm:prSet/>
      <dgm:spPr>
        <a:xfrm rot="10804994">
          <a:off x="1515419" y="726119"/>
          <a:ext cx="788635"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08203"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331499"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277118" custScaleY="112680"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343172"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294545" custScaleY="112561" custRadScaleRad="382469" custRadScaleInc="-891">
        <dgm:presLayoutVars>
          <dgm:bulletEnabled val="1"/>
        </dgm:presLayoutVars>
      </dgm:prSet>
      <dgm:spPr>
        <a:prstGeom prst="ellipse">
          <a:avLst/>
        </a:prstGeom>
      </dgm:spPr>
      <dgm:t>
        <a:bodyPr/>
        <a:lstStyle/>
        <a:p>
          <a:endParaRPr lang="en-US"/>
        </a:p>
      </dgm:t>
    </dgm:pt>
  </dgm:ptLst>
  <dgm:cxnLst>
    <dgm:cxn modelId="{F7638426-DE9D-44FB-87BE-FD02F40D6666}" type="presOf" srcId="{7AF774ED-547E-4C04-8670-B0C1D08C5EE9}" destId="{326412CE-9911-4799-A459-B56F02EB4473}" srcOrd="1" destOrd="0" presId="urn:microsoft.com/office/officeart/2005/8/layout/radial1"/>
    <dgm:cxn modelId="{DA740704-6E02-4402-8325-D0302449434E}" srcId="{34E6C8D5-8D4F-4714-8A12-8F4599A8E760}" destId="{4F895710-9C0A-4357-A62A-B00C2B1BB2A2}" srcOrd="1" destOrd="0" parTransId="{4492527F-B2BC-4423-9ACC-2816666249A0}" sibTransId="{A0A859C5-79E5-4C97-AF72-54A6D166EEA1}"/>
    <dgm:cxn modelId="{1BA91AC6-68AB-4E13-8BA0-BFE5CFF7F6ED}" type="presOf" srcId="{4693CA52-075F-4BD8-ABEA-5368BE377DDA}" destId="{4AC11394-3179-4EC5-A97F-D1A1B521CE2F}" srcOrd="0" destOrd="0" presId="urn:microsoft.com/office/officeart/2005/8/layout/radial1"/>
    <dgm:cxn modelId="{651B7248-68EC-474B-92D4-0C1AD30EA9CA}" type="presOf" srcId="{0FABC453-0A5C-4CAE-813B-F0494A34E025}" destId="{EA4144E0-C5B2-4FC0-BDB2-550B61DB7DFD}" srcOrd="1" destOrd="0" presId="urn:microsoft.com/office/officeart/2005/8/layout/radial1"/>
    <dgm:cxn modelId="{22CFBE58-87EC-4B70-B1CC-D1D1DB4968C7}" srcId="{34E6C8D5-8D4F-4714-8A12-8F4599A8E760}" destId="{DE541715-C648-404D-8124-F14F463E9202}" srcOrd="0" destOrd="0" parTransId="{D7DB3476-9C56-4274-B046-F742EA8694F1}" sibTransId="{7CA7849B-681D-4C0D-A708-F47E97871BB2}"/>
    <dgm:cxn modelId="{21DB7565-6822-44C4-B47E-DA852BF584D0}" type="presOf" srcId="{DE541715-C648-404D-8124-F14F463E9202}" destId="{062AF917-2F47-4639-8A23-58AD52EC0F32}" srcOrd="0" destOrd="0" presId="urn:microsoft.com/office/officeart/2005/8/layout/radial1"/>
    <dgm:cxn modelId="{BF65F824-D4F4-4A84-83B4-6B1944B62AAD}" srcId="{DE541715-C648-404D-8124-F14F463E9202}" destId="{4631C2C5-1554-4289-90B0-F2D55D1595B6}" srcOrd="1" destOrd="0" parTransId="{4693CA52-075F-4BD8-ABEA-5368BE377DDA}" sibTransId="{9B3CB24D-A47A-4081-B256-B868D89D5387}"/>
    <dgm:cxn modelId="{3548DE1C-ACF3-43F9-8882-826094A4E2E3}" type="presOf" srcId="{C06C39C9-71B8-489C-9C45-3DD37A424E39}" destId="{0FAF3FA1-8E6C-455E-B189-A468B3F4D8BC}" srcOrd="0" destOrd="0" presId="urn:microsoft.com/office/officeart/2005/8/layout/radial1"/>
    <dgm:cxn modelId="{B8AA54EF-6834-4327-8280-67EED7839918}" type="presOf" srcId="{11C9E753-F212-4257-9A94-5537ADFE5943}" destId="{1826B69E-77B8-4580-ABF8-4926B99AA206}" srcOrd="0" destOrd="0" presId="urn:microsoft.com/office/officeart/2005/8/layout/radial1"/>
    <dgm:cxn modelId="{DB38C47F-3795-4347-A289-09F689928681}" type="presOf" srcId="{0F9B6D57-E004-4603-A3A8-3A2B6A815956}" destId="{9A56F0B1-9466-40E9-8BFA-10DF1330E460}" srcOrd="0" destOrd="0" presId="urn:microsoft.com/office/officeart/2005/8/layout/radial1"/>
    <dgm:cxn modelId="{99CFD090-576F-4562-926B-063598FBA2D2}" type="presOf" srcId="{7AF774ED-547E-4C04-8670-B0C1D08C5EE9}" destId="{5337AE63-3722-42CC-AF72-36670EB7C5E1}" srcOrd="0" destOrd="0" presId="urn:microsoft.com/office/officeart/2005/8/layout/radial1"/>
    <dgm:cxn modelId="{90214944-8C2E-496E-9548-52099AA8A2BD}" type="presOf" srcId="{0F9B6D57-E004-4603-A3A8-3A2B6A815956}" destId="{5B61520A-D966-494F-A7BF-91A6C71C68DF}" srcOrd="1" destOrd="0" presId="urn:microsoft.com/office/officeart/2005/8/layout/radial1"/>
    <dgm:cxn modelId="{248698A6-055B-40E3-B808-D624056EF2B0}" srcId="{DE541715-C648-404D-8124-F14F463E9202}" destId="{C06C39C9-71B8-489C-9C45-3DD37A424E39}" srcOrd="2" destOrd="0" parTransId="{0FABC453-0A5C-4CAE-813B-F0494A34E025}" sibTransId="{DCD34884-F96E-475A-9010-14DE66A403A6}"/>
    <dgm:cxn modelId="{0FCBE2AD-3C7C-49B8-8D3B-37DE84CDE52C}" type="presOf" srcId="{960C5593-E0FF-4AA5-AA0B-E8BDFFBC5E53}" destId="{CED9197C-8322-406B-917C-172FA36E7B76}" srcOrd="0" destOrd="0" presId="urn:microsoft.com/office/officeart/2005/8/layout/radial1"/>
    <dgm:cxn modelId="{529D05ED-97D5-4116-BE13-DE3D93351F7F}" srcId="{DE541715-C648-404D-8124-F14F463E9202}" destId="{960C5593-E0FF-4AA5-AA0B-E8BDFFBC5E53}" srcOrd="0" destOrd="0" parTransId="{7AF774ED-547E-4C04-8670-B0C1D08C5EE9}" sibTransId="{88F12DF7-015F-4F26-950A-DAE493699644}"/>
    <dgm:cxn modelId="{46C2FB3A-BC61-4C22-A3CC-12E30BF0C032}" srcId="{DE541715-C648-404D-8124-F14F463E9202}" destId="{11C9E753-F212-4257-9A94-5537ADFE5943}" srcOrd="3" destOrd="0" parTransId="{0F9B6D57-E004-4603-A3A8-3A2B6A815956}" sibTransId="{C0399FCC-9C49-4F86-8EA2-A1E913A65726}"/>
    <dgm:cxn modelId="{DE84E28D-78E3-4C31-BB89-B27D21F4F5A4}" type="presOf" srcId="{34E6C8D5-8D4F-4714-8A12-8F4599A8E760}" destId="{08F189A1-AB47-41D1-8058-7A6DA66B3F52}" srcOrd="0" destOrd="0" presId="urn:microsoft.com/office/officeart/2005/8/layout/radial1"/>
    <dgm:cxn modelId="{8117019F-740C-47CC-BF0B-35B4D7F9A44D}" type="presOf" srcId="{0FABC453-0A5C-4CAE-813B-F0494A34E025}" destId="{ADF94B70-0D7F-4A27-8DF9-17BCD27F4A7A}" srcOrd="0" destOrd="0" presId="urn:microsoft.com/office/officeart/2005/8/layout/radial1"/>
    <dgm:cxn modelId="{012828B8-D944-4F4D-B6B0-3A8A50782878}" type="presOf" srcId="{4631C2C5-1554-4289-90B0-F2D55D1595B6}" destId="{035B4C9A-0916-4FCC-A1CF-85DB358A289A}" srcOrd="0" destOrd="0" presId="urn:microsoft.com/office/officeart/2005/8/layout/radial1"/>
    <dgm:cxn modelId="{CB84FC33-A5FA-42A4-86A1-1D938E00C807}" type="presOf" srcId="{4693CA52-075F-4BD8-ABEA-5368BE377DDA}" destId="{62A1F741-432F-46BE-AE07-15F0B6D5EA89}" srcOrd="1" destOrd="0" presId="urn:microsoft.com/office/officeart/2005/8/layout/radial1"/>
    <dgm:cxn modelId="{3A14A083-9830-49F4-AE5C-781D92DF510E}" type="presParOf" srcId="{08F189A1-AB47-41D1-8058-7A6DA66B3F52}" destId="{062AF917-2F47-4639-8A23-58AD52EC0F32}" srcOrd="0" destOrd="0" presId="urn:microsoft.com/office/officeart/2005/8/layout/radial1"/>
    <dgm:cxn modelId="{B3D5DEF4-C4ED-4AA7-A8CA-E114B20E7AE4}" type="presParOf" srcId="{08F189A1-AB47-41D1-8058-7A6DA66B3F52}" destId="{5337AE63-3722-42CC-AF72-36670EB7C5E1}" srcOrd="1" destOrd="0" presId="urn:microsoft.com/office/officeart/2005/8/layout/radial1"/>
    <dgm:cxn modelId="{70E1E14B-F87A-4348-B5CB-3E3C65648B17}" type="presParOf" srcId="{5337AE63-3722-42CC-AF72-36670EB7C5E1}" destId="{326412CE-9911-4799-A459-B56F02EB4473}" srcOrd="0" destOrd="0" presId="urn:microsoft.com/office/officeart/2005/8/layout/radial1"/>
    <dgm:cxn modelId="{22B93362-E13B-4B92-8EE4-E40F3B637D80}" type="presParOf" srcId="{08F189A1-AB47-41D1-8058-7A6DA66B3F52}" destId="{CED9197C-8322-406B-917C-172FA36E7B76}" srcOrd="2" destOrd="0" presId="urn:microsoft.com/office/officeart/2005/8/layout/radial1"/>
    <dgm:cxn modelId="{82E57372-92D0-45C7-917E-6EF52550C986}" type="presParOf" srcId="{08F189A1-AB47-41D1-8058-7A6DA66B3F52}" destId="{4AC11394-3179-4EC5-A97F-D1A1B521CE2F}" srcOrd="3" destOrd="0" presId="urn:microsoft.com/office/officeart/2005/8/layout/radial1"/>
    <dgm:cxn modelId="{D318958C-08AB-424A-AD74-040413FE0602}" type="presParOf" srcId="{4AC11394-3179-4EC5-A97F-D1A1B521CE2F}" destId="{62A1F741-432F-46BE-AE07-15F0B6D5EA89}" srcOrd="0" destOrd="0" presId="urn:microsoft.com/office/officeart/2005/8/layout/radial1"/>
    <dgm:cxn modelId="{DAFEEB80-BB89-4971-9AD6-7494FD09BF97}" type="presParOf" srcId="{08F189A1-AB47-41D1-8058-7A6DA66B3F52}" destId="{035B4C9A-0916-4FCC-A1CF-85DB358A289A}" srcOrd="4" destOrd="0" presId="urn:microsoft.com/office/officeart/2005/8/layout/radial1"/>
    <dgm:cxn modelId="{90D0EBCD-FC9E-4301-9ECD-9CB059CF2363}" type="presParOf" srcId="{08F189A1-AB47-41D1-8058-7A6DA66B3F52}" destId="{ADF94B70-0D7F-4A27-8DF9-17BCD27F4A7A}" srcOrd="5" destOrd="0" presId="urn:microsoft.com/office/officeart/2005/8/layout/radial1"/>
    <dgm:cxn modelId="{67C7934F-95E4-4E9A-99D8-8332977D9E92}" type="presParOf" srcId="{ADF94B70-0D7F-4A27-8DF9-17BCD27F4A7A}" destId="{EA4144E0-C5B2-4FC0-BDB2-550B61DB7DFD}" srcOrd="0" destOrd="0" presId="urn:microsoft.com/office/officeart/2005/8/layout/radial1"/>
    <dgm:cxn modelId="{D17C1C37-24DA-414E-AE23-71FC68D54CED}" type="presParOf" srcId="{08F189A1-AB47-41D1-8058-7A6DA66B3F52}" destId="{0FAF3FA1-8E6C-455E-B189-A468B3F4D8BC}" srcOrd="6" destOrd="0" presId="urn:microsoft.com/office/officeart/2005/8/layout/radial1"/>
    <dgm:cxn modelId="{36EBCF43-7F83-409D-813F-E3340FE91FB7}" type="presParOf" srcId="{08F189A1-AB47-41D1-8058-7A6DA66B3F52}" destId="{9A56F0B1-9466-40E9-8BFA-10DF1330E460}" srcOrd="7" destOrd="0" presId="urn:microsoft.com/office/officeart/2005/8/layout/radial1"/>
    <dgm:cxn modelId="{7267C8BA-CD06-4ABB-8EB5-A58DBF25EB86}" type="presParOf" srcId="{9A56F0B1-9466-40E9-8BFA-10DF1330E460}" destId="{5B61520A-D966-494F-A7BF-91A6C71C68DF}" srcOrd="0" destOrd="0" presId="urn:microsoft.com/office/officeart/2005/8/layout/radial1"/>
    <dgm:cxn modelId="{38D05C74-475F-4A18-88A4-0F3941A5F6D9}"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106680" y="549154"/>
          <a:ext cx="1499882" cy="368758"/>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Lisbon System</a:t>
          </a: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173007" y="1032576"/>
          <a:ext cx="1352971" cy="399983"/>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10</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TDC</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5">
          <a:off x="2795829" y="969086"/>
          <a:ext cx="114678"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4087441" y="506749"/>
          <a:ext cx="1370882" cy="432635"/>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9</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Regional Bureaus</a:t>
          </a:r>
          <a:endParaRPr lang="en-US"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606374" y="721965"/>
          <a:ext cx="481172"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205296" y="34291"/>
          <a:ext cx="1306950" cy="4025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6</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Madrid System</a:t>
          </a: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801517" y="486853"/>
          <a:ext cx="112286"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270511" y="529767"/>
          <a:ext cx="1219693" cy="401788"/>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31</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Hague System</a:t>
          </a:r>
        </a:p>
      </dgm:t>
    </dgm:pt>
    <dgm:pt modelId="{0F9B6D57-E004-4603-A3A8-3A2B6A815956}" type="parTrans" cxnId="{46C2FB3A-BC61-4C22-A3CC-12E30BF0C032}">
      <dgm:prSet/>
      <dgm:spPr>
        <a:xfrm rot="10804994">
          <a:off x="1490198" y="725837"/>
          <a:ext cx="616495"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80435"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331499"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347715" custScaleY="109735"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343172"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309367" custScaleY="101911" custRadScaleRad="382469" custRadScaleInc="-891">
        <dgm:presLayoutVars>
          <dgm:bulletEnabled val="1"/>
        </dgm:presLayoutVars>
      </dgm:prSet>
      <dgm:spPr>
        <a:prstGeom prst="ellipse">
          <a:avLst/>
        </a:prstGeom>
      </dgm:spPr>
      <dgm:t>
        <a:bodyPr/>
        <a:lstStyle/>
        <a:p>
          <a:endParaRPr lang="en-US"/>
        </a:p>
      </dgm:t>
    </dgm:pt>
  </dgm:ptLst>
  <dgm:cxnLst>
    <dgm:cxn modelId="{22CFBE58-87EC-4B70-B1CC-D1D1DB4968C7}" srcId="{34E6C8D5-8D4F-4714-8A12-8F4599A8E760}" destId="{DE541715-C648-404D-8124-F14F463E9202}" srcOrd="0" destOrd="0" parTransId="{D7DB3476-9C56-4274-B046-F742EA8694F1}" sibTransId="{7CA7849B-681D-4C0D-A708-F47E97871BB2}"/>
    <dgm:cxn modelId="{46C2FB3A-BC61-4C22-A3CC-12E30BF0C032}" srcId="{DE541715-C648-404D-8124-F14F463E9202}" destId="{11C9E753-F212-4257-9A94-5537ADFE5943}" srcOrd="3" destOrd="0" parTransId="{0F9B6D57-E004-4603-A3A8-3A2B6A815956}" sibTransId="{C0399FCC-9C49-4F86-8EA2-A1E913A65726}"/>
    <dgm:cxn modelId="{861F8161-CD74-4FE4-BFB5-AD9E27D6BD43}" type="presOf" srcId="{4693CA52-075F-4BD8-ABEA-5368BE377DDA}" destId="{62A1F741-432F-46BE-AE07-15F0B6D5EA89}" srcOrd="1" destOrd="0" presId="urn:microsoft.com/office/officeart/2005/8/layout/radial1"/>
    <dgm:cxn modelId="{2F1B42C1-7643-4A9C-BE45-A322D3A331E1}" type="presOf" srcId="{4631C2C5-1554-4289-90B0-F2D55D1595B6}" destId="{035B4C9A-0916-4FCC-A1CF-85DB358A289A}" srcOrd="0" destOrd="0" presId="urn:microsoft.com/office/officeart/2005/8/layout/radial1"/>
    <dgm:cxn modelId="{F5C77114-BE5A-4CF2-B55B-7CDFF9093A70}" type="presOf" srcId="{0FABC453-0A5C-4CAE-813B-F0494A34E025}" destId="{ADF94B70-0D7F-4A27-8DF9-17BCD27F4A7A}" srcOrd="0" destOrd="0" presId="urn:microsoft.com/office/officeart/2005/8/layout/radial1"/>
    <dgm:cxn modelId="{4FFA1767-1D37-422E-B76B-E1E8AA614695}" type="presOf" srcId="{DE541715-C648-404D-8124-F14F463E9202}" destId="{062AF917-2F47-4639-8A23-58AD52EC0F32}" srcOrd="0" destOrd="0" presId="urn:microsoft.com/office/officeart/2005/8/layout/radial1"/>
    <dgm:cxn modelId="{768DD7F3-5FA4-4C4E-B369-7C877BB6CD91}" type="presOf" srcId="{4693CA52-075F-4BD8-ABEA-5368BE377DDA}" destId="{4AC11394-3179-4EC5-A97F-D1A1B521CE2F}" srcOrd="0" destOrd="0" presId="urn:microsoft.com/office/officeart/2005/8/layout/radial1"/>
    <dgm:cxn modelId="{77C26496-A1B5-4240-A742-4DDE3FD84DCF}" type="presOf" srcId="{11C9E753-F212-4257-9A94-5537ADFE5943}" destId="{1826B69E-77B8-4580-ABF8-4926B99AA206}" srcOrd="0" destOrd="0" presId="urn:microsoft.com/office/officeart/2005/8/layout/radial1"/>
    <dgm:cxn modelId="{4FB0C62B-9532-4FB9-9182-955AD8806D92}" type="presOf" srcId="{34E6C8D5-8D4F-4714-8A12-8F4599A8E760}" destId="{08F189A1-AB47-41D1-8058-7A6DA66B3F52}" srcOrd="0" destOrd="0" presId="urn:microsoft.com/office/officeart/2005/8/layout/radial1"/>
    <dgm:cxn modelId="{BA0C89D0-D8A7-45DE-81BD-63487F5A9061}" type="presOf" srcId="{0F9B6D57-E004-4603-A3A8-3A2B6A815956}" destId="{5B61520A-D966-494F-A7BF-91A6C71C68DF}" srcOrd="1" destOrd="0" presId="urn:microsoft.com/office/officeart/2005/8/layout/radial1"/>
    <dgm:cxn modelId="{DA740704-6E02-4402-8325-D0302449434E}" srcId="{34E6C8D5-8D4F-4714-8A12-8F4599A8E760}" destId="{4F895710-9C0A-4357-A62A-B00C2B1BB2A2}" srcOrd="1" destOrd="0" parTransId="{4492527F-B2BC-4423-9ACC-2816666249A0}" sibTransId="{A0A859C5-79E5-4C97-AF72-54A6D166EEA1}"/>
    <dgm:cxn modelId="{529D05ED-97D5-4116-BE13-DE3D93351F7F}" srcId="{DE541715-C648-404D-8124-F14F463E9202}" destId="{960C5593-E0FF-4AA5-AA0B-E8BDFFBC5E53}" srcOrd="0" destOrd="0" parTransId="{7AF774ED-547E-4C04-8670-B0C1D08C5EE9}" sibTransId="{88F12DF7-015F-4F26-950A-DAE493699644}"/>
    <dgm:cxn modelId="{79EBA037-9203-4C5F-B7CD-D4DE0F55E305}" type="presOf" srcId="{960C5593-E0FF-4AA5-AA0B-E8BDFFBC5E53}" destId="{CED9197C-8322-406B-917C-172FA36E7B76}" srcOrd="0" destOrd="0" presId="urn:microsoft.com/office/officeart/2005/8/layout/radial1"/>
    <dgm:cxn modelId="{BF65F824-D4F4-4A84-83B4-6B1944B62AAD}" srcId="{DE541715-C648-404D-8124-F14F463E9202}" destId="{4631C2C5-1554-4289-90B0-F2D55D1595B6}" srcOrd="1" destOrd="0" parTransId="{4693CA52-075F-4BD8-ABEA-5368BE377DDA}" sibTransId="{9B3CB24D-A47A-4081-B256-B868D89D5387}"/>
    <dgm:cxn modelId="{146DA441-9FD9-4D5C-B296-D3831B9A9900}" type="presOf" srcId="{0F9B6D57-E004-4603-A3A8-3A2B6A815956}" destId="{9A56F0B1-9466-40E9-8BFA-10DF1330E460}" srcOrd="0" destOrd="0" presId="urn:microsoft.com/office/officeart/2005/8/layout/radial1"/>
    <dgm:cxn modelId="{B2D9D065-FE07-448F-9D72-F5AB63ABFD7D}" type="presOf" srcId="{0FABC453-0A5C-4CAE-813B-F0494A34E025}" destId="{EA4144E0-C5B2-4FC0-BDB2-550B61DB7DFD}" srcOrd="1" destOrd="0" presId="urn:microsoft.com/office/officeart/2005/8/layout/radial1"/>
    <dgm:cxn modelId="{C565DD92-5F75-4C76-A1CD-742BED729884}" type="presOf" srcId="{7AF774ED-547E-4C04-8670-B0C1D08C5EE9}" destId="{326412CE-9911-4799-A459-B56F02EB4473}" srcOrd="1" destOrd="0" presId="urn:microsoft.com/office/officeart/2005/8/layout/radial1"/>
    <dgm:cxn modelId="{6AF5AAE6-04F0-4507-9D86-0449BF8ADD26}" type="presOf" srcId="{7AF774ED-547E-4C04-8670-B0C1D08C5EE9}" destId="{5337AE63-3722-42CC-AF72-36670EB7C5E1}" srcOrd="0" destOrd="0" presId="urn:microsoft.com/office/officeart/2005/8/layout/radial1"/>
    <dgm:cxn modelId="{248698A6-055B-40E3-B808-D624056EF2B0}" srcId="{DE541715-C648-404D-8124-F14F463E9202}" destId="{C06C39C9-71B8-489C-9C45-3DD37A424E39}" srcOrd="2" destOrd="0" parTransId="{0FABC453-0A5C-4CAE-813B-F0494A34E025}" sibTransId="{DCD34884-F96E-475A-9010-14DE66A403A6}"/>
    <dgm:cxn modelId="{10AB64C2-0E50-4A99-8EA6-6FE4ECFDC33E}" type="presOf" srcId="{C06C39C9-71B8-489C-9C45-3DD37A424E39}" destId="{0FAF3FA1-8E6C-455E-B189-A468B3F4D8BC}" srcOrd="0" destOrd="0" presId="urn:microsoft.com/office/officeart/2005/8/layout/radial1"/>
    <dgm:cxn modelId="{6F430B6F-3901-48FC-AAB8-6BC38C8E129A}" type="presParOf" srcId="{08F189A1-AB47-41D1-8058-7A6DA66B3F52}" destId="{062AF917-2F47-4639-8A23-58AD52EC0F32}" srcOrd="0" destOrd="0" presId="urn:microsoft.com/office/officeart/2005/8/layout/radial1"/>
    <dgm:cxn modelId="{1501B2BE-15DF-4147-AD08-9588B1684F82}" type="presParOf" srcId="{08F189A1-AB47-41D1-8058-7A6DA66B3F52}" destId="{5337AE63-3722-42CC-AF72-36670EB7C5E1}" srcOrd="1" destOrd="0" presId="urn:microsoft.com/office/officeart/2005/8/layout/radial1"/>
    <dgm:cxn modelId="{D9F7A845-1ABF-4EFB-8060-C6A8FB1E110F}" type="presParOf" srcId="{5337AE63-3722-42CC-AF72-36670EB7C5E1}" destId="{326412CE-9911-4799-A459-B56F02EB4473}" srcOrd="0" destOrd="0" presId="urn:microsoft.com/office/officeart/2005/8/layout/radial1"/>
    <dgm:cxn modelId="{E12B6A37-8211-42EC-90BD-764A675135A6}" type="presParOf" srcId="{08F189A1-AB47-41D1-8058-7A6DA66B3F52}" destId="{CED9197C-8322-406B-917C-172FA36E7B76}" srcOrd="2" destOrd="0" presId="urn:microsoft.com/office/officeart/2005/8/layout/radial1"/>
    <dgm:cxn modelId="{5EF3317C-2DE3-4C1B-A48C-2A60A9825B8D}" type="presParOf" srcId="{08F189A1-AB47-41D1-8058-7A6DA66B3F52}" destId="{4AC11394-3179-4EC5-A97F-D1A1B521CE2F}" srcOrd="3" destOrd="0" presId="urn:microsoft.com/office/officeart/2005/8/layout/radial1"/>
    <dgm:cxn modelId="{7C4882F7-8AC7-41DE-B5DA-247D0310C4EC}" type="presParOf" srcId="{4AC11394-3179-4EC5-A97F-D1A1B521CE2F}" destId="{62A1F741-432F-46BE-AE07-15F0B6D5EA89}" srcOrd="0" destOrd="0" presId="urn:microsoft.com/office/officeart/2005/8/layout/radial1"/>
    <dgm:cxn modelId="{874B070F-BF0E-487A-9B70-6276E0CC4F83}" type="presParOf" srcId="{08F189A1-AB47-41D1-8058-7A6DA66B3F52}" destId="{035B4C9A-0916-4FCC-A1CF-85DB358A289A}" srcOrd="4" destOrd="0" presId="urn:microsoft.com/office/officeart/2005/8/layout/radial1"/>
    <dgm:cxn modelId="{52CE7A07-D46E-408A-BC54-2DB251C7E797}" type="presParOf" srcId="{08F189A1-AB47-41D1-8058-7A6DA66B3F52}" destId="{ADF94B70-0D7F-4A27-8DF9-17BCD27F4A7A}" srcOrd="5" destOrd="0" presId="urn:microsoft.com/office/officeart/2005/8/layout/radial1"/>
    <dgm:cxn modelId="{6BBFD376-B198-4F4F-BE7E-8BA9735F44F6}" type="presParOf" srcId="{ADF94B70-0D7F-4A27-8DF9-17BCD27F4A7A}" destId="{EA4144E0-C5B2-4FC0-BDB2-550B61DB7DFD}" srcOrd="0" destOrd="0" presId="urn:microsoft.com/office/officeart/2005/8/layout/radial1"/>
    <dgm:cxn modelId="{649FA335-A7E1-4CA0-9A77-78E22FD1B712}" type="presParOf" srcId="{08F189A1-AB47-41D1-8058-7A6DA66B3F52}" destId="{0FAF3FA1-8E6C-455E-B189-A468B3F4D8BC}" srcOrd="6" destOrd="0" presId="urn:microsoft.com/office/officeart/2005/8/layout/radial1"/>
    <dgm:cxn modelId="{4ABEA055-33B3-4086-B5CF-A0862F9A1144}" type="presParOf" srcId="{08F189A1-AB47-41D1-8058-7A6DA66B3F52}" destId="{9A56F0B1-9466-40E9-8BFA-10DF1330E460}" srcOrd="7" destOrd="0" presId="urn:microsoft.com/office/officeart/2005/8/layout/radial1"/>
    <dgm:cxn modelId="{22F487A3-DA1A-4CEA-AD11-03E96A3F2F33}" type="presParOf" srcId="{9A56F0B1-9466-40E9-8BFA-10DF1330E460}" destId="{5B61520A-D966-494F-A7BF-91A6C71C68DF}" srcOrd="0" destOrd="0" presId="urn:microsoft.com/office/officeart/2005/8/layout/radial1"/>
    <dgm:cxn modelId="{58685E49-A1AE-4459-A3C4-96AFC8AD5F06}"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304047" y="549354"/>
          <a:ext cx="1215104" cy="368758"/>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6</a:t>
          </a:r>
        </a:p>
      </dsp:txBody>
      <dsp:txXfrm>
        <a:off x="2481995" y="603357"/>
        <a:ext cx="859208" cy="260752"/>
      </dsp:txXfrm>
    </dsp:sp>
    <dsp:sp modelId="{5337AE63-3722-42CC-AF72-36670EB7C5E1}">
      <dsp:nvSpPr>
        <dsp:cNvPr id="0" name=""/>
        <dsp:cNvSpPr/>
      </dsp:nvSpPr>
      <dsp:spPr>
        <a:xfrm rot="16214841">
          <a:off x="2856426" y="486985"/>
          <a:ext cx="112422"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909827" y="490333"/>
        <a:ext cx="5621" cy="5621"/>
      </dsp:txXfrm>
    </dsp:sp>
    <dsp:sp modelId="{CED9197C-8322-406B-917C-172FA36E7B76}">
      <dsp:nvSpPr>
        <dsp:cNvPr id="0" name=""/>
        <dsp:cNvSpPr/>
      </dsp:nvSpPr>
      <dsp:spPr>
        <a:xfrm>
          <a:off x="2260274" y="34356"/>
          <a:ext cx="1306950" cy="402577"/>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9</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Regional Bureaus</a:t>
          </a:r>
        </a:p>
      </dsp:txBody>
      <dsp:txXfrm>
        <a:off x="2451672" y="93312"/>
        <a:ext cx="924154" cy="284665"/>
      </dsp:txXfrm>
    </dsp:sp>
    <dsp:sp modelId="{4AC11394-3179-4EC5-A97F-D1A1B521CE2F}">
      <dsp:nvSpPr>
        <dsp:cNvPr id="0" name=""/>
        <dsp:cNvSpPr/>
      </dsp:nvSpPr>
      <dsp:spPr>
        <a:xfrm rot="21581225">
          <a:off x="3519047" y="722173"/>
          <a:ext cx="763116"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881528" y="709254"/>
        <a:ext cx="38155" cy="38155"/>
      </dsp:txXfrm>
    </dsp:sp>
    <dsp:sp modelId="{035B4C9A-0916-4FCC-A1CF-85DB358A289A}">
      <dsp:nvSpPr>
        <dsp:cNvPr id="0" name=""/>
        <dsp:cNvSpPr/>
      </dsp:nvSpPr>
      <dsp:spPr>
        <a:xfrm>
          <a:off x="4282109" y="501142"/>
          <a:ext cx="1092550" cy="444246"/>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10</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TDC</a:t>
          </a:r>
        </a:p>
      </dsp:txBody>
      <dsp:txXfrm>
        <a:off x="4442109" y="566200"/>
        <a:ext cx="772550" cy="314130"/>
      </dsp:txXfrm>
    </dsp:sp>
    <dsp:sp modelId="{ADF94B70-0D7F-4A27-8DF9-17BCD27F4A7A}">
      <dsp:nvSpPr>
        <dsp:cNvPr id="0" name=""/>
        <dsp:cNvSpPr/>
      </dsp:nvSpPr>
      <dsp:spPr>
        <a:xfrm rot="5449100">
          <a:off x="2850710" y="969382"/>
          <a:ext cx="114870"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905274" y="972669"/>
        <a:ext cx="5743" cy="5743"/>
      </dsp:txXfrm>
    </dsp:sp>
    <dsp:sp modelId="{0FAF3FA1-8E6C-455E-B189-A468B3F4D8BC}">
      <dsp:nvSpPr>
        <dsp:cNvPr id="0" name=""/>
        <dsp:cNvSpPr/>
      </dsp:nvSpPr>
      <dsp:spPr>
        <a:xfrm>
          <a:off x="2227983" y="1032968"/>
          <a:ext cx="1352971" cy="399983"/>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31</a:t>
          </a:r>
        </a:p>
        <a:p>
          <a:pPr lvl="0" algn="ctr" defTabSz="44450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Hague System</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426121" y="1091544"/>
        <a:ext cx="956695" cy="282831"/>
      </dsp:txXfrm>
    </dsp:sp>
    <dsp:sp modelId="{9A56F0B1-9466-40E9-8BFA-10DF1330E460}">
      <dsp:nvSpPr>
        <dsp:cNvPr id="0" name=""/>
        <dsp:cNvSpPr/>
      </dsp:nvSpPr>
      <dsp:spPr>
        <a:xfrm rot="10804994">
          <a:off x="1515419" y="726119"/>
          <a:ext cx="788635"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890020" y="712562"/>
        <a:ext cx="39431" cy="39431"/>
      </dsp:txXfrm>
    </dsp:sp>
    <dsp:sp modelId="{1826B69E-77B8-4580-ABF8-4926B99AA206}">
      <dsp:nvSpPr>
        <dsp:cNvPr id="0" name=""/>
        <dsp:cNvSpPr/>
      </dsp:nvSpPr>
      <dsp:spPr>
        <a:xfrm>
          <a:off x="354166" y="508973"/>
          <a:ext cx="1161257" cy="443777"/>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Libson System</a:t>
          </a:r>
        </a:p>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524228" y="573963"/>
        <a:ext cx="821133" cy="3137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106680" y="549154"/>
          <a:ext cx="1499882" cy="368758"/>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Lisbon System</a:t>
          </a:r>
        </a:p>
      </dsp:txBody>
      <dsp:txXfrm>
        <a:off x="2326333" y="603157"/>
        <a:ext cx="1060576" cy="260752"/>
      </dsp:txXfrm>
    </dsp:sp>
    <dsp:sp modelId="{5337AE63-3722-42CC-AF72-36670EB7C5E1}">
      <dsp:nvSpPr>
        <dsp:cNvPr id="0" name=""/>
        <dsp:cNvSpPr/>
      </dsp:nvSpPr>
      <dsp:spPr>
        <a:xfrm rot="16214841">
          <a:off x="2801517" y="486853"/>
          <a:ext cx="112286"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854853" y="490204"/>
        <a:ext cx="5614" cy="5614"/>
      </dsp:txXfrm>
    </dsp:sp>
    <dsp:sp modelId="{CED9197C-8322-406B-917C-172FA36E7B76}">
      <dsp:nvSpPr>
        <dsp:cNvPr id="0" name=""/>
        <dsp:cNvSpPr/>
      </dsp:nvSpPr>
      <dsp:spPr>
        <a:xfrm>
          <a:off x="2205296" y="34291"/>
          <a:ext cx="1306950" cy="402577"/>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6</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Madrid System</a:t>
          </a:r>
        </a:p>
      </dsp:txBody>
      <dsp:txXfrm>
        <a:off x="2396694" y="93247"/>
        <a:ext cx="924154" cy="284665"/>
      </dsp:txXfrm>
    </dsp:sp>
    <dsp:sp modelId="{4AC11394-3179-4EC5-A97F-D1A1B521CE2F}">
      <dsp:nvSpPr>
        <dsp:cNvPr id="0" name=""/>
        <dsp:cNvSpPr/>
      </dsp:nvSpPr>
      <dsp:spPr>
        <a:xfrm rot="21581225">
          <a:off x="3606374" y="721965"/>
          <a:ext cx="481172"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834931" y="716095"/>
        <a:ext cx="24058" cy="24058"/>
      </dsp:txXfrm>
    </dsp:sp>
    <dsp:sp modelId="{035B4C9A-0916-4FCC-A1CF-85DB358A289A}">
      <dsp:nvSpPr>
        <dsp:cNvPr id="0" name=""/>
        <dsp:cNvSpPr/>
      </dsp:nvSpPr>
      <dsp:spPr>
        <a:xfrm>
          <a:off x="4087441" y="506749"/>
          <a:ext cx="1370882" cy="432635"/>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9</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Regional Bureaus</a:t>
          </a:r>
          <a:endPar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288202" y="570107"/>
        <a:ext cx="969360" cy="305919"/>
      </dsp:txXfrm>
    </dsp:sp>
    <dsp:sp modelId="{ADF94B70-0D7F-4A27-8DF9-17BCD27F4A7A}">
      <dsp:nvSpPr>
        <dsp:cNvPr id="0" name=""/>
        <dsp:cNvSpPr/>
      </dsp:nvSpPr>
      <dsp:spPr>
        <a:xfrm rot="5449105">
          <a:off x="2795829" y="969086"/>
          <a:ext cx="114678"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850302" y="972378"/>
        <a:ext cx="5733" cy="5733"/>
      </dsp:txXfrm>
    </dsp:sp>
    <dsp:sp modelId="{0FAF3FA1-8E6C-455E-B189-A468B3F4D8BC}">
      <dsp:nvSpPr>
        <dsp:cNvPr id="0" name=""/>
        <dsp:cNvSpPr/>
      </dsp:nvSpPr>
      <dsp:spPr>
        <a:xfrm>
          <a:off x="2173007" y="1032576"/>
          <a:ext cx="1352971" cy="399983"/>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10</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TDC</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71145" y="1091152"/>
        <a:ext cx="956695" cy="282831"/>
      </dsp:txXfrm>
    </dsp:sp>
    <dsp:sp modelId="{9A56F0B1-9466-40E9-8BFA-10DF1330E460}">
      <dsp:nvSpPr>
        <dsp:cNvPr id="0" name=""/>
        <dsp:cNvSpPr/>
      </dsp:nvSpPr>
      <dsp:spPr>
        <a:xfrm rot="10804994">
          <a:off x="1490198" y="725837"/>
          <a:ext cx="616495"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783033" y="716583"/>
        <a:ext cx="30824" cy="30824"/>
      </dsp:txXfrm>
    </dsp:sp>
    <dsp:sp modelId="{1826B69E-77B8-4580-ABF8-4926B99AA206}">
      <dsp:nvSpPr>
        <dsp:cNvPr id="0" name=""/>
        <dsp:cNvSpPr/>
      </dsp:nvSpPr>
      <dsp:spPr>
        <a:xfrm>
          <a:off x="270511" y="529767"/>
          <a:ext cx="1219693" cy="401788"/>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 31</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Hague System</a:t>
          </a:r>
        </a:p>
      </dsp:txBody>
      <dsp:txXfrm>
        <a:off x="449131" y="588607"/>
        <a:ext cx="862453" cy="2841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6E232-DB6A-47D5-B0D0-9B2E71B8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15148</Words>
  <Characters>80799</Characters>
  <Application>Microsoft Office Word</Application>
  <DocSecurity>0</DocSecurity>
  <Lines>673</Lines>
  <Paragraphs>191</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95756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NETTER Iza</cp:lastModifiedBy>
  <cp:revision>6</cp:revision>
  <cp:lastPrinted>2015-09-15T15:23:00Z</cp:lastPrinted>
  <dcterms:created xsi:type="dcterms:W3CDTF">2015-09-15T15:13:00Z</dcterms:created>
  <dcterms:modified xsi:type="dcterms:W3CDTF">2015-09-15T15:23:00Z</dcterms:modified>
</cp:coreProperties>
</file>